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37BED80-86AE-4CF5-8E76-ECB4ED42ABCE" style="width:450.5pt;height:379.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Heading2"/>
        <w:rPr>
          <w:rFonts w:eastAsia="Arial Unicode MS"/>
          <w:noProof/>
        </w:rPr>
      </w:pPr>
      <w:r>
        <w:rPr>
          <w:noProof/>
          <w:u w:color="000000"/>
          <w:bdr w:val="nil"/>
        </w:rPr>
        <w:t>•</w:t>
      </w:r>
      <w:r>
        <w:rPr>
          <w:noProof/>
        </w:rPr>
        <w:tab/>
      </w:r>
      <w:r>
        <w:rPr>
          <w:noProof/>
          <w:u w:color="000000"/>
          <w:bdr w:val="nil"/>
        </w:rPr>
        <w:t>Justification et objectifs de la proposition</w:t>
      </w:r>
    </w:p>
    <w:p>
      <w:pPr>
        <w:pBdr>
          <w:top w:val="nil"/>
          <w:left w:val="nil"/>
          <w:bottom w:val="nil"/>
          <w:right w:val="nil"/>
          <w:between w:val="nil"/>
          <w:bar w:val="nil"/>
        </w:pBdr>
        <w:spacing w:before="0" w:after="240"/>
        <w:rPr>
          <w:noProof/>
        </w:rPr>
      </w:pPr>
      <w:r>
        <w:rPr>
          <w:noProof/>
        </w:rPr>
        <w:t xml:space="preserve">Le Conseil a adopté en date du 7 juillet 2020 un mandat autorisant la Commission européenne à ouvrir des négociations en vue d’un nouveau protocole à l’accord de partenariat dans le domaine de la pêche durable entre l’Union européenne et le gouvernement des Îles Cook et d'une possible prorogation de l'actuel protocole à cet accord, qui arrive à expiration le 13 octobre 2020. </w:t>
      </w:r>
    </w:p>
    <w:p>
      <w:pPr>
        <w:pBdr>
          <w:top w:val="nil"/>
          <w:left w:val="nil"/>
          <w:bottom w:val="nil"/>
          <w:right w:val="nil"/>
          <w:between w:val="nil"/>
          <w:bar w:val="nil"/>
        </w:pBdr>
        <w:spacing w:before="0" w:after="240"/>
        <w:rPr>
          <w:noProof/>
        </w:rPr>
      </w:pPr>
      <w:r>
        <w:rPr>
          <w:noProof/>
        </w:rPr>
        <w:t xml:space="preserve">Ledit mandat stipule qu’au cas où les négociations relatives à un nouveau protocole à l’accord de partenariat dans le domaine de la pêche durable entre l’Union européenne et le gouvernement des Îles Cook prendraient plus de temps que prévu, la Commission devrait chercher, en vue d’éviter une interruption significative des activités de pêche, à convenir avec le gouvernement des Îles Cook d’une prorogation du protocole actuel pour une période limitée dont la durée ne devrait pas, si possible, dépasser un an, tout en continuant à œuvrer pour parvenir à un accord sur un nouveau protocole conforme aux objectifs définis dans le mandat. </w:t>
      </w:r>
    </w:p>
    <w:p>
      <w:pPr>
        <w:pBdr>
          <w:top w:val="nil"/>
          <w:left w:val="nil"/>
          <w:bottom w:val="nil"/>
          <w:right w:val="nil"/>
          <w:between w:val="nil"/>
          <w:bar w:val="nil"/>
        </w:pBdr>
        <w:spacing w:before="0" w:after="240"/>
        <w:rPr>
          <w:noProof/>
        </w:rPr>
      </w:pPr>
      <w:r>
        <w:rPr>
          <w:noProof/>
        </w:rPr>
        <w:t>Lors du premier cycle de négociation (16 juillet 2020), les négociateurs de l’Union et des Îles Cook ont convenu que, s'agissant d'une négociation complexe, plusieurs cycles seront nécessaires pour finaliser les négociations. Par conséquent, les deux parties se sont mises d’accord sur une prorogation du protocole actuel pour une période maximale d’un an, conformément au mandat du Conseil. Cette prorogation a été établie par un accord sous forme d'échange de lettres, paraphé le 29 juillet 2020 à Bruxelles et à Rarotonga (Îles Cook).</w:t>
      </w:r>
    </w:p>
    <w:p>
      <w:pPr>
        <w:pBdr>
          <w:top w:val="nil"/>
          <w:left w:val="nil"/>
          <w:bottom w:val="nil"/>
          <w:right w:val="nil"/>
          <w:between w:val="nil"/>
          <w:bar w:val="nil"/>
        </w:pBdr>
        <w:spacing w:before="0" w:after="240"/>
        <w:rPr>
          <w:noProof/>
        </w:rPr>
      </w:pPr>
      <w:r>
        <w:rPr>
          <w:noProof/>
        </w:rPr>
        <w:t xml:space="preserve">Afin d'éviter l'interruption des activités de pêche pour la flotte européenne opérant dans les eaux des Îles Cook, il est nécessaire que la décision du Conseil approuvant cet accord sous forme d'échange de lettres soit adoptée en temps utile pour en permettre la signature par les deux parties avant le 13 octobre 2020, date d’expiration du protocole actuel. </w:t>
      </w:r>
    </w:p>
    <w:p>
      <w:pPr>
        <w:pBdr>
          <w:top w:val="nil"/>
          <w:left w:val="nil"/>
          <w:bottom w:val="nil"/>
          <w:right w:val="nil"/>
          <w:between w:val="nil"/>
          <w:bar w:val="nil"/>
        </w:pBdr>
        <w:spacing w:before="0" w:after="240"/>
        <w:rPr>
          <w:noProof/>
        </w:rPr>
      </w:pPr>
      <w:r>
        <w:rPr>
          <w:noProof/>
        </w:rPr>
        <w:t>La présente proposition vise à autoriser la conclusion du protocole.</w:t>
      </w:r>
    </w:p>
    <w:p>
      <w:pPr>
        <w:pBdr>
          <w:top w:val="nil"/>
          <w:left w:val="nil"/>
          <w:bottom w:val="nil"/>
          <w:right w:val="nil"/>
          <w:between w:val="nil"/>
          <w:bar w:val="nil"/>
        </w:pBdr>
        <w:spacing w:before="0" w:after="240"/>
        <w:rPr>
          <w:noProof/>
        </w:rPr>
      </w:pPr>
      <w:r>
        <w:rPr>
          <w:noProof/>
        </w:rPr>
        <w:t>Pour rappel, le protocole vise à octroyer des possibilités de pêche aux navires de l’Union européenne dans les eaux des Îles Cook, dans le respect des avis scientifiques et des recommandations de la Commission des pêches pour le Pacifique occidental et central (WCPFC), dans les limites du reliquat disponible. Il vise également à renforcer la coopération entre l'Union européenne et le gouvernement des Îles Cook en faveur de l'instauration d'un cadre de partenariat pour le développement d'une politique de pêche durable et l'exploitation responsable des ressources halieutiques dans la zone de pêche des Îles Cook, dans l'intérêt des deux parties.</w:t>
      </w:r>
    </w:p>
    <w:p>
      <w:pPr>
        <w:spacing w:before="100" w:beforeAutospacing="1" w:after="100" w:afterAutospacing="1"/>
        <w:rPr>
          <w:rFonts w:eastAsia="Times New Roman"/>
          <w:noProof/>
          <w:color w:val="000000"/>
          <w:szCs w:val="24"/>
        </w:rPr>
      </w:pPr>
      <w:r>
        <w:rPr>
          <w:noProof/>
          <w:color w:val="000000"/>
          <w:szCs w:val="24"/>
        </w:rPr>
        <w:t xml:space="preserve">Le protocole actuel à l’accord entre l’Union européenne et les Îles Cook permet à la flotte de l’Union de pêcher les thonidés dans les eaux des Îles Cook, jusqu’à un niveau indicatif des possibilités de pêche annuelles fixé à 7 000 tonnes. </w:t>
      </w:r>
    </w:p>
    <w:p>
      <w:pPr>
        <w:pStyle w:val="ManualHeading2"/>
        <w:rPr>
          <w:rFonts w:eastAsia="Arial Unicode MS"/>
          <w:noProof/>
          <w:color w:val="000000"/>
          <w:u w:color="000000"/>
          <w:bdr w:val="nil"/>
        </w:rPr>
      </w:pPr>
      <w:r>
        <w:rPr>
          <w:noProof/>
          <w:u w:color="000000"/>
          <w:bdr w:val="nil"/>
        </w:rPr>
        <w:t>•</w:t>
      </w:r>
      <w:r>
        <w:rPr>
          <w:noProof/>
        </w:rPr>
        <w:tab/>
      </w:r>
      <w:r>
        <w:rPr>
          <w:noProof/>
          <w:u w:color="000000"/>
          <w:bdr w:val="nil"/>
        </w:rPr>
        <w:t>Cohérence avec les dispositions existantes dans le domaine d’action</w:t>
      </w:r>
    </w:p>
    <w:p>
      <w:pPr>
        <w:spacing w:before="0" w:after="240"/>
        <w:rPr>
          <w:noProof/>
        </w:rPr>
      </w:pPr>
      <w:r>
        <w:rPr>
          <w:noProof/>
        </w:rPr>
        <w:t xml:space="preserve">En accord avec les priorités de la réforme de la politique de la pêche, le protocole offre des possibilités de pêche pour les navires de l'Union dans les eaux des Îles Cook, sur la base des meilleurs avis scientifiques disponibles et dans le respect des recommandations de la WCPFC. Le protocole permet également à l’Union européenne et aux Îles Cook de collaborer plus </w:t>
      </w:r>
      <w:r>
        <w:rPr>
          <w:noProof/>
        </w:rPr>
        <w:lastRenderedPageBreak/>
        <w:t xml:space="preserve">étroitement afin de promouvoir l’exploitation responsable des ressources halieutiques dans les eaux des Îles Cook et de soutenir les efforts du gouvernement des Îles Cook visant à développer le secteur de la pêche, dans l’intérêt des deux parties. </w:t>
      </w:r>
    </w:p>
    <w:p>
      <w:pPr>
        <w:pStyle w:val="ManualHeading2"/>
        <w:rPr>
          <w:rFonts w:eastAsia="Arial Unicode MS"/>
          <w:noProof/>
        </w:rPr>
      </w:pPr>
      <w:r>
        <w:rPr>
          <w:noProof/>
          <w:u w:color="000000"/>
          <w:bdr w:val="nil"/>
        </w:rPr>
        <w:t>•</w:t>
      </w:r>
      <w:r>
        <w:rPr>
          <w:noProof/>
        </w:rPr>
        <w:tab/>
      </w:r>
      <w:r>
        <w:rPr>
          <w:noProof/>
          <w:u w:color="000000"/>
          <w:bdr w:val="nil"/>
        </w:rPr>
        <w:t>Cohérence avec les autres politiques de l’Union</w:t>
      </w:r>
    </w:p>
    <w:p>
      <w:pPr>
        <w:pBdr>
          <w:top w:val="nil"/>
          <w:left w:val="nil"/>
          <w:bottom w:val="nil"/>
          <w:right w:val="nil"/>
          <w:between w:val="nil"/>
          <w:bar w:val="nil"/>
        </w:pBdr>
        <w:spacing w:before="0" w:after="240"/>
        <w:rPr>
          <w:noProof/>
        </w:rPr>
      </w:pPr>
      <w:r>
        <w:rPr>
          <w:noProof/>
        </w:rPr>
        <w:t xml:space="preserve">La négociation d'un nouveau protocole de mise en œuvre de l’accord de partenariat dans le domaine de la pêche durable – dont fait partie la présente proposition de prorogation – s'inscrit dans le cadre de l'action extérieure de l'UE envers les pays ACP, et tient compte, en particulier, des objectifs de l'Union en matière de respect des principes démocratiques et des droits de l'homme.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choisie est le traité sur le fonctionnement de l'Union européenne, dont l'article 43, paragraphe 2, établit la politique commune de la pêche et l'article 218, paragraphe 6, point a), établit la procédure de conclusion d'accords entre l'Union et les pays tiers.</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proportionnée à l'objectif d'établir un cadre de gouvernance juridique, environnementale, économique et sociale pour les activités de pêche menées par les navires de l'Union dans les eaux de pays tiers, conformément à l'article 31 du règlement établissant la politique commune de la pêche. Elle est conforme à ces dispositions ainsi qu’à celles relatives à l’aide financière aux pays tiers prévues à l’article 32 de ce même règlement.</w:t>
      </w:r>
    </w:p>
    <w:p>
      <w:pPr>
        <w:pBdr>
          <w:top w:val="nil"/>
          <w:left w:val="nil"/>
          <w:bottom w:val="nil"/>
          <w:right w:val="nil"/>
          <w:between w:val="nil"/>
          <w:bar w:val="nil"/>
        </w:pBdr>
        <w:spacing w:before="0" w:after="240"/>
        <w:rPr>
          <w:rFonts w:eastAsia="Arial Unicode MS"/>
          <w:noProof/>
        </w:rPr>
      </w:pPr>
      <w:r>
        <w:rPr>
          <w:noProof/>
        </w:rPr>
        <w:t>La prorogation d’un an du cadre établi par le protocole expirant le 13 octobre 2020 joue un rôle dans le processus de négociation visant à assurer la continuité des activités de pêche de la flotte européenne opérant dans les eaux des Îles Cook.</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Les parties intéressées ont été consultées dans le cadre de l'évaluation du protocole couvrant la période 2016-2020. Les experts des États membres ont aussi été consultés lors de réunions techniques. Ces consultations ont conclu à l'intérêt de reconduire le protocole avec les Îles Cook. La présente proposition de prorogation du protocole est une étape du processus de négociation en vue de cette reconduction. </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des Îles Cook ont été consultés dans le cadre de l'évaluation. Des consultations ont également eu lieu dans le cadre du Conseil consultatif pour la pêche lointaine.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Obtention et utilisation d’expertise</w:t>
      </w:r>
    </w:p>
    <w:p>
      <w:pPr>
        <w:spacing w:before="0" w:after="240"/>
        <w:rPr>
          <w:noProof/>
        </w:rPr>
      </w:pPr>
      <w:r>
        <w:rPr>
          <w:noProof/>
        </w:rPr>
        <w:t xml:space="preserve">La Commission a fait appel à un consultant indépendant pour les évaluations ex post et ex ante réalisées conformément aux dispositions de l'article 31, paragraphe 10, du règlement établissant la politique commune de la pêche. </w:t>
      </w:r>
    </w:p>
    <w:p>
      <w:pPr>
        <w:pStyle w:val="ManualHeading1"/>
        <w:rPr>
          <w:noProof/>
        </w:rPr>
      </w:pPr>
      <w:r>
        <w:rPr>
          <w:noProof/>
        </w:rPr>
        <w:t>4.</w:t>
      </w:r>
      <w:r>
        <w:rPr>
          <w:noProof/>
        </w:rPr>
        <w:tab/>
        <w:t>INCIDENCE BUDGÉTAIRE</w:t>
      </w:r>
    </w:p>
    <w:p>
      <w:pPr>
        <w:rPr>
          <w:noProof/>
        </w:rPr>
      </w:pPr>
      <w:r>
        <w:rPr>
          <w:noProof/>
        </w:rPr>
        <w:t>La contrepartie financière annuelle de l’Union européenne s’élève à 700 000 EUR, sur la base:</w:t>
      </w:r>
    </w:p>
    <w:p>
      <w:pPr>
        <w:pStyle w:val="Point0"/>
        <w:rPr>
          <w:noProof/>
        </w:rPr>
      </w:pPr>
      <w:r>
        <w:t>(a)</w:t>
      </w:r>
      <w:r>
        <w:tab/>
      </w:r>
      <w:r>
        <w:rPr>
          <w:noProof/>
        </w:rPr>
        <w:t>d’un montant annuel pour l’accès aux ressources halieutiques, pour les catégories prévues dans le protocole, fixé à 350 000 EUR pour la durée de la prorogation du protocole.</w:t>
      </w:r>
    </w:p>
    <w:p>
      <w:pPr>
        <w:pStyle w:val="Point0"/>
        <w:rPr>
          <w:noProof/>
        </w:rPr>
      </w:pPr>
      <w:r>
        <w:t>(b)</w:t>
      </w:r>
      <w:r>
        <w:tab/>
      </w:r>
      <w:r>
        <w:rPr>
          <w:noProof/>
        </w:rPr>
        <w:t>d’un appui au développement de la politique sectorielle de la pêche des Îles Cook pour un montant annuel de 350 000 EUR pour la durée de la prorogation du protocole. Cet appui répond aux objectifs de la politique nationale des Îles Cook en matière de gestion durable des ressources halieutiques pour toute la durée du protocole.</w:t>
      </w:r>
    </w:p>
    <w:p>
      <w:pPr>
        <w:rPr>
          <w:noProof/>
        </w:rPr>
      </w:pPr>
      <w:r>
        <w:rPr>
          <w:noProof/>
        </w:rPr>
        <w:t>Le montant annuel pour les crédits d'engagement et de paiement est établi lors de la procédure budgétaire annuelle, y compris pour la ligne de la réserve pour les protocoles n'étant pas encore entrés en vigueur au début de l'année.</w:t>
      </w:r>
    </w:p>
    <w:p>
      <w:pPr>
        <w:rPr>
          <w:noProof/>
        </w:rPr>
      </w:pPr>
      <w:r>
        <w:rPr>
          <w:noProof/>
        </w:rPr>
        <w:t>L’échange de lettres concernant la prorogation établit également une clause de réduction au prorata dans le cas où les négociations en vue de la reconduction du protocole aboutiraient à la signature de celui-ci et à son entrée en vigueur avant l’expiration de la prorogation annuelle faisant l’objet de l’échange de lettres.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Les modalités de suivi sont prévues dans le protocole dont la prorogation fait l’objet de l’échange de lettres.  </w:t>
      </w:r>
    </w:p>
    <w:p>
      <w:pPr>
        <w:rPr>
          <w:noProof/>
        </w:rPr>
        <w:sectPr>
          <w:footerReference w:type="default" r:id="rId11"/>
          <w:footerReference w:type="first" r:id="rId12"/>
          <w:pgSz w:w="11907" w:h="16839"/>
          <w:pgMar w:top="1134" w:right="1417" w:bottom="1134" w:left="1417" w:header="709" w:footer="709" w:gutter="0"/>
          <w:pgNumType w:start="0"/>
          <w:cols w:space="720"/>
          <w:docGrid w:linePitch="360"/>
        </w:sectPr>
      </w:pPr>
    </w:p>
    <w:p>
      <w:pPr>
        <w:pStyle w:val="Rfrenceinterinstitutionnelle"/>
        <w:rPr>
          <w:noProof/>
        </w:rPr>
      </w:pPr>
      <w:r>
        <w:rPr>
          <w:noProof/>
        </w:rPr>
        <w:lastRenderedPageBreak/>
        <w:t>2020/0275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le gouvernement des Îles Cook concernant la prorogation du protocole de mise en œuvre de l’accord de partenariat dans le domaine de la pêche durable entre l’Union européenne et le gouvernement des Îles Cook</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43, paragraphe 2, en liaison avec l'article 218, paragraphe 6, point a), </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2020/ … /UE du Conseil</w:t>
      </w:r>
      <w:r>
        <w:rPr>
          <w:rStyle w:val="FootnoteReference"/>
          <w:noProof/>
        </w:rPr>
        <w:footnoteReference w:id="1"/>
      </w:r>
      <w:r>
        <w:rPr>
          <w:noProof/>
        </w:rPr>
        <w:t>[</w:t>
      </w:r>
      <w:r>
        <w:rPr>
          <w:i/>
          <w:noProof/>
        </w:rPr>
        <w:t>insérer la référence</w:t>
      </w:r>
      <w:r>
        <w:rPr>
          <w:noProof/>
        </w:rPr>
        <w:t>], l’accord sous forme d'échange de lettres concernant la prorogation du protocole de mise en œuvre de l’accord de partenariat dans le domaine de la pêche durable entre l’Union européenne et le gouvernement des Îles Cook, qui arrive à expiration le 13 octobre 2020 (ci-après, l’«accord sous forme d’échange de lettres») a été signé le [</w:t>
      </w:r>
      <w:r>
        <w:rPr>
          <w:i/>
          <w:noProof/>
        </w:rPr>
        <w:t>insérer la date</w:t>
      </w:r>
      <w:r>
        <w:rPr>
          <w:noProof/>
        </w:rPr>
        <w:t>], sous réserve de sa conclusion à une date ultérieure.</w:t>
      </w:r>
    </w:p>
    <w:p>
      <w:pPr>
        <w:pStyle w:val="ManualConsidrant"/>
        <w:rPr>
          <w:noProof/>
        </w:rPr>
      </w:pPr>
      <w:r>
        <w:t>(2)</w:t>
      </w:r>
      <w:r>
        <w:tab/>
      </w:r>
      <w:r>
        <w:rPr>
          <w:noProof/>
        </w:rPr>
        <w:t>L'objectif de l’accord sous forme d’échange de lettres est de permettre à l'Union européenne et au gouvernement des Îles Cook de continuer à collaborer afin de promouvoir une politique de pêche durable et l'exploitation responsable des ressources halieutiques dans les eaux des Îles Cook, ainsi que de permettre aux navires de l’Union d’exercer leurs activités de pêche dans ces eaux.</w:t>
      </w:r>
    </w:p>
    <w:p>
      <w:pPr>
        <w:pStyle w:val="ManualConsidrant"/>
        <w:rPr>
          <w:noProof/>
        </w:rPr>
      </w:pPr>
      <w:r>
        <w:t>(3)</w:t>
      </w:r>
      <w:r>
        <w:tab/>
      </w:r>
      <w:r>
        <w:rPr>
          <w:noProof/>
        </w:rPr>
        <w:t xml:space="preserve">Il convient d’approuver l’accord sous forme d’échange de lettres au nom de l'Union européenne, </w:t>
      </w:r>
    </w:p>
    <w:p>
      <w:pPr>
        <w:ind w:left="709" w:hanging="709"/>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L’accord sous forme d’échange de lettres entre l’Union européenne et le gouvernement des Îles Cook concernant la prorogation du protocole de mise en œuvre de l’accord de partenariat dans le domaine de la pêche durable entre l’Union européenne et le gouvernement des Îles Cook, qui arrivera à expiration le 13 octobre 2020, est approuvé au nom de l’Union. </w:t>
      </w:r>
    </w:p>
    <w:p>
      <w:pPr>
        <w:rPr>
          <w:noProof/>
        </w:rPr>
      </w:pPr>
      <w:r>
        <w:rPr>
          <w:noProof/>
        </w:rPr>
        <w:t>Le texte de l'accord sous forme d'échange de lettres est annexé à la présente décision.</w:t>
      </w:r>
    </w:p>
    <w:p>
      <w:pPr>
        <w:pStyle w:val="Titrearticle"/>
        <w:rPr>
          <w:noProof/>
        </w:rPr>
      </w:pPr>
      <w:r>
        <w:rPr>
          <w:noProof/>
        </w:rPr>
        <w:lastRenderedPageBreak/>
        <w:t>Article 2</w:t>
      </w:r>
    </w:p>
    <w:p>
      <w:pPr>
        <w:rPr>
          <w:noProof/>
        </w:rPr>
      </w:pPr>
      <w:r>
        <w:rPr>
          <w:noProof/>
        </w:rPr>
        <w:t xml:space="preserve">Le président du Conseil désigne la personne habilitée à procéder, au nom de l'Union européenne, à la notification prévue au point 6 de l’accord sous forme d’échange de lettres, à l’effet d’exprimer le consentement de l’Union européenne à être liée par l’accord sous forme d’échange de lettres. </w:t>
      </w:r>
    </w:p>
    <w:p>
      <w:pPr>
        <w:pStyle w:val="Titrearticle"/>
        <w:rPr>
          <w:noProof/>
        </w:rPr>
      </w:pPr>
      <w:r>
        <w:rPr>
          <w:noProof/>
        </w:rPr>
        <w:t>Article 3</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br w:type="page"/>
      </w:r>
    </w:p>
    <w:p>
      <w:pPr>
        <w:rPr>
          <w:noProof/>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rPr>
        <w:lastRenderedPageBreak/>
        <w:t>FICHE FINANCIÈRE LÉGISLATIVE</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outlineLvl w:val="1"/>
        <w:rPr>
          <w:b/>
          <w:noProof/>
        </w:rPr>
      </w:pPr>
      <w:r>
        <w:rPr>
          <w:b/>
          <w:noProof/>
        </w:rPr>
        <w:t>1.1.</w:t>
      </w:r>
      <w:r>
        <w:rPr>
          <w:noProof/>
        </w:rPr>
        <w:tab/>
      </w:r>
      <w:r>
        <w:rPr>
          <w:b/>
          <w:noProof/>
        </w:rPr>
        <w:t>Dénomination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Proposition de décision du Conseil relative à la conclusion de l'accord sous forme d'échange de lettres concernant la prorogation du protocole de mise en œuvre de l’accord de partenariat dans le domaine de la pêche durable entre l’Union européenne et le gouvernement des Îles Cook, qui arrive à expiration le 13 octobre 2020.</w:t>
      </w:r>
    </w:p>
    <w:p>
      <w:pPr>
        <w:keepNext/>
        <w:tabs>
          <w:tab w:val="left" w:pos="850"/>
        </w:tabs>
        <w:outlineLvl w:val="1"/>
        <w:rPr>
          <w:noProof/>
        </w:rPr>
      </w:pPr>
      <w:r>
        <w:rPr>
          <w:b/>
          <w:noProof/>
        </w:rPr>
        <w:t>1.2.</w:t>
      </w:r>
      <w:r>
        <w:rPr>
          <w:noProof/>
        </w:rPr>
        <w:tab/>
      </w:r>
      <w:r>
        <w:rPr>
          <w:b/>
          <w:noProof/>
        </w:rPr>
        <w:t xml:space="preserve">Domaine(s) politique(s) concerné(s) </w:t>
      </w:r>
    </w:p>
    <w:p>
      <w:pPr>
        <w:pBdr>
          <w:top w:val="single" w:sz="4" w:space="1" w:color="auto"/>
          <w:left w:val="single" w:sz="4" w:space="4" w:color="auto"/>
          <w:bottom w:val="single" w:sz="4" w:space="1" w:color="auto"/>
          <w:right w:val="single" w:sz="4" w:space="4" w:color="auto"/>
        </w:pBdr>
        <w:ind w:left="850"/>
        <w:rPr>
          <w:noProof/>
        </w:rPr>
      </w:pPr>
      <w:r>
        <w:rPr>
          <w:noProof/>
        </w:rPr>
        <w:t>11 – Affaires maritimes et pêche</w:t>
      </w:r>
    </w:p>
    <w:p>
      <w:pPr>
        <w:pBdr>
          <w:top w:val="single" w:sz="4" w:space="1" w:color="auto"/>
          <w:left w:val="single" w:sz="4" w:space="4" w:color="auto"/>
          <w:bottom w:val="single" w:sz="4" w:space="1" w:color="auto"/>
          <w:right w:val="single" w:sz="4" w:space="4" w:color="auto"/>
        </w:pBdr>
        <w:ind w:left="850"/>
        <w:rPr>
          <w:noProof/>
        </w:rPr>
      </w:pPr>
      <w:r>
        <w:rPr>
          <w:noProof/>
        </w:rPr>
        <w:t>11.03 – Contributions obligatoires aux organisations régionales de gestion des pêches (ORGP) et autres organisations internationales et accords de pêche durable (APD)</w:t>
      </w:r>
    </w:p>
    <w:p>
      <w:pPr>
        <w:pBdr>
          <w:top w:val="single" w:sz="4" w:space="1" w:color="auto"/>
          <w:left w:val="single" w:sz="4" w:space="4" w:color="auto"/>
          <w:bottom w:val="single" w:sz="4" w:space="1" w:color="auto"/>
          <w:right w:val="single" w:sz="4" w:space="4" w:color="auto"/>
        </w:pBdr>
        <w:ind w:left="850"/>
        <w:rPr>
          <w:noProof/>
        </w:rPr>
      </w:pPr>
      <w:r>
        <w:rPr>
          <w:noProof/>
        </w:rPr>
        <w:t>11.03.01 – Établir un cadre de gouvernance pour les activités de pêche menées par les navires de pêche de l’Union dans les eaux des pays tiers.</w:t>
      </w:r>
    </w:p>
    <w:p>
      <w:pPr>
        <w:keepNext/>
        <w:tabs>
          <w:tab w:val="left" w:pos="850"/>
        </w:tabs>
        <w:outlineLvl w:val="1"/>
        <w:rPr>
          <w:b/>
          <w:bCs/>
          <w:noProof/>
          <w:szCs w:val="24"/>
        </w:rPr>
      </w:pPr>
      <w:r>
        <w:rPr>
          <w:b/>
          <w:noProof/>
        </w:rPr>
        <w:t>1.3.</w:t>
      </w:r>
      <w:r>
        <w:rPr>
          <w:noProof/>
        </w:rPr>
        <w:tab/>
      </w:r>
      <w:r>
        <w:rPr>
          <w:b/>
          <w:noProof/>
        </w:rPr>
        <w:t xml:space="preserve">La proposition/l’initiative porte sur: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2"/>
      </w:r>
      <w:r>
        <w:rPr>
          <w:noProof/>
          <w:sz w:val="22"/>
        </w:rPr>
        <w:t xml:space="preserve"> </w:t>
      </w:r>
    </w:p>
    <w:p>
      <w:pPr>
        <w:ind w:left="850"/>
        <w:rPr>
          <w:noProof/>
          <w:sz w:val="22"/>
        </w:rPr>
      </w:pPr>
      <w:r>
        <w:rPr>
          <w:b/>
          <w:noProof/>
        </w:rPr>
        <w:t>X 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keepNext/>
        <w:tabs>
          <w:tab w:val="left" w:pos="850"/>
        </w:tabs>
        <w:outlineLvl w:val="1"/>
        <w:rPr>
          <w:b/>
          <w:bCs/>
          <w:noProof/>
          <w:szCs w:val="24"/>
        </w:rPr>
      </w:pPr>
      <w:r>
        <w:rPr>
          <w:b/>
          <w:noProof/>
        </w:rPr>
        <w:t>1.4.</w:t>
      </w:r>
      <w:r>
        <w:rPr>
          <w:noProof/>
        </w:rPr>
        <w:tab/>
      </w:r>
      <w:r>
        <w:rPr>
          <w:b/>
          <w:noProof/>
        </w:rPr>
        <w:t>Objectif(s)</w:t>
      </w:r>
    </w:p>
    <w:p>
      <w:pPr>
        <w:keepNext/>
        <w:tabs>
          <w:tab w:val="left" w:pos="850"/>
        </w:tabs>
        <w:outlineLvl w:val="2"/>
        <w:rPr>
          <w:i/>
          <w:noProof/>
        </w:rPr>
      </w:pPr>
      <w:r>
        <w:rPr>
          <w:i/>
          <w:noProof/>
        </w:rPr>
        <w:t>1.4.1.</w:t>
      </w:r>
      <w:r>
        <w:rPr>
          <w:noProof/>
        </w:rPr>
        <w:tab/>
      </w:r>
      <w:r>
        <w:rPr>
          <w:i/>
          <w:noProof/>
        </w:rPr>
        <w:t>Objectif général / objectifs généraux</w:t>
      </w:r>
    </w:p>
    <w:p>
      <w:pPr>
        <w:pBdr>
          <w:top w:val="single" w:sz="4" w:space="1" w:color="auto"/>
          <w:left w:val="single" w:sz="4" w:space="4" w:color="auto"/>
          <w:bottom w:val="single" w:sz="4" w:space="1" w:color="auto"/>
          <w:right w:val="single" w:sz="4" w:space="4" w:color="auto"/>
        </w:pBdr>
        <w:ind w:left="850"/>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Bdr>
          <w:top w:val="single" w:sz="4" w:space="1" w:color="auto"/>
          <w:left w:val="single" w:sz="4" w:space="4" w:color="auto"/>
          <w:bottom w:val="single" w:sz="4" w:space="1" w:color="auto"/>
          <w:right w:val="single" w:sz="4" w:space="4" w:color="auto"/>
        </w:pBdr>
        <w:ind w:left="850"/>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keepNext/>
        <w:tabs>
          <w:tab w:val="left" w:pos="850"/>
        </w:tabs>
        <w:outlineLvl w:val="2"/>
        <w:rPr>
          <w:bCs/>
          <w:i/>
          <w:noProof/>
          <w:szCs w:val="24"/>
        </w:rPr>
      </w:pPr>
      <w:r>
        <w:rPr>
          <w:i/>
          <w:noProof/>
        </w:rPr>
        <w:t>1.4.2.</w:t>
      </w:r>
      <w:r>
        <w:rPr>
          <w:noProof/>
        </w:rPr>
        <w:tab/>
      </w:r>
      <w:r>
        <w:rPr>
          <w:i/>
          <w:noProof/>
        </w:rPr>
        <w:t>Objectif(s) spécifique(s)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w:t>
      </w:r>
    </w:p>
    <w:p>
      <w:pPr>
        <w:pBdr>
          <w:top w:val="single" w:sz="4" w:space="1" w:color="auto"/>
          <w:left w:val="single" w:sz="4" w:space="4" w:color="auto"/>
          <w:bottom w:val="single" w:sz="4" w:space="1" w:color="auto"/>
          <w:right w:val="single" w:sz="4" w:space="4" w:color="auto"/>
        </w:pBdr>
        <w:ind w:left="850"/>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les autres politiques européennes.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Affaires maritimes et pêche, Établir un cadre de gouvernance pour les activités de pêche menées par les navires de pêche de l’Union européenne dans les eaux des pays tiers (APD) (ligne budgétaire 11.03.01).</w:t>
      </w:r>
    </w:p>
    <w:p>
      <w:pPr>
        <w:keepNext/>
        <w:tabs>
          <w:tab w:val="left" w:pos="850"/>
        </w:tabs>
        <w:outlineLvl w:val="2"/>
        <w:rPr>
          <w:i/>
          <w:noProof/>
        </w:rPr>
      </w:pPr>
      <w:r>
        <w:rPr>
          <w:i/>
          <w:noProof/>
        </w:rPr>
        <w:t>1.4.3.</w:t>
      </w:r>
      <w:r>
        <w:rPr>
          <w:noProof/>
        </w:rPr>
        <w:tab/>
      </w:r>
      <w:r>
        <w:rPr>
          <w:i/>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prorogation du protocole à l’APPD existant permettra d’éviter l’interruption de l’activité de pêche des navires européens à l’expiration du protocole, le 13 octobre 2020. Elle s’appliquera pendant une période maximale d’un an, dans l’attente de la finalisation des négociations en vue de la reconduction du protocole.</w:t>
      </w:r>
    </w:p>
    <w:p>
      <w:pPr>
        <w:pBdr>
          <w:top w:val="single" w:sz="4" w:space="1" w:color="auto"/>
          <w:left w:val="single" w:sz="4" w:space="4" w:color="auto"/>
          <w:bottom w:val="single" w:sz="4" w:space="1" w:color="auto"/>
          <w:right w:val="single" w:sz="4" w:space="4" w:color="auto"/>
        </w:pBdr>
        <w:ind w:left="850"/>
        <w:rPr>
          <w:noProof/>
        </w:rPr>
      </w:pPr>
      <w:r>
        <w:rPr>
          <w:noProof/>
        </w:rPr>
        <w:t>Le protocole permet d’établir un cadre de partenariat stratégique dans le domaine de la pêche entre l’Union européenne et le gouvernement des Îles Cook. Le protocole contribuera également à la meilleure gestion et conservation des ressources halieutiques, grâce au soutien financier (appui sectoriel) à la mise en œuvre des programmes adoptés au niveau national par le pays partenaire, notamment en matière de suivi et de lutte contre la pêche illicite et d’appui au secteur de la pêche artisanale.</w:t>
      </w:r>
    </w:p>
    <w:p>
      <w:pPr>
        <w:keepNext/>
        <w:tabs>
          <w:tab w:val="left" w:pos="850"/>
        </w:tabs>
        <w:outlineLvl w:val="2"/>
        <w:rPr>
          <w:i/>
          <w:noProof/>
          <w:szCs w:val="24"/>
        </w:rPr>
      </w:pPr>
      <w:r>
        <w:rPr>
          <w:i/>
          <w:noProof/>
        </w:rPr>
        <w:t>1.4.4.</w:t>
      </w:r>
      <w:r>
        <w:rPr>
          <w:noProof/>
        </w:rPr>
        <w:tab/>
      </w:r>
      <w:r>
        <w:rPr>
          <w:i/>
          <w:noProof/>
        </w:rPr>
        <w:t>Indicateurs de performance</w:t>
      </w:r>
    </w:p>
    <w:p>
      <w:pPr>
        <w:ind w:left="850"/>
        <w:rPr>
          <w:i/>
          <w:noProof/>
          <w:sz w:val="20"/>
        </w:rPr>
      </w:pPr>
      <w:r>
        <w:rPr>
          <w:i/>
          <w:noProof/>
          <w:sz w:val="20"/>
        </w:rPr>
        <w:t>Préciser les indicateurs permettant de suivre l’avancement et les réalisations.</w:t>
      </w:r>
    </w:p>
    <w:p>
      <w:pPr>
        <w:pBdr>
          <w:top w:val="single" w:sz="4" w:space="1" w:color="auto"/>
          <w:left w:val="single" w:sz="4" w:space="4" w:color="auto"/>
          <w:bottom w:val="single" w:sz="4" w:space="1" w:color="auto"/>
          <w:right w:val="single" w:sz="4" w:space="4" w:color="auto"/>
        </w:pBdr>
        <w:ind w:left="850"/>
        <w:rPr>
          <w:noProof/>
        </w:rPr>
      </w:pPr>
      <w:r>
        <w:rPr>
          <w:noProof/>
        </w:rPr>
        <w:t>Taux d’utilisation des possibilités de pêche (pourcentage annuel des autorisations de pêche utilisées par rapport à la disponibilité offerte par le protocole).</w:t>
      </w:r>
    </w:p>
    <w:p>
      <w:pPr>
        <w:pBdr>
          <w:top w:val="single" w:sz="4" w:space="1" w:color="auto"/>
          <w:left w:val="single" w:sz="4" w:space="4" w:color="auto"/>
          <w:bottom w:val="single" w:sz="4" w:space="1" w:color="auto"/>
          <w:right w:val="single" w:sz="4" w:space="4" w:color="auto"/>
        </w:pBdr>
        <w:ind w:left="850"/>
        <w:rPr>
          <w:noProof/>
        </w:rPr>
      </w:pPr>
      <w:r>
        <w:rPr>
          <w:noProof/>
        </w:rPr>
        <w:t>Données relatives aux captures (collecte et analyse) et valeur commerciale de l’accord.</w:t>
      </w:r>
    </w:p>
    <w:p>
      <w:pPr>
        <w:pBdr>
          <w:top w:val="single" w:sz="4" w:space="1" w:color="auto"/>
          <w:left w:val="single" w:sz="4" w:space="4" w:color="auto"/>
          <w:bottom w:val="single" w:sz="4" w:space="1" w:color="auto"/>
          <w:right w:val="single" w:sz="4" w:space="4" w:color="auto"/>
        </w:pBdr>
        <w:ind w:left="850"/>
        <w:rPr>
          <w:noProof/>
        </w:rPr>
      </w:pPr>
      <w:r>
        <w:rPr>
          <w:noProof/>
        </w:rPr>
        <w:t>Contribution à l’emploi et à la valeur ajoutée dans l’Union ainsi qu'à la stabilisation du marché de l’Union (au niveau agrégé avec d’autres APPD).</w:t>
      </w:r>
    </w:p>
    <w:p>
      <w:pPr>
        <w:pBdr>
          <w:top w:val="single" w:sz="4" w:space="1" w:color="auto"/>
          <w:left w:val="single" w:sz="4" w:space="4" w:color="auto"/>
          <w:bottom w:val="single" w:sz="4" w:space="1" w:color="auto"/>
          <w:right w:val="single" w:sz="4" w:space="4" w:color="auto"/>
        </w:pBdr>
        <w:ind w:left="850"/>
        <w:rPr>
          <w:noProof/>
        </w:rPr>
      </w:pPr>
      <w:r>
        <w:rPr>
          <w:noProof/>
        </w:rPr>
        <w:t>Contribution à l’amélioration de la recherche, du suivi et du contrôle des activités de pêche par le pays partenaire et du développement de son secteur de la pêche, notamment artisanale.</w:t>
      </w:r>
    </w:p>
    <w:p>
      <w:pPr>
        <w:keepNext/>
        <w:outlineLvl w:val="1"/>
        <w:rPr>
          <w:b/>
          <w:bCs/>
          <w:noProof/>
          <w:szCs w:val="24"/>
        </w:rPr>
      </w:pPr>
      <w:r>
        <w:rPr>
          <w:b/>
          <w:noProof/>
        </w:rPr>
        <w:t>1.5.</w:t>
      </w:r>
      <w:r>
        <w:rPr>
          <w:noProof/>
        </w:rPr>
        <w:tab/>
      </w:r>
      <w:r>
        <w:rPr>
          <w:b/>
          <w:noProof/>
        </w:rPr>
        <w:t xml:space="preserve">Justification(s) de la proposition/de l’initiative </w:t>
      </w:r>
    </w:p>
    <w:p>
      <w:pPr>
        <w:keepNext/>
        <w:tabs>
          <w:tab w:val="left" w:pos="850"/>
        </w:tabs>
        <w:outlineLvl w:val="2"/>
        <w:rPr>
          <w:i/>
          <w:noProof/>
        </w:rPr>
      </w:pPr>
      <w:r>
        <w:rPr>
          <w:i/>
          <w:noProof/>
        </w:rPr>
        <w:t>1.5.1.</w:t>
      </w:r>
      <w:r>
        <w:rPr>
          <w:noProof/>
        </w:rPr>
        <w:tab/>
      </w:r>
      <w:r>
        <w:rPr>
          <w:i/>
          <w:noProof/>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noProof/>
        </w:rPr>
      </w:pPr>
      <w:r>
        <w:rPr>
          <w:noProof/>
        </w:rPr>
        <w:t>Il est prévu que l’échange de lettres prorogeant le protocole s’applique à titre provisoire à partir de la date de sa signature, à compter du 14 octobre 2020 ou de toute date ultérieure de signature, de manière à éviter l’interruption des opérations de pêche en cours dans le cadre du protocole actuel.</w:t>
      </w:r>
    </w:p>
    <w:p>
      <w:pPr>
        <w:keepNext/>
        <w:tabs>
          <w:tab w:val="left" w:pos="850"/>
        </w:tabs>
        <w:outlineLvl w:val="2"/>
        <w:rPr>
          <w:bCs/>
          <w:i/>
          <w:noProof/>
          <w:szCs w:val="24"/>
        </w:rPr>
      </w:pPr>
      <w:r>
        <w:rPr>
          <w:i/>
          <w:noProof/>
        </w:rPr>
        <w:t>1.5.2.</w:t>
      </w:r>
      <w:r>
        <w:rPr>
          <w:noProof/>
        </w:rPr>
        <w:tab/>
      </w:r>
      <w:r>
        <w:rPr>
          <w:i/>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noProof/>
        </w:rPr>
      </w:pPr>
      <w:r>
        <w:rPr>
          <w:noProof/>
        </w:rPr>
        <w:t>Si l’Union ne conclut pas de nouveau protocole, les navires de l’Union ne pourront plus exercer leurs activités de pêche étant donné que l’accord comporte une clause excluant les activités de pêche ne se déroulant pas dans le cadre défini par un protocole à l’accord. La valeur ajoutée est donc évidente pour la flotte de pêche lointaine de l’Union. Le protocole offre également un cadre pour une coopération renforcée entre l’Union et les Îles Cook.</w:t>
      </w:r>
    </w:p>
    <w:p>
      <w:pPr>
        <w:keepNext/>
        <w:tabs>
          <w:tab w:val="left" w:pos="850"/>
        </w:tabs>
        <w:outlineLvl w:val="2"/>
        <w:rPr>
          <w:i/>
          <w:noProof/>
        </w:rPr>
      </w:pPr>
      <w:r>
        <w:rPr>
          <w:noProof/>
        </w:rPr>
        <w:br w:type="page"/>
      </w:r>
      <w:r>
        <w:rPr>
          <w:i/>
          <w:noProof/>
        </w:rPr>
        <w:t>1.5.3.</w:t>
      </w:r>
      <w:r>
        <w:rPr>
          <w:noProof/>
        </w:rPr>
        <w:tab/>
      </w:r>
      <w:r>
        <w:rPr>
          <w:i/>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L’analyse des captures potentielles dans la zone de pêche des Îles Cook ainsi que des évaluations et avis scientifiques disponibles a conduit les Parties à fixer le tonnage de référence pour les thonidés et espèces apparentées à 7 000 tonnes par an, avec des possibilités de pêche pour 4 thoniers à senne coulissante. L’appui sectoriel tient compte des besoins en termes de renforcement des capacités de l’administration des pêches des Îles Cook et des priorités de la stratégie nationale en matière de pêche, notamment la recherche scientifique et les initiatives en matière de contrôle et de suivi des activités de pêche.</w:t>
      </w:r>
    </w:p>
    <w:p>
      <w:pPr>
        <w:keepNext/>
        <w:tabs>
          <w:tab w:val="left" w:pos="850"/>
        </w:tabs>
        <w:outlineLvl w:val="2"/>
        <w:rPr>
          <w:i/>
          <w:noProof/>
        </w:rPr>
      </w:pPr>
      <w:r>
        <w:rPr>
          <w:i/>
          <w:noProof/>
        </w:rPr>
        <w:t>1.5.4.</w:t>
      </w:r>
      <w:r>
        <w:rPr>
          <w:noProof/>
        </w:rPr>
        <w:tab/>
      </w:r>
      <w:r>
        <w:rPr>
          <w:i/>
          <w:noProof/>
        </w:rPr>
        <w:t>Compatibilité avec le cadre financier pluriannuel et synergies éventuelles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Les fonds alloués au titre de la compensation financière pour l’accès dans le cadre de l’APPD constituent des recettes fongibles dans le budget national des Îles Cook. Toutefois, les fonds dédiés à l’appui sectoriel sont affectés (généralement par inscription dans la loi annuelle de finances) au ministère compétent pour la pêche, cela étant une condition pour la conclusion et le suivi des APPD. Ces ressources financières sont compatibles avec d’autres sources de financement issues d’autres bailleurs de fonds internationaux pour la réalisation de projets et/ou de programmes à mettre en œuvre au niveau national dans le secteur de la pêche.</w:t>
      </w:r>
    </w:p>
    <w:p>
      <w:pPr>
        <w:keepNext/>
        <w:tabs>
          <w:tab w:val="left" w:pos="850"/>
        </w:tabs>
        <w:outlineLvl w:val="2"/>
        <w:rPr>
          <w:i/>
          <w:noProof/>
        </w:rPr>
      </w:pPr>
      <w:r>
        <w:rPr>
          <w:i/>
          <w:noProof/>
        </w:rPr>
        <w:t>1.5.5.</w:t>
      </w:r>
      <w:r>
        <w:rPr>
          <w:noProof/>
        </w:rPr>
        <w:tab/>
      </w:r>
      <w:r>
        <w:rPr>
          <w:i/>
          <w:noProof/>
        </w:rPr>
        <w:t>Évaluation des différentes possibilités de financement disponibles, y compris des possibilités de redéploiement</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ind w:left="850"/>
        <w:rPr>
          <w:noProof/>
        </w:rPr>
      </w:pPr>
    </w:p>
    <w:p>
      <w:pPr>
        <w:keepNext/>
        <w:outlineLvl w:val="1"/>
        <w:rPr>
          <w:b/>
          <w:bCs/>
          <w:noProof/>
          <w:szCs w:val="24"/>
        </w:rPr>
      </w:pPr>
      <w:r>
        <w:rPr>
          <w:b/>
          <w:noProof/>
        </w:rPr>
        <w:t>Durée et incidence financière de la proposition/de l’initiative</w:t>
      </w:r>
    </w:p>
    <w:p>
      <w:pPr>
        <w:ind w:left="850"/>
        <w:rPr>
          <w:noProof/>
        </w:rPr>
      </w:pPr>
      <w:r>
        <w:rPr>
          <w:b/>
          <w:noProof/>
        </w:rPr>
        <w:t xml:space="preserve">X durée limitée </w:t>
      </w:r>
    </w:p>
    <w:p>
      <w:pPr>
        <w:tabs>
          <w:tab w:val="num" w:pos="1134"/>
        </w:tabs>
        <w:ind w:left="1134" w:hanging="283"/>
        <w:rPr>
          <w:rFonts w:eastAsia="Times New Roman"/>
          <w:noProof/>
        </w:rPr>
      </w:pPr>
      <w:r>
        <w:rPr>
          <w:noProof/>
        </w:rPr>
        <w:t>X</w:t>
      </w:r>
      <w:r>
        <w:rPr>
          <w:noProof/>
        </w:rPr>
        <w:tab/>
        <w:t xml:space="preserve">En vigueur à partir de 2019 jusqu’en 2024 </w:t>
      </w:r>
    </w:p>
    <w:p>
      <w:pPr>
        <w:tabs>
          <w:tab w:val="num" w:pos="1134"/>
        </w:tabs>
        <w:ind w:left="1134" w:hanging="283"/>
        <w:rPr>
          <w:rFonts w:eastAsia="Times New Roman"/>
          <w:noProof/>
        </w:rPr>
      </w:pPr>
      <w:r>
        <w:rPr>
          <w:noProof/>
        </w:rPr>
        <w:t>X</w:t>
      </w:r>
      <w:r>
        <w:rPr>
          <w:noProof/>
        </w:rPr>
        <w:tab/>
        <w:t xml:space="preserve">Incidence financière en 2020 pour les crédits d’engagement et de 2019 jusqu’à 2021 pour les crédits de paiement. </w:t>
      </w:r>
    </w:p>
    <w:p>
      <w:pPr>
        <w:ind w:left="850"/>
        <w:rPr>
          <w:noProof/>
        </w:rPr>
      </w:pPr>
      <w:r>
        <w:rPr>
          <w:noProof/>
        </w:rPr>
        <w:sym w:font="Wingdings" w:char="F0A8"/>
      </w:r>
      <w:r>
        <w:rPr>
          <w:b/>
          <w:i/>
          <w:noProof/>
        </w:rPr>
        <w:t xml:space="preserve"> </w:t>
      </w:r>
      <w:r>
        <w:rPr>
          <w:b/>
          <w:noProof/>
        </w:rPr>
        <w:t>durée illimitée</w:t>
      </w:r>
    </w:p>
    <w:p>
      <w:pPr>
        <w:tabs>
          <w:tab w:val="num" w:pos="1134"/>
        </w:tabs>
        <w:ind w:left="1134" w:hanging="283"/>
        <w:rPr>
          <w:rFonts w:eastAsia="Times New Roman"/>
          <w:noProof/>
        </w:rPr>
      </w:pPr>
      <w:r>
        <w:rPr>
          <w:noProof/>
        </w:rPr>
        <w:t>Mise en œuvre avec une période de montée en puissance de AAAA jusqu’en AAAA,</w:t>
      </w:r>
    </w:p>
    <w:p>
      <w:pPr>
        <w:tabs>
          <w:tab w:val="num" w:pos="1134"/>
        </w:tabs>
        <w:ind w:left="1134" w:hanging="283"/>
        <w:rPr>
          <w:rFonts w:eastAsia="Times New Roman"/>
          <w:noProof/>
        </w:rPr>
      </w:pPr>
      <w:r>
        <w:rPr>
          <w:noProof/>
        </w:rPr>
        <w:t>puis un fonctionnement en rythme de croisière au-delà.</w:t>
      </w:r>
    </w:p>
    <w:p>
      <w:pPr>
        <w:keepNext/>
        <w:outlineLvl w:val="1"/>
        <w:rPr>
          <w:b/>
          <w:bCs/>
          <w:noProof/>
          <w:szCs w:val="24"/>
        </w:rPr>
      </w:pPr>
      <w:r>
        <w:rPr>
          <w:b/>
          <w:noProof/>
        </w:rPr>
        <w:t>Mode(s) de gestion prévu(s)</w:t>
      </w:r>
      <w:r>
        <w:rPr>
          <w:rStyle w:val="FootnoteReference"/>
          <w:noProof/>
        </w:rPr>
        <w:footnoteReference w:id="3"/>
      </w:r>
      <w:r>
        <w:rPr>
          <w:b/>
          <w:noProof/>
          <w:vertAlign w:val="superscript"/>
        </w:rPr>
        <w:t xml:space="preserve"> </w:t>
      </w:r>
    </w:p>
    <w:p>
      <w:pPr>
        <w:ind w:left="850"/>
        <w:rPr>
          <w:noProof/>
        </w:rPr>
      </w:pPr>
      <w:r>
        <w:rPr>
          <w:b/>
          <w:noProof/>
        </w:rPr>
        <w:t>X</w:t>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rPr>
      </w:pPr>
      <w:r>
        <w:rPr>
          <w:b/>
          <w:noProof/>
        </w:rPr>
        <w:t>X</w:t>
      </w:r>
      <w:r>
        <w:rPr>
          <w:noProof/>
        </w:rPr>
        <w:t xml:space="preserve"> dans ses services, y compris par l’intermédiaire de son personnel dans les délégations de l’Union; </w:t>
      </w:r>
    </w:p>
    <w:p>
      <w:pPr>
        <w:tabs>
          <w:tab w:val="num" w:pos="1134"/>
        </w:tabs>
        <w:ind w:left="1134" w:hanging="283"/>
        <w:rPr>
          <w:rFonts w:eastAsia="Times New Roman"/>
          <w:noProof/>
        </w:rPr>
      </w:pPr>
      <w:r>
        <w:rPr>
          <w:noProof/>
        </w:rPr>
        <w:sym w:font="Wingdings" w:char="F0A8"/>
      </w:r>
      <w:r>
        <w:rPr>
          <w:noProof/>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rPr>
      </w:pPr>
      <w:r>
        <w:rPr>
          <w:noProof/>
        </w:rPr>
        <w:sym w:font="Wingdings" w:char="F0A8"/>
      </w:r>
      <w:r>
        <w:rPr>
          <w:noProof/>
        </w:rPr>
        <w:t xml:space="preserve"> à des pays tiers ou des organismes qu’ils ont désignés;</w:t>
      </w:r>
    </w:p>
    <w:p>
      <w:pPr>
        <w:tabs>
          <w:tab w:val="num" w:pos="1134"/>
        </w:tabs>
        <w:ind w:left="1134" w:hanging="283"/>
        <w:rPr>
          <w:rFonts w:eastAsia="Times New Roman"/>
          <w:noProof/>
        </w:rPr>
      </w:pPr>
      <w:r>
        <w:rPr>
          <w:noProof/>
        </w:rPr>
        <w:sym w:font="Wingdings" w:char="F0A8"/>
      </w:r>
      <w:r>
        <w:rPr>
          <w:noProof/>
        </w:rPr>
        <w:t xml:space="preserve"> à des organisations internationales et à leurs agences (à préciser);</w:t>
      </w:r>
    </w:p>
    <w:p>
      <w:pPr>
        <w:tabs>
          <w:tab w:val="num" w:pos="1134"/>
        </w:tabs>
        <w:ind w:left="1134" w:hanging="283"/>
        <w:rPr>
          <w:rFonts w:eastAsia="Times New Roman"/>
          <w:noProof/>
        </w:rPr>
      </w:pPr>
      <w:r>
        <w:rPr>
          <w:noProof/>
        </w:rPr>
        <w:sym w:font="Wingdings" w:char="F0A8"/>
      </w:r>
      <w:r>
        <w:rPr>
          <w:noProof/>
        </w:rPr>
        <w:t xml:space="preserve"> à la BEI et au Fonds européen d’investissement;</w:t>
      </w:r>
    </w:p>
    <w:p>
      <w:pPr>
        <w:tabs>
          <w:tab w:val="num" w:pos="1134"/>
        </w:tabs>
        <w:ind w:left="1134" w:hanging="283"/>
        <w:rPr>
          <w:rFonts w:eastAsia="Times New Roman"/>
          <w:noProof/>
        </w:rPr>
      </w:pPr>
      <w:r>
        <w:rPr>
          <w:noProof/>
        </w:rPr>
        <w:sym w:font="Wingdings" w:char="F0A8"/>
      </w:r>
      <w:r>
        <w:rPr>
          <w:noProof/>
        </w:rPr>
        <w:t xml:space="preserve"> aux organismes visés aux articles 70 et 71 du règlement financier;</w:t>
      </w:r>
    </w:p>
    <w:p>
      <w:pPr>
        <w:tabs>
          <w:tab w:val="num" w:pos="1134"/>
        </w:tabs>
        <w:ind w:left="1134" w:hanging="283"/>
        <w:rPr>
          <w:rFonts w:eastAsia="Times New Roman"/>
          <w:noProof/>
        </w:rPr>
      </w:pPr>
      <w:r>
        <w:rPr>
          <w:noProof/>
        </w:rPr>
        <w:sym w:font="Wingdings" w:char="F0A8"/>
      </w:r>
      <w:r>
        <w:rPr>
          <w:noProof/>
        </w:rPr>
        <w:t xml:space="preserve"> à des organismes de droit public;</w:t>
      </w:r>
    </w:p>
    <w:p>
      <w:pPr>
        <w:tabs>
          <w:tab w:val="num" w:pos="1134"/>
        </w:tabs>
        <w:ind w:left="1134" w:hanging="283"/>
        <w:rPr>
          <w:rFonts w:eastAsia="Times New Roman"/>
          <w:noProof/>
        </w:rPr>
      </w:pPr>
      <w:r>
        <w:rPr>
          <w:noProof/>
        </w:rPr>
        <w:sym w:font="Wingdings" w:char="F0A8"/>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noProof/>
        </w:rPr>
        <w:tab/>
      </w:r>
      <w:r>
        <w:rPr>
          <w:b/>
          <w:smallCaps/>
          <w:noProof/>
        </w:rPr>
        <w:t xml:space="preserve">MESURES DE GESTION </w:t>
      </w:r>
    </w:p>
    <w:p>
      <w:pPr>
        <w:keepNext/>
        <w:outlineLvl w:val="1"/>
        <w:rPr>
          <w:b/>
          <w:noProof/>
        </w:rPr>
      </w:pPr>
      <w:r>
        <w:rPr>
          <w:b/>
          <w:noProof/>
        </w:rPr>
        <w:t>2.1.</w:t>
      </w:r>
      <w:r>
        <w:rPr>
          <w:noProof/>
        </w:rPr>
        <w:tab/>
      </w:r>
      <w:r>
        <w:rPr>
          <w:b/>
          <w:noProof/>
        </w:rPr>
        <w:t xml:space="preserve">Dispositions en matière de suivi et de compte rendu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La Commission [DG MARE, en collaboration avec son attaché pêche établi dans la région (Fidji)] assurera un suivi régulier de la mise en œuvre du protocole en ce qui concerne l’utilisation par les opérateurs des possibilités de pêche, les données relatives aux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L’APPD prévoit au moins une réunion annuelle de la commission mixte pendant laquelle la Commission et le gouvernement des Îles Cook font le point sur la mise en œuvre de l’accord et de son protocole et apportent, si nécessaire, des ajustements à la programmation et, le cas échéant, à la contrepartie financière.</w:t>
      </w:r>
    </w:p>
    <w:p>
      <w:pPr>
        <w:keepNext/>
        <w:outlineLvl w:val="1"/>
        <w:rPr>
          <w:b/>
          <w:bCs/>
          <w:noProof/>
          <w:szCs w:val="24"/>
        </w:rPr>
      </w:pPr>
      <w:r>
        <w:rPr>
          <w:b/>
          <w:noProof/>
        </w:rPr>
        <w:t>2.2.</w:t>
      </w:r>
      <w:r>
        <w:rPr>
          <w:noProof/>
        </w:rPr>
        <w:tab/>
      </w:r>
      <w:r>
        <w:rPr>
          <w:b/>
          <w:noProof/>
        </w:rPr>
        <w:t xml:space="preserve">Système(s) de gestion et de contrôle </w:t>
      </w:r>
    </w:p>
    <w:p>
      <w:pPr>
        <w:keepNext/>
        <w:tabs>
          <w:tab w:val="left" w:pos="850"/>
        </w:tabs>
        <w:outlineLvl w:val="2"/>
        <w:rPr>
          <w:i/>
          <w:noProof/>
        </w:rPr>
      </w:pPr>
      <w:r>
        <w:rPr>
          <w:i/>
          <w:noProof/>
        </w:rPr>
        <w:t>2.2.1.</w:t>
      </w:r>
      <w:r>
        <w:rPr>
          <w:noProof/>
        </w:rPr>
        <w:tab/>
      </w:r>
      <w:r>
        <w:rPr>
          <w:i/>
          <w:noProof/>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noProof/>
        </w:rPr>
      </w:pPr>
      <w:r>
        <w:rPr>
          <w:noProof/>
        </w:rPr>
        <w:t>Le risque identifié est une sous-utilisation des possibilités de pêche de la part des armateurs de l’Union et une sous-utilisation ou des retards dans l’utilisation des fonds destinés au financement de la politique sectorielle de la pêche par les Îles Cook.</w:t>
      </w:r>
    </w:p>
    <w:p>
      <w:pPr>
        <w:keepNext/>
        <w:tabs>
          <w:tab w:val="left" w:pos="850"/>
        </w:tabs>
        <w:outlineLvl w:val="2"/>
        <w:rPr>
          <w:bCs/>
          <w:i/>
          <w:noProof/>
          <w:szCs w:val="24"/>
        </w:rPr>
      </w:pPr>
      <w:r>
        <w:rPr>
          <w:i/>
          <w:noProof/>
        </w:rPr>
        <w:t>2.2.2.</w:t>
      </w:r>
      <w:r>
        <w:rPr>
          <w:noProof/>
        </w:rPr>
        <w:tab/>
      </w:r>
      <w:r>
        <w:rPr>
          <w:i/>
          <w:noProof/>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noProof/>
        </w:rPr>
      </w:pPr>
      <w:r>
        <w:rPr>
          <w:noProof/>
        </w:rPr>
        <w:t>Il est prévu un dialogue soutenu sur la programmation et la mise en œuvre de la politique sectorielle prévue par l’accord et le protocole. L’analyse conjointe des résultats fait également partie de ces moyens de contrôle.</w:t>
      </w:r>
    </w:p>
    <w:p>
      <w:pPr>
        <w:pBdr>
          <w:top w:val="single" w:sz="4" w:space="1" w:color="auto"/>
          <w:left w:val="single" w:sz="4" w:space="4" w:color="auto"/>
          <w:bottom w:val="single" w:sz="4" w:space="1" w:color="auto"/>
          <w:right w:val="single" w:sz="4" w:space="4" w:color="auto"/>
        </w:pBdr>
        <w:ind w:left="850"/>
        <w:rPr>
          <w:noProof/>
        </w:rPr>
      </w:pPr>
      <w:r>
        <w:rPr>
          <w:noProof/>
        </w:rPr>
        <w:t>Par ailleurs l’accord et le protocole prévoient des clauses spécifiques pour leur suspension, à certaines conditions et dans des circonstances déterminées.</w:t>
      </w:r>
    </w:p>
    <w:p>
      <w:pPr>
        <w:keepNext/>
        <w:tabs>
          <w:tab w:val="left" w:pos="850"/>
        </w:tabs>
        <w:outlineLvl w:val="2"/>
        <w:rPr>
          <w:i/>
          <w:noProof/>
        </w:rPr>
      </w:pPr>
      <w:r>
        <w:rPr>
          <w:noProof/>
        </w:rPr>
        <w:br w:type="page"/>
      </w:r>
      <w:r>
        <w:rPr>
          <w:i/>
          <w:noProof/>
        </w:rPr>
        <w:t>2.2.3.</w:t>
      </w:r>
      <w:r>
        <w:rPr>
          <w:noProof/>
        </w:rPr>
        <w:tab/>
      </w:r>
      <w:r>
        <w:rPr>
          <w:i/>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noProof/>
        </w:rPr>
        <w:tab/>
      </w:r>
      <w:r>
        <w:rPr>
          <w:b/>
          <w:noProof/>
        </w:rPr>
        <w:t xml:space="preserve">Mesures de prévention des fraudes et irrégularités </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 xml:space="preserve">La Commission s’engage à établir un dialogue politique et une concertation régulière avec le gouvernement des Îles Cook afin de pouvoir améliorer la gestion de l’accord et du protocole et de renforcer la contribution de l’Union à la gestion durable des ressources. Tout paiement effectué par la Commission dans le cadre d’un APPD est soumis aux règles et aux procédures budgétaires et financières normales de la Commission. En particulier, les comptes bancaires des pays tiers sur lesquels sont versés les montants de la contrepartie financière sont identifiés de façon complète. Le protocole établit que la contrepartie financière doit être versée sur un compte bancaire désigné du gouvernement dans les Îles Cook.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noProof/>
        </w:rPr>
        <w:tab/>
      </w:r>
      <w:r>
        <w:rPr>
          <w:b/>
          <w:smallCaps/>
          <w:noProof/>
        </w:rPr>
        <w:t xml:space="preserve">INCIDENCE FINANCIÈRE ESTIMÉE DE LA PROPOSITION/DE L’INITIATIVE </w:t>
      </w:r>
    </w:p>
    <w:p>
      <w:pPr>
        <w:keepNext/>
        <w:outlineLvl w:val="1"/>
        <w:rPr>
          <w:b/>
          <w:noProof/>
        </w:rPr>
      </w:pPr>
      <w:r>
        <w:rPr>
          <w:b/>
          <w:noProof/>
        </w:rPr>
        <w:t>3.1.</w:t>
      </w:r>
      <w:r>
        <w:rPr>
          <w:noProof/>
        </w:rPr>
        <w:tab/>
      </w:r>
      <w:r>
        <w:rPr>
          <w:b/>
          <w:noProof/>
        </w:rPr>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p>
      <w:pPr>
        <w:ind w:left="850"/>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dépense </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r>
              <w:rPr>
                <w:rStyle w:val="FootnoteReference"/>
                <w:noProof/>
              </w:rPr>
              <w:footnoteReference w:id="4"/>
            </w:r>
          </w:p>
        </w:tc>
        <w:tc>
          <w:tcPr>
            <w:tcW w:w="1076" w:type="dxa"/>
            <w:vAlign w:val="center"/>
          </w:tcPr>
          <w:p>
            <w:pPr>
              <w:jc w:val="center"/>
              <w:rPr>
                <w:noProof/>
              </w:rPr>
            </w:pPr>
            <w:r>
              <w:rPr>
                <w:noProof/>
                <w:sz w:val="18"/>
              </w:rPr>
              <w:t>de pays AELE</w:t>
            </w:r>
            <w:r>
              <w:rPr>
                <w:rStyle w:val="FootnoteReference"/>
                <w:noProof/>
              </w:rPr>
              <w:footnoteReference w:id="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6"/>
            </w:r>
          </w:p>
          <w:p>
            <w:pPr>
              <w:spacing w:before="0" w:after="0"/>
              <w:jc w:val="center"/>
              <w:rPr>
                <w:noProof/>
                <w:sz w:val="18"/>
              </w:rPr>
            </w:pP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w:t>
            </w:r>
          </w:p>
        </w:tc>
        <w:tc>
          <w:tcPr>
            <w:tcW w:w="1080" w:type="dxa"/>
            <w:vAlign w:val="center"/>
          </w:tcPr>
          <w:p>
            <w:pPr>
              <w:jc w:val="center"/>
              <w:rPr>
                <w:noProof/>
                <w:sz w:val="20"/>
                <w:szCs w:val="20"/>
              </w:rPr>
            </w:pPr>
            <w:r>
              <w:rPr>
                <w:noProof/>
                <w:sz w:val="20"/>
              </w:rPr>
              <w:t>NON</w:t>
            </w:r>
          </w:p>
        </w:tc>
        <w:tc>
          <w:tcPr>
            <w:tcW w:w="1084" w:type="dxa"/>
            <w:vAlign w:val="center"/>
          </w:tcPr>
          <w:p>
            <w:pPr>
              <w:jc w:val="center"/>
              <w:rPr>
                <w:noProof/>
                <w:sz w:val="20"/>
                <w:szCs w:val="20"/>
              </w:rPr>
            </w:pPr>
            <w:r>
              <w:rPr>
                <w:noProof/>
                <w:sz w:val="20"/>
              </w:rPr>
              <w:t>NON</w:t>
            </w:r>
          </w:p>
        </w:tc>
        <w:tc>
          <w:tcPr>
            <w:tcW w:w="1320" w:type="dxa"/>
            <w:vAlign w:val="center"/>
          </w:tcPr>
          <w:p>
            <w:pPr>
              <w:jc w:val="center"/>
              <w:rPr>
                <w:noProof/>
                <w:sz w:val="20"/>
                <w:szCs w:val="20"/>
              </w:rPr>
            </w:pPr>
            <w:r>
              <w:rPr>
                <w:noProof/>
                <w:sz w:val="20"/>
              </w:rPr>
              <w:t>NON</w:t>
            </w:r>
          </w:p>
        </w:tc>
      </w:tr>
    </w:tbl>
    <w:p>
      <w:pPr>
        <w:tabs>
          <w:tab w:val="num" w:pos="1134"/>
        </w:tabs>
        <w:ind w:left="1134" w:hanging="283"/>
        <w:rPr>
          <w:rFonts w:eastAsia="Times New Roman"/>
          <w:noProof/>
        </w:rPr>
      </w:pPr>
      <w:r>
        <w:rPr>
          <w:noProof/>
        </w:rPr>
        <w:t xml:space="preserve">Nouvelles lignes budgétaires, dont la création est demandée </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p>
        </w:tc>
        <w:tc>
          <w:tcPr>
            <w:tcW w:w="107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OUI/NON</w:t>
            </w:r>
          </w:p>
        </w:tc>
        <w:tc>
          <w:tcPr>
            <w:tcW w:w="1080" w:type="dxa"/>
            <w:vAlign w:val="center"/>
          </w:tcPr>
          <w:p>
            <w:pPr>
              <w:jc w:val="center"/>
              <w:rPr>
                <w:noProof/>
                <w:color w:val="0000FF"/>
                <w:sz w:val="20"/>
                <w:szCs w:val="20"/>
              </w:rPr>
            </w:pPr>
            <w:r>
              <w:rPr>
                <w:noProof/>
                <w:sz w:val="20"/>
              </w:rPr>
              <w:t>OUI/NON</w:t>
            </w:r>
          </w:p>
        </w:tc>
        <w:tc>
          <w:tcPr>
            <w:tcW w:w="1084" w:type="dxa"/>
            <w:vAlign w:val="center"/>
          </w:tcPr>
          <w:p>
            <w:pPr>
              <w:jc w:val="center"/>
              <w:rPr>
                <w:noProof/>
                <w:color w:val="0000FF"/>
                <w:sz w:val="20"/>
                <w:szCs w:val="20"/>
              </w:rPr>
            </w:pPr>
            <w:r>
              <w:rPr>
                <w:noProof/>
                <w:sz w:val="20"/>
              </w:rPr>
              <w:t>OUI/NON</w:t>
            </w:r>
          </w:p>
        </w:tc>
        <w:tc>
          <w:tcPr>
            <w:tcW w:w="1320" w:type="dxa"/>
            <w:vAlign w:val="center"/>
          </w:tcPr>
          <w:p>
            <w:pPr>
              <w:jc w:val="center"/>
              <w:rPr>
                <w:noProof/>
                <w:sz w:val="20"/>
                <w:szCs w:val="20"/>
              </w:rPr>
            </w:pPr>
            <w:r>
              <w:rPr>
                <w:noProof/>
                <w:sz w:val="20"/>
              </w:rPr>
              <w:t>OUI/NON</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noProof/>
        </w:rPr>
        <w:tab/>
      </w:r>
      <w:r>
        <w:rPr>
          <w:b/>
          <w:noProof/>
        </w:rPr>
        <w:t xml:space="preserve">Incidence financière estimée de la proposition sur les crédits </w:t>
      </w:r>
    </w:p>
    <w:p>
      <w:pPr>
        <w:keepNext/>
        <w:tabs>
          <w:tab w:val="left" w:pos="850"/>
        </w:tabs>
        <w:outlineLvl w:val="2"/>
        <w:rPr>
          <w:i/>
          <w:noProof/>
        </w:rPr>
      </w:pPr>
      <w:r>
        <w:rPr>
          <w:i/>
          <w:noProof/>
        </w:rPr>
        <w:t>3.2.1.</w:t>
      </w:r>
      <w:r>
        <w:rPr>
          <w:noProof/>
        </w:rPr>
        <w:tab/>
      </w:r>
      <w:r>
        <w:rPr>
          <w:i/>
          <w:noProof/>
        </w:rPr>
        <w:t xml:space="preserve">Synthèse de l’incidence estimée sur les crédits opérationnels </w:t>
      </w:r>
    </w:p>
    <w:p>
      <w:pPr>
        <w:tabs>
          <w:tab w:val="num" w:pos="1134"/>
        </w:tabs>
        <w:ind w:left="1134" w:hanging="283"/>
        <w:rPr>
          <w:rFonts w:eastAsia="Times New Roman"/>
          <w:noProof/>
        </w:rPr>
      </w:pPr>
      <w:r>
        <w:rPr>
          <w:noProof/>
        </w:rPr>
        <w:sym w:font="Wingdings" w:char="F0A8"/>
      </w:r>
      <w:r>
        <w:rPr>
          <w:noProof/>
        </w:rPr>
        <w:tab/>
        <w:t xml:space="preserve">La proposition/l’initiative n’engendre pas l’utilisation de crédits opérationnels </w:t>
      </w:r>
    </w:p>
    <w:p>
      <w:pPr>
        <w:tabs>
          <w:tab w:val="num" w:pos="1134"/>
        </w:tabs>
        <w:ind w:left="1134" w:hanging="283"/>
        <w:rPr>
          <w:rFonts w:eastAsia="Times New Roman"/>
          <w:noProof/>
        </w:rPr>
      </w:pPr>
      <w:r>
        <w:rPr>
          <w:noProof/>
        </w:rPr>
        <w:t>X</w:t>
      </w:r>
      <w:r>
        <w:rPr>
          <w:noProof/>
        </w:rPr>
        <w:tab/>
        <w:t>La proposition/l’initiative engendre l’utilisation de crédits opérationnels, comme expliqué ci-après:</w:t>
      </w:r>
    </w:p>
    <w:p>
      <w:pPr>
        <w:jc w:val="right"/>
        <w:rPr>
          <w:noProof/>
          <w:sz w:val="18"/>
          <w:szCs w:val="18"/>
        </w:rPr>
      </w:pPr>
      <w:r>
        <w:rPr>
          <w:noProof/>
          <w:sz w:val="18"/>
        </w:rPr>
        <w:t>En Mio EUR (à la 3</w:t>
      </w:r>
      <w:r>
        <w:rPr>
          <w:noProof/>
          <w:sz w:val="18"/>
          <w:vertAlign w:val="superscript"/>
        </w:rPr>
        <w:t>e</w:t>
      </w:r>
      <w:r>
        <w:rPr>
          <w:noProof/>
          <w:sz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pluriannuel </w:t>
            </w:r>
          </w:p>
        </w:tc>
        <w:tc>
          <w:tcPr>
            <w:tcW w:w="1080" w:type="dxa"/>
            <w:vAlign w:val="center"/>
          </w:tcPr>
          <w:p>
            <w:pPr>
              <w:spacing w:before="60" w:after="60"/>
              <w:jc w:val="center"/>
              <w:rPr>
                <w:noProof/>
                <w:sz w:val="22"/>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9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Crédits opérationnels </w:t>
            </w: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Ligne budgétaire</w:t>
            </w:r>
            <w:r>
              <w:rPr>
                <w:rStyle w:val="FootnoteReference"/>
                <w:noProof/>
              </w:rPr>
              <w:footnoteReference w:id="7"/>
            </w:r>
            <w:r>
              <w:rPr>
                <w:noProof/>
              </w:rPr>
              <w:t xml:space="preserve"> </w:t>
            </w:r>
            <w:r>
              <w:rPr>
                <w:noProof/>
                <w:sz w:val="20"/>
              </w:rPr>
              <w:t>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46" w:type="dxa"/>
            <w:vAlign w:val="center"/>
          </w:tcPr>
          <w:p>
            <w:pPr>
              <w:spacing w:before="20" w:after="20"/>
              <w:jc w:val="right"/>
              <w:rPr>
                <w:b/>
                <w:noProof/>
                <w:sz w:val="20"/>
              </w:rPr>
            </w:pPr>
            <w:r>
              <w:rPr>
                <w:b/>
                <w:noProof/>
                <w:sz w:val="20"/>
              </w:rPr>
              <w:t>0,700</w:t>
            </w:r>
          </w:p>
        </w:tc>
      </w:tr>
      <w:tr>
        <w:tc>
          <w:tcPr>
            <w:tcW w:w="3960" w:type="dxa"/>
            <w:vMerge w:val="restart"/>
            <w:vAlign w:val="center"/>
          </w:tcPr>
          <w:p>
            <w:pPr>
              <w:rPr>
                <w:noProof/>
              </w:rPr>
            </w:pPr>
            <w:r>
              <w:rPr>
                <w:noProof/>
                <w:sz w:val="20"/>
              </w:rPr>
              <w:t>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8"/>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rPr>
              <w:t xml:space="preserve"> </w:t>
            </w:r>
            <w:r>
              <w:rPr>
                <w:noProof/>
              </w:rPr>
              <w:br/>
            </w:r>
            <w:r>
              <w:rPr>
                <w:b/>
                <w:noProof/>
                <w:sz w:val="22"/>
              </w:rP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bl>
    <w:p>
      <w:pPr>
        <w:rPr>
          <w:noProof/>
        </w:rPr>
      </w:pPr>
      <w:r>
        <w:rPr>
          <w:noProof/>
        </w:rPr>
        <w:t xml:space="preserve"> </w:t>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des crédits</w:t>
            </w:r>
            <w:r>
              <w:rPr>
                <w:b/>
                <w:noProof/>
                <w:sz w:val="22"/>
              </w:rPr>
              <w:br/>
              <w:t xml:space="preserve"> pour la RUBRIQUE 2</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b/>
                <w:noProof/>
                <w:sz w:val="22"/>
              </w:rPr>
              <w:br/>
              <w:t>pour les RUBRIQUES 1 à 4</w:t>
            </w:r>
            <w:r>
              <w:rPr>
                <w:noProof/>
              </w:rPr>
              <w:t xml:space="preserve"> </w:t>
            </w:r>
            <w:r>
              <w:rPr>
                <w:noProof/>
              </w:rPr>
              <w:br/>
            </w:r>
            <w:r>
              <w:rPr>
                <w:noProof/>
                <w:sz w:val="22"/>
              </w:rPr>
              <w:t>du cadre financier pluriannuel</w:t>
            </w:r>
            <w:r>
              <w:rPr>
                <w:noProof/>
              </w:rPr>
              <w:t xml:space="preserve"> </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3">
        <w:r>
          <w:rPr>
            <w:noProof/>
            <w:color w:val="0000FF"/>
            <w:u w:val="single"/>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rPr>
          <w:gridAfter w:val="5"/>
          <w:wAfter w:w="5607"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w:t>
            </w:r>
            <w:r>
              <w:rPr>
                <w:noProof/>
                <w:sz w:val="22"/>
              </w:rPr>
              <w:t xml:space="preserve"> 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 pour les RUBRIQUES 1 à 5</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keepNext/>
        <w:tabs>
          <w:tab w:val="left" w:pos="850"/>
        </w:tabs>
        <w:outlineLvl w:val="2"/>
        <w:rPr>
          <w:bCs/>
          <w:i/>
          <w:noProof/>
          <w:szCs w:val="24"/>
        </w:rPr>
      </w:pPr>
      <w:r>
        <w:rPr>
          <w:i/>
          <w:noProof/>
        </w:rPr>
        <w:t>3.2.2.</w:t>
      </w:r>
      <w:r>
        <w:rPr>
          <w:noProof/>
        </w:rPr>
        <w:tab/>
      </w:r>
      <w:r>
        <w:rPr>
          <w:i/>
          <w:noProof/>
        </w:rPr>
        <w:t xml:space="preserve">Estimation des réalisations financées avec des crédits opérationnels </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114"/>
        <w:gridCol w:w="606"/>
        <w:gridCol w:w="720"/>
        <w:gridCol w:w="180"/>
        <w:gridCol w:w="720"/>
        <w:gridCol w:w="54"/>
        <w:gridCol w:w="120"/>
        <w:gridCol w:w="726"/>
      </w:tblGrid>
      <w:tr>
        <w:trPr>
          <w:gridAfter w:val="2"/>
          <w:wAfter w:w="846" w:type="dxa"/>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2019</w:t>
            </w:r>
          </w:p>
        </w:tc>
        <w:tc>
          <w:tcPr>
            <w:tcW w:w="1260" w:type="dxa"/>
            <w:gridSpan w:val="2"/>
            <w:vAlign w:val="center"/>
          </w:tcPr>
          <w:p>
            <w:pPr>
              <w:ind w:right="-29"/>
              <w:jc w:val="center"/>
              <w:rPr>
                <w:noProof/>
                <w:sz w:val="18"/>
                <w:szCs w:val="18"/>
              </w:rPr>
            </w:pPr>
            <w:r>
              <w:rPr>
                <w:b/>
                <w:noProof/>
                <w:sz w:val="18"/>
              </w:rPr>
              <w:t>2020</w:t>
            </w:r>
          </w:p>
        </w:tc>
        <w:tc>
          <w:tcPr>
            <w:tcW w:w="1440" w:type="dxa"/>
            <w:gridSpan w:val="3"/>
            <w:vAlign w:val="center"/>
          </w:tcPr>
          <w:p>
            <w:pPr>
              <w:ind w:right="-29"/>
              <w:jc w:val="center"/>
              <w:rPr>
                <w:noProof/>
                <w:sz w:val="18"/>
                <w:szCs w:val="18"/>
              </w:rPr>
            </w:pPr>
            <w:r>
              <w:rPr>
                <w:b/>
                <w:noProof/>
                <w:sz w:val="18"/>
              </w:rPr>
              <w:t>2021</w:t>
            </w:r>
          </w:p>
        </w:tc>
        <w:tc>
          <w:tcPr>
            <w:tcW w:w="1674" w:type="dxa"/>
            <w:gridSpan w:val="4"/>
            <w:tcBorders>
              <w:left w:val="nil"/>
              <w:bottom w:val="nil"/>
            </w:tcBorders>
            <w:vAlign w:val="center"/>
          </w:tcPr>
          <w:p>
            <w:pPr>
              <w:ind w:right="-29"/>
              <w:jc w:val="center"/>
              <w:rPr>
                <w:noProof/>
                <w:sz w:val="18"/>
                <w:szCs w:val="18"/>
              </w:rPr>
            </w:pPr>
            <w:r>
              <w:rPr>
                <w:b/>
                <w:noProof/>
                <w:sz w:val="18"/>
              </w:rPr>
              <w:t>TOTAL</w:t>
            </w:r>
          </w:p>
        </w:tc>
      </w:tr>
      <w:tr>
        <w:trPr>
          <w:gridAfter w:val="15"/>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9"/>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834"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06"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94" w:type="dxa"/>
            <w:gridSpan w:val="3"/>
            <w:tcBorders>
              <w:right w:val="dashSmallGap" w:sz="4" w:space="0" w:color="auto"/>
            </w:tcBorders>
            <w:shd w:val="pct10" w:color="auto" w:fill="auto"/>
            <w:vAlign w:val="center"/>
          </w:tcPr>
          <w:p>
            <w:pPr>
              <w:jc w:val="center"/>
              <w:rPr>
                <w:noProof/>
                <w:sz w:val="18"/>
                <w:szCs w:val="18"/>
              </w:rPr>
            </w:pPr>
            <w:r>
              <w:rPr>
                <w:noProof/>
                <w:sz w:val="18"/>
              </w:rPr>
              <w:t>Nombre total</w:t>
            </w:r>
          </w:p>
        </w:tc>
        <w:tc>
          <w:tcPr>
            <w:tcW w:w="726"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rPr>
              <w:footnoteReference w:id="1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34" w:type="dxa"/>
            <w:gridSpan w:val="2"/>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74" w:type="dxa"/>
            <w:gridSpan w:val="2"/>
            <w:tcBorders>
              <w:top w:val="nil"/>
              <w:left w:val="nil"/>
              <w:bottom w:val="nil"/>
              <w:right w:val="nil"/>
            </w:tcBorders>
          </w:tcPr>
          <w:p>
            <w:pPr>
              <w:spacing w:before="60" w:after="60"/>
              <w:ind w:right="-29"/>
              <w:jc w:val="center"/>
              <w:rPr>
                <w:noProof/>
                <w:sz w:val="18"/>
                <w:szCs w:val="18"/>
              </w:rPr>
            </w:pPr>
          </w:p>
        </w:tc>
        <w:tc>
          <w:tcPr>
            <w:tcW w:w="846" w:type="dxa"/>
            <w:gridSpan w:val="2"/>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Accès </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4" w:type="dxa"/>
            <w:gridSpan w:val="2"/>
            <w:tcBorders>
              <w:right w:val="dashSmallGap" w:sz="4" w:space="0" w:color="auto"/>
            </w:tcBorders>
          </w:tcPr>
          <w:p>
            <w:pPr>
              <w:ind w:right="-29"/>
              <w:jc w:val="center"/>
              <w:rPr>
                <w:noProof/>
                <w:sz w:val="18"/>
                <w:szCs w:val="18"/>
              </w:rPr>
            </w:pPr>
          </w:p>
        </w:tc>
        <w:tc>
          <w:tcPr>
            <w:tcW w:w="606"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74" w:type="dxa"/>
            <w:gridSpan w:val="2"/>
          </w:tcPr>
          <w:p>
            <w:pPr>
              <w:ind w:right="-29"/>
              <w:jc w:val="center"/>
              <w:rPr>
                <w:noProof/>
                <w:sz w:val="18"/>
                <w:szCs w:val="18"/>
              </w:rPr>
            </w:pPr>
          </w:p>
        </w:tc>
        <w:tc>
          <w:tcPr>
            <w:tcW w:w="846" w:type="dxa"/>
            <w:gridSpan w:val="2"/>
          </w:tcPr>
          <w:p>
            <w:pPr>
              <w:ind w:right="-29"/>
              <w:jc w:val="center"/>
              <w:rPr>
                <w:noProof/>
                <w:sz w:val="18"/>
                <w:szCs w:val="18"/>
              </w:rPr>
            </w:pPr>
            <w:r>
              <w:rPr>
                <w:noProof/>
                <w:sz w:val="18"/>
                <w:szCs w:val="18"/>
              </w:rPr>
              <w:t>0,350</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4" w:type="dxa"/>
            <w:gridSpan w:val="2"/>
            <w:tcBorders>
              <w:right w:val="dashSmallGap" w:sz="4" w:space="0" w:color="auto"/>
            </w:tcBorders>
          </w:tcPr>
          <w:p>
            <w:pPr>
              <w:ind w:right="-29"/>
              <w:jc w:val="center"/>
              <w:rPr>
                <w:noProof/>
                <w:sz w:val="18"/>
                <w:szCs w:val="18"/>
              </w:rPr>
            </w:pPr>
          </w:p>
        </w:tc>
        <w:tc>
          <w:tcPr>
            <w:tcW w:w="606"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74" w:type="dxa"/>
            <w:gridSpan w:val="2"/>
          </w:tcPr>
          <w:p>
            <w:pPr>
              <w:ind w:right="-29"/>
              <w:jc w:val="center"/>
              <w:rPr>
                <w:noProof/>
                <w:sz w:val="18"/>
                <w:szCs w:val="18"/>
              </w:rPr>
            </w:pPr>
          </w:p>
        </w:tc>
        <w:tc>
          <w:tcPr>
            <w:tcW w:w="846" w:type="dxa"/>
            <w:gridSpan w:val="2"/>
          </w:tcPr>
          <w:p>
            <w:pPr>
              <w:ind w:right="-29"/>
              <w:jc w:val="center"/>
              <w:rPr>
                <w:noProof/>
                <w:sz w:val="18"/>
                <w:szCs w:val="18"/>
              </w:rPr>
            </w:pPr>
            <w:r>
              <w:rPr>
                <w:noProof/>
                <w:sz w:val="18"/>
                <w:szCs w:val="18"/>
              </w:rPr>
              <w:t>0,350</w:t>
            </w: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834" w:type="dxa"/>
            <w:gridSpan w:val="2"/>
          </w:tcPr>
          <w:p>
            <w:pPr>
              <w:ind w:right="-29"/>
              <w:jc w:val="center"/>
              <w:rPr>
                <w:noProof/>
                <w:sz w:val="18"/>
                <w:szCs w:val="18"/>
              </w:rPr>
            </w:pPr>
          </w:p>
        </w:tc>
        <w:tc>
          <w:tcPr>
            <w:tcW w:w="606" w:type="dxa"/>
          </w:tcPr>
          <w:p>
            <w:pPr>
              <w:ind w:right="-29"/>
              <w:jc w:val="center"/>
              <w:rPr>
                <w:noProof/>
                <w:sz w:val="18"/>
                <w:szCs w:val="18"/>
              </w:rPr>
            </w:pPr>
          </w:p>
        </w:tc>
        <w:tc>
          <w:tcPr>
            <w:tcW w:w="900" w:type="dxa"/>
            <w:gridSpan w:val="2"/>
          </w:tcPr>
          <w:p>
            <w:pPr>
              <w:ind w:right="-29"/>
              <w:jc w:val="center"/>
              <w:rPr>
                <w:noProof/>
                <w:sz w:val="18"/>
                <w:szCs w:val="18"/>
              </w:rPr>
            </w:pPr>
          </w:p>
        </w:tc>
        <w:tc>
          <w:tcPr>
            <w:tcW w:w="774" w:type="dxa"/>
            <w:gridSpan w:val="2"/>
          </w:tcPr>
          <w:p>
            <w:pPr>
              <w:ind w:right="-29"/>
              <w:jc w:val="center"/>
              <w:rPr>
                <w:noProof/>
                <w:sz w:val="18"/>
                <w:szCs w:val="18"/>
              </w:rPr>
            </w:pPr>
          </w:p>
        </w:tc>
        <w:tc>
          <w:tcPr>
            <w:tcW w:w="846" w:type="dxa"/>
            <w:gridSpan w:val="2"/>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4" w:type="dxa"/>
            <w:gridSpan w:val="2"/>
            <w:tcBorders>
              <w:bottom w:val="single" w:sz="12" w:space="0" w:color="auto"/>
            </w:tcBorders>
          </w:tcPr>
          <w:p>
            <w:pPr>
              <w:ind w:right="-29"/>
              <w:jc w:val="center"/>
              <w:rPr>
                <w:noProof/>
                <w:sz w:val="18"/>
                <w:szCs w:val="18"/>
              </w:rPr>
            </w:pPr>
          </w:p>
        </w:tc>
        <w:tc>
          <w:tcPr>
            <w:tcW w:w="606"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74" w:type="dxa"/>
            <w:gridSpan w:val="2"/>
            <w:tcBorders>
              <w:bottom w:val="single" w:sz="12" w:space="0" w:color="auto"/>
            </w:tcBorders>
          </w:tcPr>
          <w:p>
            <w:pPr>
              <w:ind w:right="-29"/>
              <w:jc w:val="center"/>
              <w:rPr>
                <w:noProof/>
                <w:sz w:val="18"/>
                <w:szCs w:val="18"/>
              </w:rPr>
            </w:pPr>
          </w:p>
        </w:tc>
        <w:tc>
          <w:tcPr>
            <w:tcW w:w="846" w:type="dxa"/>
            <w:gridSpan w:val="2"/>
            <w:tcBorders>
              <w:bottom w:val="single" w:sz="12" w:space="0" w:color="auto"/>
            </w:tcBorders>
          </w:tcPr>
          <w:p>
            <w:pPr>
              <w:ind w:right="-29"/>
              <w:jc w:val="center"/>
              <w:rPr>
                <w:noProof/>
                <w:sz w:val="18"/>
                <w:szCs w:val="18"/>
              </w:rPr>
            </w:pPr>
            <w:r>
              <w:rPr>
                <w:noProof/>
                <w:sz w:val="18"/>
                <w:szCs w:val="18"/>
              </w:rPr>
              <w:t>0,700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34" w:type="dxa"/>
            <w:gridSpan w:val="2"/>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74" w:type="dxa"/>
            <w:gridSpan w:val="2"/>
            <w:tcBorders>
              <w:top w:val="nil"/>
              <w:left w:val="nil"/>
              <w:bottom w:val="nil"/>
              <w:right w:val="nil"/>
            </w:tcBorders>
          </w:tcPr>
          <w:p>
            <w:pPr>
              <w:spacing w:before="60" w:after="60"/>
              <w:ind w:right="-29"/>
              <w:jc w:val="center"/>
              <w:rPr>
                <w:noProof/>
                <w:sz w:val="18"/>
                <w:szCs w:val="18"/>
              </w:rPr>
            </w:pPr>
          </w:p>
        </w:tc>
        <w:tc>
          <w:tcPr>
            <w:tcW w:w="846" w:type="dxa"/>
            <w:gridSpan w:val="2"/>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834" w:type="dxa"/>
            <w:gridSpan w:val="2"/>
          </w:tcPr>
          <w:p>
            <w:pPr>
              <w:ind w:right="-29"/>
              <w:jc w:val="center"/>
              <w:rPr>
                <w:noProof/>
                <w:sz w:val="18"/>
                <w:szCs w:val="18"/>
              </w:rPr>
            </w:pPr>
          </w:p>
        </w:tc>
        <w:tc>
          <w:tcPr>
            <w:tcW w:w="606" w:type="dxa"/>
          </w:tcPr>
          <w:p>
            <w:pPr>
              <w:ind w:right="-29"/>
              <w:jc w:val="center"/>
              <w:rPr>
                <w:noProof/>
                <w:sz w:val="18"/>
                <w:szCs w:val="18"/>
              </w:rPr>
            </w:pPr>
          </w:p>
        </w:tc>
        <w:tc>
          <w:tcPr>
            <w:tcW w:w="900" w:type="dxa"/>
            <w:gridSpan w:val="2"/>
          </w:tcPr>
          <w:p>
            <w:pPr>
              <w:ind w:right="-29"/>
              <w:jc w:val="center"/>
              <w:rPr>
                <w:noProof/>
                <w:sz w:val="18"/>
                <w:szCs w:val="18"/>
              </w:rPr>
            </w:pPr>
          </w:p>
        </w:tc>
        <w:tc>
          <w:tcPr>
            <w:tcW w:w="774" w:type="dxa"/>
            <w:gridSpan w:val="2"/>
          </w:tcPr>
          <w:p>
            <w:pPr>
              <w:ind w:right="-29"/>
              <w:jc w:val="center"/>
              <w:rPr>
                <w:noProof/>
                <w:sz w:val="18"/>
                <w:szCs w:val="18"/>
              </w:rPr>
            </w:pPr>
          </w:p>
        </w:tc>
        <w:tc>
          <w:tcPr>
            <w:tcW w:w="846" w:type="dxa"/>
            <w:gridSpan w:val="2"/>
          </w:tcPr>
          <w:p>
            <w:pPr>
              <w:ind w:right="-29"/>
              <w:jc w:val="center"/>
              <w:rPr>
                <w:noProof/>
                <w:sz w:val="18"/>
                <w:szCs w:val="18"/>
              </w:rPr>
            </w:pPr>
          </w:p>
        </w:tc>
      </w:tr>
      <w:tr>
        <w:trPr>
          <w:gridAfter w:val="3"/>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0,700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834" w:type="dxa"/>
            <w:gridSpan w:val="2"/>
            <w:tcBorders>
              <w:top w:val="single" w:sz="12" w:space="0" w:color="auto"/>
              <w:bottom w:val="single" w:sz="12" w:space="0" w:color="auto"/>
            </w:tcBorders>
          </w:tcPr>
          <w:p>
            <w:pPr>
              <w:spacing w:before="180" w:after="180"/>
              <w:ind w:right="-29"/>
              <w:jc w:val="center"/>
              <w:rPr>
                <w:noProof/>
                <w:sz w:val="18"/>
                <w:szCs w:val="18"/>
              </w:rPr>
            </w:pPr>
          </w:p>
        </w:tc>
        <w:tc>
          <w:tcPr>
            <w:tcW w:w="606"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74" w:type="dxa"/>
            <w:gridSpan w:val="2"/>
            <w:tcBorders>
              <w:top w:val="single" w:sz="12" w:space="0" w:color="auto"/>
              <w:bottom w:val="single" w:sz="12" w:space="0" w:color="auto"/>
            </w:tcBorders>
          </w:tcPr>
          <w:p>
            <w:pPr>
              <w:spacing w:before="180" w:after="180"/>
              <w:ind w:right="-29"/>
              <w:jc w:val="center"/>
              <w:rPr>
                <w:noProof/>
                <w:sz w:val="18"/>
                <w:szCs w:val="18"/>
              </w:rPr>
            </w:pPr>
          </w:p>
        </w:tc>
        <w:tc>
          <w:tcPr>
            <w:tcW w:w="846"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0,700</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noProof/>
        </w:rPr>
        <w:tab/>
      </w:r>
      <w:r>
        <w:rPr>
          <w:i/>
          <w:noProof/>
        </w:rPr>
        <w:t xml:space="preserve">Synthèse de l’incidence estimée sur les crédits administratifs </w:t>
      </w:r>
    </w:p>
    <w:p>
      <w:pPr>
        <w:tabs>
          <w:tab w:val="num" w:pos="1134"/>
        </w:tabs>
        <w:ind w:left="1134" w:hanging="283"/>
        <w:rPr>
          <w:rFonts w:eastAsia="Times New Roman"/>
          <w:noProof/>
        </w:rPr>
      </w:pPr>
      <w:r>
        <w:rPr>
          <w:noProof/>
        </w:rPr>
        <w:t>X</w:t>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 xml:space="preserve">N </w:t>
            </w:r>
            <w:r>
              <w:rPr>
                <w:rStyle w:val="FootnoteReference"/>
                <w:noProof/>
              </w:rPr>
              <w:footnoteReference w:id="11"/>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hors RUBRIQUE 5</w:t>
            </w:r>
            <w:r>
              <w:rPr>
                <w:rStyle w:val="FootnoteReference"/>
                <w:noProof/>
              </w:rPr>
              <w:footnoteReference w:id="12"/>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 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Besoins estimés en ressources humaines </w:t>
      </w:r>
    </w:p>
    <w:p>
      <w:pPr>
        <w:tabs>
          <w:tab w:val="num" w:pos="1134"/>
        </w:tabs>
        <w:ind w:left="1134" w:hanging="283"/>
        <w:rPr>
          <w:rFonts w:eastAsia="Times New Roman"/>
          <w:noProof/>
        </w:rPr>
      </w:pPr>
      <w:r>
        <w:rPr>
          <w:noProof/>
        </w:rPr>
        <w:t>X</w:t>
      </w:r>
      <w:r>
        <w:rPr>
          <w:noProof/>
        </w:rPr>
        <w:tab/>
        <w:t xml:space="preserve">La proposition/l’initiative n’engendre pas l’utilisation de ressources humaines. </w:t>
      </w:r>
    </w:p>
    <w:p>
      <w:pPr>
        <w:tabs>
          <w:tab w:val="num" w:pos="1134"/>
        </w:tabs>
        <w:ind w:left="1134" w:hanging="283"/>
        <w:rPr>
          <w:rFonts w:eastAsia="Times New Roman"/>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13"/>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4"/>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rPr>
              <w:t>Mise en œuvre du protocole (paiements, accès aux eaux des Îles Cook par les navires de l’Union, traitement des autorisations de pêche), préparation et suivi des commissions mixtes, préparation de la reconduction du protocole, évaluation externe, procédures législatives, négociations.</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rPr>
              <w:t>Mise en œuvre du protocole: contacts avec les autorités des Îles Cook concernant l’accès aux eaux des Îles Cook par les navires de l’Union, traitement des autorisations de pêche, préparation et suivi des commissions mixtes, notamment mise en œuvre de l’appui sectoriel.</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noProof/>
        </w:rPr>
        <w:tab/>
      </w:r>
      <w:r>
        <w:rPr>
          <w:i/>
          <w:noProof/>
        </w:rPr>
        <w:t xml:space="preserve">Compatibilité avec le cadre financier pluriannuel actuel </w:t>
      </w:r>
    </w:p>
    <w:p>
      <w:pPr>
        <w:ind w:left="850"/>
        <w:rPr>
          <w:noProof/>
        </w:rPr>
      </w:pPr>
      <w:r>
        <w:rPr>
          <w:noProof/>
        </w:rPr>
        <w:t>La proposition/l’initiative:</w:t>
      </w:r>
    </w:p>
    <w:p>
      <w:pPr>
        <w:tabs>
          <w:tab w:val="num" w:pos="1134"/>
        </w:tabs>
        <w:ind w:left="1134" w:hanging="283"/>
        <w:rPr>
          <w:rFonts w:eastAsia="Times New Roman"/>
          <w:noProof/>
        </w:rPr>
      </w:pPr>
      <w:r>
        <w:rPr>
          <w:noProof/>
        </w:rPr>
        <w:t>X</w:t>
      </w:r>
      <w:r>
        <w:rPr>
          <w:noProof/>
        </w:rPr>
        <w:tab/>
        <w:t>peut être intégralement financée par voie de redéploiement au sein de la rubrique concernée du cadre financier pluriannuel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Cela concerne l’utilisation de la ligne de réserve (Chapitre 40).</w:t>
      </w:r>
    </w:p>
    <w:p>
      <w:pPr>
        <w:tabs>
          <w:tab w:val="num" w:pos="1134"/>
        </w:tabs>
        <w:ind w:left="1134" w:hanging="283"/>
        <w:rPr>
          <w:rFonts w:eastAsia="Times New Roman"/>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les montants correspondants et les instruments dont le recours est proposé.</w:t>
      </w:r>
    </w:p>
    <w:p>
      <w:pPr>
        <w:tabs>
          <w:tab w:val="num" w:pos="1134"/>
        </w:tabs>
        <w:ind w:left="1134" w:hanging="283"/>
        <w:rPr>
          <w:rFonts w:eastAsia="Times New Roman"/>
          <w:noProof/>
        </w:rPr>
      </w:pPr>
      <w:r>
        <w:rPr>
          <w:noProof/>
        </w:rPr>
        <w:sym w:font="Wingdings" w:char="F0A8"/>
      </w:r>
      <w:r>
        <w:rPr>
          <w:noProof/>
        </w:rPr>
        <w:tab/>
        <w:t>nécessite une révision du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keepNext/>
        <w:tabs>
          <w:tab w:val="left" w:pos="850"/>
        </w:tabs>
        <w:outlineLvl w:val="2"/>
        <w:rPr>
          <w:bCs/>
          <w:i/>
          <w:noProof/>
          <w:szCs w:val="24"/>
        </w:rPr>
      </w:pPr>
      <w:r>
        <w:rPr>
          <w:i/>
          <w:noProof/>
        </w:rPr>
        <w:t>3.2.5.</w:t>
      </w:r>
      <w:r>
        <w:rPr>
          <w:noProof/>
        </w:rPr>
        <w:tab/>
      </w:r>
      <w:r>
        <w:rPr>
          <w:i/>
          <w:noProof/>
        </w:rPr>
        <w:t xml:space="preserve">Participation de tiers au financement </w:t>
      </w:r>
    </w:p>
    <w:p>
      <w:pPr>
        <w:ind w:left="850"/>
        <w:rPr>
          <w:noProof/>
        </w:rPr>
      </w:pPr>
      <w:r>
        <w:rPr>
          <w:noProof/>
        </w:rPr>
        <w:t>La proposition/l’initiative:</w:t>
      </w:r>
    </w:p>
    <w:p>
      <w:pPr>
        <w:tabs>
          <w:tab w:val="num" w:pos="1134"/>
        </w:tabs>
        <w:ind w:left="1134" w:hanging="283"/>
        <w:rPr>
          <w:rFonts w:eastAsia="Times New Roman"/>
          <w:noProof/>
        </w:rPr>
      </w:pPr>
      <w:r>
        <w:rPr>
          <w:noProof/>
        </w:rPr>
        <w:t>X</w:t>
      </w:r>
      <w:r>
        <w:rPr>
          <w:noProof/>
        </w:rPr>
        <w:tab/>
        <w:t>ne prévoit pas de cofinancement par des tierces parties</w:t>
      </w:r>
    </w:p>
    <w:p>
      <w:pPr>
        <w:tabs>
          <w:tab w:val="num" w:pos="1134"/>
        </w:tabs>
        <w:ind w:left="1134" w:hanging="283"/>
        <w:rPr>
          <w:rFonts w:eastAsia="Times New Roman"/>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r>
              <w:rPr>
                <w:rStyle w:val="FootnoteReference"/>
                <w:noProof/>
              </w:rPr>
              <w:footnoteReference w:id="15"/>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keepNext/>
        <w:outlineLvl w:val="1"/>
        <w:rPr>
          <w:b/>
          <w:bCs/>
          <w:noProof/>
          <w:szCs w:val="24"/>
        </w:rPr>
      </w:pPr>
      <w:r>
        <w:rPr>
          <w:noProof/>
        </w:rPr>
        <w:br w:type="page"/>
      </w:r>
      <w:r>
        <w:rPr>
          <w:b/>
          <w:noProof/>
        </w:rPr>
        <w:t>3.3.</w:t>
      </w:r>
      <w:r>
        <w:rPr>
          <w:noProof/>
        </w:rPr>
        <w:tab/>
      </w:r>
      <w:r>
        <w:rPr>
          <w:b/>
          <w:noProof/>
        </w:rPr>
        <w:t xml:space="preserve">Incidence estimée sur les recettes </w:t>
      </w:r>
    </w:p>
    <w:p>
      <w:pPr>
        <w:tabs>
          <w:tab w:val="num" w:pos="1134"/>
        </w:tabs>
        <w:ind w:left="1134" w:hanging="283"/>
        <w:rPr>
          <w:rFonts w:eastAsia="Times New Roman"/>
          <w:noProof/>
        </w:rPr>
      </w:pPr>
      <w:r>
        <w:rPr>
          <w:noProof/>
        </w:rPr>
        <w:t>X</w:t>
      </w:r>
      <w:r>
        <w:rPr>
          <w:noProof/>
        </w:rPr>
        <w:tab/>
        <w:t>La proposition/l’initiative est sans incidence financière sur les recettes.</w:t>
      </w:r>
    </w:p>
    <w:p>
      <w:pPr>
        <w:tabs>
          <w:tab w:val="num" w:pos="1134"/>
        </w:tabs>
        <w:ind w:left="1134" w:hanging="283"/>
        <w:rPr>
          <w:rFonts w:eastAsia="Times New Roman"/>
          <w:noProof/>
        </w:rPr>
      </w:pPr>
      <w:r>
        <w:rPr>
          <w:noProof/>
        </w:rPr>
        <w:sym w:font="Wingdings" w:char="F0A8"/>
      </w:r>
      <w:r>
        <w:rPr>
          <w:noProof/>
        </w:rPr>
        <w:tab/>
        <w:t>La proposition/l’initiative a une incidence financière décrite ci-après:</w:t>
      </w:r>
    </w:p>
    <w:p>
      <w:pPr>
        <w:numPr>
          <w:ilvl w:val="2"/>
          <w:numId w:val="0"/>
        </w:numPr>
        <w:tabs>
          <w:tab w:val="num" w:pos="2126"/>
        </w:tabs>
        <w:ind w:left="2126" w:hanging="709"/>
        <w:rPr>
          <w:rFonts w:eastAsia="Times New Roman"/>
          <w:noProof/>
        </w:rPr>
      </w:pPr>
      <w:r>
        <w:rPr>
          <w:noProof/>
        </w:rPr>
        <w:sym w:font="Wingdings" w:char="F0A8"/>
      </w:r>
      <w:r>
        <w:rPr>
          <w:noProof/>
        </w:rPr>
        <w:tab/>
        <w:t xml:space="preserve">sur les ressources propres </w:t>
      </w:r>
    </w:p>
    <w:p>
      <w:pPr>
        <w:numPr>
          <w:ilvl w:val="2"/>
          <w:numId w:val="0"/>
        </w:numPr>
        <w:tabs>
          <w:tab w:val="num" w:pos="2126"/>
        </w:tabs>
        <w:ind w:left="2126" w:hanging="709"/>
        <w:rPr>
          <w:rFonts w:eastAsia="Times New Roman"/>
          <w:noProof/>
        </w:rPr>
      </w:pPr>
      <w:r>
        <w:rPr>
          <w:noProof/>
        </w:rPr>
        <w:sym w:font="Wingdings" w:char="F0A8"/>
      </w:r>
      <w:r>
        <w:rPr>
          <w:noProof/>
        </w:rPr>
        <w:tab/>
        <w:t>sur les autres recettes</w:t>
      </w:r>
    </w:p>
    <w:p>
      <w:pPr>
        <w:numPr>
          <w:ilvl w:val="2"/>
          <w:numId w:val="0"/>
        </w:numPr>
        <w:tabs>
          <w:tab w:val="num" w:pos="2126"/>
        </w:tabs>
        <w:ind w:left="2126" w:hanging="709"/>
        <w:rPr>
          <w:rFonts w:eastAsia="Times New Roman"/>
          <w:noProof/>
        </w:rPr>
      </w:pPr>
      <w:r>
        <w:rPr>
          <w:noProof/>
        </w:rPr>
        <w:t xml:space="preserve">veuillez indiquer si les recettes sont affectées à des lignes de dépenses </w:t>
      </w:r>
      <w:r>
        <w:rPr>
          <w:noProof/>
        </w:rPr>
        <w:sym w:font="Wingdings" w:char="F0A8"/>
      </w:r>
      <w:r>
        <w:rPr>
          <w:noProof/>
        </w:rPr>
        <w:tab/>
      </w:r>
    </w:p>
    <w:p>
      <w:pPr>
        <w:ind w:left="4320"/>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rPr>
              <w:footnoteReference w:id="16"/>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rPr>
              <w:t xml:space="preserve"> </w:t>
            </w:r>
            <w:r>
              <w:rPr>
                <w:noProof/>
              </w:rPr>
              <w:br/>
            </w:r>
            <w:r>
              <w:rPr>
                <w:b/>
                <w:noProof/>
                <w:sz w:val="18"/>
              </w:rPr>
              <w:t xml:space="preserve">N </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Autres remarques (relatives par exemple à la méthode/formule utilisée pour le calcul de l’incidence sur les recettes ou toute autre information).</w:t>
      </w:r>
    </w:p>
    <w:sectPr>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 du […], p. […].</w:t>
      </w:r>
    </w:p>
  </w:footnote>
  <w:footnote w:id="2">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 xml:space="preserve"> </w:t>
      </w:r>
    </w:p>
  </w:footnote>
  <w:footnote w:id="4">
    <w:p>
      <w:pPr>
        <w:pStyle w:val="FootnoteText"/>
        <w:rPr>
          <w:szCs w:val="24"/>
          <w:lang w:val="fr-BE"/>
        </w:rPr>
      </w:pPr>
      <w:r>
        <w:rPr>
          <w:rStyle w:val="FootnoteReference"/>
        </w:rPr>
        <w:footnoteRef/>
      </w:r>
      <w:r>
        <w:rPr>
          <w:lang w:val="fr-BE"/>
        </w:rPr>
        <w:tab/>
        <w:t>CD = crédits dissociés/CND = crédits non dissociés.</w:t>
      </w:r>
    </w:p>
  </w:footnote>
  <w:footnote w:id="5">
    <w:p>
      <w:pPr>
        <w:pStyle w:val="FootnoteText"/>
        <w:rPr>
          <w:szCs w:val="24"/>
          <w:lang w:val="fr-BE"/>
        </w:rPr>
      </w:pPr>
      <w:r>
        <w:rPr>
          <w:rStyle w:val="FootnoteReference"/>
        </w:rPr>
        <w:footnoteRef/>
      </w:r>
      <w:r>
        <w:rPr>
          <w:lang w:val="fr-BE"/>
        </w:rPr>
        <w:tab/>
        <w:t xml:space="preserve">AELE: Association européenne de libre-échange. </w:t>
      </w:r>
    </w:p>
  </w:footnote>
  <w:footnote w:id="6">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7">
    <w:p>
      <w:pPr>
        <w:pStyle w:val="FootnoteText"/>
        <w:rPr>
          <w:sz w:val="18"/>
          <w:szCs w:val="18"/>
          <w:lang w:val="fr-BE"/>
        </w:rPr>
      </w:pPr>
      <w:r>
        <w:rPr>
          <w:rStyle w:val="FootnoteReference"/>
        </w:rPr>
        <w:footnoteRef/>
      </w:r>
      <w:r>
        <w:rPr>
          <w:lang w:val="fr-BE"/>
        </w:rPr>
        <w:tab/>
      </w:r>
      <w:r>
        <w:rPr>
          <w:sz w:val="18"/>
          <w:lang w:val="fr-BE"/>
        </w:rPr>
        <w:t>Selon la nomenclature budgétaire officielle.</w:t>
      </w:r>
    </w:p>
  </w:footnote>
  <w:footnote w:id="8">
    <w:p>
      <w:pPr>
        <w:pStyle w:val="FootnoteText"/>
        <w:rPr>
          <w:szCs w:val="24"/>
          <w:lang w:val="fr-BE"/>
        </w:rPr>
      </w:pPr>
      <w:r>
        <w:rPr>
          <w:rStyle w:val="FootnoteReference"/>
        </w:rPr>
        <w:footnoteRef/>
      </w:r>
      <w:r>
        <w:rPr>
          <w:lang w:val="fr-BE"/>
        </w:rPr>
        <w:tab/>
      </w:r>
      <w:r>
        <w:rPr>
          <w:sz w:val="18"/>
          <w:lang w:val="fr-BE"/>
        </w:rPr>
        <w:t>Assistance technique et/ou administrative et dépenses d’appui à la mise en œuvre de programmes et/ou d’actions de l’UE (anciennes lignes «BA»), recherche indirecte, recherche directe.</w:t>
      </w:r>
    </w:p>
  </w:footnote>
  <w:footnote w:id="9">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
    <w:p>
      <w:pPr>
        <w:pStyle w:val="FootnoteText"/>
        <w:rPr>
          <w:szCs w:val="24"/>
          <w:lang w:val="fr-BE"/>
        </w:rPr>
      </w:pPr>
      <w:r>
        <w:rPr>
          <w:rStyle w:val="FootnoteReference"/>
        </w:rPr>
        <w:footnoteRef/>
      </w:r>
      <w:r>
        <w:rPr>
          <w:lang w:val="fr-BE"/>
        </w:rPr>
        <w:tab/>
        <w:t xml:space="preserve">Tel que décrit dans la partie 1.4.2. «Objectif(s) spécifique(s)…». </w:t>
      </w:r>
    </w:p>
  </w:footnote>
  <w:footnote w:id="11">
    <w:p>
      <w:pPr>
        <w:pStyle w:val="FootnoteText"/>
        <w:rPr>
          <w:sz w:val="18"/>
          <w:szCs w:val="18"/>
          <w:lang w:val="fr-BE"/>
        </w:rPr>
      </w:pPr>
      <w:r>
        <w:rPr>
          <w:rStyle w:val="FootnoteReference"/>
        </w:rPr>
        <w:footnoteRef/>
      </w:r>
      <w:r>
        <w:rPr>
          <w:sz w:val="18"/>
          <w:lang w:val="fr-BE"/>
        </w:rPr>
        <w:tab/>
        <w:t>L’année N est l’année du début de la mise en œuvre de la proposition/de l’initiative. Veuillez remplacer «N» par la première année de mise en œuvre prévue (par exemple: 2021). Procédez de la même façon pour les années suivantes.</w:t>
      </w:r>
    </w:p>
  </w:footnote>
  <w:footnote w:id="12">
    <w:p>
      <w:pPr>
        <w:pStyle w:val="FootnoteText"/>
        <w:rPr>
          <w:szCs w:val="24"/>
          <w:lang w:val="fr-BE"/>
        </w:rPr>
      </w:pPr>
      <w:r>
        <w:rPr>
          <w:rStyle w:val="FootnoteReference"/>
        </w:rPr>
        <w:footnoteRef/>
      </w:r>
      <w:r>
        <w:rPr>
          <w:lang w:val="fr-BE"/>
        </w:rPr>
        <w:tab/>
      </w:r>
      <w:r>
        <w:rPr>
          <w:sz w:val="18"/>
          <w:lang w:val="fr-BE"/>
        </w:rPr>
        <w:t>Assistance technique et/ou administrative et dépenses d’appui à la mise en œuvre de programmes et/ou d’actions de l’UE (anciennes lignes «BA»), recherche indirecte, recherche directe.</w:t>
      </w:r>
    </w:p>
  </w:footnote>
  <w:footnote w:id="13">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14">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5">
    <w:p>
      <w:pPr>
        <w:pStyle w:val="FootnoteText"/>
        <w:rPr>
          <w:lang w:val="fr-BE"/>
        </w:rPr>
      </w:pPr>
      <w:r>
        <w:rPr>
          <w:rStyle w:val="FootnoteReference"/>
        </w:rPr>
        <w:footnoteRef/>
      </w:r>
      <w:r>
        <w:rPr>
          <w:lang w:val="fr-BE"/>
        </w:rPr>
        <w:tab/>
        <w:t>L’année N est l’année du début de la mise en œuvre de la proposition/de l’initiative. Veuillez remplacer «N» par la première année de mise en œuvre prévue (par exemple: 2021). Procédez de la même façon pour les années suivantes.</w:t>
      </w:r>
    </w:p>
  </w:footnote>
  <w:footnote w:id="16">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4"/>
  </w:num>
  <w:num w:numId="19">
    <w:abstractNumId w:val="15"/>
  </w:num>
  <w:num w:numId="20">
    <w:abstractNumId w:val="26"/>
  </w:num>
  <w:num w:numId="21">
    <w:abstractNumId w:val="10"/>
  </w:num>
  <w:num w:numId="22">
    <w:abstractNumId w:val="16"/>
  </w:num>
  <w:num w:numId="23">
    <w:abstractNumId w:val="8"/>
  </w:num>
  <w:num w:numId="24">
    <w:abstractNumId w:val="25"/>
  </w:num>
  <w:num w:numId="25">
    <w:abstractNumId w:val="7"/>
  </w:num>
  <w:num w:numId="26">
    <w:abstractNumId w:val="17"/>
  </w:num>
  <w:num w:numId="27">
    <w:abstractNumId w:val="22"/>
  </w:num>
  <w:num w:numId="28">
    <w:abstractNumId w:val="23"/>
  </w:num>
  <w:num w:numId="29">
    <w:abstractNumId w:val="9"/>
  </w:num>
  <w:num w:numId="30">
    <w:abstractNumId w:val="21"/>
  </w:num>
  <w:num w:numId="31">
    <w:abstractNumId w:val="28"/>
  </w:num>
  <w:num w:numId="32">
    <w:abstractNumId w:val="24"/>
  </w:num>
  <w:num w:numId="33">
    <w:abstractNumId w:val="15"/>
  </w:num>
  <w:num w:numId="34">
    <w:abstractNumId w:val="26"/>
  </w:num>
  <w:num w:numId="35">
    <w:abstractNumId w:val="10"/>
  </w:num>
  <w:num w:numId="36">
    <w:abstractNumId w:val="16"/>
  </w:num>
  <w:num w:numId="37">
    <w:abstractNumId w:val="8"/>
  </w:num>
  <w:num w:numId="38">
    <w:abstractNumId w:val="25"/>
  </w:num>
  <w:num w:numId="39">
    <w:abstractNumId w:val="7"/>
  </w:num>
  <w:num w:numId="40">
    <w:abstractNumId w:val="17"/>
  </w:num>
  <w:num w:numId="41">
    <w:abstractNumId w:val="22"/>
  </w:num>
  <w:num w:numId="42">
    <w:abstractNumId w:val="23"/>
  </w:num>
  <w:num w:numId="43">
    <w:abstractNumId w:val="9"/>
  </w:num>
  <w:num w:numId="44">
    <w:abstractNumId w:val="21"/>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09:11: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2"/>
    <w:docVar w:name="DQCResult_ModifiedMarkers" w:val="0;0"/>
    <w:docVar w:name="DQCResult_ModifiedNumbering" w:val="0;0"/>
    <w:docVar w:name="DQCResult_Objects" w:val="0;0"/>
    <w:docVar w:name="DQCResult_Sections" w:val="0;2"/>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7BED80-86AE-4CF5-8E76-ECB4ED42ABCE"/>
    <w:docVar w:name="LW_COVERPAGE_TYPE" w:val="1"/>
    <w:docVar w:name="LW_CROSSREFERENCE" w:val="&lt;UNUSED&gt;"/>
    <w:docVar w:name="LW_DocType" w:val="COM"/>
    <w:docVar w:name="LW_EMISSION" w:val="24.9.2020"/>
    <w:docVar w:name="LW_EMISSION_ISODATE" w:val="2020-09-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5"/>
    <w:docVar w:name="LW_REF.II.NEW.CP_YEAR" w:val="2020"/>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e l'accord sous forme d'échange de lettres entre l\u8217?Union européenne et le gouvernement des Îles Cook concernant la prorogation du protocole de mise en \u339?uvre de l\u8217?accord de partenariat dans le domaine de la pêche durable entre l\u8217?Union européenne et le gouvernement des Îles Cook"/>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20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4C92-9E23-44F2-A85F-3AB38151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22</Pages>
  <Words>4937</Words>
  <Characters>27451</Characters>
  <Application>Microsoft Office Word</Application>
  <DocSecurity>0</DocSecurity>
  <Lines>1143</Lines>
  <Paragraphs>498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2020-09-21T07:18:00Z</dcterms:created>
  <dcterms:modified xsi:type="dcterms:W3CDTF">2020-09-25T07:11:00Z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