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D07F0067-DB31-44DD-A6F1-CD220DC751AD" style="width:451pt;height:365.5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за нов протокол, който отговаря на актуалните възможности и потребности на риболовния флот на държавите членки и е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Европейският съюз и правителството на Република Либерия сключиха споразумение за партньорство в областта на устойчивото рибарство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>, което е в сила от 9 декември 2015 г.</w:t>
      </w:r>
      <w:r>
        <w:rPr>
          <w:rStyle w:val="FootnoteReference"/>
          <w:rFonts w:eastAsia="Arial Unicode MS"/>
          <w:noProof/>
        </w:rPr>
        <w:footnoteReference w:id="2"/>
      </w:r>
      <w:r>
        <w:rPr>
          <w:noProof/>
        </w:rPr>
        <w:t xml:space="preserve">. Срокът на действие на протокола за прилагане на това споразумение изтича на 8 декември 2020 г. В протокола се определят възможностите за риболов, които се предоставят на флота на Съюза, и съответното финансово участие, изплащано от Съюза и корабособствениците.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протокола се предвижда изплащането от бюджета на ЕС на финансова компенсация за достъп до риболовната зона на Република Либерия в размер на 357 500 EUR за първата година, 325 000 EUR за втората, третата и четвъртата година и 292 500 EUR за петата година, което съответства на референтен тонаж от 6500 тона годишно. Въз основа на цените, определени в протокола, собствениците на кораби от ЕС плащат и такси за издаване на разрешения за улов в рамките на отпуснатата квота. Наред с това от бюджета на ЕС се предоставят 1 625 000 EUR в подкрепа на секторната политика на Република Либерия в областта на рибарството за петгодишния срок на протокола.</w:t>
      </w:r>
    </w:p>
    <w:p>
      <w:pPr>
        <w:rPr>
          <w:noProof/>
        </w:rPr>
      </w:pPr>
      <w:r>
        <w:rPr>
          <w:noProof/>
        </w:rPr>
        <w:t>По силата на споразумението за партньорство в областта на устойчивото рибарство (СПОУР) с Република Либерия кораби на ЕС от две държави членки — Испания и Франция, получават възможности за улов на риба тон и далекомигриращи видове. СПОУР с Република Либерия е част от добре развита мрежа от двустранни СПОУР с държави от Западна и Централна Африка, а именно с Мароко, Мавритания, Сенегал, Кабо Верде, Гамбия, Кот д’Ивоар и Сао Томе и Принсипи.</w:t>
      </w:r>
    </w:p>
    <w:p>
      <w:pPr>
        <w:rPr>
          <w:noProof/>
        </w:rPr>
      </w:pPr>
      <w:r>
        <w:rPr>
          <w:noProof/>
        </w:rPr>
        <w:t xml:space="preserve">СПОУР допринасят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Те също така подкрепят сътрудничеството в научната сфера между ЕС и неговите партньори и насърчават прозрачността и устойчивостта с оглед на по-доброто управление на рибните ресурси. СПОУР допринасят за управлението, като, от една страна, подпомагат наблюдението, контрола и надзора на дейностите, извършвани от националните и чуждестранните флотове, и предоставят финансиране за борбата с незаконния, недеклариран и нерегулиран риболов и, от друга страна, стимулират устойчивото развитие на местния рибарски сектор. </w:t>
      </w:r>
    </w:p>
    <w:p>
      <w:pPr>
        <w:rPr>
          <w:noProof/>
        </w:rPr>
      </w:pPr>
      <w:r>
        <w:rPr>
          <w:noProof/>
        </w:rPr>
        <w:lastRenderedPageBreak/>
        <w:t>Посредством СПОУР се укрепва позицията на Европейския съюз като член на Международната комисия за опазване на рибата тон в Атлантическия океан (ICCAT) — създаден по силата на международното право орган за опазване и управление на далекомигриращите видове в региона.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Преговорите за нов протокол с Република Либерия са съгласувани с външната дейност на ЕС, насочена към държавите от Африка, Карибите и Тихоокеанския басейн, и по-конкретно с целите на Съюза по отношение на спазването на демократичните принципи и правата на човека.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218, параграфи 3 и 4 от Договора за функционирането на Европейския съюз (ДФЕС), в който се описва процедурата за водене на преговори и сключване на споразумения между ЕС и трети държави.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Решението е пропорционално на целта.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по силата на член 218, параграфи 3 и 4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През 2019—2020 г. Комисията извърши последваща оценка на действащия в момента протокол към Споразумението за партньорство в областта на устойчивото рибарство между Европейския съюз и правителството на Република Либерия, както и предварителна оценка на евентуалното подновяване на този протокол. Заключенията от оценката са изложени в отделен работен документ на службите на Комисията</w:t>
      </w:r>
      <w:r>
        <w:rPr>
          <w:rStyle w:val="FootnoteReference"/>
          <w:rFonts w:eastAsia="Arial Unicode MS"/>
          <w:noProof/>
        </w:rPr>
        <w:footnoteReference w:id="3"/>
      </w:r>
      <w:r>
        <w:rPr>
          <w:noProof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заключението от оценката се посочва, че риболовният сектор на ЕС (различни видове риба тон) е силно заинтересован от извършването на дейност в риболовната зона на Република Либерия и че подновяването на протокола категорично е предпочитаният вариант. Неподновяването на протокола би лишило Съюза от инструмент, който е в състояние да отговори на потребностите на различните заинтересовани страни и на собствените му потребности, свързани с укрепването на глобалното управление на източната част на Атлантическия океан чрез многостранната рамка на ICCAT.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Що се отнася до Република Либерия, намесата на ЕС предоставя добавена стойност по отношение на многогодишната сигурност на бюджетните приходи, официална платформа за секторен диалог и непосредствена комуникация с ЕС във връзка със сътрудничеството и рамка за съвместно наблюдение и контрол на дейностите на ЕС. СПОУР допринасят за насърчаването на отговорни риболовни практики и предоставят достъп до специален бюджетен ред (секторна подкрепа) за финансовото подпомагане, предназначено за прилагането на националната политика в областта на рибарството от страна на Република Либерия.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 изготвянето на оценката бяха проведени консултации с държавите членки, с представители на сектора, с международни организации на гражданското общество, както и с представители на органа за управление на рибарството и с гражданското общество на Република Либерия. Консултации бяха проведени и в рамките на Консултативния съвет по далечно плаване.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СПОУР е включена клауза относно последиците от нарушенията на правата на човека и демократичните принципи.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Отражението върху бюджета, свързано с новия протокол, се изразява в плащането на Република Либерия на финансово участие, което е съвместимо с текущата многогодишна финансова рамка, и по-конкретно средства по бюджетния ред</w:t>
      </w:r>
      <w:r>
        <w:rPr>
          <w:rStyle w:val="FootnoteReference"/>
          <w:rFonts w:eastAsia="Arial Unicode MS"/>
          <w:noProof/>
        </w:rPr>
        <w:footnoteReference w:id="4"/>
      </w:r>
      <w:r>
        <w:rPr>
          <w:noProof/>
        </w:rPr>
        <w:t xml:space="preserve"> за споразуменията за партньорство в областта на устойчивото рибарство. Годишните суми за поетите задължения и плащанията са установени в годишната бюджетна процедура, включително в бюджетен ред „Резерви“ по отношение на предложенията, които не са влезли в сила към началото на годината.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Планове за изпълнение и механизми за мониторинг, оценка и докладване</w:t>
      </w:r>
    </w:p>
    <w:p>
      <w:pPr>
        <w:rPr>
          <w:noProof/>
        </w:rPr>
      </w:pPr>
      <w:r>
        <w:rPr>
          <w:noProof/>
        </w:rPr>
        <w:t>Съгласно Регламент (ЕО) № 1005/2008 на Съвета от 29 септември 2008 г. за създаване на система на Общността за предотвратяване, възпиране и премахване на незаконния, недеклариран и нерегулиран риболов, на 23 май 2017 г. с Решение 2017/C 169/12 на Комисията</w:t>
      </w:r>
      <w:r>
        <w:rPr>
          <w:rStyle w:val="FootnoteReference"/>
          <w:rFonts w:eastAsia="Calibri"/>
          <w:noProof/>
          <w:lang w:eastAsia="en-GB"/>
        </w:rPr>
        <w:footnoteReference w:id="5"/>
      </w:r>
      <w:r>
        <w:rPr>
          <w:noProof/>
        </w:rPr>
        <w:t xml:space="preserve"> Република Либерия беше уведомена за възможността да бъде определена за </w:t>
      </w:r>
      <w:r>
        <w:rPr>
          <w:noProof/>
        </w:rPr>
        <w:lastRenderedPageBreak/>
        <w:t>несътрудничеща трета държава в борбата с незаконния, недеклариран и нерегулиран риболов. Преговорите за сключване на протокол към Споразумението за партньорство в областта на устойчивото рибарство между Европейския съюз и правителството на Република Либерия ще започнат едва когато Решение 2017/C 169/12 на Комисията бъде отменено.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нов протокол към Споразумението за партньорство в областта на устойчивото рибарство с правителството на Република Либерия,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Комисията да бъде определена за преговарящ на ЕС по този въпрос,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Комисията да води преговорите в консултация със специалния комитет, създаден в съответствие с ДФЕС,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одобри указанията за водене на преговори, приложени към настоящата препоръка.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от името на Европейския съюз за сключване на протокол към Споразумението за партньорство в областта на устойчивото рибарство с правителството на Република Либерия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Следва да започнат преговори за сключване на нов протокол към Споразумението за партньорство в областта на устойчивото рибарство между Европейския съюз и правителството на Република Либерия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Съгласно Регламент (ЕО) № 1005/2008 на Съвета от 29 септември 2008 г. за създаване на система на Общността за предотвратяване, възпиране и премахване на незаконния, недеклариран и нерегулиран риболов, на 23 май 2017 г. с Решение 2017/C 169/12 на Комисията Република Либерия беше уведомена за възможността да бъде определена за несътрудничеща трета държава в борбата с незаконния, недеклариран и нерегулиран риболов. Преговорите за сключване на протокол към Споразумението за партньорство в областта на устойчивото рибарство между Европейския съюз и правителството на Република Либерия следва да започнат едва когато Решение 2017/C 169/12 на Комисията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бъде отменено,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rPr>
          <w:noProof/>
        </w:rPr>
      </w:pPr>
      <w:r>
        <w:rPr>
          <w:noProof/>
        </w:rPr>
        <w:t>Комисията се упълномощава да проведе преговори, от името на Съюза, за нов протокол към Споразумението за партньорство в областта на устойчивото рибарство между Европейския съюз и правителството на Република Либерия.</w:t>
      </w:r>
    </w:p>
    <w:p>
      <w:pPr>
        <w:rPr>
          <w:i/>
          <w:noProof/>
        </w:rPr>
      </w:pPr>
      <w:r>
        <w:rPr>
          <w:noProof/>
        </w:rPr>
        <w:t>Комисията започва тези преговори след отмяната на Решение 2017/C 169/12.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lastRenderedPageBreak/>
        <w:t>Член 2</w:t>
      </w:r>
    </w:p>
    <w:p>
      <w:pPr>
        <w:keepNext/>
        <w:spacing w:before="360"/>
        <w:jc w:val="left"/>
        <w:rPr>
          <w:noProof/>
        </w:rPr>
      </w:pPr>
      <w:r>
        <w:rPr>
          <w:noProof/>
        </w:rPr>
        <w:t>Указанията за водене на преговорите се съдържат в приложението.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rPr>
          <w:noProof/>
        </w:rPr>
      </w:pPr>
      <w:r>
        <w:rPr>
          <w:noProof/>
        </w:rPr>
        <w:t>Преговорите се водят в консултация с Работната група на Съвета по външна политика на рибарството.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4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bookmarkStart w:id="1" w:name="_CopyToNewDocument_"/>
      <w:bookmarkEnd w:id="1"/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 L 177, 1.7.2016 г.</w:t>
      </w:r>
      <w:r>
        <w:tab/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OВ L 328, 12.12.2015 г., стр. 3—43.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SWD(2020) 196.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Вж. глава 40 (бюджетен ред 40 02 41 — „Резерви“) в съответствие с междуинституционалното споразумение относно многогодишната финансова рамка (2013/C 373/01).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2017/C 169/12, OВ 169/11, 30.5.2017 г., стр. 11—16.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Споразумение за партньорство в областта на устойчивото рибарство между Европейския съюз и Република Либерия</w:t>
      </w:r>
    </w:p>
    <w:p>
      <w:pPr>
        <w:pStyle w:val="FootnoteText"/>
      </w:pPr>
      <w:r>
        <w:t>(OВ L 328, 12.12.2015 г., стр. 3).</w:t>
      </w:r>
    </w:p>
  </w:footnote>
  <w:footnote w:id="7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Решение 2017/C 169/12 на Комисията от 23 май 2017 г. за уведомяване на Република Либерия относно възможността да бъде определена за несътрудничеща трета държава в борбата с незаконния, недеклариран и нерегулиран риболов (OВ C 169, 30.5.2017 г., стр. 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F7AD8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E7023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4968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F6A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E0F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720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0A77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AEC7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8 13:47:0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D07F0067-DB31-44DD-A6F1-CD220DC751AD"/>
    <w:docVar w:name="LW_COVERPAGE_TYPE" w:val="1"/>
    <w:docVar w:name="LW_CROSSREFERENCE" w:val="{SWD(2020) 196 final} - {SWD(2020) 197 final}"/>
    <w:docVar w:name="LW_DocType" w:val="COM"/>
    <w:docVar w:name="LW_EMISSION" w:val="25.9.2020"/>
    <w:docVar w:name="LW_EMISSION_ISODATE" w:val="2020-09-25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5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&lt;FMT:Bold&gt;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87?\u1088?\u1072?\u1074?\u1080?\u1090?\u1077?\u1083?\u1089?\u1090?\u1074?\u1086?\u1090?\u1086? \u1085?\u1072? \u1056?\u1077?\u1087?\u1091?\u1073?\u1083?\u1080?\u1082?\u1072? \u1051?\u1080?\u1073?\u1077?\u1088?\u1080?\u1103?&lt;/FMT&gt;"/>
    <w:docVar w:name="LW_TITRE.OBJ.CP" w:val="&lt;FMT:Bold&gt;\u1079?\u1072? \u1088?\u1072?\u1079?\u1088?\u1077?\u1096?\u1072?\u1074?\u1072?\u1085?\u1077? \u1085?\u1072? \u1079?\u1072?\u1087?\u1086?\u1095?\u1074?\u1072?\u1085?\u1077?\u1090?\u1086? \u1085?\u1072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87?\u1088?\u1072?\u1074?\u1080?\u1090?\u1077?\u1083?\u1089?\u1090?\u1074?\u1086?\u1090?\u1086? \u1085?\u1072? \u1056?\u1077?\u1087?\u1091?\u1073?\u1083?\u1080?\u1082?\u1072? \u1051?\u1080?\u1073?\u1077?\u1088?\u1080?\u1103?&lt;/FMT&gt;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tabs>
        <w:tab w:val="clear" w:pos="926"/>
        <w:tab w:val="num" w:pos="360"/>
      </w:tabs>
      <w:ind w:left="0"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tabs>
        <w:tab w:val="clear" w:pos="1209"/>
        <w:tab w:val="num" w:pos="360"/>
      </w:tabs>
      <w:ind w:left="0" w:firstLine="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tabs>
        <w:tab w:val="clear" w:pos="926"/>
        <w:tab w:val="num" w:pos="360"/>
      </w:tabs>
      <w:ind w:left="0"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tabs>
        <w:tab w:val="clear" w:pos="1209"/>
        <w:tab w:val="num" w:pos="360"/>
      </w:tabs>
      <w:ind w:left="0" w:firstLine="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5F21-51C0-484B-B19E-28B7A83B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1486</Words>
  <Characters>8803</Characters>
  <Application>Microsoft Office Word</Application>
  <DocSecurity>0</DocSecurity>
  <Lines>176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2020-09-16T12:39:00Z</dcterms:created>
  <dcterms:modified xsi:type="dcterms:W3CDTF">2020-09-18T11:47:00Z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