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EA35EBC3-BD19-479E-8B4C-ED1768E0CED6" style="width:451.15pt;height:424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  <w:szCs w:val="24"/>
        </w:rPr>
        <w:lastRenderedPageBreak/>
        <w:t xml:space="preserve">ANNEX </w:t>
      </w:r>
      <w:r>
        <w:rPr>
          <w:noProof/>
        </w:rPr>
        <w:t>I</w:t>
      </w:r>
    </w:p>
    <w:p>
      <w:pPr>
        <w:ind w:firstLine="720"/>
        <w:rPr>
          <w:rFonts w:eastAsia="Calibri"/>
          <w:b/>
          <w:noProof/>
          <w:szCs w:val="24"/>
        </w:rPr>
      </w:pPr>
      <w:r>
        <w:rPr>
          <w:rFonts w:eastAsia="Calibri"/>
          <w:b/>
          <w:noProof/>
          <w:szCs w:val="24"/>
        </w:rPr>
        <w:t>Standard form for establishing a Search and Rescue Solidarity Response Plan in accordance with Article 47</w:t>
      </w:r>
    </w:p>
    <w:p>
      <w:pPr>
        <w:pStyle w:val="Bullet0"/>
        <w:numPr>
          <w:ilvl w:val="0"/>
          <w:numId w:val="10"/>
        </w:numPr>
        <w:rPr>
          <w:noProof/>
          <w:szCs w:val="24"/>
        </w:rPr>
      </w:pPr>
      <w:r>
        <w:rPr>
          <w:noProof/>
          <w:szCs w:val="24"/>
        </w:rPr>
        <w:t>Contributing Member State: ………</w:t>
      </w:r>
    </w:p>
    <w:p>
      <w:pPr>
        <w:pStyle w:val="Bullet0"/>
        <w:rPr>
          <w:noProof/>
          <w:szCs w:val="24"/>
        </w:rPr>
      </w:pPr>
      <w:r>
        <w:rPr>
          <w:noProof/>
          <w:szCs w:val="24"/>
        </w:rPr>
        <w:t>Reference No……. (Rev)</w:t>
      </w:r>
      <w:r>
        <w:rPr>
          <w:rStyle w:val="FootnoteReference"/>
          <w:noProof/>
          <w:szCs w:val="24"/>
        </w:rPr>
        <w:footnoteReference w:id="1"/>
      </w:r>
      <w:r>
        <w:rPr>
          <w:noProof/>
          <w:szCs w:val="24"/>
        </w:rPr>
        <w:t>…..</w:t>
      </w:r>
    </w:p>
    <w:p>
      <w:pPr>
        <w:pStyle w:val="Bullet0"/>
        <w:rPr>
          <w:noProof/>
          <w:szCs w:val="24"/>
        </w:rPr>
      </w:pPr>
      <w:r>
        <w:rPr>
          <w:noProof/>
          <w:szCs w:val="24"/>
        </w:rPr>
        <w:t>Date of submission:……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>
        <w:tc>
          <w:tcPr>
            <w:tcW w:w="2376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Measures set out in Article 45 (a) and (e)</w:t>
            </w:r>
          </w:p>
        </w:tc>
        <w:tc>
          <w:tcPr>
            <w:tcW w:w="765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 xml:space="preserve">Number of relocations </w:t>
            </w:r>
          </w:p>
        </w:tc>
      </w:tr>
      <w:tr>
        <w:tc>
          <w:tcPr>
            <w:tcW w:w="2376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Relocation of applicants for international protection 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</w:tbl>
    <w:p>
      <w:pPr>
        <w:rPr>
          <w:noProof/>
          <w:szCs w:val="24"/>
        </w:rPr>
      </w:pP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>
        <w:tc>
          <w:tcPr>
            <w:tcW w:w="2376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 xml:space="preserve">Measures set out in Article 45(d) </w:t>
            </w:r>
          </w:p>
        </w:tc>
        <w:tc>
          <w:tcPr>
            <w:tcW w:w="765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Quantity/Description/timeframe for implementation</w:t>
            </w:r>
          </w:p>
        </w:tc>
      </w:tr>
      <w:tr>
        <w:tc>
          <w:tcPr>
            <w:tcW w:w="2376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Capacity-building measures in the field of asylum, reception and return 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376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Operational support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376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  <w:szCs w:val="24"/>
              </w:rPr>
              <w:t>Measures aimed at responding to migratory trends affecting the benefitting Member State though cooperation with third countries</w:t>
            </w:r>
            <w:r>
              <w:rPr>
                <w:rFonts w:eastAsia="Calibri"/>
                <w:noProof/>
                <w:szCs w:val="24"/>
              </w:rPr>
              <w:t xml:space="preserve"> 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</w:tbl>
    <w:p>
      <w:pPr>
        <w:spacing w:before="0" w:after="200" w:line="276" w:lineRule="auto"/>
        <w:jc w:val="left"/>
        <w:rPr>
          <w:b/>
          <w:noProof/>
          <w:szCs w:val="24"/>
          <w:u w:val="single"/>
        </w:rPr>
      </w:pPr>
      <w:r>
        <w:rPr>
          <w:noProof/>
          <w:szCs w:val="24"/>
        </w:rPr>
        <w:br w:type="page"/>
      </w:r>
    </w:p>
    <w:p>
      <w:pPr>
        <w:pStyle w:val="Annexetitre"/>
        <w:rPr>
          <w:noProof/>
        </w:rPr>
      </w:pPr>
      <w:r>
        <w:rPr>
          <w:noProof/>
          <w:szCs w:val="24"/>
        </w:rPr>
        <w:lastRenderedPageBreak/>
        <w:t xml:space="preserve">ANNEX </w:t>
      </w:r>
      <w:r>
        <w:rPr>
          <w:noProof/>
        </w:rPr>
        <w:t>II</w:t>
      </w:r>
    </w:p>
    <w:p>
      <w:pPr>
        <w:ind w:firstLine="720"/>
        <w:rPr>
          <w:rFonts w:eastAsia="Calibri"/>
          <w:b/>
          <w:noProof/>
          <w:szCs w:val="24"/>
        </w:rPr>
      </w:pPr>
      <w:r>
        <w:rPr>
          <w:rFonts w:eastAsia="Calibri"/>
          <w:b/>
          <w:noProof/>
          <w:szCs w:val="24"/>
        </w:rPr>
        <w:t>Standard form for establishing a Solidarity Response Plan in accordance with Article 50</w:t>
      </w:r>
    </w:p>
    <w:p>
      <w:pPr>
        <w:pStyle w:val="Bullet0"/>
        <w:rPr>
          <w:noProof/>
          <w:szCs w:val="24"/>
        </w:rPr>
      </w:pPr>
      <w:r>
        <w:rPr>
          <w:noProof/>
          <w:szCs w:val="24"/>
        </w:rPr>
        <w:t>Benefitting Member State: ……</w:t>
      </w:r>
    </w:p>
    <w:p>
      <w:pPr>
        <w:pStyle w:val="Bullet0"/>
        <w:rPr>
          <w:noProof/>
          <w:szCs w:val="24"/>
        </w:rPr>
      </w:pPr>
      <w:r>
        <w:rPr>
          <w:noProof/>
          <w:szCs w:val="24"/>
        </w:rPr>
        <w:t>Contributing Member State: ………</w:t>
      </w:r>
    </w:p>
    <w:p>
      <w:pPr>
        <w:pStyle w:val="Bullet0"/>
        <w:rPr>
          <w:noProof/>
          <w:szCs w:val="24"/>
        </w:rPr>
      </w:pPr>
      <w:r>
        <w:rPr>
          <w:noProof/>
          <w:szCs w:val="24"/>
        </w:rPr>
        <w:t>Reference No: ……. (Rev)</w:t>
      </w:r>
      <w:r>
        <w:rPr>
          <w:rStyle w:val="FootnoteReference"/>
          <w:noProof/>
          <w:szCs w:val="24"/>
        </w:rPr>
        <w:footnoteReference w:id="2"/>
      </w:r>
      <w:r>
        <w:rPr>
          <w:noProof/>
          <w:szCs w:val="24"/>
        </w:rPr>
        <w:t>…..</w:t>
      </w:r>
    </w:p>
    <w:p>
      <w:pPr>
        <w:pStyle w:val="Bullet0"/>
        <w:rPr>
          <w:noProof/>
          <w:szCs w:val="24"/>
        </w:rPr>
      </w:pPr>
      <w:r>
        <w:rPr>
          <w:noProof/>
          <w:szCs w:val="24"/>
        </w:rPr>
        <w:t>Date of submission:……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>
        <w:tc>
          <w:tcPr>
            <w:tcW w:w="3369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Measures set out in Article 45 (a), (b), (c)</w:t>
            </w:r>
          </w:p>
        </w:tc>
        <w:tc>
          <w:tcPr>
            <w:tcW w:w="5953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Share for each measure</w:t>
            </w:r>
          </w:p>
        </w:tc>
      </w:tr>
      <w:tr>
        <w:tc>
          <w:tcPr>
            <w:tcW w:w="3369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Relocation of applicants who are not subject to the border procedure for the examination of an application for international protection established by Article 41 of Regulation (EU) XXX/XXX (Asylum Procedures Regulation), including share of unaccompanied minors </w:t>
            </w:r>
          </w:p>
        </w:tc>
        <w:tc>
          <w:tcPr>
            <w:tcW w:w="5953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rFonts w:eastAsia="Calibri"/>
                <w:noProof/>
                <w:szCs w:val="24"/>
              </w:rPr>
              <w:t>Share:</w:t>
            </w:r>
          </w:p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noProof/>
                <w:szCs w:val="24"/>
              </w:rPr>
              <w:t>Of which, UAMs:</w:t>
            </w:r>
          </w:p>
        </w:tc>
      </w:tr>
      <w:tr>
        <w:tc>
          <w:tcPr>
            <w:tcW w:w="3369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rFonts w:eastAsia="Calibri"/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Return sponsorship in relation to illegally staying third-country nationals </w:t>
            </w:r>
          </w:p>
        </w:tc>
        <w:tc>
          <w:tcPr>
            <w:tcW w:w="5953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rFonts w:eastAsia="Calibri"/>
                <w:noProof/>
                <w:szCs w:val="24"/>
              </w:rPr>
              <w:t>Share:</w:t>
            </w:r>
          </w:p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noProof/>
                <w:szCs w:val="24"/>
              </w:rPr>
              <w:t>Nationalities of illegally staying third-country nationals to sponsor</w:t>
            </w:r>
            <w:r>
              <w:rPr>
                <w:rStyle w:val="FootnoteReference"/>
                <w:rFonts w:eastAsia="Calibri"/>
                <w:noProof/>
                <w:szCs w:val="24"/>
              </w:rPr>
              <w:footnoteReference w:id="3"/>
            </w:r>
            <w:r>
              <w:rPr>
                <w:rFonts w:eastAsia="Calibri"/>
                <w:noProof/>
                <w:szCs w:val="24"/>
              </w:rPr>
              <w:t>:</w:t>
            </w:r>
          </w:p>
        </w:tc>
      </w:tr>
      <w:tr>
        <w:tc>
          <w:tcPr>
            <w:tcW w:w="3369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Relocation of beneficiaries of international protection including, share of unaccompanied minors</w:t>
            </w:r>
          </w:p>
        </w:tc>
        <w:tc>
          <w:tcPr>
            <w:tcW w:w="5953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rFonts w:eastAsia="Calibri"/>
                <w:noProof/>
                <w:szCs w:val="24"/>
              </w:rPr>
              <w:t>Share:</w:t>
            </w:r>
          </w:p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noProof/>
                <w:szCs w:val="24"/>
              </w:rPr>
            </w:pPr>
            <w:r>
              <w:rPr>
                <w:rFonts w:eastAsia="Calibri"/>
                <w:noProof/>
                <w:szCs w:val="24"/>
              </w:rPr>
              <w:t>Of which, UAMs:</w:t>
            </w:r>
          </w:p>
        </w:tc>
      </w:tr>
      <w:tr>
        <w:tc>
          <w:tcPr>
            <w:tcW w:w="3369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TOTAL</w:t>
            </w:r>
          </w:p>
        </w:tc>
        <w:tc>
          <w:tcPr>
            <w:tcW w:w="5953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100%</w:t>
            </w:r>
          </w:p>
        </w:tc>
      </w:tr>
    </w:tbl>
    <w:p>
      <w:pPr>
        <w:rPr>
          <w:b/>
          <w:noProof/>
          <w:szCs w:val="24"/>
        </w:rPr>
      </w:pPr>
      <w:r>
        <w:rPr>
          <w:b/>
          <w:noProof/>
          <w:szCs w:val="24"/>
        </w:rPr>
        <w:t>To be filled in only if the Report on Migratory Pressure identifies the need for such measures in accordance with Article 49(3)(b)(iii):</w:t>
      </w: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>
        <w:tc>
          <w:tcPr>
            <w:tcW w:w="2660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 xml:space="preserve">Measures set out in Article 45(d) </w:t>
            </w:r>
          </w:p>
        </w:tc>
        <w:tc>
          <w:tcPr>
            <w:tcW w:w="6662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Quantity/Description/timeframe for implementation</w:t>
            </w: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Capacity-building measures in the field of asylum, reception and return </w:t>
            </w: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  <w:szCs w:val="24"/>
              </w:rPr>
              <w:t>Operational support</w:t>
            </w: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  <w:szCs w:val="24"/>
              </w:rPr>
              <w:t>Measures aimed at responding to migratory trends affecting the benefitting Member State though cooperation with third countries</w:t>
            </w:r>
            <w:r>
              <w:rPr>
                <w:rFonts w:eastAsia="Calibri"/>
                <w:noProof/>
                <w:szCs w:val="24"/>
              </w:rPr>
              <w:t xml:space="preserve"> </w:t>
            </w: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</w:tbl>
    <w:p>
      <w:pPr>
        <w:rPr>
          <w:rFonts w:eastAsia="Calibri"/>
          <w:b/>
          <w:noProof/>
          <w:szCs w:val="24"/>
        </w:rPr>
      </w:pP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>
        <w:tc>
          <w:tcPr>
            <w:tcW w:w="2660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 xml:space="preserve">Application for reduction in contributions in line with Article 50(4) </w:t>
            </w:r>
          </w:p>
        </w:tc>
        <w:tc>
          <w:tcPr>
            <w:tcW w:w="6662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Average per capita applications for international protection over </w:t>
            </w:r>
            <w:r>
              <w:rPr>
                <w:b/>
                <w:noProof/>
                <w:szCs w:val="24"/>
                <w:lang w:val="en"/>
              </w:rPr>
              <w:t xml:space="preserve">5 years (based on the latest full year EUROSTAT statistics)  </w:t>
            </w: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</w:tbl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ANNEX III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Formula for the distribution key pursuant to Article 52 of the Regulation:</w:t>
      </w:r>
    </w:p>
    <w:p>
      <w:pPr>
        <w:jc w:val="center"/>
        <w:rPr>
          <w:b/>
          <w:noProof/>
          <w:szCs w:val="24"/>
        </w:rPr>
      </w:pPr>
    </w:p>
    <w:p>
      <w:pPr>
        <w:adjustRightInd w:val="0"/>
        <w:spacing w:before="0" w:after="0"/>
        <w:jc w:val="left"/>
        <w:rPr>
          <w:b/>
          <w:noProof/>
        </w:rPr>
      </w:pPr>
    </w:p>
    <w:p>
      <w:pPr>
        <w:adjustRightInd w:val="0"/>
        <w:spacing w:before="0" w:after="0"/>
        <w:jc w:val="left"/>
        <w:rPr>
          <w:b/>
          <w:noProof/>
        </w:rPr>
      </w:pPr>
      <w:r>
        <w:rPr>
          <w:b/>
          <w:bCs/>
          <w:noProof/>
        </w:rPr>
        <w:t>Population effect</w:t>
      </w:r>
      <w:r>
        <w:rPr>
          <w:b/>
          <w:bCs/>
          <w:noProof/>
          <w:vertAlign w:val="subscript"/>
        </w:rPr>
        <w:t>MS</w:t>
      </w:r>
      <w:r>
        <w:rPr>
          <w:b/>
          <w:bCs/>
          <w:noProof/>
        </w:rPr>
        <w:t xml:space="preserve"> </w:t>
      </w:r>
      <w:r>
        <w:rPr>
          <w:b/>
          <w:noProof/>
          <w:lang w:val="fr-BE"/>
        </w:rPr>
        <w:fldChar w:fldCharType="begin"/>
      </w:r>
      <w:r>
        <w:rPr>
          <w:b/>
          <w:noProof/>
        </w:rPr>
        <w:instrText xml:space="preserve"> QUOTE </w:instrText>
      </w:r>
      <w:r>
        <w:rPr>
          <w:noProof/>
          <w:lang w:eastAsia="en-GB"/>
        </w:rPr>
        <w:drawing>
          <wp:inline distT="0" distB="0" distL="0" distR="0">
            <wp:extent cx="942975" cy="4000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instrText xml:space="preserve"> </w:instrText>
      </w:r>
      <w:r>
        <w:rPr>
          <w:b/>
          <w:noProof/>
          <w:lang w:val="fr-BE"/>
        </w:rPr>
        <w:fldChar w:fldCharType="separate"/>
      </w:r>
      <w:r>
        <w:rPr>
          <w:noProof/>
          <w:lang w:eastAsia="en-GB"/>
        </w:rPr>
        <w:drawing>
          <wp:inline distT="0" distB="0" distL="0" distR="0">
            <wp:extent cx="942975" cy="4000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fr-BE"/>
        </w:rPr>
        <w:fldChar w:fldCharType="end"/>
      </w:r>
      <w:r>
        <w:rPr>
          <w:rStyle w:val="FootnoteReference"/>
          <w:noProof/>
        </w:rPr>
        <w:footnoteReference w:id="4"/>
      </w:r>
    </w:p>
    <w:p>
      <w:pPr>
        <w:adjustRightInd w:val="0"/>
        <w:spacing w:before="0" w:after="0"/>
        <w:jc w:val="left"/>
        <w:rPr>
          <w:b/>
          <w:bCs/>
          <w:noProof/>
        </w:rPr>
      </w:pPr>
      <w:r>
        <w:rPr>
          <w:b/>
          <w:bCs/>
          <w:noProof/>
        </w:rPr>
        <w:t>GDP effect</w:t>
      </w:r>
      <w:r>
        <w:rPr>
          <w:b/>
          <w:bCs/>
          <w:noProof/>
          <w:vertAlign w:val="subscript"/>
        </w:rPr>
        <w:t xml:space="preserve">MS </w:t>
      </w:r>
      <w:r>
        <w:rPr>
          <w:b/>
          <w:bCs/>
          <w:noProof/>
          <w:vertAlign w:val="subscript"/>
        </w:rPr>
        <w:fldChar w:fldCharType="begin"/>
      </w:r>
      <w:r>
        <w:rPr>
          <w:b/>
          <w:bCs/>
          <w:noProof/>
          <w:vertAlign w:val="subscript"/>
        </w:rPr>
        <w:instrText xml:space="preserve"> QUOTE </w:instrText>
      </w:r>
      <w:r>
        <w:rPr>
          <w:noProof/>
          <w:lang w:eastAsia="en-GB"/>
        </w:rPr>
        <w:drawing>
          <wp:inline distT="0" distB="0" distL="0" distR="0">
            <wp:extent cx="104775" cy="25717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instrText xml:space="preserve"> </w:instrText>
      </w:r>
      <w:r>
        <w:rPr>
          <w:b/>
          <w:bCs/>
          <w:noProof/>
          <w:vertAlign w:val="subscript"/>
        </w:rPr>
        <w:fldChar w:fldCharType="separate"/>
      </w:r>
      <w:r>
        <w:rPr>
          <w:noProof/>
          <w:lang w:eastAsia="en-GB"/>
        </w:rPr>
        <w:drawing>
          <wp:inline distT="0" distB="0" distL="0" distR="0">
            <wp:extent cx="104775" cy="257175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end"/>
      </w:r>
      <w:r>
        <w:rPr>
          <w:b/>
          <w:bCs/>
          <w:noProof/>
          <w:vertAlign w:val="subscript"/>
        </w:rPr>
        <w:t xml:space="preserve">   </w:t>
      </w:r>
      <w:r>
        <w:rPr>
          <w:b/>
          <w:bCs/>
          <w:noProof/>
          <w:vertAlign w:val="subscript"/>
        </w:rPr>
        <w:fldChar w:fldCharType="begin"/>
      </w:r>
      <w:r>
        <w:rPr>
          <w:b/>
          <w:bCs/>
          <w:noProof/>
          <w:vertAlign w:val="subscript"/>
        </w:rPr>
        <w:instrText xml:space="preserve"> QUOTE </w:instrText>
      </w:r>
      <w:r>
        <w:rPr>
          <w:noProof/>
          <w:lang w:eastAsia="en-GB"/>
        </w:rPr>
        <w:drawing>
          <wp:inline distT="0" distB="0" distL="0" distR="0">
            <wp:extent cx="438150" cy="3524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instrText xml:space="preserve"> </w:instrText>
      </w:r>
      <w:r>
        <w:rPr>
          <w:b/>
          <w:bCs/>
          <w:noProof/>
          <w:vertAlign w:val="subscript"/>
        </w:rPr>
        <w:fldChar w:fldCharType="separate"/>
      </w:r>
      <w:r>
        <w:rPr>
          <w:noProof/>
          <w:lang w:eastAsia="en-GB"/>
        </w:rPr>
        <w:drawing>
          <wp:inline distT="0" distB="0" distL="0" distR="0">
            <wp:extent cx="438150" cy="3524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end"/>
      </w:r>
      <w:r>
        <w:rPr>
          <w:rStyle w:val="FootnoteReference"/>
          <w:noProof/>
        </w:rPr>
        <w:footnoteReference w:id="5"/>
      </w:r>
    </w:p>
    <w:p>
      <w:pPr>
        <w:spacing w:before="0" w:after="0"/>
        <w:jc w:val="left"/>
        <w:rPr>
          <w:b/>
          <w:bCs/>
          <w:noProof/>
        </w:rPr>
      </w:pPr>
    </w:p>
    <w:p>
      <w:pPr>
        <w:spacing w:before="0" w:after="0"/>
        <w:jc w:val="left"/>
        <w:rPr>
          <w:noProof/>
          <w:szCs w:val="24"/>
        </w:rPr>
      </w:pPr>
      <w:r>
        <w:rPr>
          <w:b/>
          <w:bCs/>
          <w:noProof/>
        </w:rPr>
        <w:t>Share</w:t>
      </w:r>
      <w:r>
        <w:rPr>
          <w:b/>
          <w:bCs/>
          <w:noProof/>
          <w:vertAlign w:val="subscript"/>
        </w:rPr>
        <w:t>MS</w:t>
      </w:r>
      <w:r>
        <w:rPr>
          <w:b/>
          <w:bCs/>
          <w:noProof/>
        </w:rPr>
        <w:t xml:space="preserve"> = 50% Population effect</w:t>
      </w:r>
      <w:r>
        <w:rPr>
          <w:b/>
          <w:bCs/>
          <w:noProof/>
          <w:vertAlign w:val="subscript"/>
        </w:rPr>
        <w:t>MS</w:t>
      </w:r>
      <w:r>
        <w:rPr>
          <w:b/>
          <w:bCs/>
          <w:noProof/>
        </w:rPr>
        <w:t xml:space="preserve"> + 50% GDP effect</w:t>
      </w:r>
      <w:r>
        <w:rPr>
          <w:b/>
          <w:bCs/>
          <w:noProof/>
          <w:vertAlign w:val="subscript"/>
        </w:rPr>
        <w:t>MS</w:t>
      </w:r>
      <w:r>
        <w:rPr>
          <w:noProof/>
          <w:szCs w:val="24"/>
        </w:rPr>
        <w:t xml:space="preserve"> </w:t>
      </w:r>
    </w:p>
    <w:p>
      <w:pPr>
        <w:rPr>
          <w:noProof/>
        </w:rPr>
      </w:pP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rPr>
          <w:noProof/>
          <w:szCs w:val="24"/>
        </w:rPr>
      </w:pPr>
    </w:p>
    <w:p>
      <w:pPr>
        <w:pStyle w:val="Annexetitre"/>
        <w:rPr>
          <w:noProof/>
        </w:rPr>
      </w:pPr>
      <w:r>
        <w:rPr>
          <w:noProof/>
        </w:rPr>
        <w:t>ANNEX IV</w:t>
      </w:r>
    </w:p>
    <w:p>
      <w:pPr>
        <w:ind w:firstLine="720"/>
        <w:rPr>
          <w:b/>
          <w:noProof/>
          <w:szCs w:val="24"/>
          <w:u w:val="single"/>
        </w:rPr>
      </w:pPr>
      <w:r>
        <w:rPr>
          <w:b/>
          <w:noProof/>
          <w:szCs w:val="24"/>
        </w:rPr>
        <w:t>Standard form for contributing to a Solidarity Support Plan in accordance with Article 54</w:t>
      </w:r>
    </w:p>
    <w:p>
      <w:pPr>
        <w:pStyle w:val="Bullet0"/>
        <w:numPr>
          <w:ilvl w:val="0"/>
          <w:numId w:val="9"/>
        </w:numPr>
        <w:rPr>
          <w:noProof/>
          <w:szCs w:val="24"/>
        </w:rPr>
      </w:pPr>
      <w:r>
        <w:rPr>
          <w:noProof/>
          <w:szCs w:val="24"/>
        </w:rPr>
        <w:t>Benefitting Member State: …….</w:t>
      </w:r>
    </w:p>
    <w:p>
      <w:pPr>
        <w:pStyle w:val="Bullet0"/>
        <w:numPr>
          <w:ilvl w:val="0"/>
          <w:numId w:val="9"/>
        </w:numPr>
        <w:rPr>
          <w:noProof/>
          <w:szCs w:val="24"/>
        </w:rPr>
      </w:pPr>
      <w:r>
        <w:rPr>
          <w:noProof/>
          <w:szCs w:val="24"/>
        </w:rPr>
        <w:t>Contributing Member State: ………</w:t>
      </w:r>
    </w:p>
    <w:p>
      <w:pPr>
        <w:pStyle w:val="Bullet0"/>
        <w:rPr>
          <w:noProof/>
          <w:szCs w:val="24"/>
        </w:rPr>
      </w:pPr>
      <w:r>
        <w:rPr>
          <w:noProof/>
          <w:szCs w:val="24"/>
        </w:rPr>
        <w:t xml:space="preserve">Reference No: ……. </w:t>
      </w:r>
    </w:p>
    <w:p>
      <w:pPr>
        <w:pStyle w:val="Bullet0"/>
        <w:rPr>
          <w:b/>
          <w:noProof/>
          <w:szCs w:val="24"/>
        </w:rPr>
      </w:pPr>
      <w:r>
        <w:rPr>
          <w:noProof/>
          <w:szCs w:val="24"/>
        </w:rPr>
        <w:t>Date of submission:……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>
        <w:tc>
          <w:tcPr>
            <w:tcW w:w="4219" w:type="dxa"/>
            <w:shd w:val="clear" w:color="auto" w:fill="E7E6E6" w:themeFill="background2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Other forms of solidarity in line with Article 54 </w:t>
            </w:r>
          </w:p>
        </w:tc>
        <w:tc>
          <w:tcPr>
            <w:tcW w:w="524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Information on </w:t>
            </w:r>
            <w:r>
              <w:rPr>
                <w:rFonts w:eastAsia="Calibri"/>
                <w:b/>
                <w:noProof/>
                <w:szCs w:val="24"/>
              </w:rPr>
              <w:t>Quantity/Description of scope and nature /timeframe for implementation</w:t>
            </w: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Capacity-building measures in the field of asylum, reception and return 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rFonts w:eastAsia="Calibri"/>
                <w:noProof/>
                <w:szCs w:val="24"/>
              </w:rPr>
            </w:pPr>
            <w:r>
              <w:rPr>
                <w:rFonts w:eastAsia="Calibri"/>
                <w:noProof/>
                <w:szCs w:val="24"/>
              </w:rPr>
              <w:t>Operational support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Measures aimed at responding to migratory trends affecting the benefitting Member State though cooperation with third countries</w:t>
            </w:r>
            <w:r>
              <w:rPr>
                <w:rFonts w:eastAsia="Calibri"/>
                <w:noProof/>
                <w:szCs w:val="24"/>
              </w:rPr>
              <w:t xml:space="preserve"> 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524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 xml:space="preserve">Number of persons to be covered and timeframe for implementation </w:t>
            </w:r>
          </w:p>
        </w:tc>
      </w:tr>
      <w:tr>
        <w:tc>
          <w:tcPr>
            <w:tcW w:w="4219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Cs w:val="24"/>
              </w:rPr>
              <w:t>Relocation of applicants for international protection</w:t>
            </w:r>
            <w:r>
              <w:rPr>
                <w:rFonts w:eastAsia="Calibri"/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 xml:space="preserve">who are not subject to the border procedure for the examination of an application for international protection established by Article 41 of Regulation (EU) XXX/XXX (Asylum Procedures Regulation) </w:t>
            </w:r>
            <w:r>
              <w:rPr>
                <w:rFonts w:eastAsia="Calibri"/>
                <w:noProof/>
                <w:szCs w:val="24"/>
              </w:rPr>
              <w:t>[including number of UAM]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Relocation of beneficiaries of international protection including </w:t>
            </w:r>
            <w:r>
              <w:rPr>
                <w:rFonts w:eastAsia="Calibri"/>
                <w:noProof/>
                <w:szCs w:val="24"/>
              </w:rPr>
              <w:t>[including number of UAM]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  <w:szCs w:val="24"/>
              </w:rPr>
              <w:t>Relocation of applicants for international protection subject to the border procedure in line with Article 41 of Regulation (EU) XXX/XXX (Asylum Procedures Regulation)</w:t>
            </w:r>
            <w:r>
              <w:rPr>
                <w:rFonts w:eastAsia="Calibri"/>
                <w:noProof/>
                <w:szCs w:val="24"/>
              </w:rPr>
              <w:t xml:space="preserve"> 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rPr>
                <w:noProof/>
                <w:color w:val="000000"/>
                <w:szCs w:val="24"/>
                <w:lang w:val="en-IE"/>
              </w:rPr>
            </w:pPr>
            <w:r>
              <w:rPr>
                <w:noProof/>
                <w:szCs w:val="24"/>
              </w:rPr>
              <w:t>Relocation of illegally staying third-country nationals</w:t>
            </w:r>
            <w:r>
              <w:rPr>
                <w:noProof/>
                <w:color w:val="000000"/>
                <w:szCs w:val="24"/>
                <w:lang w:val="en-IE"/>
              </w:rPr>
              <w:t xml:space="preserve"> [including number of UAM], including nationalities of the third-country nationals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rFonts w:eastAsia="Calibri"/>
                <w:noProof/>
                <w:color w:val="000000" w:themeColor="text1"/>
                <w:szCs w:val="24"/>
              </w:rPr>
            </w:pPr>
            <w:r>
              <w:rPr>
                <w:noProof/>
                <w:szCs w:val="24"/>
              </w:rPr>
              <w:t>Return sponsorship in relation to illegally staying third-country nationals [including number of UAM], including nationalities of third-country nationals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Reference to revision to be used in case of revised contributions in the course of the Solidarity Forum.</w:t>
      </w:r>
    </w:p>
  </w:footnote>
  <w:footnote w:id="2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Reference to revision to be used in case of revised contributions in the course of the Solidarity Forum.</w:t>
      </w:r>
    </w:p>
  </w:footnote>
  <w:footnote w:id="3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The nationalities for return sponsorship shall be identified from those indicated in the Report on migratory pressure established in accordance with Article 48 of the Regulation.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For two Member States, participation depends on the exercise of rights as set out in the relevant Protocols and other instruments.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For two Member States, participation depends on the exercise of rights as set out in the relevant Protocols and other instruments.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26A31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EA67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79A0C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4F883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A6C90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B7ED6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02CA0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FCEE7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17 16:14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EA35EBC3-BD19-479E-8B4C-ED1768E0CED6"/>
    <w:docVar w:name="LW_COVERPAGE_TYPE" w:val="1"/>
    <w:docVar w:name="LW_CROSSREFERENCE" w:val="{SWD(2020) 207 final}"/>
    <w:docVar w:name="LW_DocType" w:val="ANNEX"/>
    <w:docVar w:name="LW_EMISSION" w:val="23.9.2020"/>
    <w:docVar w:name="LW_EMISSION_ISODATE" w:val="2020-09-2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Regulation of the European Parliament and of the Council &lt;FMT:Bold&gt;on asylum and migration management &lt;/FMT&gt;and amending Council Directive (EC) 2003/109 and the proposed Regulation (EU) XXX/XXX [Asylum and Migration Fund]_x000d__x000d__x000d__x000d__x000b_"/>
    <w:docVar w:name="LW_OBJETACTEPRINCIPAL.CP" w:val="Regulation of the European Parliament and of the Council &lt;FMT:Bold&gt;on asylum and migration management &lt;/FMT&gt;and amending Council Directive (EC) 2003/109 and the proposed Regulation (EU) XXX/XXX [Asylum and Migration Fund]_x000d__x000d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6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"/>
    <w:docVar w:name="LW_TYPEACTEPRINCIPAL.CP" w:val="Proposal for 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Calibri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oint1number">
    <w:name w:val="Pooint 1 number"/>
    <w:basedOn w:val="Normal"/>
    <w:pPr>
      <w:ind w:left="2160" w:hanging="3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Calibri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oint1number">
    <w:name w:val="Pooint 1 number"/>
    <w:basedOn w:val="Normal"/>
    <w:pPr>
      <w:ind w:left="2160" w:hanging="3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A6E723-CFDC-43E3-B159-BDCD174F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530</Words>
  <Characters>3322</Characters>
  <Application>Microsoft Office Word</Application>
  <DocSecurity>0</DocSecurity>
  <Lines>184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AKBAY-COLLET Dicle (HOME)</dc:creator>
  <cp:keywords/>
  <dc:description/>
  <cp:lastModifiedBy>DIGIT/C6</cp:lastModifiedBy>
  <cp:revision>11</cp:revision>
  <cp:lastPrinted>2020-03-10T08:08:00Z</cp:lastPrinted>
  <dcterms:created xsi:type="dcterms:W3CDTF">2020-09-22T20:08:00Z</dcterms:created>
  <dcterms:modified xsi:type="dcterms:W3CDTF">2020-09-22T20:28:00Z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4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