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5A93913-EEEE-43CC-86E6-E9384B9A316F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0" w:after="200" w:line="276" w:lineRule="auto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Споразумение под формата на размяна на писма между Европейския съюз и Ислямска република Мавритания относно удължаването на изтичащия на 15 ноември 2020 г. срок на действие на Протокола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</w:t>
      </w: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  <w:szCs w:val="24"/>
        </w:rPr>
        <w:t>A. Писмо от Европейския съюз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Уважаеми дами и господа,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повторно удължаване на срока на  действащия протокол (16 ноември 2015 г. — 15 ноември 2019 г., вече удължен до 15 ноември 2020 г.</w:t>
      </w:r>
      <w:r>
        <w:rPr>
          <w:rStyle w:val="FootnoteReference"/>
          <w:noProof/>
        </w:rPr>
        <w:footnoteReference w:id="1"/>
      </w:r>
      <w:r>
        <w:rPr>
          <w:noProof/>
        </w:rPr>
        <w:t>), наричан по-долу „протоколът“,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Мавритания, в изчакване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 xml:space="preserve">Считано от 16 ноември 2020 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Финансовото участие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изпълнението на секторната подкрепа и с плащанията по нея, се прилагат </w:t>
      </w:r>
      <w:r>
        <w:rPr>
          <w:i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максималния период от една година, определен в точка 1, плащанията на финансовото участие по точки 2 и 3 ще бъдат намалени </w:t>
      </w:r>
      <w:r>
        <w:rPr>
          <w:i/>
          <w:iCs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вноска от финансовото участие, дължимо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noProof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2020 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Моля да потвърдите получаването на настоящото писмо и да изразите съгласието си по неговото съдържание.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spacing w:before="0" w:after="200" w:line="276" w:lineRule="auto"/>
        <w:rPr>
          <w:i/>
          <w:noProof/>
          <w:szCs w:val="24"/>
        </w:rPr>
      </w:pPr>
      <w:r>
        <w:rPr>
          <w:i/>
          <w:noProof/>
          <w:szCs w:val="24"/>
        </w:rPr>
        <w:t>От името на Европейския съюз</w:t>
      </w:r>
    </w:p>
    <w:p>
      <w:pPr>
        <w:spacing w:before="0" w:after="200" w:line="276" w:lineRule="auto"/>
        <w:rPr>
          <w:b/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  <w:szCs w:val="24"/>
        </w:rPr>
        <w:t>Б. Писмо от Ислямска република Мавритания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Уважаеми дами и господа, [</w:t>
      </w:r>
      <w:r>
        <w:rPr>
          <w:i/>
          <w:noProof/>
          <w:szCs w:val="24"/>
          <w:highlight w:val="yellow"/>
        </w:rPr>
        <w:t>please introduce in this letter the corrections made in the letter of the Union]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 xml:space="preserve">Имам честта да потвърдя получаването на Вашето писмо от днешна дата със следното съдържание: 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„Уважаеми дами и господа,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Имам честта да потвърдя, че постигнахме съгласие по следните временни договорености, за да осигурим удължаването на срока на действащия протокол (16 ноември 2015 г. — 15 ноември 2019 г., вече удължен до 15 ноември 2020 г.</w:t>
      </w:r>
      <w:r>
        <w:rPr>
          <w:rStyle w:val="FootnoteReference"/>
          <w:noProof/>
        </w:rPr>
        <w:footnoteReference w:id="3"/>
      </w:r>
      <w:r>
        <w:rPr>
          <w:noProof/>
        </w:rPr>
        <w:t>), наричан по-долу „протоколът“, за определяне на възможностите за риболов и на финансовото участие, предвидени в Споразумението за партньорство в областта на рибарството между Европейската общност и Ислямска република Мавритания, в изчакване на приключването на преговорите за подновяването на споразумението за партньорство и на протокола.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В този контекст Европейският съюз и Ислямска република Мавритания се договориха за следното:</w:t>
      </w:r>
    </w:p>
    <w:p>
      <w:pPr>
        <w:pStyle w:val="Point0number"/>
        <w:numPr>
          <w:ilvl w:val="0"/>
          <w:numId w:val="9"/>
        </w:numPr>
        <w:spacing w:before="0" w:after="200" w:line="276" w:lineRule="auto"/>
        <w:rPr>
          <w:noProof/>
          <w:szCs w:val="24"/>
        </w:rPr>
      </w:pPr>
      <w:r>
        <w:rPr>
          <w:noProof/>
        </w:rPr>
        <w:t xml:space="preserve">Считано от 16 ноември 2020 г. или от друга, по-късна дата след подписването на настоящата размяна на писма, съществуващият през последната година от прилагането на протокола риболовен режим се удължава при същите условия за максимален период от една година. </w:t>
      </w:r>
    </w:p>
    <w:p>
      <w:pPr>
        <w:pStyle w:val="Point0number"/>
        <w:rPr>
          <w:noProof/>
        </w:rPr>
      </w:pPr>
      <w:r>
        <w:rPr>
          <w:noProof/>
        </w:rPr>
        <w:t>Финансовото участие на Съюза за достъпа на неговите кораби до водите на Мавритания в рамките на удължаването на срока се равнява на годишната сума по член 2 от протокола, изменен от съвместния комитет на 15 и 16 ноември 2016 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. Средствата ще бъдат преведени с един транш до три месеца след началната дата на временното прилагане на настоящото споразумение под формата на размяна на писма. </w:t>
      </w:r>
    </w:p>
    <w:p>
      <w:pPr>
        <w:pStyle w:val="Point0number"/>
        <w:rPr>
          <w:noProof/>
        </w:rPr>
      </w:pPr>
      <w:r>
        <w:rPr>
          <w:noProof/>
        </w:rPr>
        <w:t xml:space="preserve">Сумата на секторната подкрепа по настоящото споразумение за удължаване на срока възлиза на 4,125 милиона евро. Съвместният комитет, предвиден в член 10 от споразумението за партньорство в областта на рибарството, одобрява програмното планиране във връзка с тази сума съгласно разпоредбите на член 3, параграф 1 от протокола в срок до два месеца от началната дата на прилагане на настоящото споразумение под формата на размяна на писма. Условията по член 3 от протокола, свързани с изпълнението на секторната подкрепа и с плащанията по нея, се прилагат </w:t>
      </w:r>
      <w:r>
        <w:rPr>
          <w:i/>
          <w:noProof/>
        </w:rPr>
        <w:t>mutatis mutandis</w:t>
      </w:r>
      <w:r>
        <w:rPr>
          <w:noProof/>
        </w:rPr>
        <w:t xml:space="preserve">. </w:t>
      </w:r>
    </w:p>
    <w:p>
      <w:pPr>
        <w:pStyle w:val="Point0number"/>
        <w:rPr>
          <w:noProof/>
        </w:rPr>
      </w:pPr>
      <w:r>
        <w:rPr>
          <w:noProof/>
        </w:rPr>
        <w:t xml:space="preserve">В случай че бъде договорено подписването на подновеното споразумение за партньорство и на протокола към него и те влязат в сила преди изтичането на максималния период от една година, определен в точка 1, плащанията на финансовото участие по точки 2 и 3 ще бъдат намалени </w:t>
      </w:r>
      <w:r>
        <w:rPr>
          <w:i/>
          <w:noProof/>
        </w:rPr>
        <w:t>pro rata temporis</w:t>
      </w:r>
      <w:r>
        <w:rPr>
          <w:noProof/>
        </w:rPr>
        <w:t>. Съответната сума, която е вече платена, ще бъде приспадната от първата вноска от финансовото участие, дължимо по силата на новия протокол.</w:t>
      </w:r>
    </w:p>
    <w:p>
      <w:pPr>
        <w:pStyle w:val="Point0number"/>
        <w:rPr>
          <w:noProof/>
        </w:rPr>
      </w:pPr>
      <w:r>
        <w:rPr>
          <w:noProof/>
        </w:rPr>
        <w:t xml:space="preserve">По време на прилагането на настоящото споразумение за удължаване на срока се издават разрешения за риболов в рамките на ограниченията, определени в протокола, срещу заплащането на такси или авансови плащания, които отговарят на посочените в допълнение 1 от приложение 1 към протокола. </w:t>
      </w:r>
    </w:p>
    <w:p>
      <w:pPr>
        <w:pStyle w:val="Point0number"/>
        <w:rPr>
          <w:noProof/>
        </w:rPr>
      </w:pPr>
      <w:r>
        <w:rPr>
          <w:noProof/>
        </w:rPr>
        <w:t>Настоящото споразумение под формата на размяна на писма се прилага временно, считано от 16 ноември 2020 г. или от по-късна дата след подписването му, до неговото влизане в сила. То влиза в сила на датата, на която страните се уведомят взаимно за приключването на необходимите за целта процедури.“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 xml:space="preserve">Потвърждавам, че съдържанието на Вашето писмо е приемливо за моето правителство. 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Вашето писмо и настоящото писмо представляват споразумение в съответствие с Вашето предложение.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Моля, приемете, уважаеми дами и господа, моите най-дълбоки почитания.</w:t>
      </w:r>
    </w:p>
    <w:p>
      <w:pPr>
        <w:spacing w:before="0" w:after="200" w:line="276" w:lineRule="auto"/>
        <w:rPr>
          <w:i/>
          <w:noProof/>
          <w:szCs w:val="24"/>
        </w:rPr>
      </w:pPr>
      <w:r>
        <w:rPr>
          <w:i/>
          <w:noProof/>
          <w:szCs w:val="24"/>
        </w:rPr>
        <w:t>За правителството на Ислямска република Мавритания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2019/1918 на съвета от 8 ноември 2019 г., (ОВ L 297I, 18.11.2019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за изпълнение (ЕС) 2017/451 на Комисията от 14 март 2017 г. (ОВ L 69, 15.3.2017 г., стр. 34).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Вж. Решение (ЕС) 2019/1918 на Съвета от 8 ноември 2019 г., (ОВ L 297I, 18.11.2019 г., стр. 1).</w:t>
      </w:r>
    </w:p>
    <w:p>
      <w:pPr>
        <w:pStyle w:val="FootnoteText"/>
      </w:pP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Вж. Решение за изпълнение (ЕС) 2017/451 на Комисията от 14 март 2017 г. (ОВ L 69, 15.3.2017 г., стр. 34).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74CBD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400F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5A9D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63E59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070DA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3804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8A4E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F4E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25 16:07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5A93913-EEEE-43CC-86E6-E9384B9A316F"/>
    <w:docVar w:name="LW_COVERPAGE_TYPE" w:val="1"/>
    <w:docVar w:name="LW_CROSSREFERENCE" w:val="&lt;UNUSED&gt;"/>
    <w:docVar w:name="LW_DocType" w:val="ANNEX"/>
    <w:docVar w:name="LW_EMISSION" w:val="28.9.2020"/>
    <w:docVar w:name="LW_EMISSION_ISODATE" w:val="2020-09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20 \u1075?. \u1089?\u1088?\u1086?\u1082? \u1085?\u1072? \u1076?\u1077?\u1081?\u1089?\u1090?\u1074?\u1080?\u1077? \u1085?\u1072? \u1055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85?\u1072? \u1092?\u1080?\u1085?\u1072?\u1085?\u1089?\u1086?\u1074?\u1086?\u1090?\u1086? \u1091?\u1095?\u1072?\u1089?\u1090?\u1080?\u1077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OBJETACTEPRINCIPAL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89?\u1083?\u1103?\u1084?\u1089?\u1082?\u1072? \u1088?\u1077?\u1087?\u1091?\u1073?\u1083?\u1080?\u1082?\u1072? \u1052?\u1072?\u1074?\u1088?\u1080?\u1090?\u1072?\u1085?\u1080?\u1103? \u1086?\u1090?\u1085?\u1086?\u1089?\u1085?\u1086? \u1091?\u1076?\u1098?\u1083?\u1078?\u1072?\u1074?\u1072?\u1085?\u1077?\u1090?\u1086? \u1085?\u1072? \u1080?\u1079?\u1090?\u1080?\u1095?\u1072?\u1097?\u1080?\u1103? \u1085?\u1072? 15 \u1085?\u1086?\u1077?\u1084?\u1074?\u1088?\u1080? 2020 \u1075?. \u1089?\u1088?\u1086?\u1082? \u1085?\u1072? \u1076?\u1077?\u1081?\u1089?\u1090?\u1074?\u1080?\u1077? \u1085?\u1072? \u1055?\u1088?\u1086?\u1090?\u1086?\u1082?\u1086?\u1083?\u1072? \u1079?\u1072? \u1086?\u1087?\u1088?\u1077?\u1076?\u1077?\u1083?\u1103?\u1085?\u1077? \u1085?\u1072? \u1074?\u1098?\u1079?\u1084?\u1086?\u1078?\u1085?\u1086?\u1089?\u1090?\u1080?\u1090?\u1077? \u1079?\u1072? \u1088?\u1080?\u1073?\u1086?\u1083?\u1086?\u1074? \u1080? \u1085?\u1072? \u1092?\u1080?\u1085?\u1072?\u1085?\u1089?\u1086?\u1074?\u1086?\u1090?\u1086? \u1091?\u1095?\u1072?\u1089?\u1090?\u1080?\u1077?, \u1087?\u1088?\u1077?\u1076?\u1074?\u1080?\u1076?\u1077?\u1085?\u1080? \u107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72?\u1090?\u1072? \u1086?\u1073?\u1097?\u1085?\u1086?\u1089?\u1090? \u1080? \u1048?\u1089?\u1083?\u1103?\u1084?\u1089?\u1082?\u1072? \u1088?\u1077?\u1087?\u1091?\u1073?\u1083?\u1080?\u1082?\u1072? \u1052?\u1072?\u1074?\u1088?\u1080?\u1090?\u1072?\u1085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20) 58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1069</Words>
  <Characters>5945</Characters>
  <Application>Microsoft Office Word</Application>
  <DocSecurity>0</DocSecurity>
  <Lines>114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YAKOVA Iglika (MARE)</dc:creator>
  <cp:keywords/>
  <dc:description/>
  <cp:lastModifiedBy>WES PDFC Administrator</cp:lastModifiedBy>
  <cp:revision>9</cp:revision>
  <dcterms:created xsi:type="dcterms:W3CDTF">2020-09-21T13:51:00Z</dcterms:created>
  <dcterms:modified xsi:type="dcterms:W3CDTF">2020-09-25T14:07:00Z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