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alt="6F5130D9-4AF6-4EA5-8764-9A41BB114620" style="width:450.75pt;height:293.25pt">
            <v:imagedata r:id="rId11" o:title=""/>
          </v:shape>
        </w:pict>
      </w:r>
    </w:p>
    <w:bookmarkEnd w:id="0"/>
    <w:p>
      <w:pPr>
        <w:rPr>
          <w:noProof/>
        </w:rPr>
        <w:sectPr>
          <w:headerReference w:type="even" r:id="rId12"/>
          <w:headerReference w:type="default" r:id="rId13"/>
          <w:footerReference w:type="even" r:id="rId14"/>
          <w:footerReference w:type="default" r:id="rId15"/>
          <w:headerReference w:type="first" r:id="rId16"/>
          <w:footerReference w:type="first" r:id="rId17"/>
          <w:pgSz w:w="11906" w:h="16838"/>
          <w:pgMar w:top="1134" w:right="1417" w:bottom="1134" w:left="1417" w:header="709" w:footer="709" w:gutter="0"/>
          <w:pgNumType w:start="0"/>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Междинна оценка на Програмата за подкрепа на структурните реформи</w:t>
      </w:r>
    </w:p>
    <w:p>
      <w:pPr>
        <w:rPr>
          <w:noProof/>
        </w:rPr>
      </w:pPr>
    </w:p>
    <w:p>
      <w:pPr>
        <w:pStyle w:val="Heading1"/>
        <w:rPr>
          <w:noProof/>
        </w:rPr>
      </w:pPr>
      <w:r>
        <w:rPr>
          <w:noProof/>
        </w:rPr>
        <w:t>Въведение</w:t>
      </w:r>
    </w:p>
    <w:p>
      <w:pPr>
        <w:jc w:val="both"/>
        <w:rPr>
          <w:rFonts w:ascii="Times New Roman" w:eastAsia="Times New Roman" w:hAnsi="Times New Roman" w:cs="Times New Roman"/>
          <w:noProof/>
          <w:sz w:val="24"/>
          <w:szCs w:val="24"/>
        </w:rPr>
      </w:pPr>
      <w:r>
        <w:rPr>
          <w:rFonts w:ascii="Times New Roman" w:hAnsi="Times New Roman"/>
          <w:b/>
          <w:bCs/>
          <w:noProof/>
          <w:sz w:val="24"/>
          <w:szCs w:val="24"/>
        </w:rPr>
        <w:t>Без стимулиращи растежа реформи икономиките отбелязват застой или спад.</w:t>
      </w:r>
      <w:r>
        <w:rPr>
          <w:rFonts w:ascii="Times New Roman" w:hAnsi="Times New Roman"/>
          <w:bCs/>
          <w:noProof/>
          <w:sz w:val="24"/>
          <w:szCs w:val="24"/>
        </w:rPr>
        <w:t xml:space="preserve"> Изпълнението на добре планирани реформи спомага за подобряване на производителността, ускоряване на сближаването, укрепване на устойчивостта на икономиката и подобряване на предоставянето на обществени услуги като правосъдие, здравеопазване и образование. </w:t>
      </w:r>
      <w:r>
        <w:rPr>
          <w:rFonts w:ascii="Times New Roman" w:hAnsi="Times New Roman"/>
          <w:b/>
          <w:noProof/>
          <w:sz w:val="24"/>
          <w:szCs w:val="24"/>
        </w:rPr>
        <w:t>Програмата за подкрепа на структурните реформи</w:t>
      </w:r>
      <w:r>
        <w:rPr>
          <w:rFonts w:ascii="Times New Roman" w:hAnsi="Times New Roman"/>
          <w:noProof/>
          <w:sz w:val="24"/>
          <w:szCs w:val="24"/>
        </w:rPr>
        <w:t xml:space="preserve"> помага на държавите — членки на ЕС да разработват и осъществяват стимулиращи растежа реформи чрез предоставяне на подходящите експертни знания на националните органи. Подкрепата може например да бъде под формата на стратегически и правни съвети, проучвания, обучение и посещения на експерти на място. Тя може да бъде предоставена от международни организации, публични органи, консултантски фирми или от служителите на Европейската комисия. С бюджет от 222,8 милиона евро за периода 2017—2020 г. програмата се управлява от генерална дирекция „Подкрепа на структурните реформи“ (DG REFORM). </w:t>
      </w:r>
    </w:p>
    <w:p>
      <w:pPr>
        <w:jc w:val="both"/>
        <w:rPr>
          <w:rFonts w:ascii="Times New Roman" w:eastAsia="Times New Roman" w:hAnsi="Times New Roman" w:cs="Times New Roman"/>
          <w:noProof/>
          <w:sz w:val="24"/>
          <w:szCs w:val="24"/>
        </w:rPr>
      </w:pPr>
      <w:r>
        <w:rPr>
          <w:rFonts w:ascii="Times New Roman" w:hAnsi="Times New Roman"/>
          <w:noProof/>
          <w:sz w:val="24"/>
          <w:szCs w:val="24"/>
        </w:rPr>
        <w:t>В съответствие с Регламента за ППСР</w:t>
      </w:r>
      <w:r>
        <w:rPr>
          <w:rStyle w:val="FootnoteReference"/>
          <w:rFonts w:eastAsia="Times New Roman"/>
          <w:noProof/>
          <w:szCs w:val="24"/>
        </w:rPr>
        <w:footnoteReference w:id="1"/>
      </w:r>
      <w:r>
        <w:rPr>
          <w:rFonts w:ascii="Times New Roman" w:hAnsi="Times New Roman"/>
          <w:noProof/>
          <w:sz w:val="24"/>
          <w:szCs w:val="24"/>
        </w:rPr>
        <w:t xml:space="preserve"> програмата подлежи на </w:t>
      </w:r>
      <w:r>
        <w:rPr>
          <w:rFonts w:ascii="Times New Roman" w:hAnsi="Times New Roman"/>
          <w:b/>
          <w:noProof/>
          <w:sz w:val="24"/>
          <w:szCs w:val="24"/>
        </w:rPr>
        <w:t>междинна оценка</w:t>
      </w:r>
      <w:r>
        <w:rPr>
          <w:rFonts w:ascii="Times New Roman" w:hAnsi="Times New Roman"/>
          <w:noProof/>
          <w:sz w:val="24"/>
          <w:szCs w:val="24"/>
        </w:rPr>
        <w:t xml:space="preserve">. Целта е да се провери изпълнението на ППСР до този момент спрямо пет критерия за оценка (целесъобразност, ефективност, ефикасност, съгласуваност и добавена стойност за ЕС) и да се извлекат поуки за възможни бъдещи подобрения. В настоящия доклад служителите на Комисията представят и обсъждат констатациите. </w:t>
      </w:r>
    </w:p>
    <w:p>
      <w:pPr>
        <w:pStyle w:val="Heading1"/>
        <w:rPr>
          <w:noProof/>
        </w:rPr>
      </w:pPr>
      <w:r>
        <w:rPr>
          <w:noProof/>
        </w:rPr>
        <w:t>Метод</w:t>
      </w:r>
    </w:p>
    <w:p>
      <w:pPr>
        <w:jc w:val="both"/>
        <w:rPr>
          <w:rFonts w:ascii="Times New Roman" w:eastAsia="Times New Roman" w:hAnsi="Times New Roman" w:cs="Times New Roman"/>
          <w:noProof/>
          <w:sz w:val="24"/>
          <w:szCs w:val="24"/>
        </w:rPr>
      </w:pPr>
      <w:r>
        <w:rPr>
          <w:rFonts w:ascii="Times New Roman" w:hAnsi="Times New Roman"/>
          <w:b/>
          <w:noProof/>
          <w:sz w:val="24"/>
          <w:szCs w:val="24"/>
        </w:rPr>
        <w:t>Междинната оценка обхваща бюджетните цикли на програмата за 2017 и 2018 г.</w:t>
      </w:r>
      <w:r>
        <w:rPr>
          <w:rFonts w:ascii="Times New Roman" w:hAnsi="Times New Roman"/>
          <w:noProof/>
          <w:sz w:val="24"/>
          <w:szCs w:val="24"/>
        </w:rPr>
        <w:t>, подготвителното действие от 2016 г.</w:t>
      </w:r>
      <w:r>
        <w:rPr>
          <w:rStyle w:val="FootnoteReference"/>
          <w:rFonts w:eastAsia="Times New Roman"/>
          <w:noProof/>
          <w:szCs w:val="24"/>
        </w:rPr>
        <w:footnoteReference w:id="2"/>
      </w:r>
      <w:r>
        <w:rPr>
          <w:rFonts w:ascii="Times New Roman" w:hAnsi="Times New Roman"/>
          <w:noProof/>
          <w:sz w:val="24"/>
          <w:szCs w:val="24"/>
        </w:rPr>
        <w:t xml:space="preserve"> и проекти, финансирани чрез доброволни прехвърляния на допълнителни средства</w:t>
      </w:r>
      <w:r>
        <w:rPr>
          <w:rStyle w:val="FootnoteReference"/>
          <w:rFonts w:eastAsia="Times New Roman"/>
          <w:noProof/>
          <w:szCs w:val="24"/>
        </w:rPr>
        <w:footnoteReference w:id="3"/>
      </w:r>
      <w:r>
        <w:rPr>
          <w:rFonts w:ascii="Times New Roman" w:hAnsi="Times New Roman"/>
          <w:noProof/>
          <w:sz w:val="24"/>
          <w:szCs w:val="24"/>
        </w:rPr>
        <w:t xml:space="preserve"> към бюджета на ППСР от Гърция и България през 2018 г. За тази цел е проведено проучване за оценка от независим външен изпълнител</w:t>
      </w:r>
      <w:r>
        <w:rPr>
          <w:rStyle w:val="FootnoteReference"/>
          <w:rFonts w:ascii="Times New Roman" w:eastAsia="Times New Roman" w:hAnsi="Times New Roman" w:cs="Times New Roman"/>
          <w:noProof/>
          <w:szCs w:val="24"/>
        </w:rPr>
        <w:footnoteReference w:id="4"/>
      </w:r>
      <w:r>
        <w:rPr>
          <w:noProof/>
        </w:rPr>
        <w:t>.</w:t>
      </w:r>
      <w:r>
        <w:rPr>
          <w:rFonts w:ascii="Times New Roman" w:hAnsi="Times New Roman"/>
          <w:noProof/>
          <w:sz w:val="24"/>
          <w:szCs w:val="24"/>
        </w:rPr>
        <w:t xml:space="preserve"> Проучването беше проведено за период от 12 месеца с начало ноември 2018 г. </w:t>
      </w:r>
      <w:r>
        <w:rPr>
          <w:rFonts w:ascii="Times New Roman" w:hAnsi="Times New Roman"/>
          <w:b/>
          <w:noProof/>
          <w:sz w:val="24"/>
          <w:szCs w:val="24"/>
        </w:rPr>
        <w:t>Оценката анализира общо над 300 проекта за техническа подкрепа в 24 държави членки</w:t>
      </w:r>
      <w:r>
        <w:rPr>
          <w:rFonts w:ascii="Times New Roman" w:hAnsi="Times New Roman"/>
          <w:noProof/>
          <w:sz w:val="24"/>
          <w:szCs w:val="24"/>
        </w:rPr>
        <w:t>, като бяха използвани различни методи за събиране на данни. Те включват проучване на документи, анализ на данни от вътрешната информационна система на Комисията, използвана от ГД „Подкрепа на структурните реформи“ за управление на ППСР, целеви интервюта със заинтересовани страни, целеви онлайн консултации и проучвания на конкретни случаи. Комисията проведе и обществена консултация за събиране на информация от обществеността, предприятията, търговските сдружения и заинтересованите групи.</w:t>
      </w:r>
    </w:p>
    <w:p>
      <w:pPr>
        <w:jc w:val="both"/>
        <w:rPr>
          <w:rFonts w:ascii="Times New Roman" w:eastAsia="Times New Roman" w:hAnsi="Times New Roman" w:cs="Times New Roman"/>
          <w:noProof/>
          <w:sz w:val="24"/>
          <w:szCs w:val="24"/>
        </w:rPr>
      </w:pPr>
      <w:r>
        <w:rPr>
          <w:rFonts w:ascii="Times New Roman" w:hAnsi="Times New Roman"/>
          <w:b/>
          <w:bCs/>
          <w:noProof/>
          <w:sz w:val="24"/>
          <w:szCs w:val="24"/>
        </w:rPr>
        <w:t>Комисията определя качеството на събраните доказателства като задоволително.</w:t>
      </w:r>
      <w:r>
        <w:rPr>
          <w:rFonts w:ascii="Times New Roman" w:hAnsi="Times New Roman"/>
          <w:noProof/>
          <w:sz w:val="24"/>
          <w:szCs w:val="24"/>
        </w:rPr>
        <w:t xml:space="preserve"> Най-важното ограничение за надеждността на констатациите е фактът, че ППСР е създадена не много преди да бъде извършена оценката, съответно много проекти за техническа подкрепа са били все още в процес на изпълнение. Поради това настоящият доклад предоставя само първоначални заключения и извлечени поуки, които могат да се променят с напредването на изпълнението на програмата.</w:t>
      </w:r>
    </w:p>
    <w:p>
      <w:pPr>
        <w:pStyle w:val="Heading1"/>
        <w:rPr>
          <w:noProof/>
        </w:rPr>
      </w:pPr>
      <w:r>
        <w:rPr>
          <w:noProof/>
        </w:rPr>
        <w:t>Изпълнение на програмата</w:t>
      </w:r>
    </w:p>
    <w:p>
      <w:pPr>
        <w:jc w:val="both"/>
        <w:rPr>
          <w:rFonts w:ascii="Times New Roman" w:eastAsia="Times New Roman" w:hAnsi="Times New Roman" w:cs="Times New Roman"/>
          <w:noProof/>
          <w:sz w:val="24"/>
          <w:szCs w:val="24"/>
        </w:rPr>
      </w:pPr>
      <w:r>
        <w:rPr>
          <w:rFonts w:ascii="Times New Roman" w:hAnsi="Times New Roman"/>
          <w:b/>
          <w:noProof/>
          <w:sz w:val="24"/>
          <w:szCs w:val="24"/>
        </w:rPr>
        <w:t>ППСР за 2017 г. и ППСР за 2018 г. са разполагали с бюджет в размер на 53 милиона EUR</w:t>
      </w:r>
      <w:r>
        <w:rPr>
          <w:rStyle w:val="FootnoteReference"/>
          <w:rFonts w:ascii="Times New Roman" w:eastAsia="Times New Roman" w:hAnsi="Times New Roman" w:cs="Times New Roman"/>
          <w:noProof/>
          <w:szCs w:val="24"/>
        </w:rPr>
        <w:footnoteReference w:id="5"/>
      </w:r>
      <w:r>
        <w:rPr>
          <w:rFonts w:ascii="Times New Roman" w:hAnsi="Times New Roman"/>
          <w:b/>
          <w:noProof/>
          <w:sz w:val="24"/>
          <w:szCs w:val="24"/>
        </w:rPr>
        <w:t>.</w:t>
      </w:r>
      <w:r>
        <w:rPr>
          <w:rFonts w:ascii="Times New Roman" w:hAnsi="Times New Roman"/>
          <w:noProof/>
          <w:sz w:val="24"/>
          <w:szCs w:val="24"/>
        </w:rPr>
        <w:t xml:space="preserve"> По бюджетния цикъл за 2017 г. са одобрени 159 (подадени от 16 държави членки) от 271 подадени искания за финансиране. По бюджетния цикъл за 2018 г. са одобрени 146 (подадени от 24 държави членки) от 444 подадени искания за финансиране. По двата бюджетни цикъла </w:t>
      </w:r>
      <w:r>
        <w:rPr>
          <w:rFonts w:ascii="Times New Roman" w:hAnsi="Times New Roman"/>
          <w:b/>
          <w:noProof/>
          <w:sz w:val="24"/>
          <w:szCs w:val="24"/>
        </w:rPr>
        <w:t>над половината от избраните искания за техническа подкрепа бяха свързани с изпълнението във връзка с предизвикателствата, установени в контекста на процесите на икономическо управление</w:t>
      </w:r>
      <w:r>
        <w:rPr>
          <w:rFonts w:ascii="Times New Roman" w:hAnsi="Times New Roman"/>
          <w:noProof/>
          <w:sz w:val="24"/>
          <w:szCs w:val="24"/>
        </w:rPr>
        <w:t xml:space="preserve">, по-специално с изпълнението на специфичните за всяка държава препоръки в рамките на европейския семестър. </w:t>
      </w:r>
    </w:p>
    <w:p>
      <w:pPr>
        <w:jc w:val="both"/>
        <w:rPr>
          <w:rFonts w:ascii="Times New Roman" w:eastAsia="Times New Roman" w:hAnsi="Times New Roman" w:cs="Times New Roman"/>
          <w:b/>
          <w:noProof/>
          <w:sz w:val="24"/>
          <w:szCs w:val="24"/>
        </w:rPr>
      </w:pPr>
      <w:r>
        <w:rPr>
          <w:rFonts w:ascii="Times New Roman" w:hAnsi="Times New Roman"/>
          <w:noProof/>
          <w:sz w:val="24"/>
          <w:szCs w:val="24"/>
        </w:rPr>
        <w:t>От всички оценени проекти по бюджетните цикли за 2017 и 2018 г. над половината се изпълняват в седем държави членки (Румъния, Хърватия, Малта, Кипър, Литва, Словения и Полша). Одобреният бюджет на оценените проекти за 2017 и 2018 г. обхваща растеж и бизнес среда (13,5 милиона EUR), пазара на труда, образованието, здравеопазването и социалните услуги (11,4 милиона EUR), администриране на приходите и управление на публичните финанси (9,1 милиона EUR), финансовия сектор и достъпа до финансиране (7 милиона EUR), както и управлението и публичната администрация (6,8 милиона EUR).</w:t>
      </w:r>
      <w:r>
        <w:rPr>
          <w:rFonts w:ascii="Times New Roman" w:hAnsi="Times New Roman"/>
          <w:b/>
          <w:bCs/>
          <w:noProof/>
          <w:sz w:val="24"/>
          <w:szCs w:val="24"/>
        </w:rPr>
        <w:t xml:space="preserve"> </w:t>
      </w:r>
      <w:r>
        <w:rPr>
          <w:rFonts w:ascii="Times New Roman" w:hAnsi="Times New Roman"/>
          <w:bCs/>
          <w:noProof/>
          <w:sz w:val="24"/>
          <w:szCs w:val="24"/>
        </w:rPr>
        <w:t xml:space="preserve">Трите вида доставчици на техническа подкрепа, които в най-голяма степен са участвали в изпълнението на тези оценени проекти, са международни организации (37 %), частни дружества (22 %) и правителствени органи (8 %). </w:t>
      </w:r>
      <w:r>
        <w:rPr>
          <w:rFonts w:ascii="Times New Roman" w:hAnsi="Times New Roman"/>
          <w:b/>
          <w:bCs/>
          <w:noProof/>
          <w:sz w:val="24"/>
          <w:szCs w:val="24"/>
        </w:rPr>
        <w:t>По време на междинната оценка са били приключени 22 % от проектите.</w:t>
      </w:r>
    </w:p>
    <w:p>
      <w:pPr>
        <w:pStyle w:val="Heading1"/>
        <w:rPr>
          <w:noProof/>
        </w:rPr>
      </w:pPr>
      <w:r>
        <w:rPr>
          <w:noProof/>
        </w:rPr>
        <w:t>Основни констатации</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bCs/>
          <w:noProof/>
          <w:sz w:val="24"/>
          <w:szCs w:val="24"/>
        </w:rPr>
        <w:t>значимостта</w:t>
      </w:r>
      <w:r>
        <w:rPr>
          <w:rFonts w:ascii="Times New Roman" w:hAnsi="Times New Roman"/>
          <w:noProof/>
          <w:sz w:val="24"/>
          <w:szCs w:val="24"/>
        </w:rPr>
        <w:t xml:space="preserve"> на ППСР, констатациите от оценката показват, че ППСР в голяма степен отговаря на нуждите на държавите членки. Според заинтересованите страни, с които са проведени консултации, ППСР е подходящ инструмент за предоставяне на техническа подкрепа на държавите членки за разработване и изпълнение на поддържащи растежа реформи.  Програмата се възприема като важен инструмент за подобряване на капацитета на държавите членки да създават по-ефективни процеси и методологии. Освен това държавите членки особено високо оценяват голямата степен на гъвкавост, опростеността на процедурите за възлагане и изпълнение, управлявани от Комисията, както и липсата на изисквания за съфинансиране. Констатациите също така показват, че техническа подкрепа за реформи продължава да бъде необходима. Това се доказва и от нарасналото през годините търсене на техническа подкрепа от страна на държавите членки.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ефективността</w:t>
      </w:r>
      <w:r>
        <w:rPr>
          <w:rFonts w:ascii="Times New Roman" w:hAnsi="Times New Roman"/>
          <w:noProof/>
          <w:sz w:val="24"/>
          <w:szCs w:val="24"/>
        </w:rPr>
        <w:t xml:space="preserve"> на ППСР констатациите показват, че финансирани по ППСР проекти като цяло са добре планирани и вземат предвид нуждите и особеното положение на органите бенефициери, които са поискали подкрепа. Съответните социално-икономически въздействия също са взети предвид, като планираните действия често са осъществими и с реалистични срокове. Освен това констатациите показват, че ППСР напредва към постигане на своите цели. По-голямата част от проектите за техническа подкрепа вероятно ще постигнат своите резултати или вече са го направили. Доказателствата показват, че промените в политическата структура на органите бенефициери и липсата на сътрудничество между заинтересованите страни са важни пречки за постигането на резултати по проектите. Цялостна оценка на въздействието на програмата ще бъде извършена на по-късен етап.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Констатациите от оценката показват, че управлението на ППСР е </w:t>
      </w:r>
      <w:r>
        <w:rPr>
          <w:rFonts w:ascii="Times New Roman" w:hAnsi="Times New Roman"/>
          <w:b/>
          <w:noProof/>
          <w:sz w:val="24"/>
          <w:szCs w:val="24"/>
        </w:rPr>
        <w:t>ефективно</w:t>
      </w:r>
      <w:r>
        <w:rPr>
          <w:rFonts w:ascii="Times New Roman" w:hAnsi="Times New Roman"/>
          <w:noProof/>
          <w:sz w:val="24"/>
          <w:szCs w:val="24"/>
        </w:rPr>
        <w:t>. Действащата информационна система на Комисията е до голяма подходяща като инструмент за мониторинг, въпреки че към момента на оценката тя все още се нуждае от допълнителни подобрения. Освен това всички интервюирани служби на Комисията определиха тяхното сътрудничество с ГД „Подкрепа на структурните реформи“ като ефективно. По отношение на икономическата ефективност констатациите показват, че постигнатите резултати са пропорционални на отпуснатия бюджет. Като се вземат предвид ограниченията на анализа, финансираните по линия на ППСР действия към момента могат да се считат за икономически ефективни. И накрая, доказателствата показват, че степента на усвояване на средствата по програмата съответства на двегодишната продължителност на проектния цикъл по ППСР. Поради това може да се заключи, че ППСР е ефективна по отношение на времето с оглед на изпълнението на бюджета. В същото време констатациите показват, че може да се разгледа възможността за създаване на общи стандарти за мониторинг на техническата подкрепа на национално равнище. Би могло да се обърне допълнително внимание на някои малки рискове от забавяне при процедурите за възлагане.</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съгласуваността</w:t>
      </w:r>
      <w:r>
        <w:rPr>
          <w:rFonts w:ascii="Times New Roman" w:hAnsi="Times New Roman"/>
          <w:noProof/>
          <w:sz w:val="24"/>
          <w:szCs w:val="24"/>
        </w:rPr>
        <w:t xml:space="preserve"> на програмата, анализът показва, че различните компоненти на интервенционната логика на ППСР са логически свързани помежду си. Програмата също така е добре интегрирана в европейския семестър за координиране на икономическата политика на Комисията.  Доказателствата показват, че ГД „Подкрепа на структурните реформи“ прилага подходящ механизъм за координация на техническата подкрепа. Този механизъм за координация дава възможност за навременното установяване на потенциалните полезни взаимодействия и спомага за избягване на двойното финансиране на дейности, които вече са били финансирани от други фондове и програми на ЕС. Интервютата с други служби на Комисията потвърждават, че взаимното допълване между ППСР и други програми като цяло е гарантирано. Въпреки това някои от генералните дирекции на Комисията подчертаха и това, че фактът, че подкрепата по ППСР не е приведена в съответствие с техния програмен период води до предизвикателства по отношение на други програми на ЕС, които си поставят свързани цели. Констатациите също така показват, че държавите членки ще трябва да увеличат капацитета си, за да извършват по-задълбочени проверки за установяване на двойно финансиране. </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В заключение, в оценката се подчертава видимата </w:t>
      </w:r>
      <w:r>
        <w:rPr>
          <w:rFonts w:ascii="Times New Roman" w:hAnsi="Times New Roman"/>
          <w:b/>
          <w:bCs/>
          <w:noProof/>
          <w:sz w:val="24"/>
          <w:szCs w:val="24"/>
        </w:rPr>
        <w:t>добавена стойност за ЕС</w:t>
      </w:r>
      <w:r>
        <w:rPr>
          <w:rFonts w:ascii="Times New Roman" w:hAnsi="Times New Roman"/>
          <w:noProof/>
          <w:sz w:val="24"/>
          <w:szCs w:val="24"/>
        </w:rPr>
        <w:t>, създавана по програмата. Предоставяната по ППСР техническа подкрепа е предвидена за онези предизвикателства пред реформата, с които държавите членки не могат да се справят на национално равнище и за които те трябва да потърсят подкрепа на равнището на ЕС поради ограничения в капацитета или знанията. Освен това проектите за техническа подкрепа много често предоставят платформа за обмен на добри практики и извлечени поуки между държавите членки. Това са основни характеристики, които се очакват от ППСР по отношение на добавената стойност за ЕС. Въпреки това обменът на информация между органите бенефициери в различни държави членки може да бъде допълнително подобрен, за да бъдат оптимизирани полезните взаимодействия и споделянето на решения.</w:t>
      </w:r>
    </w:p>
    <w:p>
      <w:pPr>
        <w:pStyle w:val="Heading1"/>
        <w:rPr>
          <w:noProof/>
        </w:rPr>
      </w:pPr>
      <w:r>
        <w:rPr>
          <w:noProof/>
        </w:rPr>
        <w:t>Заключение</w:t>
      </w:r>
    </w:p>
    <w:p>
      <w:pPr>
        <w:jc w:val="both"/>
        <w:rPr>
          <w:rFonts w:ascii="Times New Roman" w:eastAsia="Times New Roman" w:hAnsi="Times New Roman" w:cs="Times New Roman"/>
          <w:noProof/>
          <w:sz w:val="24"/>
          <w:szCs w:val="24"/>
        </w:rPr>
      </w:pPr>
      <w:r>
        <w:rPr>
          <w:rFonts w:ascii="Times New Roman" w:hAnsi="Times New Roman"/>
          <w:noProof/>
          <w:sz w:val="24"/>
          <w:szCs w:val="24"/>
        </w:rPr>
        <w:t xml:space="preserve">Комисията счита констатациите от междинната оценка за задоволителни и пропорционални на степента на изпълнение на програмата. Въз основа на резултатите от междинната оценка </w:t>
      </w:r>
      <w:r>
        <w:rPr>
          <w:rFonts w:ascii="Times New Roman" w:hAnsi="Times New Roman"/>
          <w:b/>
          <w:noProof/>
          <w:sz w:val="24"/>
          <w:szCs w:val="24"/>
        </w:rPr>
        <w:t>Комисията е на мнение, че Програмата за подкрепа на структурните реформи отбелязва напредък към постигането на предварително определените цели и разполага с потенциал да бъде разширена.</w:t>
      </w:r>
      <w:r>
        <w:rPr>
          <w:rFonts w:ascii="Times New Roman" w:hAnsi="Times New Roman"/>
          <w:noProof/>
          <w:sz w:val="24"/>
          <w:szCs w:val="24"/>
        </w:rPr>
        <w:t xml:space="preserve"> Горепосочените извлечени поуки ще бъдат надлежно взети под внимание. В същото време Комисията признава, че към настоящия момент не могат да бъдат направени окончателни заключения относно изпълнението на програмата, предвид това, че междинната оценка е извършена на ранен етап от изпълнението на програмата. По-специално, Комисията ще оцени въздействието на програмата като част от последващата оценка.</w:t>
      </w:r>
    </w:p>
    <w:p>
      <w:pPr>
        <w:jc w:val="both"/>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3722178"/>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Член 16 от Регламент (ЕС) 2017/825 на Европейския парламент и на Съвета, ОВ L 129, 19.5.2017 г., стр. 1—16, изменен с Регламент (ЕС) 2018/1671, ОВ L 284, 12.11.2018 г., стр. 3—5.</w:t>
      </w:r>
    </w:p>
  </w:footnote>
  <w:footnote w:id="2">
    <w:p>
      <w:pPr>
        <w:pStyle w:val="FootnoteText"/>
      </w:pPr>
      <w:r>
        <w:rPr>
          <w:rStyle w:val="FootnoteReference"/>
        </w:rPr>
        <w:footnoteRef/>
      </w:r>
      <w:r>
        <w:t xml:space="preserve"> Европейска комисия (2017 г.), приложение към Решение на Комисията от 26.1.2017 г. за изменение на Решение C (2016) 4011 на Комисията относно приемането на решение за финансиране за подготвителното действие „Изграждане на капацитет и институционално изграждане в подкрепа на провеждането на икономически реформи,“ C (2017) 304 final, Брюксел.  </w:t>
      </w:r>
    </w:p>
  </w:footnote>
  <w:footnote w:id="3">
    <w:p>
      <w:pPr>
        <w:pStyle w:val="FootnoteText"/>
      </w:pPr>
      <w:r>
        <w:rPr>
          <w:rStyle w:val="FootnoteReference"/>
        </w:rPr>
        <w:footnoteRef/>
      </w:r>
      <w:r>
        <w:t xml:space="preserve"> Член 11 от Регламента за ППСР се отнася до доброволните вноски, които дадена държава членка може да прехвърля от европейските структурни и инвестиционни фондове към ППСР, за да бъдат използвани от тази конкретна държава членка.</w:t>
      </w:r>
    </w:p>
  </w:footnote>
  <w:footnote w:id="4">
    <w:p>
      <w:pPr>
        <w:pStyle w:val="FootnoteText"/>
      </w:pPr>
      <w:r>
        <w:rPr>
          <w:rStyle w:val="FootnoteReference"/>
        </w:rPr>
        <w:footnoteRef/>
      </w:r>
      <w:r>
        <w:t xml:space="preserve"> Ernst &amp; Young, „Междинна оценка на Програмата за подкрепа на структурните реформи за периода 2017—2020 г.“ (2020 г.), на разположение на уебстраницата </w:t>
      </w:r>
      <w:hyperlink r:id="rId1" w:history="1">
        <w:r>
          <w:rPr>
            <w:rStyle w:val="Hyperlink"/>
          </w:rPr>
          <w:t>https://data.europa.eu/doi/10.2887/656262</w:t>
        </w:r>
      </w:hyperlink>
      <w:r>
        <w:t xml:space="preserve">. Резюмета могат да бъдат намерени на следните уебстраници </w:t>
      </w:r>
      <w:hyperlink r:id="rId2" w:history="1">
        <w:r>
          <w:rPr>
            <w:rStyle w:val="Hyperlink"/>
          </w:rPr>
          <w:t>https://data.europa.eu/doi/10.2887/584399</w:t>
        </w:r>
      </w:hyperlink>
      <w:r>
        <w:t xml:space="preserve"> (английски език), </w:t>
      </w:r>
      <w:hyperlink r:id="rId3" w:history="1">
        <w:r>
          <w:rPr>
            <w:rStyle w:val="Hyperlink"/>
          </w:rPr>
          <w:t>https://data.europa.eu/doi/10.2887/244815</w:t>
        </w:r>
      </w:hyperlink>
      <w:r>
        <w:t xml:space="preserve"> (френски език) и </w:t>
      </w:r>
      <w:hyperlink r:id="rId4" w:history="1">
        <w:r>
          <w:rPr>
            <w:rStyle w:val="Hyperlink"/>
          </w:rPr>
          <w:t>https://data.europa.eu/doi/10.2887/530192</w:t>
        </w:r>
      </w:hyperlink>
      <w:r>
        <w:t xml:space="preserve"> (немски език).</w:t>
      </w:r>
    </w:p>
  </w:footnote>
  <w:footnote w:id="5">
    <w:p>
      <w:pPr>
        <w:pStyle w:val="FootnoteText"/>
      </w:pPr>
      <w:r>
        <w:rPr>
          <w:rStyle w:val="FootnoteReference"/>
        </w:rPr>
        <w:footnoteRef/>
      </w:r>
      <w:r>
        <w:t xml:space="preserve"> ППСР за 2017 г.: 22,5 милиона EUR, ППСР за 2018 г.: 30,5 милиона EUR.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6F5130D9-4AF6-4EA5-8764-9A41BB114620"/>
    <w:docVar w:name="LW_COVERPAGE_TYPE" w:val="1"/>
    <w:docVar w:name="LW_CROSSREFERENCE" w:val="&lt;UNUSED&gt;"/>
    <w:docVar w:name="LW_DocType" w:val="NORMAL"/>
    <w:docVar w:name="LW_EMISSION" w:val="30.9.2020"/>
    <w:docVar w:name="LW_EMISSION_ISODATE" w:val="2020-09-30"/>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0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2?\u1077?\u1078?\u1076?\u1080?\u1085?\u1085?\u1072? \u1086?\u1094?\u1077?\u1085?\u1082?\u1072? \u1085?\u1072? \u1055?\u1088?\u1086?\u1075?\u1088?\u1072?\u1084?\u1072?\u1090?\u1072? \u1079?\u1072? \u1087?\u1086?\u1076?\u1082?\u1088?\u1077?\u1087?\u1072? \u1085?\u1072? \u1089?\u1090?\u1088?\u1091?\u1082?\u1090?\u1091?\u1088?\u1085?\u1080?\u1090?\u1077? \u1088?\u1077?\u1092?\u1086?\u1088?\u1084?\u1080?"/>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pPr>
      <w:keepNext/>
      <w:spacing w:before="240" w:after="240" w:line="240" w:lineRule="auto"/>
      <w:jc w:val="both"/>
      <w:outlineLvl w:val="0"/>
    </w:pPr>
    <w:rPr>
      <w:rFonts w:ascii="Times New Roman" w:eastAsia="Times New Roman" w:hAnsi="Times New Roman" w:cs="Times New Roman"/>
      <w:b/>
      <w:smallCaps/>
      <w:sz w:val="24"/>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cs="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cs="Times New Roman"/>
      <w:b/>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TypedudocumentChar">
    <w:name w:val="Type du document Char"/>
    <w:basedOn w:val="DefaultParagraphFont"/>
    <w:link w:val="Typedudocument"/>
    <w:rPr>
      <w:rFonts w:ascii="Times New Roman" w:hAnsi="Times New Roman" w:cs="Times New Roman"/>
      <w:b/>
      <w:sz w:val="24"/>
    </w:rPr>
  </w:style>
  <w:style w:type="character" w:customStyle="1" w:styleId="FooterCoverPageChar">
    <w:name w:val="Footer Cover Page Char"/>
    <w:basedOn w:val="TypedudocumentChar"/>
    <w:link w:val="FooterCoverPage"/>
    <w:rPr>
      <w:rFonts w:ascii="Times New Roman" w:hAnsi="Times New Roman" w:cs="Times New Roman"/>
      <w:b w:val="0"/>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TypedudocumentChar"/>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TypedudocumentChar"/>
    <w:link w:val="HeaderCoverPage"/>
    <w:rPr>
      <w:rFonts w:ascii="Times New Roman" w:hAnsi="Times New Roman" w:cs="Times New Roman"/>
      <w:b w:val="0"/>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TypedudocumentChar"/>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TypedudocumentChar"/>
    <w:link w:val="HeaderSensitivityRight"/>
    <w:rPr>
      <w:rFonts w:ascii="Times New Roman" w:hAnsi="Times New Roman" w:cs="Times New Roman"/>
      <w:b w:val="0"/>
      <w:sz w:val="28"/>
    </w:rPr>
  </w:style>
  <w:style w:type="character" w:customStyle="1" w:styleId="Heading1Char">
    <w:name w:val="Heading 1 Char"/>
    <w:basedOn w:val="DefaultParagraphFont"/>
    <w:link w:val="Heading1"/>
    <w:rPr>
      <w:rFonts w:ascii="Times New Roman" w:eastAsia="Times New Roman" w:hAnsi="Times New Roman" w:cs="Times New Roman"/>
      <w:b/>
      <w:smallCaps/>
      <w:sz w:val="24"/>
      <w:szCs w:val="20"/>
    </w:rPr>
  </w:style>
  <w:style w:type="character" w:styleId="FootnoteReference">
    <w:name w:val="footnote reference"/>
    <w:aliases w:val="Footnote symbol,Footnote reference number,note TESI,BVI fnr,Appel note de bas de p,Nota,SUPERS,Footnote number,Footnote Reference Superscript,EN Footnote Reference,-E Fußnotenzeichen,number Char Char,number,Ref,styl,styli,de nota al p"/>
    <w:link w:val="SUPERSCharCharCharCharCharCharCharChar"/>
    <w:uiPriority w:val="99"/>
    <w:unhideWhenUsed/>
    <w:qFormat/>
    <w:rPr>
      <w:sz w:val="20"/>
      <w:vertAlign w:val="superscript"/>
    </w:rPr>
  </w:style>
  <w:style w:type="paragraph" w:customStyle="1" w:styleId="SUPERSCharCharCharCharCharCharCharChar">
    <w:name w:val="SUPERS Char Char Char Char Char Char Char Char"/>
    <w:aliases w:val="SUPERS Tegn Char Char Char Char Char Char Char Char Char,Footnote Reference Number Tegn Char Char Char Char Char Char Char Char Char"/>
    <w:basedOn w:val="Normal"/>
    <w:link w:val="FootnoteReference"/>
    <w:uiPriority w:val="99"/>
    <w:qFormat/>
    <w:pPr>
      <w:tabs>
        <w:tab w:val="left" w:pos="907"/>
      </w:tabs>
      <w:spacing w:before="60" w:after="160" w:line="240" w:lineRule="exact"/>
      <w:jc w:val="both"/>
    </w:pPr>
    <w:rPr>
      <w:sz w:val="20"/>
      <w:vertAlign w:val="superscript"/>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uiPriority w:val="99"/>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uiPriority w:val="99"/>
    <w:qFormat/>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semiHidden/>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emf"/><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2.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s>
</file>

<file path=word/_rels/footnotes.xml.rels><?xml version="1.0" encoding="UTF-8" standalone="yes"?>
<Relationships xmlns="http://schemas.openxmlformats.org/package/2006/relationships"><Relationship Id="rId3" Type="http://schemas.openxmlformats.org/officeDocument/2006/relationships/hyperlink" Target="https://data.europa.eu/doi/10.2887/244815" TargetMode="External"/><Relationship Id="rId2" Type="http://schemas.openxmlformats.org/officeDocument/2006/relationships/hyperlink" Target="https://data.europa.eu/doi/10.2887/584399" TargetMode="External"/><Relationship Id="rId1" Type="http://schemas.openxmlformats.org/officeDocument/2006/relationships/hyperlink" Target="https://data.europa.eu/doi/10.2887/656262" TargetMode="External"/><Relationship Id="rId4" Type="http://schemas.openxmlformats.org/officeDocument/2006/relationships/hyperlink" Target="https://data.europa.eu/doi/10.2887/5301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C_Collab_Reference xmlns="aa30d10d-b30d-4a7a-9d26-d2ca493895f6" xsi:nil="true"/>
    <_Status xmlns="http://schemas.microsoft.com/sharepoint/v3/fields">Not Started</_Status>
    <EC_Collab_DocumentLanguage xmlns="aa30d10d-b30d-4a7a-9d26-d2ca493895f6">EN</EC_Collab_DocumentLanguage>
    <EC_Collab_Status xmlns="aa30d10d-b30d-4a7a-9d26-d2ca493895f6">Not Started</EC_Collab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C19CB19FD2FBA47808508DA40B1A876" ma:contentTypeVersion="0" ma:contentTypeDescription="Create a new document in this library." ma:contentTypeScope="" ma:versionID="f10b94d9d233ee48f0d376ff01483eb8">
  <xsd:schema xmlns:xsd="http://www.w3.org/2001/XMLSchema" xmlns:xs="http://www.w3.org/2001/XMLSchema" xmlns:p="http://schemas.microsoft.com/office/2006/metadata/properties" xmlns:ns2="http://schemas.microsoft.com/sharepoint/v3/fields" xmlns:ns3="aa30d10d-b30d-4a7a-9d26-d2ca493895f6" targetNamespace="http://schemas.microsoft.com/office/2006/metadata/properties" ma:root="true" ma:fieldsID="d36a867d41c153cbdd2fa160b23b609a" ns2:_="" ns3:_="">
    <xsd:import namespace="http://schemas.microsoft.com/sharepoint/v3/fields"/>
    <xsd:import namespace="aa30d10d-b30d-4a7a-9d26-d2ca493895f6"/>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aa30d10d-b30d-4a7a-9d26-d2ca493895f6"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64E683-9F49-43A0-9D51-9058524DF135}">
  <ds:schemaRefs>
    <ds:schemaRef ds:uri="http://schemas.microsoft.com/office/2006/metadata/properties"/>
    <ds:schemaRef ds:uri="http://schemas.microsoft.com/office/infopath/2007/PartnerControls"/>
    <ds:schemaRef ds:uri="aa30d10d-b30d-4a7a-9d26-d2ca493895f6"/>
    <ds:schemaRef ds:uri="http://schemas.microsoft.com/sharepoint/v3/fields"/>
  </ds:schemaRefs>
</ds:datastoreItem>
</file>

<file path=customXml/itemProps2.xml><?xml version="1.0" encoding="utf-8"?>
<ds:datastoreItem xmlns:ds="http://schemas.openxmlformats.org/officeDocument/2006/customXml" ds:itemID="{EF3FDECF-382E-45B6-A573-8212BCE892AB}">
  <ds:schemaRefs>
    <ds:schemaRef ds:uri="http://schemas.microsoft.com/sharepoint/v3/contenttype/forms"/>
  </ds:schemaRefs>
</ds:datastoreItem>
</file>

<file path=customXml/itemProps3.xml><?xml version="1.0" encoding="utf-8"?>
<ds:datastoreItem xmlns:ds="http://schemas.openxmlformats.org/officeDocument/2006/customXml" ds:itemID="{52953ABF-53CF-40A3-B865-AF7C7C089C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aa30d10d-b30d-4a7a-9d26-d2ca49389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FE424-4F4E-411B-8C12-F1DDA2993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1457</Words>
  <Characters>8819</Characters>
  <Application>Microsoft Office Word</Application>
  <DocSecurity>0</DocSecurity>
  <Lines>144</Lines>
  <Paragraphs>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15</cp:revision>
  <dcterms:created xsi:type="dcterms:W3CDTF">2020-09-14T15:24:00Z</dcterms:created>
  <dcterms:modified xsi:type="dcterms:W3CDTF">2020-09-21T13:03:00Z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CP-006</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_LW_INVALIDATED__LW_INVALIDATED__LW_INVALIDATED_ContentTypeId">
    <vt:lpwstr>0x010100258AA79CEB83498886A3A08681123250004C19CB19FD2FBA47808508DA40B1A876</vt:lpwstr>
  </property>
</Properties>
</file>