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B68BD07-D8C8-42F0-8209-8EB29043F623" style="width:450.75pt;height:434.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С настоящото предложение се допълва проектът на решение за установяване на позицията, която трябва да се заеме от името на Съюза на 66-ата сесия на Комитета по Хармонизираната система (КХС) към Световната митническа организация през септември 2020 г., предаден на Съвета на 21 август 2020 г. (COM(2020) 427).</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Международната конвенция по Хармонизираната система за описание и кодиране на стоките</w:t>
      </w:r>
    </w:p>
    <w:p>
      <w:pPr>
        <w:rPr>
          <w:rFonts w:eastAsia="Arial Unicode MS"/>
          <w:noProof/>
        </w:rPr>
      </w:pPr>
      <w:r>
        <w:rPr>
          <w:noProof/>
        </w:rPr>
        <w:t>Международната конвенция по Хармонизираната система за описание и кодиране на стоките има за цел улесняване на международната търговия и събирането, сравняването и анализирането на статистически данни, в частност за международната търговия. Като приложение към Конвенцията е установена Номенклатурата на Хармонизираната система (ХС), която представлява международна хармонизирана система, осигуряваща възможност на участващите държави да класират по общ начин търгуваните стоки за митнически цели. В частност, Номенклатурата на ХС включва описанието на стоките, представени като позиции и подпозиции, и съответстващите им числови кодове, съставени въз основа на 6-цифрова кодова система. Номенклатурата на ХС се изменя веднъж на всеки пет години</w:t>
      </w:r>
      <w:r>
        <w:rPr>
          <w:rStyle w:val="FootnoteReference"/>
          <w:noProof/>
        </w:rPr>
        <w:footnoteReference w:id="1"/>
      </w:r>
      <w:r>
        <w:rPr>
          <w:noProof/>
        </w:rPr>
        <w:t xml:space="preserve">. Тя се прилага от над 190 администрации по целия свят; вследствие на това над 98 % от всички стоки, търгувани в света, се класират в съответствие с нея. </w:t>
      </w:r>
    </w:p>
    <w:p>
      <w:pPr>
        <w:rPr>
          <w:rFonts w:eastAsia="Arial Unicode MS"/>
          <w:noProof/>
        </w:rPr>
      </w:pPr>
      <w:r>
        <w:rPr>
          <w:noProof/>
        </w:rPr>
        <w:t>Конвенцията влезе в сила на 1 януари 1988 г.</w:t>
      </w:r>
    </w:p>
    <w:p>
      <w:pPr>
        <w:rPr>
          <w:rFonts w:eastAsia="Arial Unicode MS"/>
          <w:noProof/>
        </w:rPr>
      </w:pPr>
      <w:r>
        <w:rPr>
          <w:noProof/>
        </w:rPr>
        <w:t>Европейският съюз и всички държави членки са страни по нея</w:t>
      </w:r>
      <w:r>
        <w:rPr>
          <w:rStyle w:val="FootnoteReference"/>
          <w:rFonts w:eastAsia="Arial Unicode MS"/>
          <w:noProof/>
        </w:rPr>
        <w:footnoteReference w:id="2"/>
      </w:r>
      <w:r>
        <w:rPr>
          <w:noProof/>
        </w:rPr>
        <w:t>.</w:t>
      </w:r>
    </w:p>
    <w:p>
      <w:pPr>
        <w:pStyle w:val="ManualHeading2"/>
        <w:rPr>
          <w:noProof/>
        </w:rPr>
      </w:pPr>
      <w:r>
        <w:t>2.2.</w:t>
      </w:r>
      <w:r>
        <w:tab/>
      </w:r>
      <w:r>
        <w:rPr>
          <w:noProof/>
        </w:rPr>
        <w:t>Световната митническа организация (СМО)</w:t>
      </w:r>
    </w:p>
    <w:p>
      <w:pPr>
        <w:rPr>
          <w:rFonts w:eastAsia="Arial Unicode MS"/>
          <w:noProof/>
          <w:szCs w:val="24"/>
        </w:rPr>
      </w:pPr>
      <w:r>
        <w:rPr>
          <w:noProof/>
        </w:rPr>
        <w:t>Световната митническа организация (СМО), създадена през 1952 г. като Съвет за митническо сътрудничество, е независима междуправителствена организация, чиято главна цел е повишаване на ефективността и ефикасността на митническите администрации. В нея са представени 183 митнически администрации от целия свят. Управителният орган на СМО е Съветът. Съюзът упражнява права и задължения, характерни за временното членство в СМО, до влизането в сила на изменението на Конвенцията за създаване на Съвет за митническо сътрудничество.</w:t>
      </w:r>
    </w:p>
    <w:p>
      <w:pPr>
        <w:rPr>
          <w:rFonts w:eastAsia="Arial Unicode MS"/>
          <w:noProof/>
        </w:rPr>
      </w:pPr>
      <w:r>
        <w:rPr>
          <w:noProof/>
        </w:rPr>
        <w:t xml:space="preserve">Управителният орган на СМО е Съветът на СМО, който за изпълнението на главната си цел разчита на компетентността и уменията на служителите на Секретариата и различни технически и консултативни комитети. </w:t>
      </w:r>
    </w:p>
    <w:p>
      <w:pPr>
        <w:rPr>
          <w:rFonts w:eastAsiaTheme="majorEastAsia"/>
          <w:bCs/>
          <w:noProof/>
          <w:szCs w:val="26"/>
        </w:rPr>
      </w:pPr>
      <w:r>
        <w:rPr>
          <w:noProof/>
        </w:rPr>
        <w:t>Комитетът по Хармонизираната система (КХС) е технически комитет, който отговаря за подготвителната работа по Конвенцията по ХС. Главните задачи на КХС са следните:</w:t>
      </w:r>
    </w:p>
    <w:p>
      <w:pPr>
        <w:pStyle w:val="Bullet0"/>
        <w:numPr>
          <w:ilvl w:val="0"/>
          <w:numId w:val="17"/>
        </w:numPr>
        <w:rPr>
          <w:noProof/>
          <w:szCs w:val="24"/>
        </w:rPr>
      </w:pPr>
      <w:r>
        <w:rPr>
          <w:noProof/>
        </w:rPr>
        <w:lastRenderedPageBreak/>
        <w:t>да подготвя обяснителни бележки, мнения за класиране или други съвети като насоки относно тълкуването на Хармонизираната система и да упражнява такива други функции във връзка с Хармонизираната система, които Съветът на СМО или договарящите страни могат да счетат за необходими;</w:t>
      </w:r>
    </w:p>
    <w:p>
      <w:pPr>
        <w:pStyle w:val="Bullet0"/>
        <w:numPr>
          <w:ilvl w:val="0"/>
          <w:numId w:val="17"/>
        </w:numPr>
        <w:rPr>
          <w:noProof/>
          <w:szCs w:val="24"/>
        </w:rPr>
      </w:pPr>
      <w:r>
        <w:rPr>
          <w:noProof/>
        </w:rPr>
        <w:t xml:space="preserve">да подготвя препоръки за осигуряване на унифицирано тълкуване и прилагане на правните текстове по ХС, в т.ч. като урежда спорове по класирането между договарящите страни, улеснявайки по този начин търговията; </w:t>
      </w:r>
    </w:p>
    <w:p>
      <w:pPr>
        <w:pStyle w:val="Bullet0"/>
        <w:numPr>
          <w:ilvl w:val="0"/>
          <w:numId w:val="18"/>
        </w:numPr>
        <w:rPr>
          <w:noProof/>
          <w:szCs w:val="24"/>
        </w:rPr>
      </w:pPr>
      <w:r>
        <w:rPr>
          <w:noProof/>
        </w:rPr>
        <w:t xml:space="preserve">да предлага изменения и актуализации на ХС, за да бъдат отразявани техническото развитие и промените в структурата на търговията, както и други нужди на ползвателите на ХС; </w:t>
      </w:r>
    </w:p>
    <w:p>
      <w:pPr>
        <w:pStyle w:val="Bullet0"/>
        <w:numPr>
          <w:ilvl w:val="0"/>
          <w:numId w:val="18"/>
        </w:numPr>
        <w:rPr>
          <w:noProof/>
          <w:szCs w:val="24"/>
        </w:rPr>
      </w:pPr>
      <w:r>
        <w:rPr>
          <w:noProof/>
        </w:rPr>
        <w:t>да насърчава широкото прилагане на ХС и да разглежда общи и политически въпроси, свързани с нея.</w:t>
      </w:r>
    </w:p>
    <w:p>
      <w:pPr>
        <w:rPr>
          <w:noProof/>
        </w:rPr>
      </w:pPr>
      <w:r>
        <w:rPr>
          <w:noProof/>
        </w:rPr>
        <w:t>Съюзът и неговите държави членки заедно имат само един глас в КХС. Решенията на КХС по въпроси от обхвата на настоящото рамково решение се вземат с обикновено мнозинство.</w:t>
      </w:r>
    </w:p>
    <w:p>
      <w:pPr>
        <w:rPr>
          <w:noProof/>
        </w:rPr>
      </w:pPr>
      <w:r>
        <w:rPr>
          <w:noProof/>
        </w:rPr>
        <w:t xml:space="preserve">Съгласно член 8, параграф 2 от Конвенцията по ХС обяснителните бележки, мненията за класиране, другите съвети относно тълкуването на Хармонизираната система и препоръките за осигуряване на унифицирано тълкуване и прилагане на Хармонизираната система, подготвени по време на сесия на КХС, се считат за одобрени от Съвета на СМО, ако до края на втория месец, следващ месеца, през който е закрита сесията, на която те са били приети, нито една договаряща страна по Конвенцията по ХС не е уведомила генералния секретар на СМО, че иска въпросът да бъде поставен пред Съвета на СМО. </w:t>
      </w:r>
    </w:p>
    <w:p>
      <w:pPr>
        <w:pStyle w:val="ManualHeading2"/>
        <w:rPr>
          <w:noProof/>
        </w:rPr>
      </w:pPr>
      <w:r>
        <w:t>2.3.</w:t>
      </w:r>
      <w:r>
        <w:tab/>
      </w:r>
      <w:r>
        <w:rPr>
          <w:noProof/>
        </w:rPr>
        <w:t>Предвидените актове</w:t>
      </w:r>
    </w:p>
    <w:p>
      <w:pPr>
        <w:rPr>
          <w:noProof/>
          <w:szCs w:val="24"/>
        </w:rPr>
      </w:pPr>
      <w:r>
        <w:rPr>
          <w:noProof/>
        </w:rPr>
        <w:t xml:space="preserve">В съответствие с член 6, параграф 2 от Конвенцията по ХС КХС обикновено заседава два пъти годишно. На практика сесиите на КХС се провеждат през март и септември. </w:t>
      </w:r>
    </w:p>
    <w:p>
      <w:pPr>
        <w:rPr>
          <w:noProof/>
          <w:szCs w:val="24"/>
        </w:rPr>
      </w:pPr>
      <w:r>
        <w:rPr>
          <w:noProof/>
        </w:rPr>
        <w:t>Предложеното решение се отнася до следните актове, които се разглеждат и приемат временно от КХС и подлежат на одобрение от Съвета на СМО чрез „процедура на мълчаливо съгласие“:</w:t>
      </w:r>
    </w:p>
    <w:p>
      <w:pPr>
        <w:pStyle w:val="Point0"/>
        <w:rPr>
          <w:noProof/>
        </w:rPr>
      </w:pPr>
      <w:r>
        <w:rPr>
          <w:noProof/>
        </w:rPr>
        <w:t>а)</w:t>
      </w:r>
      <w:r>
        <w:rPr>
          <w:noProof/>
        </w:rPr>
        <w:tab/>
        <w:t>обяснителни бележки, които поясняват тълкуването на забележките, позициите и подпозициите от Номенклатурата на ХС;</w:t>
      </w:r>
    </w:p>
    <w:p>
      <w:pPr>
        <w:pStyle w:val="Point0"/>
        <w:rPr>
          <w:noProof/>
        </w:rPr>
      </w:pPr>
      <w:r>
        <w:rPr>
          <w:noProof/>
        </w:rPr>
        <w:t>б)</w:t>
      </w:r>
      <w:r>
        <w:rPr>
          <w:noProof/>
        </w:rPr>
        <w:tab/>
        <w:t>мнения за класиране, които отразяват решенията, взети от КХС по отношение на класирането на конкретни продукти;</w:t>
      </w:r>
    </w:p>
    <w:p>
      <w:pPr>
        <w:pStyle w:val="Point0"/>
        <w:rPr>
          <w:noProof/>
        </w:rPr>
      </w:pPr>
      <w:r>
        <w:rPr>
          <w:noProof/>
        </w:rPr>
        <w:t>в)</w:t>
      </w:r>
      <w:r>
        <w:rPr>
          <w:noProof/>
        </w:rPr>
        <w:tab/>
        <w:t>други съвети и препоръки относно класирането на стоките в Номенклатурата на ХС, например решения за класиране или други насоки, приети от КХС.</w:t>
      </w:r>
    </w:p>
    <w:p>
      <w:pPr>
        <w:rPr>
          <w:rFonts w:eastAsia="Arial Unicode MS"/>
          <w:noProof/>
        </w:rPr>
      </w:pPr>
      <w:r>
        <w:rPr>
          <w:noProof/>
        </w:rPr>
        <w:t>В съответствие с член 34, параграф 7, буква а), подточка iii) от Регламент (ЕС) № 952/2013 на Европейския парламент и на Съвета от 9 октомври 2013 г. за създаване на Митнически кодекс на Съюза</w:t>
      </w:r>
      <w:r>
        <w:rPr>
          <w:rStyle w:val="FootnoteReference"/>
          <w:noProof/>
          <w:szCs w:val="24"/>
        </w:rPr>
        <w:footnoteReference w:id="3"/>
      </w:r>
      <w:r>
        <w:rPr>
          <w:noProof/>
        </w:rPr>
        <w:t xml:space="preserve"> митническите органи на държавите членки отменят своите решения, отнасящи се до обвързваща тарифна информация (решения за ОТИ), когато те вече не са съвместими с тълкуването на Номенклатурата на ХС в резултат от решения за класиране, мнения за класиране или изменения на Обяснителните бележки към Номенклатурата на ХС, считано от датата на публикуването на съобщението на Комисията в серия „С“ на </w:t>
      </w:r>
      <w:r>
        <w:rPr>
          <w:rStyle w:val="italic"/>
          <w:noProof/>
        </w:rPr>
        <w:t>Официален вестник на Европейския съюз</w:t>
      </w:r>
      <w:r>
        <w:rPr>
          <w:noProof/>
        </w:rPr>
        <w:t>.</w:t>
      </w:r>
    </w:p>
    <w:p>
      <w:pPr>
        <w:pStyle w:val="ManualHeading1"/>
        <w:rPr>
          <w:rFonts w:eastAsia="Arial Unicode MS"/>
          <w:noProof/>
        </w:rPr>
      </w:pPr>
      <w:r>
        <w:lastRenderedPageBreak/>
        <w:t>3.</w:t>
      </w:r>
      <w:r>
        <w:tab/>
      </w:r>
      <w:r>
        <w:rPr>
          <w:noProof/>
        </w:rPr>
        <w:t>Позиция, която трябва да се заеме от името на Съюза</w:t>
      </w:r>
    </w:p>
    <w:p>
      <w:pPr>
        <w:pStyle w:val="ManualHeading2"/>
        <w:rPr>
          <w:rFonts w:eastAsia="Arial Unicode MS"/>
          <w:noProof/>
        </w:rPr>
      </w:pPr>
      <w:r>
        <w:t>3.1.</w:t>
      </w:r>
      <w:r>
        <w:tab/>
      </w:r>
      <w:r>
        <w:rPr>
          <w:noProof/>
        </w:rPr>
        <w:t>Практически ограничения при изготвянето и приемането на позициите на ЕС</w:t>
      </w:r>
    </w:p>
    <w:p>
      <w:pPr>
        <w:rPr>
          <w:rFonts w:eastAsia="Arial Unicode MS"/>
          <w:noProof/>
        </w:rPr>
      </w:pPr>
      <w:r>
        <w:rPr>
          <w:noProof/>
        </w:rPr>
        <w:t xml:space="preserve">На всяка от своите две годишни сесии Комитетът по Хармонизираната система към СМО приема мнения за класиране, решения за класиране, изменения на Обяснителните бележки към Хармонизираната система (ОБХС) или други съвети относно тълкуването на Хармонизираната система и препоръки за осигуряване на унифицирано тълкуване на Хармонизираната система съгласно Конвенцията по Хармонизираната система. </w:t>
      </w:r>
    </w:p>
    <w:p>
      <w:pPr>
        <w:rPr>
          <w:noProof/>
        </w:rPr>
      </w:pPr>
      <w:r>
        <w:rPr>
          <w:noProof/>
        </w:rPr>
        <w:t>От практическа гледна точка обикновено няма достатъчно време преди всяка сесия на КХС Съюзът официално да приеме позиция съгласно член 218, параграф 9 от ДФЕС. Поради това Комисията представи предложение за рамково решение на Съвета относно позицията, която трябва да се заеме от името на Съюза в рамките на СМО по въпросите, свързани с ХС</w:t>
      </w:r>
      <w:r>
        <w:rPr>
          <w:rStyle w:val="FootnoteReference"/>
          <w:noProof/>
        </w:rPr>
        <w:footnoteReference w:id="4"/>
      </w:r>
      <w:r>
        <w:rPr>
          <w:noProof/>
        </w:rPr>
        <w:t>; това предложение все още се разглежда от Съвета.</w:t>
      </w:r>
    </w:p>
    <w:p>
      <w:pPr>
        <w:rPr>
          <w:rFonts w:eastAsia="Arial Unicode MS"/>
          <w:noProof/>
        </w:rPr>
      </w:pPr>
      <w:r>
        <w:rPr>
          <w:noProof/>
        </w:rPr>
        <w:t xml:space="preserve">Поради избухването на пандемията от COVID-19 обаче Секретариатът на СМО уведоми, че сесията, насрочена за септември 2020 г., ще се проведе посредством писмени обсъждания онлайн. </w:t>
      </w:r>
    </w:p>
    <w:p>
      <w:pPr>
        <w:rPr>
          <w:rFonts w:eastAsia="Arial Unicode MS"/>
          <w:noProof/>
        </w:rPr>
      </w:pPr>
      <w:r>
        <w:rPr>
          <w:noProof/>
        </w:rPr>
        <w:t>Въпреки че дневният ред на тази сесия все още не бе на разположение и организацията и форматът на обсъжданията все още не бяха известни, очакваше се, че е най-вероятно в нейния дневен ред да бъдат включени точките от дневния ред на предходната сесия (КХС/65 – март 2020 г.), която СМО отмени заради пандемията. За тази цел бе изготвен проект на решение на Съвета, който впоследствие му бе изпратен (COM(2020) 427).</w:t>
      </w:r>
    </w:p>
    <w:p>
      <w:pPr>
        <w:rPr>
          <w:rFonts w:eastAsia="Arial Unicode MS"/>
          <w:noProof/>
        </w:rPr>
      </w:pPr>
      <w:r>
        <w:rPr>
          <w:noProof/>
        </w:rPr>
        <w:t>СМО промени датите и дневния ред на сесията на КХС, която ще бъде проведена виртуално между 28 септември и 30 октомври и ще обхваща главно резултатите от работата на виртуалния Подкомитет по измененията към СМО, завършила на 21 август, и някои въпроси, които вече са включени в първия проект на решение, изпратен до Съвета, докато разглеждането на другите въпроси от първия проект на решение се отлага за следваща сесия на КХС. С оглед на броя на въпросите, по които от КХС ще се иска да вземе решение на тази сесия, и тяхното задължително правно действие по отношение на законодателството на Съюза, е необходимо второ решение на Съвета по член 218, параграф 9 от ДФЕС, с което да се допълни първото решение и да се установи позицията на Съюза по въпросите, по отношение на които КХС ще има за задача да вземе решение (напр. обяснителни бележки, насоки или други съвети относно тълкуването на ХС).</w:t>
      </w:r>
    </w:p>
    <w:p>
      <w:pPr>
        <w:pStyle w:val="ManualHeading2"/>
        <w:rPr>
          <w:rFonts w:eastAsia="Arial Unicode MS"/>
          <w:noProof/>
        </w:rPr>
      </w:pPr>
      <w:r>
        <w:t>3.2.</w:t>
      </w:r>
      <w:r>
        <w:tab/>
      </w:r>
      <w:r>
        <w:rPr>
          <w:noProof/>
        </w:rPr>
        <w:t>Цел и съдържание на предложението</w:t>
      </w:r>
    </w:p>
    <w:p>
      <w:pPr>
        <w:rPr>
          <w:noProof/>
          <w:szCs w:val="24"/>
        </w:rPr>
      </w:pPr>
      <w:r>
        <w:rPr>
          <w:noProof/>
        </w:rPr>
        <w:t xml:space="preserve">Въпросните решения, подготвяни от КХС, са в състояние да окажат съществено въздействие върху съдържанието на правото на Съюза, по-специално Регламент (ЕИО) № 2658/87 на Съвета относно тарифната и статистическа номенклатура, Общата митническа тарифа, както и приложената към него Комбинирана номенклатура (КН). Решенията за класиране, мненията за класиране или измененията на Oбяснителните бележки към Номенклатурата на ХС се използват в подкрепа на класирането, предвидено в регламентите за изпълнение на Комисията относно класирането на стоки в КН, както и в Обяснителните бележки към КН и в решенията за класиране, издадени от митническите органи на държавите членки. От митническите органи на държавите членки се изисква да отменят своите решения за класиране, когато те вече не са </w:t>
      </w:r>
      <w:r>
        <w:rPr>
          <w:noProof/>
        </w:rPr>
        <w:lastRenderedPageBreak/>
        <w:t>съвместими с тълкуването на Номенклатурата на ХС в резултат от такива решения за класиране, мнения за класиране или изменения на Обяснителните бележки към ХС.</w:t>
      </w:r>
    </w:p>
    <w:p>
      <w:pPr>
        <w:rPr>
          <w:noProof/>
        </w:rPr>
      </w:pPr>
      <w:r>
        <w:rPr>
          <w:noProof/>
        </w:rPr>
        <w:t>Поради това е целесъобразно позицията, която трябва да се заеме от името на Съюза в рамките на СМО, да се установи с решение на Съвета, прието съгласно член 218, параграф 9 от ДФЕС въз основа на предложение на Комисията.</w:t>
      </w:r>
    </w:p>
    <w:p>
      <w:pPr>
        <w:rPr>
          <w:noProof/>
        </w:rPr>
      </w:pPr>
      <w:r>
        <w:rPr>
          <w:noProof/>
        </w:rPr>
        <w:t>Ръководни принципи при установяването на такива позиции са общите критерии, определени в Конвенцията по ХС (общите правила за тълкуване на ХС), и обективните характеристики и свойства на стоките.</w:t>
      </w:r>
    </w:p>
    <w:p>
      <w:pPr>
        <w:rPr>
          <w:noProof/>
        </w:rPr>
      </w:pPr>
      <w:r>
        <w:rPr>
          <w:noProof/>
        </w:rPr>
        <w:t xml:space="preserve">Целта на предложената позиция е да се изрази становището на Съюза по отношение на класирането на стоки в Номенклатурата на ХС, както и по отношение на подготвените от КХС мнения за класиране и Обяснителни бележки към ХС. </w:t>
      </w:r>
    </w:p>
    <w:p>
      <w:pPr>
        <w:rPr>
          <w:noProof/>
        </w:rPr>
      </w:pPr>
      <w:r>
        <w:rPr>
          <w:noProof/>
        </w:rPr>
        <w:t xml:space="preserve">Консултации с технически експерти от държавите членки бяха проведени в Експертната група по митнически въпроси на 2 –7 септември 2020 г. Нейните заключения са в съответствие с предложените позиции, които са поместени в приложението към проектопредложението за решение на Съвета. </w:t>
      </w:r>
    </w:p>
    <w:p>
      <w:pPr>
        <w:rPr>
          <w:noProof/>
        </w:rPr>
      </w:pPr>
      <w:r>
        <w:rPr>
          <w:noProof/>
        </w:rPr>
        <w:t xml:space="preserve">Предложената позиция на ЕС е съобразена и с установената митническа политика и практиката на Съда на Европейския съюз за класиране на стоките при внос според обективните им характеристики и свойства. </w:t>
      </w:r>
    </w:p>
    <w:p>
      <w:pPr>
        <w:rPr>
          <w:noProof/>
        </w:rPr>
      </w:pPr>
      <w:r>
        <w:rPr>
          <w:noProof/>
        </w:rPr>
        <w:t xml:space="preserve">Предложената позиция е необходима, за да може ЕС да изрази позиция на следващата сесия на КХС. </w:t>
      </w:r>
    </w:p>
    <w:p>
      <w:pPr>
        <w:pStyle w:val="ManualHeading1"/>
        <w:rPr>
          <w:noProof/>
        </w:rPr>
      </w:pPr>
      <w:r>
        <w:t>4.</w:t>
      </w:r>
      <w:r>
        <w:tab/>
      </w:r>
      <w:r>
        <w:rPr>
          <w:noProof/>
        </w:rPr>
        <w:t>Правно основание</w:t>
      </w:r>
    </w:p>
    <w:p>
      <w:pPr>
        <w:pStyle w:val="ManualHeading2"/>
        <w:rPr>
          <w:i/>
          <w:noProof/>
          <w:szCs w:val="24"/>
        </w:rPr>
      </w:pPr>
      <w:r>
        <w:t>4.1.</w:t>
      </w:r>
      <w:r>
        <w:tab/>
      </w:r>
      <w:r>
        <w:rPr>
          <w:noProof/>
        </w:rPr>
        <w:t>Принципи</w:t>
      </w:r>
    </w:p>
    <w:p>
      <w:pPr>
        <w:rPr>
          <w:noProof/>
          <w:szCs w:val="24"/>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szCs w:val="24"/>
        </w:rPr>
      </w:pPr>
      <w:r>
        <w:rPr>
          <w:noProof/>
        </w:rPr>
        <w:t>Понятието „актове с правно действие“ включва актовете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szCs w:val="24"/>
        </w:rPr>
        <w:footnoteReference w:id="5"/>
      </w:r>
      <w:r>
        <w:rPr>
          <w:noProof/>
        </w:rPr>
        <w:t>.</w:t>
      </w:r>
    </w:p>
    <w:p>
      <w:pPr>
        <w:rPr>
          <w:noProof/>
        </w:rPr>
      </w:pPr>
      <w:r>
        <w:rPr>
          <w:noProof/>
        </w:rPr>
        <w:t>Поради това процесуалноправното основание за предложеното решение за установяване на позицията, която трябва да се заеме от името на Съюза в рамките на СМО във връзка с приемането на обяснителни бележки, мнения за класиране или други съвети като насоки за тълкуването на ХС съгласно Конвенцията по ХС, е член 218, параграф 9 от ДФЕС.</w:t>
      </w:r>
    </w:p>
    <w:p>
      <w:pPr>
        <w:pStyle w:val="ManualHeading2"/>
        <w:rPr>
          <w:noProof/>
        </w:rPr>
      </w:pPr>
      <w:r>
        <w:t>4.2.</w:t>
      </w:r>
      <w:r>
        <w:tab/>
      </w:r>
      <w:r>
        <w:rPr>
          <w:noProof/>
        </w:rPr>
        <w:t>Приложение в конкретния случай</w:t>
      </w:r>
    </w:p>
    <w:p>
      <w:pPr>
        <w:rPr>
          <w:noProof/>
          <w:szCs w:val="24"/>
        </w:rPr>
      </w:pPr>
      <w:r>
        <w:rPr>
          <w:noProof/>
        </w:rPr>
        <w:t>Комитетът по Хармонизираната система и Съветът на СМО са органи, създадени със споразумение, а именно Международната конвенция по Хармонизираната система за описание и кодиране на стоките.</w:t>
      </w:r>
    </w:p>
    <w:p>
      <w:pPr>
        <w:rPr>
          <w:noProof/>
          <w:szCs w:val="24"/>
        </w:rPr>
      </w:pPr>
      <w:r>
        <w:rPr>
          <w:noProof/>
        </w:rPr>
        <w:lastRenderedPageBreak/>
        <w:t>Актовете, които КХС има за задача да подготви, представляват актове с правно действие. След като бъдат одобрени от Съвета на СМО, предвидените актове могат да окажат съществено въздействие върху съдържанието на законодателството на ЕС, по-конкретно: приложение 1 към Регламент (EИО) № 2658/87 на Съвета относно тарифната и статистическа номенклатура и Общата митническа тарифа. Това е така, защото в член 34, параграф 7, буква а), подточка iii) от Митническия кодекс на Съюза</w:t>
      </w:r>
      <w:r>
        <w:rPr>
          <w:rStyle w:val="FootnoteReference"/>
          <w:noProof/>
          <w:szCs w:val="24"/>
        </w:rPr>
        <w:footnoteReference w:id="6"/>
      </w:r>
      <w:r>
        <w:rPr>
          <w:noProof/>
        </w:rPr>
        <w:t xml:space="preserve"> се посочва, че „митническите органи отменят решенията ОТИ</w:t>
      </w:r>
      <w:r>
        <w:rPr>
          <w:rStyle w:val="FootnoteReference"/>
          <w:noProof/>
          <w:szCs w:val="24"/>
        </w:rPr>
        <w:footnoteReference w:id="7"/>
      </w:r>
      <w:r>
        <w:rPr>
          <w:noProof/>
        </w:rPr>
        <w:t xml:space="preserve"> [...], когато те вече не са съвместими с тълкуването [...], в резултат на [...] решения относно класирането, мнения за класиране или изменения на обяснителни бележки към Номенклатурата на Хармонизираната система за описание и кодиране на стоките, приети от [Комитета по ХС];“. Освен това подготвяните от КХС решения (решения за класиране, мнения за класиране или изменения на Oбяснителните бележки към Номенклатурата на ХС) се използват в подкрепа на класирането, предвидено в регламентите за изпълнение на Комисията относно класирането на стоки в Комбинираната номенклатура (КН), както и в Обяснителните бележки към КН и в решенията за класиране, издавани от митническите органи на държавите членки. 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rPr>
          <w:noProof/>
        </w:rPr>
      </w:pPr>
    </w:p>
    <w:p>
      <w:pPr>
        <w:pStyle w:val="ManualHeading2"/>
        <w:rPr>
          <w:noProof/>
        </w:rPr>
      </w:pPr>
      <w:r>
        <w:t>4.3.</w:t>
      </w:r>
      <w:r>
        <w:tab/>
      </w:r>
      <w:r>
        <w:rPr>
          <w:noProof/>
        </w:rPr>
        <w:t>Материалноправно основание</w:t>
      </w:r>
    </w:p>
    <w:p>
      <w:pPr>
        <w:pStyle w:val="ManualHeading3"/>
        <w:rPr>
          <w:noProof/>
          <w:szCs w:val="24"/>
        </w:rPr>
      </w:pPr>
      <w:r>
        <w:t>4.3.1.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4.3.2.</w:t>
      </w:r>
      <w:r>
        <w:tab/>
      </w:r>
      <w:r>
        <w:rPr>
          <w:noProof/>
        </w:rPr>
        <w:t>Приложение в конкретния случай</w:t>
      </w:r>
    </w:p>
    <w:p>
      <w:pPr>
        <w:rPr>
          <w:noProof/>
        </w:rPr>
      </w:pPr>
      <w:r>
        <w:rPr>
          <w:noProof/>
        </w:rPr>
        <w:t>Тъй като главната цел и основното съдържание на предвидения акт са свързани с Общата митническа тарифа, материалноправното основание на предложеното решение е член 31, член 43, параграф 2 и член 207, параграф 4 от ДФЕС.</w:t>
      </w:r>
    </w:p>
    <w:p>
      <w:pPr>
        <w:pStyle w:val="ManualHeading2"/>
        <w:rPr>
          <w:noProof/>
        </w:rPr>
      </w:pPr>
      <w:r>
        <w:t>4.4.</w:t>
      </w:r>
      <w:r>
        <w:tab/>
      </w:r>
      <w:r>
        <w:rPr>
          <w:noProof/>
        </w:rPr>
        <w:t>Заключение</w:t>
      </w:r>
    </w:p>
    <w:p>
      <w:pPr>
        <w:rPr>
          <w:noProof/>
        </w:rPr>
      </w:pPr>
      <w:r>
        <w:rPr>
          <w:noProof/>
        </w:rPr>
        <w:t>Правното основание на предложеното решение следва да бъде член 31, член 43, параграф 2 и член 207, параграф 4 във връзка с член 218, параграф 9 от ДФЕС.</w:t>
      </w:r>
    </w:p>
    <w:p>
      <w:pPr>
        <w:pStyle w:val="ManualHeading1"/>
        <w:rPr>
          <w:noProof/>
        </w:rPr>
      </w:pPr>
      <w:r>
        <w:t>5.</w:t>
      </w:r>
      <w:r>
        <w:tab/>
      </w:r>
      <w:r>
        <w:rPr>
          <w:noProof/>
        </w:rPr>
        <w:t xml:space="preserve">Отражение върху бюджета </w:t>
      </w:r>
    </w:p>
    <w:p>
      <w:pPr>
        <w:rPr>
          <w:noProof/>
        </w:rPr>
      </w:pPr>
      <w:r>
        <w:rPr>
          <w:noProof/>
        </w:rPr>
        <w:t xml:space="preserve">Предложението няма отражение върху бюджета на Европейския съюз. </w:t>
      </w:r>
    </w:p>
    <w:p>
      <w:pPr>
        <w:pStyle w:val="ManualHeading1"/>
        <w:rPr>
          <w:noProof/>
        </w:rPr>
      </w:pPr>
      <w:r>
        <w:lastRenderedPageBreak/>
        <w:t>6.</w:t>
      </w:r>
      <w:r>
        <w:tab/>
      </w:r>
      <w:r>
        <w:rPr>
          <w:noProof/>
        </w:rPr>
        <w:t>Публикуване на предвидения акт</w:t>
      </w:r>
    </w:p>
    <w:p>
      <w:pPr>
        <w:rPr>
          <w:noProof/>
        </w:rPr>
      </w:pPr>
      <w:r>
        <w:rPr>
          <w:noProof/>
        </w:rPr>
        <w:t>Не се предвижда.</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2020/0272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66-ата сесия на Комитета по Хармонизираната система към Световната митническа организация във връзка с предвиденото приемане на мнения за класиране, решения за класиране, изменения на Обяснителните бележки към Хармонизираната система или други съвети относно тълкуването на Хармонизираната система и препоръки за осигуряване на унифицирано тълкуване на Хармонизираната система съгласно Конвенцията по Хармонизираната система</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член 43, параграф 2 и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87/369/ЕИО на Съвета</w:t>
      </w:r>
      <w:r>
        <w:rPr>
          <w:rStyle w:val="FootnoteReference"/>
          <w:noProof/>
        </w:rPr>
        <w:footnoteReference w:id="8"/>
      </w:r>
      <w:r>
        <w:rPr>
          <w:noProof/>
        </w:rPr>
        <w:t xml:space="preserve"> Съюзът одобри Международната конвенция по Хармонизираната система за описание и кодиране на стоките и протокола за изменение към нея</w:t>
      </w:r>
      <w:r>
        <w:rPr>
          <w:rStyle w:val="FootnoteReference"/>
          <w:noProof/>
        </w:rPr>
        <w:footnoteReference w:id="9"/>
      </w:r>
      <w:r>
        <w:rPr>
          <w:noProof/>
        </w:rPr>
        <w:t xml:space="preserve"> (Конвенцията по ХС), по силата на която беше учреден Комитетът по Хармонизираната система (КХС). </w:t>
      </w:r>
    </w:p>
    <w:p>
      <w:pPr>
        <w:pStyle w:val="ManualConsidrant"/>
        <w:rPr>
          <w:noProof/>
        </w:rPr>
      </w:pPr>
      <w:r>
        <w:t>(2)</w:t>
      </w:r>
      <w:r>
        <w:tab/>
      </w:r>
      <w:r>
        <w:rPr>
          <w:noProof/>
        </w:rPr>
        <w:t>Съгласно член 7, параграф 1, букви б) и в) от Конвенцията по ХС КХС отговаря, наред с другото, за подготовката на обяснителни бележки, мнения за класиране, други съвети относно тълкуването на Хармонизираната система и препоръки за осигуряване на унифицирано тълкуване и прилагане на Хармонизираната система.</w:t>
      </w:r>
    </w:p>
    <w:p>
      <w:pPr>
        <w:pStyle w:val="ManualConsidrant"/>
        <w:rPr>
          <w:noProof/>
        </w:rPr>
      </w:pPr>
      <w:r>
        <w:t>(3)</w:t>
      </w:r>
      <w:r>
        <w:tab/>
      </w:r>
      <w:r>
        <w:rPr>
          <w:noProof/>
        </w:rPr>
        <w:t xml:space="preserve">Очаква се на своята септемврийска сесия Комитетът по Хармонизираната система да вземе решение относно мнения за класиране, решения за класиране, изменения на Обяснителните бележки към Хармонизираната система или други съвети относно тълкуването на Хармонизираната система и препоръки за осигуряване на унифицирано тълкуване на Хармонизираната система съгласно Конвенцията по Хармонизираната система. </w:t>
      </w:r>
    </w:p>
    <w:p>
      <w:pPr>
        <w:pStyle w:val="ManualConsidrant"/>
        <w:rPr>
          <w:noProof/>
        </w:rPr>
      </w:pPr>
      <w:r>
        <w:t>(4)</w:t>
      </w:r>
      <w:r>
        <w:tab/>
      </w:r>
      <w:r>
        <w:rPr>
          <w:noProof/>
        </w:rPr>
        <w:t xml:space="preserve">Важно е да се припомни, че според установената практика на Съда на Европейския съюз, в интерес на правната сигурност и улесняването на проверките решаващият критерий за класирането на стоките за митнически цели </w:t>
      </w:r>
      <w:r>
        <w:rPr>
          <w:noProof/>
        </w:rPr>
        <w:lastRenderedPageBreak/>
        <w:t>като цяло трябва да се търси в техните обективни характеристики и свойства, посочени в текстовете на съответните позиции от митническата номенклатура и съответните бележки към разделите и главите.</w:t>
      </w:r>
    </w:p>
    <w:p>
      <w:pPr>
        <w:pStyle w:val="ManualConsidrant"/>
        <w:rPr>
          <w:noProof/>
        </w:rPr>
      </w:pPr>
      <w:r>
        <w:t>(5)</w:t>
      </w:r>
      <w:r>
        <w:tab/>
      </w:r>
      <w:r>
        <w:rPr>
          <w:noProof/>
        </w:rPr>
        <w:t>По отношение на мненията за класиране, решенията за класиране, измененията на Обяснителните бележки към Хармонизираната система или други съвети относно тълкуването на Хармонизираната система и препоръки за осигуряване на унифицирано тълкуване на Хармонизираната система съгласно Конвенцията по Хармонизираната система, е целесъобразно да се установи позицията, която трябва да се заеме от името на Съюза, защото след като бъдат приети, мненията за класиране, някои решения за класиране и изменения на Обяснителните бележки към Хармонизираната система ще бъдат публикувани в съобщението на Комисията по член 34, параграф 7, буква а), подточка iii) от Регламент (ЕС) № 952/2013 на Европейския парламент и на Съвета от 9 октомври 2013 г. и ще станат приложими за всички държави членки. Позицията ще бъде изразена в Комитета по Хармонизираната система,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по време на 66-ата сесия на Комитета по Хармонизираната система към Световната митническа организация във връзка с одобряването на обяснителни бележки, мнения за класиране или други съвети относно тълкуването на Хармонизираната система и препоръки за осигуряване на унифицирано тълкуване на Хармонизираната система съгласно Конвенцията по Хармонизираната система, е определена в приложението.</w:t>
      </w:r>
    </w:p>
    <w:p>
      <w:pPr>
        <w:pStyle w:val="Titrearticle"/>
        <w:rPr>
          <w:noProof/>
        </w:rPr>
      </w:pPr>
      <w:r>
        <w:rPr>
          <w:noProof/>
        </w:rPr>
        <w:t>Член 2</w:t>
      </w:r>
    </w:p>
    <w:p>
      <w:pPr>
        <w:rPr>
          <w:noProof/>
        </w:rPr>
      </w:pPr>
      <w:r>
        <w:rPr>
          <w:noProof/>
        </w:rPr>
        <w:t>Незначителни технически промени в позицията по член 1 може да се одобряват от представителите на Съюза, без да е необходимо допълнително решение на Съвета.</w:t>
      </w:r>
    </w:p>
    <w:p>
      <w:pPr>
        <w:pStyle w:val="Titrearticle"/>
        <w:rPr>
          <w:noProof/>
        </w:rPr>
      </w:pPr>
      <w:r>
        <w:rPr>
          <w:noProof/>
        </w:rPr>
        <w:t>Член 3</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 xml:space="preserve">Председател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От въвеждането ѝ през 1988</w:t>
      </w:r>
      <w:r>
        <w:t> </w:t>
      </w:r>
      <w:r>
        <w:rPr>
          <w:lang w:val="ru-RU"/>
        </w:rPr>
        <w:t>г. насам Номенклатурата на ХС е била изменяна шест пъти. Тези изменения са влезли в сила съответно през 1996, 2002, 2007, 2012 и 2017 г. Шестото изменение ще влезе в сила през 2022</w:t>
      </w:r>
      <w:r>
        <w:t> </w:t>
      </w:r>
      <w:r>
        <w:rPr>
          <w:lang w:val="ru-RU"/>
        </w:rPr>
        <w:t>г.</w:t>
      </w:r>
    </w:p>
  </w:footnote>
  <w:footnote w:id="2">
    <w:p>
      <w:pPr>
        <w:pStyle w:val="FootnoteText"/>
        <w:rPr>
          <w:lang w:val="ru-RU"/>
        </w:rPr>
      </w:pPr>
      <w:r>
        <w:rPr>
          <w:rStyle w:val="FootnoteReference"/>
        </w:rPr>
        <w:footnoteRef/>
      </w:r>
      <w:r>
        <w:rPr>
          <w:lang w:val="ru-RU"/>
        </w:rPr>
        <w:tab/>
        <w:t>Решение 87/369/ЕИО на Съвета от 7</w:t>
      </w:r>
      <w:r>
        <w:t> </w:t>
      </w:r>
      <w:r>
        <w:rPr>
          <w:lang w:val="ru-RU"/>
        </w:rPr>
        <w:t>април 1987</w:t>
      </w:r>
      <w:r>
        <w:t> </w:t>
      </w:r>
      <w:r>
        <w:rPr>
          <w:lang w:val="ru-RU"/>
        </w:rPr>
        <w:t>г. за сключване на Международната конвенция относно Хармонизираната система за описание и кодиране на стоките и протокола за изменение към нея (</w:t>
      </w:r>
      <w:r>
        <w:t>O</w:t>
      </w:r>
      <w:r>
        <w:rPr>
          <w:lang w:val="ru-RU"/>
        </w:rPr>
        <w:t>В</w:t>
      </w:r>
      <w:r>
        <w:t> L </w:t>
      </w:r>
      <w:r>
        <w:rPr>
          <w:lang w:val="ru-RU"/>
        </w:rPr>
        <w:t>198, 20.7.1987</w:t>
      </w:r>
      <w:r>
        <w:t> </w:t>
      </w:r>
      <w:r>
        <w:rPr>
          <w:lang w:val="ru-RU"/>
        </w:rPr>
        <w:t>г., стр.</w:t>
      </w:r>
      <w:r>
        <w:t> </w:t>
      </w:r>
      <w:r>
        <w:rPr>
          <w:lang w:val="ru-RU"/>
        </w:rPr>
        <w:t>1).</w:t>
      </w:r>
    </w:p>
  </w:footnote>
  <w:footnote w:id="3">
    <w:p>
      <w:pPr>
        <w:pStyle w:val="FootnoteText"/>
        <w:rPr>
          <w:lang w:val="ru-RU"/>
        </w:rPr>
      </w:pPr>
      <w:r>
        <w:rPr>
          <w:rStyle w:val="FootnoteReference"/>
        </w:rPr>
        <w:footnoteRef/>
      </w:r>
      <w:r>
        <w:rPr>
          <w:lang w:val="ru-RU"/>
        </w:rPr>
        <w:tab/>
      </w:r>
      <w:r>
        <w:t>O</w:t>
      </w:r>
      <w:r>
        <w:rPr>
          <w:lang w:val="ru-RU"/>
        </w:rPr>
        <w:t>В</w:t>
      </w:r>
      <w:r>
        <w:t> L </w:t>
      </w:r>
      <w:r>
        <w:rPr>
          <w:lang w:val="ru-RU"/>
        </w:rPr>
        <w:t>269, 10.10.2013</w:t>
      </w:r>
      <w:r>
        <w:t> </w:t>
      </w:r>
      <w:r>
        <w:rPr>
          <w:lang w:val="ru-RU"/>
        </w:rPr>
        <w:t>г., стр.</w:t>
      </w:r>
      <w:r>
        <w:t> </w:t>
      </w:r>
      <w:r>
        <w:rPr>
          <w:lang w:val="ru-RU"/>
        </w:rPr>
        <w:t>1.</w:t>
      </w:r>
    </w:p>
  </w:footnote>
  <w:footnote w:id="4">
    <w:p>
      <w:pPr>
        <w:pStyle w:val="FootnoteText"/>
        <w:rPr>
          <w:lang w:val="ru-RU"/>
        </w:rPr>
      </w:pPr>
      <w:r>
        <w:rPr>
          <w:rStyle w:val="FootnoteReference"/>
        </w:rPr>
        <w:footnoteRef/>
      </w:r>
      <w:r>
        <w:rPr>
          <w:lang w:val="ru-RU"/>
        </w:rPr>
        <w:tab/>
      </w:r>
      <w:r>
        <w:t>COM</w:t>
      </w:r>
      <w:r>
        <w:rPr>
          <w:lang w:val="ru-RU"/>
        </w:rPr>
        <w:t>(2020)196.</w:t>
      </w:r>
    </w:p>
  </w:footnote>
  <w:footnote w:id="5">
    <w:p>
      <w:pPr>
        <w:pStyle w:val="FootnoteText"/>
        <w:rPr>
          <w:lang w:val="ru-RU"/>
        </w:rPr>
      </w:pPr>
      <w:r>
        <w:rPr>
          <w:rStyle w:val="FootnoteReference"/>
        </w:rPr>
        <w:footnoteRef/>
      </w:r>
      <w:r>
        <w:rPr>
          <w:lang w:val="ru-RU"/>
        </w:rPr>
        <w:tab/>
        <w:t>Решение на Съда на Европейския съюз от 7</w:t>
      </w:r>
      <w:r>
        <w:t> </w:t>
      </w:r>
      <w:r>
        <w:rPr>
          <w:lang w:val="ru-RU"/>
        </w:rPr>
        <w:t>октомври 2014</w:t>
      </w:r>
      <w:r>
        <w:t> </w:t>
      </w:r>
      <w:r>
        <w:rPr>
          <w:lang w:val="ru-RU"/>
        </w:rPr>
        <w:t xml:space="preserve">г., Германия/Съвет, </w:t>
      </w:r>
      <w:r>
        <w:t>C</w:t>
      </w:r>
      <w:r>
        <w:rPr>
          <w:lang w:val="ru-RU"/>
        </w:rPr>
        <w:t xml:space="preserve">-399/12, </w:t>
      </w:r>
      <w:r>
        <w:t>ECLI</w:t>
      </w:r>
      <w:r>
        <w:rPr>
          <w:lang w:val="ru-RU"/>
        </w:rPr>
        <w:t>:</w:t>
      </w:r>
      <w:r>
        <w:t>EU</w:t>
      </w:r>
      <w:r>
        <w:rPr>
          <w:lang w:val="ru-RU"/>
        </w:rPr>
        <w:t>:</w:t>
      </w:r>
      <w:r>
        <w:t>C</w:t>
      </w:r>
      <w:r>
        <w:rPr>
          <w:lang w:val="ru-RU"/>
        </w:rPr>
        <w:t xml:space="preserve">:2014:2258, точки 61—64. </w:t>
      </w:r>
    </w:p>
  </w:footnote>
  <w:footnote w:id="6">
    <w:p>
      <w:pPr>
        <w:pStyle w:val="FootnoteText"/>
        <w:rPr>
          <w:lang w:val="ru-RU"/>
        </w:rPr>
      </w:pPr>
      <w:r>
        <w:rPr>
          <w:rStyle w:val="FootnoteReference"/>
        </w:rPr>
        <w:footnoteRef/>
      </w:r>
      <w:r>
        <w:rPr>
          <w:lang w:val="ru-RU"/>
        </w:rPr>
        <w:tab/>
        <w:t>Регламент</w:t>
      </w:r>
      <w:r>
        <w:t> </w:t>
      </w:r>
      <w:r>
        <w:rPr>
          <w:lang w:val="ru-RU"/>
        </w:rPr>
        <w:t>(ЕС) №</w:t>
      </w:r>
      <w:r>
        <w:t> </w:t>
      </w:r>
      <w:r>
        <w:rPr>
          <w:lang w:val="ru-RU"/>
        </w:rPr>
        <w:t>952/2013 на Европейския парламент и на Съвета от 9</w:t>
      </w:r>
      <w:r>
        <w:t> </w:t>
      </w:r>
      <w:r>
        <w:rPr>
          <w:lang w:val="ru-RU"/>
        </w:rPr>
        <w:t>октомври 2013</w:t>
      </w:r>
      <w:r>
        <w:t> </w:t>
      </w:r>
      <w:r>
        <w:rPr>
          <w:lang w:val="ru-RU"/>
        </w:rPr>
        <w:t>г. за създаване на Митнически кодекс на Съюза (ОВ</w:t>
      </w:r>
      <w:r>
        <w:t> L </w:t>
      </w:r>
      <w:r>
        <w:rPr>
          <w:lang w:val="ru-RU"/>
        </w:rPr>
        <w:t>269, 10.10.2013</w:t>
      </w:r>
      <w:r>
        <w:t> </w:t>
      </w:r>
      <w:r>
        <w:rPr>
          <w:lang w:val="ru-RU"/>
        </w:rPr>
        <w:t>г., стр.</w:t>
      </w:r>
      <w:r>
        <w:t> </w:t>
      </w:r>
      <w:r>
        <w:rPr>
          <w:lang w:val="ru-RU"/>
        </w:rPr>
        <w:t>1).</w:t>
      </w:r>
    </w:p>
  </w:footnote>
  <w:footnote w:id="7">
    <w:p>
      <w:pPr>
        <w:pStyle w:val="FootnoteText"/>
        <w:rPr>
          <w:lang w:val="ru-RU"/>
        </w:rPr>
      </w:pPr>
      <w:r>
        <w:rPr>
          <w:rStyle w:val="FootnoteReference"/>
        </w:rPr>
        <w:footnoteRef/>
      </w:r>
      <w:r>
        <w:rPr>
          <w:lang w:val="ru-RU"/>
        </w:rPr>
        <w:tab/>
        <w:t>Обвързваща тарифна информация: решения за класиране, постановени предварително от митническите администрации в полза на икономическите оператори, за да се гарантира правна сигурност по отношение на класирането и тарифното третиране на внасяните или изнасяните стоки.</w:t>
      </w:r>
      <w:r>
        <w:rPr>
          <w:i/>
          <w:lang w:val="ru-RU"/>
        </w:rPr>
        <w:t xml:space="preserve"> </w:t>
      </w:r>
    </w:p>
  </w:footnote>
  <w:footnote w:id="8">
    <w:p>
      <w:pPr>
        <w:pStyle w:val="FootnoteText"/>
        <w:rPr>
          <w:rFonts w:eastAsia="Times New Roman"/>
          <w:lang w:val="ru-RU"/>
        </w:rPr>
      </w:pPr>
      <w:r>
        <w:rPr>
          <w:rStyle w:val="FootnoteReference"/>
        </w:rPr>
        <w:footnoteRef/>
      </w:r>
      <w:r>
        <w:rPr>
          <w:lang w:val="ru-RU"/>
        </w:rPr>
        <w:tab/>
        <w:t>Решение 87/369/ЕИО на Съвета от 7</w:t>
      </w:r>
      <w:r>
        <w:t> </w:t>
      </w:r>
      <w:r>
        <w:rPr>
          <w:lang w:val="ru-RU"/>
        </w:rPr>
        <w:t>април 1987</w:t>
      </w:r>
      <w:r>
        <w:t> </w:t>
      </w:r>
      <w:r>
        <w:rPr>
          <w:lang w:val="ru-RU"/>
        </w:rPr>
        <w:t>г. за сключване на Международната конвенция относно Хармонизираната система за описание и кодиране на стоките и протокола за изменение към нея (</w:t>
      </w:r>
      <w:hyperlink r:id="rId1" w:history="1">
        <w:r>
          <w:t>O</w:t>
        </w:r>
        <w:r>
          <w:rPr>
            <w:lang w:val="ru-RU"/>
          </w:rPr>
          <w:t>В</w:t>
        </w:r>
        <w:r>
          <w:t> L </w:t>
        </w:r>
        <w:r>
          <w:rPr>
            <w:lang w:val="ru-RU"/>
          </w:rPr>
          <w:t>198, 20.7.1987</w:t>
        </w:r>
        <w:r>
          <w:t> </w:t>
        </w:r>
        <w:r>
          <w:rPr>
            <w:lang w:val="ru-RU"/>
          </w:rPr>
          <w:t>г., стр.</w:t>
        </w:r>
        <w:r>
          <w:t> </w:t>
        </w:r>
        <w:r>
          <w:rPr>
            <w:lang w:val="ru-RU"/>
          </w:rPr>
          <w:t>1</w:t>
        </w:r>
      </w:hyperlink>
      <w:r>
        <w:rPr>
          <w:lang w:val="ru-RU"/>
        </w:rPr>
        <w:t>).</w:t>
      </w:r>
    </w:p>
    <w:p>
      <w:pPr>
        <w:pStyle w:val="FootnoteText"/>
        <w:rPr>
          <w:lang w:val="ru-RU"/>
        </w:rPr>
      </w:pPr>
    </w:p>
  </w:footnote>
  <w:footnote w:id="9">
    <w:p>
      <w:pPr>
        <w:pStyle w:val="FootnoteText"/>
        <w:rPr>
          <w:rFonts w:eastAsia="Times New Roman"/>
        </w:rPr>
      </w:pPr>
      <w:r>
        <w:rPr>
          <w:rStyle w:val="FootnoteReference"/>
        </w:rPr>
        <w:footnoteRef/>
      </w:r>
      <w:r>
        <w:tab/>
        <w:t>OВ L 198, 20.7.1987 г., стр. 3.</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3"/>
  </w:num>
  <w:num w:numId="19">
    <w:abstractNumId w:val="28"/>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 w:numId="34">
    <w:abstractNumId w:val="21"/>
  </w:num>
  <w:num w:numId="35">
    <w:abstractNumId w:val="11"/>
  </w:num>
  <w:num w:numId="36">
    <w:abstractNumId w:val="24"/>
  </w:num>
  <w:num w:numId="37">
    <w:abstractNumId w:val="6"/>
  </w:num>
  <w:num w:numId="38">
    <w:abstractNumId w:val="12"/>
  </w:num>
  <w:num w:numId="39">
    <w:abstractNumId w:val="4"/>
  </w:num>
  <w:num w:numId="40">
    <w:abstractNumId w:val="23"/>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0-02 09:41: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B68BD07-D8C8-42F0-8209-8EB29043F623"/>
    <w:docVar w:name="LW_COVERPAGE_TYPE" w:val="1"/>
    <w:docVar w:name="LW_CROSSREFERENCE" w:val="&lt;UNUSED&gt;"/>
    <w:docVar w:name="LW_DocType" w:val="COM"/>
    <w:docVar w:name="LW_EMISSION" w:val="21.9.2020"/>
    <w:docVar w:name="LW_EMISSION_ISODATE" w:val="2020-09-2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2"/>
    <w:docVar w:name="LW_REF.II.NEW.CP_YEAR" w:val="2020"/>
    <w:docVar w:name="LW_REF.INST.NEW" w:val="COM"/>
    <w:docVar w:name="LW_REF.INST.NEW_ADOPTED" w:val="final"/>
    <w:docVar w:name="LW_REF.INST.NEW_TEXT" w:val="(2020) 5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66-\u1072?\u1090?\u1072? \u1089?\u1077?\u1089?\u1080?\u1103? \u1085?\u1072? \u1050?\u1086?\u1084?\u1080?\u1090?\u1077?\u1090?\u1072? \u1087?\u1086? \u1061?\u1072?\u1088?\u1084?\u1086?\u1085?\u1080?\u1079?\u1080?\u1088?\u1072?\u1085?\u1072?\u1090?\u1072? \u1089?\u1080?\u1089?\u1090?\u1077?\u1084?\u1072? \u1082?\u1098?\u1084? \u1057?\u1074?\u1077?\u1090?\u1086?\u1074?\u1085?\u1072?\u1090?\u1072? \u1084?\u1080?\u1090?\u1085?\u1080?\u1095?\u1077?\u1089?\u1082?\u1072? \u1086?\u1088?\u1075?\u1072?\u1085?\u1080?\u1079?\u1072?\u1094?\u1080?\u1103? \u1074?\u1098?\u1074? \u1074?\u1088?\u1098?\u1079?\u1082?\u1072? \u1089? \u1087?\u1088?\u1077?\u1076?\u1074?\u1080?\u1076?\u1077?\u1085?\u1086?\u1090?\u1086? \u1087?\u1088?\u1080?\u1077?\u1084?\u1072?\u1085?\u1077? \u1085?\u1072? \u1084?\u1085?\u1077?\u1085?\u1080?\u1103? \u1079?\u1072? \u1082?\u1083?\u1072?\u1089?\u1080?\u1088?\u1072?\u1085?\u1077?, \u1088?\u1077?\u1096?\u1077?\u1085?\u1080?\u1103? \u1079?\u1072? \u1082?\u1083?\u1072?\u1089?\u1080?\u1088?\u1072?\u1085?\u1077?, \u1080?\u1079?\u1084?\u1077?\u1085?\u1077?\u1085?\u1080?\u1103? \u1085?\u1072? \u1054?\u1073?\u1103?\u1089?\u1085?\u1080?\u1090?\u1077?\u1083?\u1085?\u1080?\u1090?\u1077? \u1073?\u1077?\u1083?\u1077?\u1078?\u1082?\u1080? \u1082?\u1098?\u1084? \u1061?\u1072?\u1088?\u1084?\u1086?\u1085?\u1080?\u1079?\u1080?\u1088?\u1072?\u1085?\u1072?\u1090?\u1072? \u1089?\u1080?\u1089?\u1090?\u1077?\u1084?\u1072? \u1080?\u1083?\u1080? \u1076?\u1088?\u1091?\u1075?\u1080? \u1089?\u1098?\u1074?\u1077?\u1090?\u1080? \u1086?\u1090?\u1085?\u1086?\u1089?\u1085?\u1086? \u1090?\u1098?\u1083?\u1082?\u1091?\u1074?\u1072?\u1085?\u1077?\u1090?\u1086? \u1085?\u1072? \u1061?\u1072?\u1088?\u1084?\u1086?\u1085?\u1080?\u1079?\u1080?\u1088?\u1072?\u1085?\u1072?\u1090?\u1072? \u1089?\u1080?\u1089?\u1090?\u1077?\u1084?\u1072? \u1080? \u1087?\u1088?\u1077?\u1087?\u1086?\u1088?\u1098?\u1082?\u1080? \u1079?\u1072? \u1086?\u1089?\u1080?\u1075?\u1091?\u1088?\u1103?\u1074?\u1072?\u1085?\u1077? \u1085?\u1072? \u1091?\u1085?\u1080?\u1092?\u1080?\u1094?\u1080?\u1088?\u1072?\u1085?\u1086? \u1090?\u1098?\u1083?\u1082?\u1091?\u1074?\u1072?\u1085?\u1077? \u1085?\u1072? \u1061?\u1072?\u1088?\u1084?\u1086?\u1085?\u1080?\u1079?\u1080?\u1088?\u1072?\u1085?\u1072?\u1090?\u1072? \u1089?\u1080?\u1089?\u1090?\u1077?\u1084?\u1072? \u1089?\u1098?\u1075?\u1083?\u1072?\u1089?\u1085?\u1086? \u1050?\u1086?\u1085?\u1074?\u1077?\u1085?\u1094?\u1080?\u1103?\u1090?\u1072? \u1087?\u1086? \u1061?\u1072?\u1088?\u1084?\u1086?\u1085?\u1080?\u1079?\u1080?\u1088?\u1072?\u1085?\u1072?\u1090?\u1072? \u1089?\u1080?\u1089?\u1090?\u1077?\u108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uiPriority w:val="99"/>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bg-BG"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uiPriority w:val="99"/>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bg-BG"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186">
      <w:bodyDiv w:val="1"/>
      <w:marLeft w:val="0"/>
      <w:marRight w:val="0"/>
      <w:marTop w:val="0"/>
      <w:marBottom w:val="0"/>
      <w:divBdr>
        <w:top w:val="none" w:sz="0" w:space="0" w:color="auto"/>
        <w:left w:val="none" w:sz="0" w:space="0" w:color="auto"/>
        <w:bottom w:val="none" w:sz="0" w:space="0" w:color="auto"/>
        <w:right w:val="none" w:sz="0" w:space="0" w:color="auto"/>
      </w:divBdr>
      <w:divsChild>
        <w:div w:id="928659607">
          <w:marLeft w:val="0"/>
          <w:marRight w:val="0"/>
          <w:marTop w:val="0"/>
          <w:marBottom w:val="0"/>
          <w:divBdr>
            <w:top w:val="none" w:sz="0" w:space="0" w:color="auto"/>
            <w:left w:val="none" w:sz="0" w:space="0" w:color="auto"/>
            <w:bottom w:val="none" w:sz="0" w:space="0" w:color="auto"/>
            <w:right w:val="none" w:sz="0" w:space="0" w:color="auto"/>
          </w:divBdr>
          <w:divsChild>
            <w:div w:id="580330350">
              <w:marLeft w:val="1350"/>
              <w:marRight w:val="0"/>
              <w:marTop w:val="375"/>
              <w:marBottom w:val="600"/>
              <w:divBdr>
                <w:top w:val="none" w:sz="0" w:space="0" w:color="auto"/>
                <w:left w:val="none" w:sz="0" w:space="0" w:color="auto"/>
                <w:bottom w:val="none" w:sz="0" w:space="0" w:color="auto"/>
                <w:right w:val="none" w:sz="0" w:space="0" w:color="auto"/>
              </w:divBdr>
              <w:divsChild>
                <w:div w:id="1185754947">
                  <w:marLeft w:val="0"/>
                  <w:marRight w:val="0"/>
                  <w:marTop w:val="0"/>
                  <w:marBottom w:val="0"/>
                  <w:divBdr>
                    <w:top w:val="none" w:sz="0" w:space="0" w:color="auto"/>
                    <w:left w:val="none" w:sz="0" w:space="0" w:color="auto"/>
                    <w:bottom w:val="none" w:sz="0" w:space="0" w:color="auto"/>
                    <w:right w:val="none" w:sz="0" w:space="0" w:color="auto"/>
                  </w:divBdr>
                  <w:divsChild>
                    <w:div w:id="370570500">
                      <w:marLeft w:val="0"/>
                      <w:marRight w:val="0"/>
                      <w:marTop w:val="0"/>
                      <w:marBottom w:val="0"/>
                      <w:divBdr>
                        <w:top w:val="none" w:sz="0" w:space="0" w:color="auto"/>
                        <w:left w:val="none" w:sz="0" w:space="0" w:color="auto"/>
                        <w:bottom w:val="none" w:sz="0" w:space="0" w:color="auto"/>
                        <w:right w:val="none" w:sz="0" w:space="0" w:color="auto"/>
                      </w:divBdr>
                      <w:divsChild>
                        <w:div w:id="360327064">
                          <w:marLeft w:val="0"/>
                          <w:marRight w:val="0"/>
                          <w:marTop w:val="0"/>
                          <w:marBottom w:val="0"/>
                          <w:divBdr>
                            <w:top w:val="none" w:sz="0" w:space="0" w:color="auto"/>
                            <w:left w:val="none" w:sz="0" w:space="0" w:color="auto"/>
                            <w:bottom w:val="none" w:sz="0" w:space="0" w:color="auto"/>
                            <w:right w:val="none" w:sz="0" w:space="0" w:color="auto"/>
                          </w:divBdr>
                          <w:divsChild>
                            <w:div w:id="866144496">
                              <w:marLeft w:val="0"/>
                              <w:marRight w:val="0"/>
                              <w:marTop w:val="0"/>
                              <w:marBottom w:val="0"/>
                              <w:divBdr>
                                <w:top w:val="none" w:sz="0" w:space="0" w:color="auto"/>
                                <w:left w:val="none" w:sz="0" w:space="0" w:color="auto"/>
                                <w:bottom w:val="none" w:sz="0" w:space="0" w:color="auto"/>
                                <w:right w:val="none" w:sz="0" w:space="0" w:color="auto"/>
                              </w:divBdr>
                              <w:divsChild>
                                <w:div w:id="841965663">
                                  <w:marLeft w:val="0"/>
                                  <w:marRight w:val="0"/>
                                  <w:marTop w:val="0"/>
                                  <w:marBottom w:val="0"/>
                                  <w:divBdr>
                                    <w:top w:val="none" w:sz="0" w:space="0" w:color="auto"/>
                                    <w:left w:val="none" w:sz="0" w:space="0" w:color="auto"/>
                                    <w:bottom w:val="none" w:sz="0" w:space="0" w:color="auto"/>
                                    <w:right w:val="none" w:sz="0" w:space="0" w:color="auto"/>
                                  </w:divBdr>
                                  <w:divsChild>
                                    <w:div w:id="182477068">
                                      <w:marLeft w:val="150"/>
                                      <w:marRight w:val="150"/>
                                      <w:marTop w:val="150"/>
                                      <w:marBottom w:val="150"/>
                                      <w:divBdr>
                                        <w:top w:val="single" w:sz="36" w:space="8" w:color="E6E9EB"/>
                                        <w:left w:val="single" w:sz="36" w:space="8" w:color="E6E9EB"/>
                                        <w:bottom w:val="single" w:sz="36" w:space="8" w:color="E6E9EB"/>
                                        <w:right w:val="single" w:sz="36" w:space="8" w:color="E6E9EB"/>
                                      </w:divBdr>
                                    </w:div>
                                  </w:divsChild>
                                </w:div>
                              </w:divsChild>
                            </w:div>
                          </w:divsChild>
                        </w:div>
                      </w:divsChild>
                    </w:div>
                  </w:divsChild>
                </w:div>
              </w:divsChild>
            </w:div>
          </w:divsChild>
        </w:div>
      </w:divsChild>
    </w:div>
    <w:div w:id="10304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celex:31987D03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528E9-3A5D-4608-AE99-5E18C773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2659</Words>
  <Characters>15079</Characters>
  <Application>Microsoft Office Word</Application>
  <DocSecurity>0</DocSecurity>
  <Lines>279</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2019-02-22T15:36:00Z</cp:lastPrinted>
  <dcterms:created xsi:type="dcterms:W3CDTF">2020-10-01T09:07:00Z</dcterms:created>
  <dcterms:modified xsi:type="dcterms:W3CDTF">2020-10-02T07:41:00Z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