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D8CF4661-F37F-4A4B-931D-71A227D8786E" style="width:450.4pt;height:437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ПРОЕКТ</w:t>
      </w:r>
    </w:p>
    <w:p>
      <w:pPr>
        <w:jc w:val="center"/>
        <w:rPr>
          <w:b/>
          <w:noProof/>
        </w:rPr>
      </w:pPr>
      <w:bookmarkStart w:id="1" w:name="bookmark6"/>
      <w:r>
        <w:rPr>
          <w:b/>
          <w:noProof/>
        </w:rPr>
        <w:t>РЕШЕНИЕ № 2/2020</w:t>
      </w:r>
    </w:p>
    <w:p>
      <w:pPr>
        <w:spacing w:after="240"/>
        <w:jc w:val="center"/>
        <w:rPr>
          <w:b/>
          <w:noProof/>
        </w:rPr>
      </w:pPr>
      <w:r>
        <w:rPr>
          <w:b/>
          <w:noProof/>
        </w:rPr>
        <w:t>НА</w:t>
      </w:r>
      <w:bookmarkEnd w:id="1"/>
      <w:r>
        <w:rPr>
          <w:b/>
          <w:noProof/>
        </w:rPr>
        <w:t xml:space="preserve"> СЪВМЕСТНИЯ СЪВЕТ, СЪЗДАДЕН СЪГЛАСНО СПОРАЗУМЕНИЕТО ЗА ИКОНОМИЧЕСКО ПАРТНЬОРСТВО МЕЖДУ ЕВРОПЕЙСКИЯ СЪЮЗ И НЕГОВИТЕ ДЪРЖАВИ ЧЛЕНКИ, ОТ ЕДНА СТРАНА, И ДЪРЖАВИТЕ ОТ ЮАОР, СТРАНИ ПО СИП, ОТ ДРУГА СТРАНА</w:t>
      </w:r>
    </w:p>
    <w:p>
      <w:pPr>
        <w:spacing w:after="240"/>
        <w:jc w:val="center"/>
        <w:rPr>
          <w:b/>
          <w:noProof/>
        </w:rPr>
      </w:pPr>
      <w:r>
        <w:rPr>
          <w:b/>
          <w:noProof/>
        </w:rPr>
        <w:t>относно приемането на прагови нива за продуктите, отговарящи на условията за прилагане на защитни мерки и обозначени със звездичка, в съответствие с бележка под линия 1 от приложение IV към споразумението</w:t>
      </w:r>
    </w:p>
    <w:p>
      <w:pPr>
        <w:rPr>
          <w:noProof/>
        </w:rPr>
      </w:pPr>
      <w:r>
        <w:rPr>
          <w:noProof/>
        </w:rPr>
        <w:t>СЪВМЕСТНИЯТ СЪВЕТ,</w:t>
      </w:r>
    </w:p>
    <w:p>
      <w:pPr>
        <w:rPr>
          <w:noProof/>
        </w:rPr>
      </w:pPr>
      <w:r>
        <w:rPr>
          <w:noProof/>
        </w:rPr>
        <w:t>като взе предвид Споразумението за икономическо партньорство между Европейския съюз и неговите държави членки, от една страна, и държавите по СИП ЮАОР, от друга страна („споразумението“), и по-специално членове 35 и 102 от него, и Решение № 1/2019 на Съвместния съвет (Процедурен правилник на Съвместния съвет),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jc w:val="center"/>
        <w:rPr>
          <w:i/>
          <w:iCs/>
          <w:noProof/>
          <w:color w:val="000000"/>
          <w:szCs w:val="24"/>
        </w:rPr>
      </w:pPr>
      <w:r>
        <w:rPr>
          <w:i/>
          <w:iCs/>
          <w:noProof/>
          <w:color w:val="000000"/>
          <w:szCs w:val="24"/>
        </w:rPr>
        <w:t>Член 1</w:t>
      </w:r>
    </w:p>
    <w:p>
      <w:pPr>
        <w:rPr>
          <w:noProof/>
          <w:color w:val="000000"/>
          <w:szCs w:val="24"/>
        </w:rPr>
      </w:pPr>
      <w:r>
        <w:rPr>
          <w:noProof/>
        </w:rPr>
        <w:t>В съответствие с бележка под линия 1 от приложение IV към споразумението референтните количества за продукта, обозначен със звездичка, се коригират за целите на член 35 от споразумението в съответствие с приложението към настоящото решение.</w:t>
      </w:r>
    </w:p>
    <w:p>
      <w:pPr>
        <w:jc w:val="center"/>
        <w:rPr>
          <w:i/>
          <w:iCs/>
          <w:noProof/>
          <w:color w:val="000000"/>
          <w:szCs w:val="24"/>
        </w:rPr>
      </w:pPr>
      <w:r>
        <w:rPr>
          <w:i/>
          <w:iCs/>
          <w:noProof/>
          <w:color w:val="000000"/>
          <w:szCs w:val="24"/>
        </w:rPr>
        <w:t>Член 2</w:t>
      </w:r>
    </w:p>
    <w:p>
      <w:pPr>
        <w:spacing w:after="360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Настоящото решение влиза в сила в деня на приемането му.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spacing w:after="24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  <w:szCs w:val="24"/>
              </w:rPr>
              <w:t>За Съвместния съвет</w:t>
            </w:r>
          </w:p>
        </w:tc>
      </w:tr>
      <w:tr>
        <w:tc>
          <w:tcPr>
            <w:tcW w:w="4606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</w:rPr>
              <w:t>Представител на държавите по СИП ЮАОР</w:t>
            </w:r>
          </w:p>
        </w:tc>
        <w:tc>
          <w:tcPr>
            <w:tcW w:w="4607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</w:rPr>
              <w:t>Представител на ЕС</w:t>
            </w:r>
          </w:p>
        </w:tc>
      </w:tr>
      <w:tr>
        <w:tc>
          <w:tcPr>
            <w:tcW w:w="4606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</w:rPr>
              <w:t>PEGGY O. SERAME</w:t>
            </w:r>
          </w:p>
        </w:tc>
        <w:tc>
          <w:tcPr>
            <w:tcW w:w="4607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</w:rPr>
              <w:t>VALDIS DOMBROVSKIS</w:t>
            </w:r>
          </w:p>
        </w:tc>
      </w:tr>
      <w:tr>
        <w:tc>
          <w:tcPr>
            <w:tcW w:w="4606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  <w:szCs w:val="24"/>
              </w:rPr>
              <w:t>Дата:</w:t>
            </w:r>
          </w:p>
        </w:tc>
        <w:tc>
          <w:tcPr>
            <w:tcW w:w="4607" w:type="dxa"/>
          </w:tcPr>
          <w:p>
            <w:pPr>
              <w:spacing w:after="240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  <w:szCs w:val="24"/>
              </w:rPr>
              <w:t>Дата:</w:t>
            </w:r>
          </w:p>
        </w:tc>
      </w:tr>
    </w:tbl>
    <w:p>
      <w:pPr>
        <w:spacing w:after="0"/>
        <w:rPr>
          <w:i/>
          <w:iCs/>
          <w:noProof/>
          <w:color w:val="000000"/>
          <w:szCs w:val="24"/>
          <w:lang w:eastAsia="fr-BE"/>
        </w:rPr>
      </w:pPr>
    </w:p>
    <w:p>
      <w:pPr>
        <w:spacing w:before="60" w:after="60"/>
        <w:jc w:val="center"/>
        <w:rPr>
          <w:i/>
          <w:iCs/>
          <w:noProof/>
          <w:color w:val="000000"/>
          <w:szCs w:val="24"/>
          <w:lang w:eastAsia="fr-BE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i/>
          <w:noProof/>
        </w:rPr>
      </w:pPr>
      <w:r>
        <w:rPr>
          <w:b/>
          <w:i/>
          <w:noProof/>
        </w:rPr>
        <w:lastRenderedPageBreak/>
        <w:t>Приложение: Коригирани референтни количества (в метрични тонове) от приложение IV към споразумението (страница L 250/1917-18 от СИП ЕС — ЮАОР)</w:t>
      </w:r>
    </w:p>
    <w:tbl>
      <w:tblPr>
        <w:tblW w:w="11379" w:type="dxa"/>
        <w:tblInd w:w="720" w:type="dxa"/>
        <w:tblLook w:val="04A0" w:firstRow="1" w:lastRow="0" w:firstColumn="1" w:lastColumn="0" w:noHBand="0" w:noVBand="1"/>
      </w:tblPr>
      <w:tblGrid>
        <w:gridCol w:w="1153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149"/>
        <w:gridCol w:w="1149"/>
        <w:gridCol w:w="1149"/>
      </w:tblGrid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sz w:val="20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2019 г.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2027 г.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b/>
                <w:noProof/>
                <w:color w:val="000000"/>
                <w:sz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Тарифни редове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Година 12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02062100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287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02062900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1 307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2 111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02064900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8 500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9 500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10 500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11041910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429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11071010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3 161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4 204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4 628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6 771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04012007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8 457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9 315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10 234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11 256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12 379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13 625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14 973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16 485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18 119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20011000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1 732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3 714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20019010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771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180631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3 959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4 264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4 569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4 873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5 787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6 396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180632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1 971</w:t>
            </w:r>
          </w:p>
        </w:tc>
      </w:tr>
      <w:tr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180690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7 196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7 916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8 635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9 355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10 074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10 794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11 514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12 233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12 953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13 672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14 392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ahoma" w:hAnsi="Tahoma" w:cs="Tahoma"/>
                <w:noProof/>
                <w:color w:val="000000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15 112</w:t>
            </w:r>
          </w:p>
        </w:tc>
      </w:tr>
    </w:tbl>
    <w:p>
      <w:pPr>
        <w:rPr>
          <w:b/>
          <w:i/>
          <w:noProof/>
        </w:rPr>
      </w:pPr>
    </w:p>
    <w:sectPr>
      <w:headerReference w:type="default" r:id="rId17"/>
      <w:footerReference w:type="default" r:id="rId18"/>
      <w:headerReference w:type="first" r:id="rId19"/>
      <w:footerReference w:type="first" r:id="rId20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2FE34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5C23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36E2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FC845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68F8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548B2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ABA82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7D8A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29 08:59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8CF4661-F37F-4A4B-931D-71A227D8786E"/>
    <w:docVar w:name="LW_COVERPAGE_TYPE" w:val="1"/>
    <w:docVar w:name="LW_CROSSREFERENCE" w:val="&lt;UNUSED&gt;"/>
    <w:docVar w:name="LW_DocType" w:val="ANNEX"/>
    <w:docVar w:name="LW_EMISSION" w:val="5.10.2020"/>
    <w:docVar w:name="LW_EMISSION_ISODATE" w:val="2020-10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57? \u1074? \u1088?\u1072?\u1084?\u1082?\u1080?\u1090?\u1077? \u1085?\u1072? \u1057?\u1098?\u1074?\u1084?\u1077?\u1089?\u1090?\u1085?\u1080?\u1103? \u1089?\u1098?\u1074?\u1077?\u1090?, \u1089?\u1098?\u1079?\u1076?\u1072?\u1076?\u1077?\u1085? \u1089?\u1098?\u1075?\u1083?\u1072?\u1089?\u1085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6?\u1090? \u1070?\u1040?\u1054?\u1056?, \u1089?\u1090?\u1088?\u1072?\u1085?\u1080? \u1087?\u1086? \u1057?\u1048?\u1055?, \u1086?\u1090? \u1076?\u1088?\u1091?\u1075?\u1072? \u1089?\u1090?\u1088?\u1072?\u1085?\u1072?, \u1074?\u1098?\u1074? \u1074?\u1088?\u1098?\u1079?\u1082?\u1072? \u1089? \u1082?\u1086?\u1088?\u1077?\u1082?\u1094?\u1080?\u1103?\u1090?\u1072? \u1085?\u1072? \u1085?\u1103?\u1082?\u1086?\u1080? \u1088?\u1077?\u1092?\u1077?\u1088?\u1077?\u1085?\u1090?\u1085?\u1080? \u1082?\u1086?\u1083?\u1080?\u1095?\u1077?\u1089?\u1090?\u1074?\u1072?, \u1089?\u1098?\u1076?\u1098?\u1088?\u1078?\u1072?\u1097?\u1080? \u1089?\u1077? \u1074? \u1087?\u1088?\u1080?\u1083?\u1086?\u1078?\u1077?\u1085?\u1080?\u1077? IV \u1082?\u1098?\u1084? \u1057?\u1048?\u1055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57? \u1074? \u1088?\u1072?\u1084?\u1082?\u1080?\u1090?\u1077? \u1085?\u1072? \u1057?\u1098?\u1074?\u1084?\u1077?\u1089?\u1090?\u1085?\u1080?\u1103? \u1089?\u1098?\u1074?\u1077?\u1090?, \u1089?\u1098?\u1079?\u1076?\u1072?\u1076?\u1077?\u1085? \u1089?\u1098?\u1075?\u1083?\u1072?\u1089?\u1085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6?\u1090? \u1070?\u1040?\u1054?\u1056?, \u1089?\u1090?\u1088?\u1072?\u1085?\u1080? \u1087?\u1086? \u1057?\u1048?\u1055?, \u1086?\u1090? \u1076?\u1088?\u1091?\u1075?\u1072? \u1089?\u1090?\u1088?\u1072?\u1085?\u1072?, \u1074?\u1098?\u1074? \u1074?\u1088?\u1098?\u1079?\u1082?\u1072? \u1089? \u1082?\u1086?\u1088?\u1077?\u1082?\u1094?\u1080?\u1103?\u1090?\u1072? \u1085?\u1072? \u1085?\u1103?\u1082?\u1086?\u1080? \u1088?\u1077?\u1092?\u1077?\u1088?\u1077?\u1085?\u1090?\u1085?\u1080? \u1082?\u1086?\u1083?\u1080?\u1095?\u1077?\u1089?\u1090?\u1074?\u1072?, \u1089?\u1098?\u1076?\u1098?\u1088?\u1078?\u1072?\u1097?\u1080? \u1089?\u1077? \u1074? \u1087?\u1088?\u1080?\u1083?\u1086?\u1078?\u1077?\u1085?\u1080?\u1077? IV \u1082?\u1098?\u1084? \u1057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20) 6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495</Words>
  <Characters>1945</Characters>
  <Application>Microsoft Office Word</Application>
  <DocSecurity>0</DocSecurity>
  <Lines>216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2020-09-18T16:31:00Z</dcterms:created>
  <dcterms:modified xsi:type="dcterms:W3CDTF">2020-09-29T06:59:00Z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7.0.1, Build 20190916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SG-017</vt:lpwstr>
  </property>
  <property fmtid="{D5CDD505-2E9C-101B-9397-08002B2CF9AE}" pid="10" name="DQCStatus">
    <vt:lpwstr>Green (DQC version 03)</vt:lpwstr>
  </property>
  <property fmtid="{D5CDD505-2E9C-101B-9397-08002B2CF9AE}" pid="11" name="Category">
    <vt:lpwstr>COM/ANNEX</vt:lpwstr>
  </property>
</Properties>
</file>