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0DA77A1-4D88-419E-943C-585847A9731E"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PROJET DE</w:t>
      </w:r>
    </w:p>
    <w:p>
      <w:pPr>
        <w:jc w:val="center"/>
        <w:rPr>
          <w:b/>
          <w:noProof/>
        </w:rPr>
      </w:pPr>
      <w:bookmarkStart w:id="1" w:name="bookmark6"/>
      <w:r>
        <w:rPr>
          <w:b/>
          <w:noProof/>
        </w:rPr>
        <w:t>DÉCISION n° 2/2020</w:t>
      </w:r>
    </w:p>
    <w:p>
      <w:pPr>
        <w:spacing w:after="240"/>
        <w:jc w:val="center"/>
        <w:rPr>
          <w:b/>
          <w:noProof/>
        </w:rPr>
      </w:pPr>
      <w:r>
        <w:rPr>
          <w:b/>
          <w:noProof/>
        </w:rPr>
        <w:t xml:space="preserve">DU </w:t>
      </w:r>
      <w:bookmarkEnd w:id="1"/>
      <w:r>
        <w:rPr>
          <w:b/>
          <w:noProof/>
        </w:rPr>
        <w:t xml:space="preserve">CONSEIL CONJOINT </w:t>
      </w:r>
      <w:r>
        <w:rPr>
          <w:noProof/>
        </w:rPr>
        <w:t xml:space="preserve"> </w:t>
      </w:r>
      <w:r>
        <w:rPr>
          <w:noProof/>
        </w:rPr>
        <w:br/>
      </w:r>
      <w:r>
        <w:rPr>
          <w:b/>
          <w:noProof/>
        </w:rPr>
        <w:t>INSTITUÉ DANS LE CADRE DE L’ACCORD DE PARTENARIAT ÉCONOMIQUE</w:t>
      </w:r>
      <w:r>
        <w:rPr>
          <w:noProof/>
        </w:rPr>
        <w:t xml:space="preserve"> </w:t>
      </w:r>
      <w:r>
        <w:rPr>
          <w:noProof/>
        </w:rPr>
        <w:br/>
      </w:r>
      <w:r>
        <w:rPr>
          <w:b/>
          <w:noProof/>
        </w:rPr>
        <w:t xml:space="preserve">ENTRE L’UNION EUROPÉENNE </w:t>
      </w:r>
      <w:r>
        <w:rPr>
          <w:noProof/>
        </w:rPr>
        <w:t xml:space="preserve"> </w:t>
      </w:r>
      <w:r>
        <w:rPr>
          <w:noProof/>
        </w:rPr>
        <w:br/>
      </w:r>
      <w:r>
        <w:rPr>
          <w:b/>
          <w:noProof/>
        </w:rPr>
        <w:t xml:space="preserve">ET SES ÉTATS MEMBRES, D’UNE PART, </w:t>
      </w:r>
      <w:r>
        <w:rPr>
          <w:noProof/>
        </w:rPr>
        <w:t xml:space="preserve"> </w:t>
      </w:r>
      <w:r>
        <w:rPr>
          <w:noProof/>
        </w:rPr>
        <w:br/>
      </w:r>
      <w:r>
        <w:rPr>
          <w:b/>
          <w:noProof/>
        </w:rPr>
        <w:t>ET LES ÉTATS MEMBRES DE L’APE CDAA, D’AUTRE PART</w:t>
      </w:r>
    </w:p>
    <w:p>
      <w:pPr>
        <w:spacing w:after="240"/>
        <w:jc w:val="center"/>
        <w:rPr>
          <w:b/>
          <w:noProof/>
        </w:rPr>
      </w:pPr>
      <w:r>
        <w:rPr>
          <w:b/>
          <w:noProof/>
        </w:rPr>
        <w:t>relative à l’adoption de seuils de déclenchement des sauvegardes agricoles pour les produits pouvant bénéficier de telles mesures et marqués d’un astérisque, conformément à la note de bas de page (1) de l’annexe IV de l’accord</w:t>
      </w:r>
    </w:p>
    <w:p>
      <w:pPr>
        <w:rPr>
          <w:noProof/>
        </w:rPr>
      </w:pPr>
      <w:r>
        <w:rPr>
          <w:noProof/>
        </w:rPr>
        <w:t>LE CONSEIL CONJOINT,</w:t>
      </w:r>
    </w:p>
    <w:p>
      <w:pPr>
        <w:rPr>
          <w:noProof/>
        </w:rPr>
      </w:pPr>
      <w:r>
        <w:rPr>
          <w:noProof/>
        </w:rPr>
        <w:t>Vu l’accord de partenariat économique entre l’Union européenne et ses États membres, d’une part, et les États de l’APE CDAA, d’autre part (ci-après l’«accord»), et notamment ses articles 35 et 102, et la décision nº 1/2019 du conseil conjoint (règlement intérieur du conseil conjoint).</w:t>
      </w:r>
    </w:p>
    <w:p>
      <w:pPr>
        <w:pStyle w:val="Formuledadoption"/>
        <w:rPr>
          <w:noProof/>
        </w:rPr>
      </w:pPr>
      <w:r>
        <w:rPr>
          <w:noProof/>
        </w:rPr>
        <w:t>A ADOPTÉ LA PRÉSENTE DÉCISION:</w:t>
      </w:r>
    </w:p>
    <w:p>
      <w:pPr>
        <w:jc w:val="center"/>
        <w:rPr>
          <w:i/>
          <w:iCs/>
          <w:noProof/>
          <w:color w:val="000000"/>
          <w:szCs w:val="24"/>
        </w:rPr>
      </w:pPr>
      <w:r>
        <w:rPr>
          <w:i/>
          <w:iCs/>
          <w:noProof/>
          <w:color w:val="000000"/>
          <w:szCs w:val="24"/>
        </w:rPr>
        <w:t>Article premier</w:t>
      </w:r>
    </w:p>
    <w:p>
      <w:pPr>
        <w:rPr>
          <w:noProof/>
          <w:color w:val="000000"/>
          <w:szCs w:val="24"/>
        </w:rPr>
      </w:pPr>
      <w:r>
        <w:rPr>
          <w:noProof/>
          <w:color w:val="000000"/>
          <w:szCs w:val="24"/>
        </w:rPr>
        <w:t>Conformément à la note de bas de page (1) de l’annexe IV de l’accord, les quantités de référence des produits marqués par un astérisque sont ajustées,</w:t>
      </w:r>
      <w:r>
        <w:rPr>
          <w:noProof/>
        </w:rPr>
        <w:t xml:space="preserve"> aux fins de </w:t>
      </w:r>
      <w:r>
        <w:rPr>
          <w:noProof/>
          <w:color w:val="000000"/>
          <w:szCs w:val="24"/>
        </w:rPr>
        <w:t>l’article 35 de l’accord, conformément à l’annexe de la présente décision.</w:t>
      </w:r>
    </w:p>
    <w:p>
      <w:pPr>
        <w:jc w:val="center"/>
        <w:rPr>
          <w:i/>
          <w:iCs/>
          <w:noProof/>
          <w:color w:val="000000"/>
          <w:szCs w:val="24"/>
        </w:rPr>
      </w:pPr>
      <w:r>
        <w:rPr>
          <w:i/>
          <w:iCs/>
          <w:noProof/>
          <w:color w:val="000000"/>
          <w:szCs w:val="24"/>
        </w:rPr>
        <w:t>Article 2</w:t>
      </w:r>
    </w:p>
    <w:p>
      <w:pPr>
        <w:spacing w:after="360"/>
        <w:rPr>
          <w:noProof/>
          <w:color w:val="000000"/>
          <w:szCs w:val="24"/>
        </w:rPr>
      </w:pPr>
      <w:r>
        <w:rPr>
          <w:noProof/>
          <w:color w:val="000000"/>
          <w:szCs w:val="24"/>
        </w:rPr>
        <w:t xml:space="preserve">La présente décision entre en vigueur le jour de son adoption.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after="240"/>
              <w:jc w:val="center"/>
              <w:rPr>
                <w:i/>
                <w:iCs/>
                <w:noProof/>
                <w:color w:val="000000"/>
                <w:szCs w:val="24"/>
              </w:rPr>
            </w:pPr>
            <w:r>
              <w:rPr>
                <w:i/>
                <w:iCs/>
                <w:noProof/>
                <w:color w:val="000000"/>
                <w:szCs w:val="24"/>
              </w:rPr>
              <w:t>Par le conseil conjoint</w:t>
            </w:r>
          </w:p>
        </w:tc>
      </w:tr>
      <w:tr>
        <w:tc>
          <w:tcPr>
            <w:tcW w:w="4606" w:type="dxa"/>
          </w:tcPr>
          <w:p>
            <w:pPr>
              <w:spacing w:after="240"/>
              <w:rPr>
                <w:i/>
                <w:iCs/>
                <w:noProof/>
                <w:color w:val="000000"/>
                <w:szCs w:val="24"/>
              </w:rPr>
            </w:pPr>
            <w:r>
              <w:rPr>
                <w:i/>
                <w:noProof/>
              </w:rPr>
              <w:t>La Représentante des États de l’APE CDAA</w:t>
            </w:r>
          </w:p>
        </w:tc>
        <w:tc>
          <w:tcPr>
            <w:tcW w:w="4607" w:type="dxa"/>
          </w:tcPr>
          <w:p>
            <w:pPr>
              <w:spacing w:after="240"/>
              <w:rPr>
                <w:i/>
                <w:iCs/>
                <w:noProof/>
                <w:color w:val="000000"/>
                <w:szCs w:val="24"/>
              </w:rPr>
            </w:pPr>
            <w:r>
              <w:rPr>
                <w:i/>
                <w:noProof/>
              </w:rPr>
              <w:t>Le représentant de l’Union européenne</w:t>
            </w:r>
          </w:p>
        </w:tc>
      </w:tr>
      <w:tr>
        <w:tc>
          <w:tcPr>
            <w:tcW w:w="4606" w:type="dxa"/>
          </w:tcPr>
          <w:p>
            <w:pPr>
              <w:spacing w:after="240"/>
              <w:rPr>
                <w:i/>
                <w:iCs/>
                <w:noProof/>
                <w:color w:val="000000"/>
                <w:szCs w:val="24"/>
              </w:rPr>
            </w:pPr>
            <w:r>
              <w:rPr>
                <w:i/>
                <w:noProof/>
              </w:rPr>
              <w:t>PEGGY O. SERAME</w:t>
            </w:r>
          </w:p>
        </w:tc>
        <w:tc>
          <w:tcPr>
            <w:tcW w:w="4607" w:type="dxa"/>
          </w:tcPr>
          <w:p>
            <w:pPr>
              <w:spacing w:after="240"/>
              <w:rPr>
                <w:i/>
                <w:iCs/>
                <w:noProof/>
                <w:color w:val="000000"/>
                <w:szCs w:val="24"/>
              </w:rPr>
            </w:pPr>
            <w:r>
              <w:rPr>
                <w:i/>
                <w:noProof/>
              </w:rPr>
              <w:t>VALDIS DOMBROVSKIS</w:t>
            </w:r>
          </w:p>
        </w:tc>
      </w:tr>
      <w:tr>
        <w:tc>
          <w:tcPr>
            <w:tcW w:w="4606" w:type="dxa"/>
          </w:tcPr>
          <w:p>
            <w:pPr>
              <w:spacing w:after="240"/>
              <w:rPr>
                <w:i/>
                <w:iCs/>
                <w:noProof/>
                <w:color w:val="000000"/>
                <w:szCs w:val="24"/>
              </w:rPr>
            </w:pPr>
            <w:r>
              <w:rPr>
                <w:i/>
                <w:iCs/>
                <w:noProof/>
                <w:color w:val="000000"/>
                <w:szCs w:val="24"/>
              </w:rPr>
              <w:t>Date:</w:t>
            </w:r>
          </w:p>
        </w:tc>
        <w:tc>
          <w:tcPr>
            <w:tcW w:w="4607" w:type="dxa"/>
          </w:tcPr>
          <w:p>
            <w:pPr>
              <w:spacing w:after="240"/>
              <w:rPr>
                <w:i/>
                <w:iCs/>
                <w:noProof/>
                <w:color w:val="000000"/>
                <w:szCs w:val="24"/>
              </w:rPr>
            </w:pPr>
            <w:r>
              <w:rPr>
                <w:i/>
                <w:iCs/>
                <w:noProof/>
                <w:color w:val="000000"/>
                <w:szCs w:val="24"/>
              </w:rPr>
              <w:t>Date:</w:t>
            </w:r>
          </w:p>
        </w:tc>
      </w:tr>
    </w:tbl>
    <w:p>
      <w:pPr>
        <w:spacing w:after="0"/>
        <w:rPr>
          <w:i/>
          <w:iCs/>
          <w:noProof/>
          <w:color w:val="000000"/>
          <w:szCs w:val="24"/>
          <w:lang w:eastAsia="fr-BE"/>
        </w:rPr>
      </w:pPr>
    </w:p>
    <w:p>
      <w:pPr>
        <w:spacing w:before="60" w:after="60"/>
        <w:jc w:val="center"/>
        <w:rPr>
          <w:i/>
          <w:iCs/>
          <w:noProof/>
          <w:color w:val="000000"/>
          <w:szCs w:val="24"/>
          <w:lang w:eastAsia="fr-BE"/>
        </w:rPr>
        <w:sectPr>
          <w:footerReference w:type="default" r:id="rId15"/>
          <w:footerReference w:type="first" r:id="rId16"/>
          <w:pgSz w:w="11907" w:h="16839"/>
          <w:pgMar w:top="1134" w:right="1417" w:bottom="1134" w:left="1417" w:header="709" w:footer="709" w:gutter="0"/>
          <w:cols w:space="720"/>
          <w:docGrid w:linePitch="360"/>
        </w:sectPr>
      </w:pPr>
    </w:p>
    <w:p>
      <w:pPr>
        <w:jc w:val="center"/>
        <w:rPr>
          <w:b/>
          <w:i/>
          <w:noProof/>
        </w:rPr>
      </w:pPr>
      <w:r>
        <w:rPr>
          <w:b/>
          <w:i/>
          <w:noProof/>
        </w:rPr>
        <w:t>Annexe: Quantités de référence ajustées (en tonnes métriques) pour des produits figurant à l’annexe IV de l’accord (page L 250/1917-18 de l’APE CDAA)</w:t>
      </w:r>
    </w:p>
    <w:tbl>
      <w:tblPr>
        <w:tblW w:w="11379" w:type="dxa"/>
        <w:tblInd w:w="720" w:type="dxa"/>
        <w:tblLook w:val="04A0" w:firstRow="1" w:lastRow="0" w:firstColumn="1" w:lastColumn="0" w:noHBand="0" w:noVBand="1"/>
      </w:tblPr>
      <w:tblGrid>
        <w:gridCol w:w="1131"/>
        <w:gridCol w:w="942"/>
        <w:gridCol w:w="850"/>
        <w:gridCol w:w="851"/>
        <w:gridCol w:w="850"/>
        <w:gridCol w:w="933"/>
        <w:gridCol w:w="851"/>
        <w:gridCol w:w="850"/>
        <w:gridCol w:w="851"/>
        <w:gridCol w:w="850"/>
        <w:gridCol w:w="851"/>
        <w:gridCol w:w="850"/>
        <w:gridCol w:w="851"/>
      </w:tblGrid>
      <w:tr>
        <w:trPr>
          <w:trHeight w:val="315"/>
        </w:trPr>
        <w:tc>
          <w:tcPr>
            <w:tcW w:w="1090" w:type="dxa"/>
            <w:tcBorders>
              <w:top w:val="single" w:sz="4" w:space="0" w:color="auto"/>
              <w:left w:val="single" w:sz="4" w:space="0" w:color="auto"/>
              <w:bottom w:val="single" w:sz="4" w:space="0" w:color="auto"/>
              <w:right w:val="nil"/>
            </w:tcBorders>
            <w:shd w:val="clear" w:color="auto" w:fill="auto"/>
            <w:noWrap/>
            <w:vAlign w:val="bottom"/>
            <w:hideMark/>
          </w:tcPr>
          <w:p>
            <w:pPr>
              <w:spacing w:after="0"/>
              <w:jc w:val="center"/>
              <w:rPr>
                <w:rFonts w:ascii="Tahoma" w:hAnsi="Tahoma" w:cs="Tahoma"/>
                <w:noProof/>
                <w:sz w:val="20"/>
                <w:lang w:eastAsia="en-ZA"/>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2019</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2027</w:t>
            </w:r>
          </w:p>
        </w:tc>
      </w:tr>
      <w:tr>
        <w:trPr>
          <w:trHeight w:val="315"/>
        </w:trPr>
        <w:tc>
          <w:tcPr>
            <w:tcW w:w="1090" w:type="dxa"/>
            <w:tcBorders>
              <w:top w:val="single" w:sz="4" w:space="0" w:color="auto"/>
              <w:left w:val="single" w:sz="4" w:space="0" w:color="auto"/>
              <w:bottom w:val="single" w:sz="4" w:space="0" w:color="auto"/>
              <w:right w:val="nil"/>
            </w:tcBorders>
            <w:shd w:val="clear" w:color="auto" w:fill="auto"/>
            <w:noWrap/>
            <w:vAlign w:val="bottom"/>
            <w:hideMark/>
          </w:tcPr>
          <w:p>
            <w:pPr>
              <w:spacing w:after="0"/>
              <w:jc w:val="center"/>
              <w:rPr>
                <w:rFonts w:ascii="Tahoma" w:hAnsi="Tahoma" w:cs="Tahoma"/>
                <w:b/>
                <w:noProof/>
                <w:color w:val="000000"/>
                <w:sz w:val="20"/>
              </w:rPr>
            </w:pPr>
            <w:r>
              <w:rPr>
                <w:rFonts w:ascii="Tahoma" w:hAnsi="Tahoma"/>
                <w:b/>
                <w:noProof/>
                <w:sz w:val="20"/>
              </w:rPr>
              <w:t>Lignes tarifaires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4</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10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11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Année 12</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02062100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121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133</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146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161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177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195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215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237</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261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287</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02062900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1 005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1 106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1 206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1 307</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1 407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1 508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1 609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1 709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1 810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1 910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2 011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2 111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02064900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5 000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5 500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6 000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6 500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7 500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8 000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8 500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9 000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9 500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10 000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10 500</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11041910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150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165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182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220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242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266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293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322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354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390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429</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11071010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2 373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2 613</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2 874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3 161</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3 478</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3 825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4 204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4 628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5 089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5 595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6 152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6 771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04012007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6 353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6 986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7 701</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8 457</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9 315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10 234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11 256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12 379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13 625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14 973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16 485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18 119</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20011000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1 302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1 432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1 576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1 732</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1 905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2 096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2 305</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2 536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2 791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3 069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3 376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3 714</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20019010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270</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297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328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360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396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436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480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527</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580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638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701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771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180631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3 046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3 350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3 655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3 959</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4 264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4 569</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4 873</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5 178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5 482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5 787</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6 091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6 396</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180632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938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1 032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1 126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1 220</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1 314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1 408</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1 501</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1 595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1 689</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1 783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1 877</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1 971</w:t>
            </w:r>
          </w:p>
        </w:tc>
      </w:tr>
      <w:tr>
        <w:trPr>
          <w:trHeight w:val="31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180690</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7 196</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7 916</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8 635</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9 355</w:t>
            </w:r>
          </w:p>
        </w:tc>
        <w:tc>
          <w:tcPr>
            <w:tcW w:w="933"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10 074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10 794</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11 514</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12 233</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12 953</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13 672</w:t>
            </w:r>
          </w:p>
        </w:tc>
        <w:tc>
          <w:tcPr>
            <w:tcW w:w="850"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14 392</w:t>
            </w:r>
          </w:p>
        </w:tc>
        <w:tc>
          <w:tcPr>
            <w:tcW w:w="851" w:type="dxa"/>
            <w:tcBorders>
              <w:top w:val="nil"/>
              <w:left w:val="nil"/>
              <w:bottom w:val="single" w:sz="4" w:space="0" w:color="auto"/>
              <w:right w:val="single" w:sz="4" w:space="0" w:color="auto"/>
            </w:tcBorders>
            <w:shd w:val="clear" w:color="auto" w:fill="auto"/>
            <w:noWrap/>
            <w:vAlign w:val="bottom"/>
            <w:hideMark/>
          </w:tcPr>
          <w:p>
            <w:pPr>
              <w:spacing w:after="0"/>
              <w:jc w:val="center"/>
              <w:rPr>
                <w:rFonts w:ascii="Tahoma" w:hAnsi="Tahoma" w:cs="Tahoma"/>
                <w:noProof/>
                <w:color w:val="000000"/>
                <w:sz w:val="20"/>
              </w:rPr>
            </w:pPr>
            <w:r>
              <w:rPr>
                <w:rFonts w:ascii="Tahoma" w:hAnsi="Tahoma"/>
                <w:noProof/>
                <w:color w:val="000000"/>
                <w:sz w:val="20"/>
              </w:rPr>
              <w:t>15 112</w:t>
            </w:r>
          </w:p>
        </w:tc>
      </w:tr>
    </w:tbl>
    <w:p>
      <w:pPr>
        <w:rPr>
          <w:b/>
          <w:i/>
          <w:noProof/>
        </w:rPr>
      </w:pPr>
    </w:p>
    <w:p>
      <w:pPr>
        <w:rPr>
          <w:noProof/>
        </w:rPr>
        <w:sectPr>
          <w:headerReference w:type="default" r:id="rId17"/>
          <w:footerReference w:type="default" r:id="rId18"/>
          <w:headerReference w:type="first" r:id="rId19"/>
          <w:footerReference w:type="first" r:id="rId20"/>
          <w:pgSz w:w="16839" w:h="11907" w:orient="landscape"/>
          <w:pgMar w:top="1417" w:right="1134" w:bottom="1417" w:left="1134"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6839" w:h="11907" w:orient="landscape"/>
          <w:pgMar w:top="1417" w:right="1134" w:bottom="1417" w:left="1134"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6839" w:h="11907" w:orient="landscape"/>
          <w:pgMar w:top="1417" w:right="1134" w:bottom="1417" w:left="1134"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p>
      <w:pPr>
        <w:rPr>
          <w:noProof/>
        </w:rPr>
        <w:sectPr>
          <w:pgSz w:w="16839" w:h="11907" w:orient="landscape"/>
          <w:pgMar w:top="1417" w:right="1134" w:bottom="1417" w:left="1134" w:header="709" w:footer="709" w:gutter="0"/>
          <w:cols w:space="720"/>
          <w:docGrid w:linePitch="360"/>
        </w:sectPr>
      </w:pPr>
    </w:p>
    <w:p>
      <w:pPr>
        <w:pStyle w:val="Annexetitre"/>
        <w:rPr>
          <w:rStyle w:val="Marker"/>
          <w:noProof/>
        </w:rPr>
      </w:pPr>
      <w:r>
        <w:rPr>
          <w:noProof/>
        </w:rPr>
        <w:t xml:space="preserve">ANNEXE </w:t>
      </w:r>
      <w:r>
        <w:rPr>
          <w:rStyle w:val="Marker"/>
          <w:noProof/>
        </w:rPr>
        <w:t>[…]</w:t>
      </w:r>
    </w:p>
    <w:p>
      <w:pPr>
        <w:rPr>
          <w:noProof/>
        </w:rPr>
      </w:pPr>
    </w:p>
    <w:sectPr>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FE34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5C2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36E2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C845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68F8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548B2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BA8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F7D8A8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9 09:00: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0DA77A1-4D88-419E-943C-585847A9731E"/>
    <w:docVar w:name="LW_COVERPAGE_TYPE" w:val="1"/>
    <w:docVar w:name="LW_CROSSREFERENCE" w:val="&lt;UNUSED&gt;"/>
    <w:docVar w:name="LW_DocType" w:val="ANNEX"/>
    <w:docVar w:name="LW_EMISSION" w:val="5.10.2020"/>
    <w:docVar w:name="LW_EMISSION_ISODATE" w:val="2020-10-05"/>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E, au sein du conseil conjoint institué par l\u8217?accord de partenariat économique entre l\u8217?Union européenne et ses États membres, d\u8217?une part, et les États de l\u8217?APE CDAA, d\u8217?autre part, en ce qui concerne l\u8217?adaptation de certaines quantités de référence figurant à l\u8217?annexe IV de l\u8217?APE"/>
    <w:docVar w:name="LW_OBJETACTEPRINCIPAL.CP" w:val="relative à la position à prendre, au nom de l\u8217?UE, au sein du conseil conjoint institué par l\u8217?accord de partenariat économique entre l\u8217?Union européenne et ses États membres, d\u8217?une part, et les États de l\u8217?APE CDAA, d\u8217?autre part, en ce qui concerne l\u8217?adaptation de certaines quantités de référence figurant à l\u8217?annexe IV de l\u8217?APE"/>
    <w:docVar w:name="LW_PART_NBR" w:val="1"/>
    <w:docVar w:name="LW_PART_NBR_TOTAL" w:val="1"/>
    <w:docVar w:name="LW_REF.INST.NEW" w:val="COM"/>
    <w:docVar w:name="LW_REF.INST.NEW_ADOPTED" w:val="final"/>
    <w:docVar w:name="LW_REF.INST.NEW_TEXT" w:val="(2020) 6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Décision du Conseil"/>
    <w:docVar w:name="LW_TYPEACTEPRINCIPAL.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516</Words>
  <Characters>1983</Characters>
  <Application>Microsoft Office Word</Application>
  <DocSecurity>0</DocSecurity>
  <Lines>247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2020-09-18T15:22:00Z</dcterms:created>
  <dcterms:modified xsi:type="dcterms:W3CDTF">2020-09-29T07:00:00Z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SG-017</vt:lpwstr>
  </property>
  <property fmtid="{D5CDD505-2E9C-101B-9397-08002B2CF9AE}" pid="10" name="DQCStatus">
    <vt:lpwstr>Green (DQC version 03)</vt:lpwstr>
  </property>
  <property fmtid="{D5CDD505-2E9C-101B-9397-08002B2CF9AE}" pid="11" name="Category">
    <vt:lpwstr>COM/ANNEX</vt:lpwstr>
  </property>
</Properties>
</file>