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7D1B464-A471-44C3-B69F-8122EFB7AA2F" style="width:450.15pt;height:406.8pt">
            <v:imagedata r:id="rId9" o:title=""/>
          </v:shape>
        </w:pict>
      </w:r>
    </w:p>
    <w:bookmarkEnd w:id="0"/>
    <w:p>
      <w:pPr>
        <w:ind w:right="-24"/>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40" w:line="240" w:lineRule="auto"/>
        <w:ind w:right="-24"/>
        <w:jc w:val="center"/>
        <w:rPr>
          <w:rFonts w:cstheme="minorHAnsi"/>
          <w:noProof/>
        </w:rPr>
      </w:pPr>
      <w:bookmarkStart w:id="1" w:name="_GoBack"/>
      <w:bookmarkEnd w:id="1"/>
      <w:r>
        <w:rPr>
          <w:rFonts w:ascii="Times New Roman" w:eastAsia="Times New Roman" w:hAnsi="Times New Roman" w:cs="Times New Roman"/>
          <w:b/>
          <w:noProof/>
        </w:rPr>
        <w:lastRenderedPageBreak/>
        <w:t>Annex 1: Guidelines for planning and implementing national Roma strategic frameworks</w:t>
      </w:r>
    </w:p>
    <w:tbl>
      <w:tblPr>
        <w:tblStyle w:val="TableGrid"/>
        <w:tblW w:w="9322" w:type="dxa"/>
        <w:tblLayout w:type="fixed"/>
        <w:tblLook w:val="04A0" w:firstRow="1" w:lastRow="0" w:firstColumn="1" w:lastColumn="0" w:noHBand="0" w:noVBand="1"/>
      </w:tblPr>
      <w:tblGrid>
        <w:gridCol w:w="9322"/>
      </w:tblGrid>
      <w:tr>
        <w:tc>
          <w:tcPr>
            <w:tcW w:w="9322" w:type="dxa"/>
          </w:tcPr>
          <w:p>
            <w:pPr>
              <w:spacing w:before="60" w:after="60"/>
              <w:ind w:right="-24"/>
              <w:jc w:val="center"/>
              <w:rPr>
                <w:rFonts w:ascii="Times New Roman" w:hAnsi="Times New Roman" w:cs="Times New Roman"/>
                <w:b/>
                <w:smallCaps/>
                <w:noProof/>
                <w:color w:val="0070C0"/>
              </w:rPr>
            </w:pPr>
            <w:r>
              <w:rPr>
                <w:rFonts w:ascii="Times New Roman" w:hAnsi="Times New Roman" w:cs="Times New Roman"/>
                <w:b/>
                <w:smallCaps/>
                <w:noProof/>
                <w:color w:val="0070C0"/>
              </w:rPr>
              <w:t>Tackling antigypsyism</w:t>
            </w:r>
          </w:p>
          <w:p>
            <w:pPr>
              <w:spacing w:before="60" w:after="60"/>
              <w:ind w:right="-24"/>
              <w:jc w:val="both"/>
              <w:rPr>
                <w:rFonts w:ascii="Times New Roman" w:hAnsi="Times New Roman" w:cs="Times New Roman"/>
                <w:noProof/>
              </w:rPr>
            </w:pPr>
            <w:r>
              <w:rPr>
                <w:rFonts w:ascii="Times New Roman" w:hAnsi="Times New Roman" w:cs="Times New Roman"/>
                <w:noProof/>
              </w:rPr>
              <w:t>Thanks to the work of the Alliance against Antigypsyism, the European Parliament and the Council of Europe</w:t>
            </w:r>
            <w:r>
              <w:rPr>
                <w:rStyle w:val="FootnoteReference"/>
                <w:rFonts w:ascii="Times New Roman" w:hAnsi="Times New Roman" w:cs="Times New Roman"/>
                <w:noProof/>
              </w:rPr>
              <w:footnoteReference w:id="1"/>
            </w:r>
            <w:r>
              <w:rPr>
                <w:rFonts w:ascii="Times New Roman" w:hAnsi="Times New Roman" w:cs="Times New Roman"/>
                <w:noProof/>
              </w:rPr>
              <w:t>, there is emerging consensus that antigypsyism (a specific form of racism against Roma) contributes to persistent Roma exclusion. As antigypsyism and exclusion form a vicious circle, they should be tackled together. Fighting discrimination and antigypsyism will contribute to the success of inclusion measures, which in turn will foster greater openness and acceptance in society. Fighting antigypsyism and promoting diversity and inclusion require the participation of society as a whole, Roma and non-Roma communities alike. They involve Roma empowerment and tackling mainstream (including institutional) attitudes and behaviour. Equality bodies could be privileged partners for National Roma Contact Points (NRCP) in providing standards for implementation and championing the stronger anti</w:t>
            </w:r>
            <w:r>
              <w:rPr>
                <w:rFonts w:ascii="Times New Roman" w:hAnsi="Times New Roman" w:cs="Times New Roman"/>
                <w:noProof/>
              </w:rPr>
              <w:noBreakHyphen/>
              <w:t>discrimination focus in strategies.</w:t>
            </w:r>
          </w:p>
          <w:p>
            <w:pPr>
              <w:spacing w:before="60" w:after="60"/>
              <w:ind w:right="-24"/>
              <w:jc w:val="both"/>
              <w:rPr>
                <w:rFonts w:ascii="Times New Roman" w:hAnsi="Times New Roman"/>
                <w:b/>
                <w:noProof/>
              </w:rPr>
            </w:pPr>
            <w:r>
              <w:rPr>
                <w:rFonts w:ascii="Times New Roman" w:hAnsi="Times New Roman" w:cs="Times New Roman"/>
                <w:b/>
                <w:noProof/>
              </w:rPr>
              <w:t>National Roma strategic frameworks should:</w:t>
            </w:r>
          </w:p>
          <w:p>
            <w:pPr>
              <w:pStyle w:val="ListParagraph"/>
              <w:numPr>
                <w:ilvl w:val="0"/>
                <w:numId w:val="1"/>
              </w:numPr>
              <w:spacing w:after="0" w:line="240" w:lineRule="auto"/>
              <w:ind w:right="-24"/>
              <w:contextualSpacing w:val="0"/>
              <w:rPr>
                <w:rFonts w:ascii="Times New Roman" w:hAnsi="Times New Roman"/>
                <w:noProof/>
                <w:sz w:val="22"/>
                <w:szCs w:val="22"/>
              </w:rPr>
            </w:pPr>
            <w:r>
              <w:rPr>
                <w:rFonts w:ascii="Times New Roman" w:hAnsi="Times New Roman"/>
                <w:b/>
                <w:noProof/>
                <w:sz w:val="22"/>
                <w:szCs w:val="22"/>
              </w:rPr>
              <w:t>include a stand</w:t>
            </w:r>
            <w:r>
              <w:rPr>
                <w:rFonts w:ascii="Times New Roman" w:hAnsi="Times New Roman"/>
                <w:b/>
                <w:noProof/>
                <w:sz w:val="22"/>
                <w:szCs w:val="22"/>
              </w:rPr>
              <w:noBreakHyphen/>
              <w:t>alone focus on the fight against antigypsyism</w:t>
            </w:r>
            <w:r>
              <w:rPr>
                <w:rFonts w:ascii="Times New Roman" w:hAnsi="Times New Roman"/>
                <w:noProof/>
                <w:sz w:val="22"/>
                <w:szCs w:val="22"/>
              </w:rPr>
              <w:t>, in order to:</w:t>
            </w:r>
          </w:p>
          <w:p>
            <w:pPr>
              <w:pStyle w:val="ListParagraph"/>
              <w:spacing w:after="0"/>
              <w:ind w:left="641" w:right="-23" w:hanging="284"/>
              <w:rPr>
                <w:rFonts w:ascii="Times New Roman" w:hAnsi="Times New Roman"/>
                <w:noProof/>
                <w:sz w:val="22"/>
                <w:szCs w:val="22"/>
              </w:rPr>
            </w:pPr>
            <w:r>
              <w:rPr>
                <w:rFonts w:ascii="Times New Roman" w:hAnsi="Times New Roman"/>
                <w:noProof/>
                <w:sz w:val="22"/>
                <w:szCs w:val="22"/>
              </w:rPr>
              <w:t xml:space="preserve">1) </w:t>
            </w:r>
            <w:r>
              <w:rPr>
                <w:rFonts w:ascii="Times New Roman" w:hAnsi="Times New Roman"/>
                <w:noProof/>
                <w:sz w:val="22"/>
                <w:szCs w:val="22"/>
              </w:rPr>
              <w:tab/>
              <w:t xml:space="preserve">recognise antigypsyism and the responsibility to act against it; </w:t>
            </w:r>
          </w:p>
          <w:p>
            <w:pPr>
              <w:pStyle w:val="ListParagraph"/>
              <w:spacing w:after="0"/>
              <w:ind w:left="641" w:right="-23" w:hanging="284"/>
              <w:rPr>
                <w:rFonts w:ascii="Times New Roman" w:hAnsi="Times New Roman"/>
                <w:noProof/>
                <w:sz w:val="22"/>
                <w:szCs w:val="22"/>
              </w:rPr>
            </w:pPr>
            <w:r>
              <w:rPr>
                <w:rFonts w:ascii="Times New Roman" w:hAnsi="Times New Roman"/>
                <w:noProof/>
                <w:sz w:val="22"/>
                <w:szCs w:val="22"/>
              </w:rPr>
              <w:t xml:space="preserve">2) </w:t>
            </w:r>
            <w:r>
              <w:rPr>
                <w:rFonts w:ascii="Times New Roman" w:hAnsi="Times New Roman"/>
                <w:noProof/>
                <w:sz w:val="22"/>
                <w:szCs w:val="22"/>
              </w:rPr>
              <w:tab/>
              <w:t xml:space="preserve">recognise the historical dimensions of antigypsyism, in particular the Roma Holocaust; raise awareness of Roma history and promote reconciliation; </w:t>
            </w:r>
          </w:p>
          <w:p>
            <w:pPr>
              <w:pStyle w:val="ListParagraph"/>
              <w:spacing w:after="0"/>
              <w:ind w:left="641" w:right="-23" w:hanging="284"/>
              <w:rPr>
                <w:rFonts w:ascii="Times New Roman" w:hAnsi="Times New Roman"/>
                <w:noProof/>
                <w:sz w:val="22"/>
                <w:szCs w:val="22"/>
              </w:rPr>
            </w:pPr>
            <w:r>
              <w:rPr>
                <w:rFonts w:ascii="Times New Roman" w:hAnsi="Times New Roman"/>
                <w:noProof/>
                <w:sz w:val="22"/>
                <w:szCs w:val="22"/>
              </w:rPr>
              <w:t>3)</w:t>
            </w:r>
            <w:r>
              <w:rPr>
                <w:rFonts w:ascii="Times New Roman" w:eastAsia="MS Mincho" w:hAnsi="Times New Roman"/>
                <w:noProof/>
                <w:sz w:val="22"/>
                <w:szCs w:val="22"/>
              </w:rPr>
              <w:t xml:space="preserve"> </w:t>
            </w:r>
            <w:r>
              <w:rPr>
                <w:rFonts w:ascii="Times New Roman" w:eastAsia="MS Mincho" w:hAnsi="Times New Roman"/>
                <w:noProof/>
                <w:sz w:val="22"/>
                <w:szCs w:val="22"/>
              </w:rPr>
              <w:tab/>
              <w:t>r</w:t>
            </w:r>
            <w:r>
              <w:rPr>
                <w:rFonts w:ascii="Times New Roman" w:hAnsi="Times New Roman"/>
                <w:noProof/>
                <w:sz w:val="22"/>
                <w:szCs w:val="22"/>
              </w:rPr>
              <w:t xml:space="preserve">aise awareness of the mutual benefits of diversity and inclusion; construct positive narratives; foster role models; support inter-community encounters and inter-cultural learning to fight stereotypes and misinformation about Roma in education, the media, the arts, culture and history; </w:t>
            </w:r>
          </w:p>
          <w:p>
            <w:pPr>
              <w:pStyle w:val="ListParagraph"/>
              <w:spacing w:after="0"/>
              <w:ind w:left="641" w:right="-23" w:hanging="284"/>
              <w:rPr>
                <w:rFonts w:ascii="Times New Roman" w:hAnsi="Times New Roman"/>
                <w:noProof/>
                <w:sz w:val="22"/>
                <w:szCs w:val="22"/>
              </w:rPr>
            </w:pPr>
            <w:r>
              <w:rPr>
                <w:rFonts w:ascii="Times New Roman" w:hAnsi="Times New Roman"/>
                <w:noProof/>
                <w:sz w:val="22"/>
                <w:szCs w:val="22"/>
              </w:rPr>
              <w:t xml:space="preserve">4) </w:t>
            </w:r>
            <w:r>
              <w:rPr>
                <w:rFonts w:ascii="Times New Roman" w:hAnsi="Times New Roman"/>
                <w:noProof/>
                <w:sz w:val="22"/>
                <w:szCs w:val="22"/>
              </w:rPr>
              <w:tab/>
              <w:t xml:space="preserve">fight discrimination as a manifestation of antigypsyism; </w:t>
            </w:r>
          </w:p>
          <w:p>
            <w:pPr>
              <w:pStyle w:val="ListParagraph"/>
              <w:spacing w:after="0"/>
              <w:ind w:left="641" w:right="-23" w:hanging="284"/>
              <w:rPr>
                <w:rFonts w:ascii="Times New Roman" w:hAnsi="Times New Roman"/>
                <w:noProof/>
                <w:sz w:val="22"/>
                <w:szCs w:val="22"/>
              </w:rPr>
            </w:pPr>
            <w:r>
              <w:rPr>
                <w:rFonts w:ascii="Times New Roman" w:hAnsi="Times New Roman"/>
                <w:noProof/>
                <w:sz w:val="22"/>
                <w:szCs w:val="22"/>
              </w:rPr>
              <w:t xml:space="preserve">5) </w:t>
            </w:r>
            <w:r>
              <w:rPr>
                <w:rFonts w:ascii="Times New Roman" w:hAnsi="Times New Roman"/>
                <w:noProof/>
                <w:sz w:val="22"/>
                <w:szCs w:val="22"/>
              </w:rPr>
              <w:tab/>
              <w:t>combat hate speech and hate crime as manifestations of antigypsyism and</w:t>
            </w:r>
            <w:r>
              <w:rPr>
                <w:noProof/>
                <w:sz w:val="22"/>
                <w:szCs w:val="22"/>
              </w:rPr>
              <w:t xml:space="preserve"> </w:t>
            </w:r>
            <w:r>
              <w:rPr>
                <w:rFonts w:ascii="Times New Roman" w:hAnsi="Times New Roman"/>
                <w:noProof/>
                <w:sz w:val="22"/>
                <w:szCs w:val="22"/>
              </w:rPr>
              <w:t>encourage the reporting of bias</w:t>
            </w:r>
            <w:r>
              <w:rPr>
                <w:rFonts w:ascii="Times New Roman" w:hAnsi="Times New Roman"/>
                <w:noProof/>
                <w:sz w:val="22"/>
                <w:szCs w:val="22"/>
              </w:rPr>
              <w:noBreakHyphen/>
              <w:t xml:space="preserve">motivated crime, harassment and violence; </w:t>
            </w:r>
          </w:p>
          <w:p>
            <w:pPr>
              <w:pStyle w:val="ListParagraph"/>
              <w:spacing w:after="0"/>
              <w:ind w:left="641" w:right="-23" w:hanging="284"/>
              <w:rPr>
                <w:rFonts w:ascii="Times New Roman" w:hAnsi="Times New Roman"/>
                <w:noProof/>
                <w:sz w:val="22"/>
                <w:szCs w:val="22"/>
              </w:rPr>
            </w:pPr>
            <w:r>
              <w:rPr>
                <w:rFonts w:ascii="Times New Roman" w:hAnsi="Times New Roman"/>
                <w:noProof/>
                <w:sz w:val="22"/>
                <w:szCs w:val="22"/>
              </w:rPr>
              <w:t xml:space="preserve">6) </w:t>
            </w:r>
            <w:r>
              <w:rPr>
                <w:rFonts w:ascii="Times New Roman" w:hAnsi="Times New Roman"/>
                <w:noProof/>
                <w:sz w:val="22"/>
                <w:szCs w:val="22"/>
              </w:rPr>
              <w:tab/>
              <w:t xml:space="preserve">promote access to justice for victims of antigypsyism and discrimination; </w:t>
            </w:r>
          </w:p>
          <w:p>
            <w:pPr>
              <w:pStyle w:val="ListParagraph"/>
              <w:spacing w:after="0"/>
              <w:ind w:left="641" w:right="-23" w:hanging="284"/>
              <w:rPr>
                <w:rFonts w:ascii="Times New Roman" w:hAnsi="Times New Roman"/>
                <w:noProof/>
                <w:sz w:val="22"/>
                <w:szCs w:val="22"/>
              </w:rPr>
            </w:pPr>
            <w:r>
              <w:rPr>
                <w:rFonts w:ascii="Times New Roman" w:hAnsi="Times New Roman"/>
                <w:noProof/>
                <w:sz w:val="22"/>
                <w:szCs w:val="22"/>
              </w:rPr>
              <w:t xml:space="preserve">7) </w:t>
            </w:r>
            <w:r>
              <w:rPr>
                <w:rFonts w:ascii="Times New Roman" w:hAnsi="Times New Roman"/>
                <w:noProof/>
                <w:sz w:val="22"/>
                <w:szCs w:val="22"/>
              </w:rPr>
              <w:tab/>
              <w:t xml:space="preserve">raise awareness among Roma of their rights; and </w:t>
            </w:r>
          </w:p>
          <w:p>
            <w:pPr>
              <w:pStyle w:val="ListParagraph"/>
              <w:spacing w:before="60" w:after="60"/>
              <w:ind w:left="644" w:right="-23" w:hanging="284"/>
              <w:contextualSpacing w:val="0"/>
              <w:rPr>
                <w:rFonts w:ascii="Times New Roman" w:hAnsi="Times New Roman"/>
                <w:noProof/>
                <w:sz w:val="22"/>
                <w:szCs w:val="22"/>
              </w:rPr>
            </w:pPr>
            <w:r>
              <w:rPr>
                <w:rFonts w:ascii="Times New Roman" w:hAnsi="Times New Roman"/>
                <w:noProof/>
                <w:sz w:val="22"/>
                <w:szCs w:val="22"/>
              </w:rPr>
              <w:t xml:space="preserve">8) </w:t>
            </w:r>
            <w:r>
              <w:rPr>
                <w:rFonts w:ascii="Times New Roman" w:hAnsi="Times New Roman"/>
                <w:noProof/>
                <w:sz w:val="22"/>
                <w:szCs w:val="22"/>
              </w:rPr>
              <w:tab/>
              <w:t>dismantle and prevent systemic/institutional/structural discrimination</w:t>
            </w:r>
            <w:r>
              <w:rPr>
                <w:rStyle w:val="FootnoteReference"/>
                <w:rFonts w:ascii="Times New Roman" w:hAnsi="Times New Roman"/>
                <w:noProof/>
                <w:sz w:val="22"/>
                <w:szCs w:val="22"/>
              </w:rPr>
              <w:footnoteReference w:id="2"/>
            </w:r>
            <w:r>
              <w:rPr>
                <w:rFonts w:ascii="Times New Roman" w:hAnsi="Times New Roman"/>
                <w:noProof/>
                <w:sz w:val="22"/>
                <w:szCs w:val="22"/>
              </w:rPr>
              <w:t xml:space="preserve"> experienced by Roma;</w:t>
            </w:r>
          </w:p>
          <w:p>
            <w:pPr>
              <w:pStyle w:val="ListParagraph"/>
              <w:numPr>
                <w:ilvl w:val="0"/>
                <w:numId w:val="1"/>
              </w:numPr>
              <w:spacing w:before="60" w:after="0" w:line="240" w:lineRule="auto"/>
              <w:ind w:right="-24"/>
              <w:contextualSpacing w:val="0"/>
              <w:rPr>
                <w:rFonts w:ascii="Times New Roman" w:hAnsi="Times New Roman"/>
                <w:noProof/>
                <w:sz w:val="22"/>
                <w:szCs w:val="22"/>
              </w:rPr>
            </w:pPr>
            <w:r>
              <w:rPr>
                <w:rFonts w:ascii="Times New Roman" w:hAnsi="Times New Roman"/>
                <w:b/>
                <w:noProof/>
                <w:sz w:val="22"/>
                <w:szCs w:val="22"/>
              </w:rPr>
              <w:t>prevent and fight antigypsyism as a cross-cutting/horizontal priority</w:t>
            </w:r>
            <w:r>
              <w:rPr>
                <w:rFonts w:ascii="Times New Roman" w:hAnsi="Times New Roman"/>
                <w:noProof/>
                <w:sz w:val="22"/>
                <w:szCs w:val="22"/>
              </w:rPr>
              <w:t xml:space="preserve"> in all sectoral policy areas, in order to: </w:t>
            </w:r>
          </w:p>
          <w:p>
            <w:pPr>
              <w:pStyle w:val="ListParagraph"/>
              <w:spacing w:after="0"/>
              <w:ind w:left="641" w:right="-23" w:hanging="284"/>
              <w:contextualSpacing w:val="0"/>
              <w:rPr>
                <w:rFonts w:ascii="Times New Roman" w:hAnsi="Times New Roman"/>
                <w:noProof/>
                <w:sz w:val="22"/>
                <w:szCs w:val="22"/>
              </w:rPr>
            </w:pPr>
            <w:r>
              <w:rPr>
                <w:rFonts w:ascii="Times New Roman" w:hAnsi="Times New Roman"/>
                <w:noProof/>
                <w:sz w:val="22"/>
                <w:szCs w:val="22"/>
              </w:rPr>
              <w:t xml:space="preserve">1) </w:t>
            </w:r>
            <w:r>
              <w:rPr>
                <w:rFonts w:ascii="Times New Roman" w:hAnsi="Times New Roman"/>
                <w:noProof/>
                <w:sz w:val="22"/>
                <w:szCs w:val="22"/>
              </w:rPr>
              <w:tab/>
              <w:t xml:space="preserve">fight segregation, bullying and harassment in education; sensitise school staff; </w:t>
            </w:r>
          </w:p>
          <w:p>
            <w:pPr>
              <w:pStyle w:val="ListParagraph"/>
              <w:spacing w:after="0"/>
              <w:ind w:left="641" w:right="-23" w:hanging="284"/>
              <w:contextualSpacing w:val="0"/>
              <w:rPr>
                <w:rFonts w:ascii="Times New Roman" w:hAnsi="Times New Roman"/>
                <w:noProof/>
                <w:sz w:val="22"/>
                <w:szCs w:val="22"/>
              </w:rPr>
            </w:pPr>
            <w:r>
              <w:rPr>
                <w:rFonts w:ascii="Times New Roman" w:hAnsi="Times New Roman"/>
                <w:noProof/>
                <w:sz w:val="22"/>
                <w:szCs w:val="22"/>
              </w:rPr>
              <w:t xml:space="preserve">2) </w:t>
            </w:r>
            <w:r>
              <w:rPr>
                <w:rFonts w:ascii="Times New Roman" w:hAnsi="Times New Roman"/>
                <w:noProof/>
                <w:sz w:val="22"/>
                <w:szCs w:val="22"/>
              </w:rPr>
              <w:tab/>
              <w:t xml:space="preserve">fight discrimination in (access to) employment and sensitise employers; </w:t>
            </w:r>
          </w:p>
          <w:p>
            <w:pPr>
              <w:pStyle w:val="ListParagraph"/>
              <w:spacing w:after="0"/>
              <w:ind w:left="641" w:right="-23" w:hanging="284"/>
              <w:contextualSpacing w:val="0"/>
              <w:rPr>
                <w:rFonts w:ascii="Times New Roman" w:hAnsi="Times New Roman"/>
                <w:noProof/>
                <w:sz w:val="22"/>
                <w:szCs w:val="22"/>
              </w:rPr>
            </w:pPr>
            <w:r>
              <w:rPr>
                <w:rFonts w:ascii="Times New Roman" w:hAnsi="Times New Roman"/>
                <w:noProof/>
                <w:sz w:val="22"/>
                <w:szCs w:val="22"/>
              </w:rPr>
              <w:t xml:space="preserve">3) </w:t>
            </w:r>
            <w:r>
              <w:rPr>
                <w:rFonts w:ascii="Times New Roman" w:hAnsi="Times New Roman"/>
                <w:noProof/>
                <w:sz w:val="22"/>
                <w:szCs w:val="22"/>
              </w:rPr>
              <w:tab/>
              <w:t>fight discrimination in access to good</w:t>
            </w:r>
            <w:r>
              <w:rPr>
                <w:rFonts w:ascii="Times New Roman" w:hAnsi="Times New Roman"/>
                <w:noProof/>
                <w:sz w:val="22"/>
                <w:szCs w:val="22"/>
              </w:rPr>
              <w:noBreakHyphen/>
              <w:t xml:space="preserve">quality healthcare; eliminate parallel, segregated services; prevent human rights violations (e.g. forced abortion and forced sterilisation); sensitise healthcare workers; </w:t>
            </w:r>
          </w:p>
          <w:p>
            <w:pPr>
              <w:pStyle w:val="ListParagraph"/>
              <w:spacing w:after="0"/>
              <w:ind w:left="641" w:right="-23" w:hanging="284"/>
              <w:contextualSpacing w:val="0"/>
              <w:rPr>
                <w:rFonts w:ascii="Times New Roman" w:hAnsi="Times New Roman"/>
                <w:noProof/>
                <w:sz w:val="22"/>
                <w:szCs w:val="22"/>
              </w:rPr>
            </w:pPr>
            <w:r>
              <w:rPr>
                <w:rFonts w:ascii="Times New Roman" w:hAnsi="Times New Roman"/>
                <w:noProof/>
                <w:sz w:val="22"/>
                <w:szCs w:val="22"/>
              </w:rPr>
              <w:t xml:space="preserve">4) </w:t>
            </w:r>
            <w:r>
              <w:rPr>
                <w:rFonts w:ascii="Times New Roman" w:hAnsi="Times New Roman"/>
                <w:noProof/>
                <w:sz w:val="22"/>
                <w:szCs w:val="22"/>
              </w:rPr>
              <w:tab/>
              <w:t>fight spatial segregation; prevent forced evictions without alternative housing; sensitise authorities; and</w:t>
            </w:r>
          </w:p>
          <w:p>
            <w:pPr>
              <w:pStyle w:val="ListParagraph"/>
              <w:spacing w:after="0"/>
              <w:ind w:left="641" w:right="-23" w:hanging="284"/>
              <w:contextualSpacing w:val="0"/>
              <w:rPr>
                <w:rFonts w:ascii="Times New Roman" w:hAnsi="Times New Roman"/>
                <w:noProof/>
                <w:sz w:val="21"/>
                <w:szCs w:val="21"/>
              </w:rPr>
            </w:pPr>
            <w:r>
              <w:rPr>
                <w:rFonts w:ascii="Times New Roman" w:hAnsi="Times New Roman"/>
                <w:noProof/>
                <w:sz w:val="22"/>
                <w:szCs w:val="22"/>
              </w:rPr>
              <w:t xml:space="preserve">5) </w:t>
            </w:r>
            <w:r>
              <w:rPr>
                <w:rFonts w:ascii="Times New Roman" w:hAnsi="Times New Roman"/>
                <w:noProof/>
                <w:sz w:val="22"/>
                <w:szCs w:val="22"/>
              </w:rPr>
              <w:tab/>
              <w:t>regularly collect equality data (data on experiences of discrimination; data from equality bodies on incidents of discrimination).</w:t>
            </w:r>
          </w:p>
        </w:tc>
      </w:tr>
    </w:tbl>
    <w:p>
      <w:pPr>
        <w:rPr>
          <w:noProof/>
        </w:rPr>
      </w:pPr>
    </w:p>
    <w:tbl>
      <w:tblPr>
        <w:tblStyle w:val="TableGrid"/>
        <w:tblW w:w="9322" w:type="dxa"/>
        <w:tblLayout w:type="fixed"/>
        <w:tblLook w:val="04A0" w:firstRow="1" w:lastRow="0" w:firstColumn="1" w:lastColumn="0" w:noHBand="0" w:noVBand="1"/>
      </w:tblPr>
      <w:tblGrid>
        <w:gridCol w:w="9322"/>
      </w:tblGrid>
      <w:tr>
        <w:tc>
          <w:tcPr>
            <w:tcW w:w="9322" w:type="dxa"/>
          </w:tcPr>
          <w:p>
            <w:pPr>
              <w:spacing w:before="60" w:after="60"/>
              <w:ind w:right="-23"/>
              <w:jc w:val="center"/>
              <w:rPr>
                <w:rFonts w:ascii="Times New Roman" w:eastAsia="MS Mincho" w:hAnsi="Times New Roman" w:cs="Times New Roman"/>
                <w:bCs/>
                <w:noProof/>
                <w:color w:val="0070C0"/>
              </w:rPr>
            </w:pPr>
            <w:r>
              <w:rPr>
                <w:rFonts w:ascii="Times New Roman Bold" w:eastAsia="MS Mincho" w:hAnsi="Times New Roman Bold" w:cs="Times New Roman"/>
                <w:b/>
                <w:bCs/>
                <w:smallCaps/>
                <w:noProof/>
                <w:color w:val="0070C0"/>
              </w:rPr>
              <w:t>Fighting multigenerational poverty</w:t>
            </w:r>
            <w:r>
              <w:rPr>
                <w:rFonts w:ascii="Times New Roman" w:eastAsia="MS Mincho" w:hAnsi="Times New Roman" w:cs="Times New Roman"/>
                <w:bCs/>
                <w:noProof/>
                <w:color w:val="0070C0"/>
              </w:rPr>
              <w:br/>
              <w:t>(with a child protection focus and better use of EU funds)</w:t>
            </w:r>
          </w:p>
          <w:p>
            <w:pPr>
              <w:spacing w:before="60" w:after="60"/>
              <w:ind w:right="-24"/>
              <w:jc w:val="both"/>
              <w:rPr>
                <w:rFonts w:ascii="Times New Roman" w:eastAsia="MS Mincho" w:hAnsi="Times New Roman" w:cs="Times New Roman"/>
                <w:noProof/>
              </w:rPr>
            </w:pPr>
            <w:r>
              <w:rPr>
                <w:rFonts w:ascii="Times New Roman" w:eastAsia="MS Mincho" w:hAnsi="Times New Roman" w:cs="Times New Roman"/>
                <w:noProof/>
              </w:rPr>
              <w:t xml:space="preserve">Tackling multigenerational poverty and exclusion is crucial to improving the situation of marginalised Roma. Exclusion and discrimination in access to education, employment, healthcare and housing affect children’s development and may in turn affect their future parenthood, </w:t>
            </w:r>
            <w:r>
              <w:rPr>
                <w:rFonts w:ascii="Times New Roman" w:eastAsia="MS Mincho" w:hAnsi="Times New Roman" w:cs="Times New Roman"/>
                <w:noProof/>
                <w:color w:val="000000"/>
                <w:kern w:val="24"/>
              </w:rPr>
              <w:t>leading to further disadvantage for their own children. The vicious circle of exclusion and discrimination is bound to continue unless there is significant intervention to address comprehensively the root dynamics and</w:t>
            </w:r>
            <w:r>
              <w:rPr>
                <w:rFonts w:ascii="Times New Roman" w:eastAsia="MS Mincho" w:hAnsi="Times New Roman" w:cs="Times New Roman"/>
                <w:noProof/>
                <w:lang w:eastAsia="en-GB"/>
              </w:rPr>
              <w:t xml:space="preserve"> plan a better future for the next generation. This requires a </w:t>
            </w:r>
            <w:r>
              <w:rPr>
                <w:rFonts w:ascii="Times New Roman" w:eastAsia="MS Mincho" w:hAnsi="Times New Roman" w:cs="Times New Roman"/>
                <w:b/>
                <w:noProof/>
                <w:lang w:eastAsia="en-GB"/>
              </w:rPr>
              <w:t>focus on children</w:t>
            </w:r>
            <w:r>
              <w:rPr>
                <w:rFonts w:ascii="Times New Roman" w:eastAsia="MS Mincho" w:hAnsi="Times New Roman" w:cs="Times New Roman"/>
                <w:noProof/>
                <w:lang w:eastAsia="en-GB"/>
              </w:rPr>
              <w:t xml:space="preserve"> and must be sustained over time.</w:t>
            </w:r>
          </w:p>
          <w:p>
            <w:pPr>
              <w:spacing w:before="60" w:after="60"/>
              <w:ind w:right="-24"/>
              <w:jc w:val="both"/>
              <w:rPr>
                <w:rFonts w:ascii="Times New Roman" w:eastAsia="MS Mincho" w:hAnsi="Times New Roman" w:cs="Times New Roman"/>
                <w:b/>
                <w:bCs/>
                <w:noProof/>
                <w:color w:val="212121"/>
              </w:rPr>
            </w:pPr>
            <w:r>
              <w:rPr>
                <w:rFonts w:ascii="Times New Roman" w:eastAsia="MS Mincho" w:hAnsi="Times New Roman" w:cs="Times New Roman"/>
                <w:b/>
                <w:bCs/>
                <w:noProof/>
                <w:color w:val="212121"/>
              </w:rPr>
              <w:t>National Roma strategic frameworks should:</w:t>
            </w:r>
          </w:p>
          <w:p>
            <w:pPr>
              <w:numPr>
                <w:ilvl w:val="0"/>
                <w:numId w:val="5"/>
              </w:numPr>
              <w:spacing w:before="60" w:after="60"/>
              <w:ind w:left="360" w:right="-24"/>
              <w:jc w:val="both"/>
              <w:rPr>
                <w:rFonts w:ascii="Times New Roman" w:eastAsia="MS Mincho" w:hAnsi="Times New Roman" w:cs="Times New Roman"/>
                <w:noProof/>
                <w:color w:val="000000"/>
              </w:rPr>
            </w:pPr>
            <w:r>
              <w:rPr>
                <w:rFonts w:ascii="Times New Roman" w:eastAsia="MS Mincho" w:hAnsi="Times New Roman" w:cs="Times New Roman"/>
                <w:noProof/>
                <w:lang w:eastAsia="en-GB"/>
              </w:rPr>
              <w:t xml:space="preserve">mobilise relevant expertise at all levels of governance to formulate child protection measures; </w:t>
            </w:r>
            <w:r>
              <w:rPr>
                <w:rFonts w:ascii="Times New Roman" w:eastAsia="MS Mincho" w:hAnsi="Times New Roman" w:cs="Times New Roman"/>
                <w:noProof/>
                <w:color w:val="000000"/>
              </w:rPr>
              <w:t>allocate adequate resources to early childhood education and care and education (e.g. scholarships, mentorships, after</w:t>
            </w:r>
            <w:r>
              <w:rPr>
                <w:rFonts w:ascii="Times New Roman" w:eastAsia="MS Mincho" w:hAnsi="Times New Roman" w:cs="Times New Roman"/>
                <w:noProof/>
                <w:color w:val="000000"/>
              </w:rPr>
              <w:noBreakHyphen/>
              <w:t>school support), nutrition, personal development and work with families;</w:t>
            </w:r>
          </w:p>
          <w:p>
            <w:pPr>
              <w:numPr>
                <w:ilvl w:val="0"/>
                <w:numId w:val="5"/>
              </w:numPr>
              <w:spacing w:before="60" w:after="60"/>
              <w:ind w:left="360" w:right="-24"/>
              <w:jc w:val="both"/>
              <w:rPr>
                <w:rFonts w:ascii="Times New Roman" w:eastAsia="MS Mincho" w:hAnsi="Times New Roman" w:cs="Times New Roman"/>
                <w:noProof/>
                <w:color w:val="000000"/>
              </w:rPr>
            </w:pPr>
            <w:r>
              <w:rPr>
                <w:rFonts w:ascii="Times New Roman" w:eastAsia="MS Mincho" w:hAnsi="Times New Roman" w:cs="Times New Roman"/>
                <w:noProof/>
                <w:lang w:eastAsia="en-GB"/>
              </w:rPr>
              <w:t>encourage participation in early childhood education and care;</w:t>
            </w:r>
          </w:p>
          <w:p>
            <w:pPr>
              <w:numPr>
                <w:ilvl w:val="0"/>
                <w:numId w:val="5"/>
              </w:numPr>
              <w:spacing w:before="60" w:after="60"/>
              <w:ind w:left="360" w:right="-24"/>
              <w:jc w:val="both"/>
              <w:rPr>
                <w:rFonts w:ascii="Times New Roman" w:eastAsia="MS Mincho" w:hAnsi="Times New Roman" w:cs="Times New Roman"/>
                <w:noProof/>
                <w:color w:val="000000"/>
                <w:u w:val="single"/>
              </w:rPr>
            </w:pPr>
            <w:r>
              <w:rPr>
                <w:rFonts w:ascii="Times New Roman" w:eastAsia="MS Mincho" w:hAnsi="Times New Roman" w:cs="Times New Roman"/>
                <w:noProof/>
                <w:color w:val="000000"/>
              </w:rPr>
              <w:t>protect women, children and youth through strategies to fight crimes such as trafficking in human beings, including for all forms of exploitation as relevant (sexual exploitation, labour exploitation, forced begging and the exploitation of criminal activities for forced and exploitative sham marriages), and enable their access to assistance, support and protection;</w:t>
            </w:r>
          </w:p>
          <w:p>
            <w:pPr>
              <w:numPr>
                <w:ilvl w:val="0"/>
                <w:numId w:val="5"/>
              </w:numPr>
              <w:spacing w:before="60" w:after="60"/>
              <w:ind w:left="360" w:right="-24"/>
              <w:jc w:val="both"/>
              <w:rPr>
                <w:rFonts w:ascii="Times New Roman" w:eastAsia="MS Mincho" w:hAnsi="Times New Roman" w:cs="Times New Roman"/>
                <w:noProof/>
                <w:color w:val="000000"/>
              </w:rPr>
            </w:pPr>
            <w:r>
              <w:rPr>
                <w:rFonts w:ascii="Times New Roman" w:eastAsia="MS Mincho" w:hAnsi="Times New Roman" w:cs="Times New Roman"/>
                <w:noProof/>
                <w:color w:val="000000"/>
              </w:rPr>
              <w:t>improve access to community - and family - based services for people with disabilities and children deprived of parental care; strengthen measures to prevent institutionalisation through support for families in precarious situations and people with disabilities;</w:t>
            </w:r>
          </w:p>
          <w:p>
            <w:pPr>
              <w:numPr>
                <w:ilvl w:val="0"/>
                <w:numId w:val="5"/>
              </w:numPr>
              <w:spacing w:before="60" w:after="60"/>
              <w:ind w:left="360" w:right="-24"/>
              <w:jc w:val="both"/>
              <w:rPr>
                <w:rFonts w:ascii="Times New Roman" w:eastAsia="MS Mincho" w:hAnsi="Times New Roman" w:cs="Times New Roman"/>
                <w:noProof/>
                <w:lang w:eastAsia="en-GB"/>
              </w:rPr>
            </w:pPr>
            <w:r>
              <w:rPr>
                <w:rFonts w:ascii="Times New Roman" w:eastAsia="MS Mincho" w:hAnsi="Times New Roman" w:cs="Times New Roman"/>
                <w:noProof/>
                <w:lang w:eastAsia="en-GB"/>
              </w:rPr>
              <w:t>ensure the long</w:t>
            </w:r>
            <w:r>
              <w:rPr>
                <w:rFonts w:ascii="Times New Roman" w:eastAsia="MS Mincho" w:hAnsi="Times New Roman" w:cs="Times New Roman"/>
                <w:noProof/>
                <w:lang w:eastAsia="en-GB"/>
              </w:rPr>
              <w:noBreakHyphen/>
              <w:t>term sustainability of support measures for children and their families, so as to improve conditions for the next generation;</w:t>
            </w:r>
          </w:p>
          <w:p>
            <w:pPr>
              <w:numPr>
                <w:ilvl w:val="0"/>
                <w:numId w:val="5"/>
              </w:numPr>
              <w:spacing w:before="60" w:after="60"/>
              <w:ind w:left="360" w:right="-24"/>
              <w:jc w:val="both"/>
              <w:rPr>
                <w:rFonts w:ascii="Times New Roman" w:eastAsia="MS Mincho" w:hAnsi="Times New Roman" w:cs="Times New Roman"/>
                <w:noProof/>
                <w:lang w:eastAsia="en-GB"/>
              </w:rPr>
            </w:pPr>
            <w:r>
              <w:rPr>
                <w:rFonts w:ascii="Times New Roman" w:eastAsia="MS Mincho" w:hAnsi="Times New Roman" w:cs="Times New Roman"/>
                <w:noProof/>
                <w:lang w:eastAsia="en-GB"/>
              </w:rPr>
              <w:t>base the planning of financial support and investment on accurate analysis of the root causes of marginalisation (socio-economic exclusion and discrimination); collect more granular evidence through systematic evaluations and analysis of the types of national, regional and local intervention that (do not) work and why, to deepen understanding of the obstacles to inclusion; involve all stakeholders (local authorities, civil society, Roma/non-Roma stakeholders with possibly diverging views) in analytical work;</w:t>
            </w:r>
          </w:p>
          <w:p>
            <w:pPr>
              <w:numPr>
                <w:ilvl w:val="0"/>
                <w:numId w:val="5"/>
              </w:numPr>
              <w:spacing w:before="60" w:after="60"/>
              <w:ind w:left="360" w:right="-24"/>
              <w:jc w:val="both"/>
              <w:rPr>
                <w:rFonts w:ascii="Times New Roman" w:eastAsia="MS Mincho" w:hAnsi="Times New Roman" w:cs="Times New Roman"/>
                <w:noProof/>
                <w:lang w:eastAsia="en-GB"/>
              </w:rPr>
            </w:pPr>
            <w:r>
              <w:rPr>
                <w:rFonts w:ascii="Times New Roman" w:eastAsia="MS Mincho" w:hAnsi="Times New Roman" w:cs="Times New Roman"/>
                <w:noProof/>
                <w:lang w:eastAsia="en-GB"/>
              </w:rPr>
              <w:t>analyse the use of EU funds in cooperation with managing authorities – if monitoring reports find that funds have not been used effectively to achieve inclusion goals, engage with local/managing authorities and stakeholders to understand why and address any obstacles that are identified; and</w:t>
            </w:r>
          </w:p>
          <w:p>
            <w:pPr>
              <w:numPr>
                <w:ilvl w:val="0"/>
                <w:numId w:val="5"/>
              </w:numPr>
              <w:spacing w:before="60" w:after="60"/>
              <w:ind w:left="360" w:right="-24"/>
              <w:jc w:val="both"/>
              <w:rPr>
                <w:rFonts w:ascii="Times New Roman" w:eastAsia="MS Mincho" w:hAnsi="Times New Roman" w:cs="Times New Roman"/>
                <w:noProof/>
                <w:lang w:eastAsia="en-GB"/>
              </w:rPr>
            </w:pPr>
            <w:r>
              <w:rPr>
                <w:rFonts w:ascii="Times New Roman" w:eastAsia="MS Mincho" w:hAnsi="Times New Roman" w:cs="Times New Roman"/>
                <w:noProof/>
                <w:lang w:eastAsia="en-GB"/>
              </w:rPr>
              <w:t>establish close links between NRCPs and the authorities responsible for monitoring EU funds; ensure that the use of EU funds for Roma creates real opportunities for participation and has the intended day</w:t>
            </w:r>
            <w:r>
              <w:rPr>
                <w:rFonts w:ascii="Times New Roman" w:eastAsia="MS Mincho" w:hAnsi="Times New Roman" w:cs="Times New Roman"/>
                <w:noProof/>
                <w:lang w:eastAsia="en-GB"/>
              </w:rPr>
              <w:noBreakHyphen/>
              <w:t>to</w:t>
            </w:r>
            <w:r>
              <w:rPr>
                <w:rFonts w:ascii="Times New Roman" w:eastAsia="MS Mincho" w:hAnsi="Times New Roman" w:cs="Times New Roman"/>
                <w:noProof/>
                <w:lang w:eastAsia="en-GB"/>
              </w:rPr>
              <w:noBreakHyphen/>
              <w:t>day impact for them, rather than benefiting other interests.</w:t>
            </w:r>
          </w:p>
        </w:tc>
      </w:tr>
    </w:tbl>
    <w:p>
      <w:pPr>
        <w:rPr>
          <w:noProof/>
        </w:rPr>
      </w:pPr>
      <w:r>
        <w:rPr>
          <w:noProof/>
        </w:rPr>
        <w:br w:type="page"/>
      </w:r>
    </w:p>
    <w:tbl>
      <w:tblPr>
        <w:tblStyle w:val="TableGrid"/>
        <w:tblW w:w="9322" w:type="dxa"/>
        <w:tblLayout w:type="fixed"/>
        <w:tblLook w:val="04A0" w:firstRow="1" w:lastRow="0" w:firstColumn="1" w:lastColumn="0" w:noHBand="0" w:noVBand="1"/>
      </w:tblPr>
      <w:tblGrid>
        <w:gridCol w:w="9322"/>
      </w:tblGrid>
      <w:tr>
        <w:tc>
          <w:tcPr>
            <w:tcW w:w="9322" w:type="dxa"/>
          </w:tcPr>
          <w:p>
            <w:pPr>
              <w:spacing w:before="60" w:after="60"/>
              <w:ind w:right="-24"/>
              <w:jc w:val="center"/>
              <w:rPr>
                <w:rFonts w:ascii="Times New Roman" w:hAnsi="Times New Roman" w:cs="Times New Roman"/>
                <w:b/>
                <w:smallCaps/>
                <w:noProof/>
                <w:color w:val="0070C0"/>
              </w:rPr>
            </w:pPr>
            <w:r>
              <w:rPr>
                <w:rFonts w:ascii="Times New Roman" w:hAnsi="Times New Roman" w:cs="Times New Roman"/>
                <w:b/>
                <w:smallCaps/>
                <w:noProof/>
                <w:color w:val="0070C0"/>
              </w:rPr>
              <w:t>Promoting Roma participation</w:t>
            </w:r>
          </w:p>
          <w:p>
            <w:pPr>
              <w:spacing w:before="60" w:after="60"/>
              <w:ind w:right="-24"/>
              <w:jc w:val="both"/>
              <w:rPr>
                <w:rFonts w:ascii="Times New Roman" w:eastAsia="Times New Roman" w:hAnsi="Times New Roman" w:cs="Times New Roman"/>
                <w:noProof/>
                <w:lang w:eastAsia="en-GB"/>
              </w:rPr>
            </w:pPr>
            <w:r>
              <w:rPr>
                <w:rFonts w:ascii="Times New Roman" w:hAnsi="Times New Roman" w:cs="Times New Roman"/>
                <w:noProof/>
              </w:rPr>
              <w:t>Roma participation in shaping public affairs is a pre-condition and an enabler of equality and inclusion, and promotes democratic and efficient governance. Roma participation and empowerment are about giving people a voice and enabling them to act in new, life-affirming ways. Inclusion opens the way for action and gives people the opportunity to participate. Participation and empowerment are principles and processes for bettering people’s living conditions and life outcomes. Supporting meaningful Roma participation in policy-making at local, national and EU level is a pre</w:t>
            </w:r>
            <w:r>
              <w:rPr>
                <w:rFonts w:ascii="Times New Roman" w:hAnsi="Times New Roman" w:cs="Times New Roman"/>
                <w:noProof/>
              </w:rPr>
              <w:noBreakHyphen/>
              <w:t>condition for tackling exclusion. Roma-led and pro-Roma civil society organisations are particularly important actors. When coordinating the development of national strategi</w:t>
            </w:r>
            <w:r>
              <w:rPr>
                <w:rFonts w:ascii="Times New Roman" w:eastAsia="MS Mincho" w:hAnsi="Times New Roman" w:cs="Times New Roman"/>
                <w:bCs/>
                <w:noProof/>
                <w:color w:val="212121"/>
              </w:rPr>
              <w:t>c frameworks</w:t>
            </w:r>
            <w:r>
              <w:rPr>
                <w:rFonts w:ascii="Times New Roman" w:hAnsi="Times New Roman" w:cs="Times New Roman"/>
                <w:noProof/>
              </w:rPr>
              <w:t>, NRCPs are encouraged to promote participatory models, e.g. by facilitating thematic working groups that develop needs assessment, priorities, targets, action in key fields, bringing together national, regional, local and non</w:t>
            </w:r>
            <w:r>
              <w:rPr>
                <w:rFonts w:ascii="Times New Roman" w:hAnsi="Times New Roman" w:cs="Times New Roman"/>
                <w:noProof/>
              </w:rPr>
              <w:noBreakHyphen/>
              <w:t>governmental actors, and ensuring Roma participation. These models and structures could subsequently be used for monitoring and evaluating implementation.</w:t>
            </w:r>
          </w:p>
          <w:p>
            <w:pPr>
              <w:keepNext/>
              <w:keepLines/>
              <w:spacing w:before="60" w:after="60"/>
              <w:ind w:right="-24"/>
              <w:rPr>
                <w:rFonts w:ascii="Times New Roman" w:hAnsi="Times New Roman"/>
                <w:b/>
                <w:noProof/>
              </w:rPr>
            </w:pPr>
            <w:r>
              <w:rPr>
                <w:rFonts w:ascii="Times New Roman" w:hAnsi="Times New Roman" w:cs="Times New Roman"/>
                <w:b/>
                <w:noProof/>
              </w:rPr>
              <w:t>National Roma strategi</w:t>
            </w:r>
            <w:r>
              <w:rPr>
                <w:rFonts w:ascii="Times New Roman" w:eastAsia="MS Mincho" w:hAnsi="Times New Roman" w:cs="Times New Roman"/>
                <w:b/>
                <w:bCs/>
                <w:noProof/>
                <w:color w:val="212121"/>
              </w:rPr>
              <w:t>c frameworks</w:t>
            </w:r>
            <w:r>
              <w:rPr>
                <w:rFonts w:ascii="Times New Roman" w:hAnsi="Times New Roman" w:cs="Times New Roman"/>
                <w:b/>
                <w:noProof/>
              </w:rPr>
              <w:t xml:space="preserve"> should:</w:t>
            </w:r>
          </w:p>
          <w:p>
            <w:pPr>
              <w:pStyle w:val="ListParagraph"/>
              <w:keepNext/>
              <w:keepLines/>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set out minimum compulsory aspects and channels of Roma participation in policy development, implementation and monitoring, and the programming of EU funds, including by written protocols of participation setting out the mandate (scope and nature of engagement), composition (principles for selecting members), working methods and expected outcomes of consultation and participation bodies, with a view to ensuring effective cooperation, trust and accountability</w:t>
            </w:r>
            <w:r>
              <w:rPr>
                <w:rStyle w:val="FootnoteReference"/>
                <w:rFonts w:ascii="Times New Roman" w:hAnsi="Times New Roman"/>
                <w:noProof/>
                <w:sz w:val="22"/>
                <w:szCs w:val="22"/>
              </w:rPr>
              <w:footnoteReference w:id="3"/>
            </w:r>
            <w:r>
              <w:rPr>
                <w:rFonts w:ascii="Times New Roman" w:hAnsi="Times New Roman"/>
                <w:noProof/>
                <w:sz w:val="22"/>
                <w:szCs w:val="22"/>
              </w:rPr>
              <w:t>;</w:t>
            </w:r>
          </w:p>
          <w:p>
            <w:pPr>
              <w:pStyle w:val="ListParagraph"/>
              <w:keepNext/>
              <w:keepLines/>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create opportunities for Roma communities’ empowerment at the local level to enable community ownership and action aimed explicitly at bringing about social and political change. Mobilising communities should be seen as a deliberate inclusive and participatory process involving Roma people, local authorities and organisations;</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ensure that Roma are represented in all their diversity (including nationals and non-nationals, marginalised and integrated, women, children and young people) in policy and consultation processes;</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improve local action by engaging more Roma professionals to act as mediators and help overcome the persistent lack of trust between Roma and majority communities;</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promote civil society cooperation between Roma-focused and mainstream organisations, especially those targeting children’s, young people’s and women’s rights;</w:t>
            </w:r>
          </w:p>
          <w:p>
            <w:pPr>
              <w:pStyle w:val="ListParagraph"/>
              <w:numPr>
                <w:ilvl w:val="0"/>
                <w:numId w:val="1"/>
              </w:numPr>
              <w:shd w:val="clear" w:color="auto" w:fill="FFFFFF" w:themeFill="background1"/>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use EU and other funds to provide regular capacity</w:t>
            </w:r>
            <w:r>
              <w:rPr>
                <w:rFonts w:ascii="Times New Roman" w:hAnsi="Times New Roman"/>
                <w:noProof/>
                <w:sz w:val="22"/>
                <w:szCs w:val="22"/>
              </w:rPr>
              <w:noBreakHyphen/>
              <w:t xml:space="preserve">building support (in equality screening, participation, etc.), in particular for grassroots and local civil society; and </w:t>
            </w:r>
          </w:p>
          <w:p>
            <w:pPr>
              <w:pStyle w:val="ListParagraph"/>
              <w:numPr>
                <w:ilvl w:val="0"/>
                <w:numId w:val="1"/>
              </w:numPr>
              <w:shd w:val="clear" w:color="auto" w:fill="FFFFFF" w:themeFill="background1"/>
              <w:spacing w:before="60" w:after="60" w:line="240" w:lineRule="auto"/>
              <w:ind w:right="-24"/>
              <w:contextualSpacing w:val="0"/>
              <w:rPr>
                <w:rFonts w:ascii="Times New Roman" w:hAnsi="Times New Roman"/>
                <w:noProof/>
                <w:sz w:val="22"/>
                <w:szCs w:val="22"/>
              </w:rPr>
            </w:pPr>
            <w:r>
              <w:rPr>
                <w:rFonts w:ascii="Times New Roman" w:hAnsi="Times New Roman"/>
                <w:i/>
                <w:noProof/>
                <w:sz w:val="22"/>
                <w:szCs w:val="22"/>
              </w:rPr>
              <w:t>in countries with a significant Roma population:</w:t>
            </w:r>
          </w:p>
          <w:p>
            <w:pPr>
              <w:pStyle w:val="ListParagraph"/>
              <w:numPr>
                <w:ilvl w:val="1"/>
                <w:numId w:val="1"/>
              </w:numPr>
              <w:shd w:val="clear" w:color="auto" w:fill="FFFFFF" w:themeFill="background1"/>
              <w:spacing w:before="60" w:after="60" w:line="240" w:lineRule="auto"/>
              <w:ind w:left="851" w:right="-23" w:hanging="284"/>
              <w:contextualSpacing w:val="0"/>
              <w:rPr>
                <w:rFonts w:ascii="Times New Roman" w:hAnsi="Times New Roman"/>
                <w:noProof/>
                <w:sz w:val="22"/>
                <w:szCs w:val="22"/>
              </w:rPr>
            </w:pPr>
            <w:r>
              <w:rPr>
                <w:rFonts w:ascii="Times New Roman" w:hAnsi="Times New Roman"/>
                <w:noProof/>
                <w:sz w:val="22"/>
                <w:szCs w:val="22"/>
              </w:rPr>
              <w:t>promote positive action to increase Roma participation in national and local administration in the fields of equality and inclusion, research, etc.; and</w:t>
            </w:r>
          </w:p>
          <w:p>
            <w:pPr>
              <w:pStyle w:val="ListParagraph"/>
              <w:numPr>
                <w:ilvl w:val="1"/>
                <w:numId w:val="1"/>
              </w:numPr>
              <w:shd w:val="clear" w:color="auto" w:fill="FFFFFF" w:themeFill="background1"/>
              <w:spacing w:before="60" w:after="60" w:line="240" w:lineRule="auto"/>
              <w:ind w:left="851" w:right="-23" w:hanging="284"/>
              <w:contextualSpacing w:val="0"/>
              <w:rPr>
                <w:rFonts w:ascii="Times New Roman" w:hAnsi="Times New Roman"/>
                <w:noProof/>
                <w:sz w:val="21"/>
                <w:szCs w:val="21"/>
              </w:rPr>
            </w:pPr>
            <w:r>
              <w:rPr>
                <w:rFonts w:ascii="Times New Roman" w:hAnsi="Times New Roman"/>
                <w:noProof/>
                <w:sz w:val="22"/>
                <w:szCs w:val="22"/>
              </w:rPr>
              <w:t>consider establishing national Roma umbrella organisations for sustained consultation and participation in policy discussions. These should receive core institutional grants from national governments or regular civil society support funds.</w:t>
            </w:r>
          </w:p>
        </w:tc>
      </w:tr>
    </w:tbl>
    <w:p>
      <w:pPr>
        <w:rPr>
          <w:noProof/>
        </w:rPr>
      </w:pPr>
      <w:r>
        <w:rPr>
          <w:noProof/>
        </w:rPr>
        <w:br w:type="page"/>
      </w:r>
    </w:p>
    <w:tbl>
      <w:tblPr>
        <w:tblStyle w:val="TableGrid"/>
        <w:tblW w:w="9322" w:type="dxa"/>
        <w:tblLayout w:type="fixed"/>
        <w:tblLook w:val="04A0" w:firstRow="1" w:lastRow="0" w:firstColumn="1" w:lastColumn="0" w:noHBand="0" w:noVBand="1"/>
      </w:tblPr>
      <w:tblGrid>
        <w:gridCol w:w="9322"/>
      </w:tblGrid>
      <w:tr>
        <w:tc>
          <w:tcPr>
            <w:tcW w:w="9322" w:type="dxa"/>
          </w:tcPr>
          <w:p>
            <w:pPr>
              <w:spacing w:before="60" w:after="60"/>
              <w:ind w:right="-24"/>
              <w:jc w:val="center"/>
              <w:rPr>
                <w:rFonts w:ascii="Times New Roman" w:hAnsi="Times New Roman" w:cs="Times New Roman"/>
                <w:b/>
                <w:smallCaps/>
                <w:noProof/>
                <w:color w:val="0070C0"/>
              </w:rPr>
            </w:pPr>
            <w:r>
              <w:rPr>
                <w:rFonts w:ascii="Times New Roman" w:hAnsi="Times New Roman" w:cs="Times New Roman"/>
                <w:b/>
                <w:smallCaps/>
                <w:noProof/>
                <w:color w:val="0070C0"/>
              </w:rPr>
              <w:t>Reflecting diversity</w:t>
            </w:r>
          </w:p>
          <w:p>
            <w:pPr>
              <w:spacing w:before="60" w:after="60"/>
              <w:ind w:right="-24"/>
              <w:jc w:val="both"/>
              <w:rPr>
                <w:rFonts w:ascii="Times New Roman" w:hAnsi="Times New Roman" w:cs="Times New Roman"/>
                <w:noProof/>
              </w:rPr>
            </w:pPr>
            <w:r>
              <w:rPr>
                <w:rFonts w:ascii="Times New Roman" w:hAnsi="Times New Roman" w:cs="Times New Roman"/>
                <w:noProof/>
              </w:rPr>
              <w:t>It is crucial to recognise the diversity among Roma people and communities when designing national strategic frameworks. The EU Roma strategic framework promotes empowerment of Roma women, young people and children (and Roma living with disabilities, elder Roma, LGBTI+ Roma and EU mobile citizens) to overcome socio</w:t>
            </w:r>
            <w:r>
              <w:rPr>
                <w:rFonts w:ascii="Times New Roman" w:hAnsi="Times New Roman" w:cs="Times New Roman"/>
                <w:noProof/>
              </w:rPr>
              <w:noBreakHyphen/>
              <w:t>economic gaps, fully exercise their rights, realise their potential and be active agents of change.</w:t>
            </w:r>
          </w:p>
          <w:p>
            <w:pPr>
              <w:spacing w:before="60" w:after="60"/>
              <w:ind w:right="-24"/>
              <w:rPr>
                <w:rFonts w:ascii="Times New Roman" w:hAnsi="Times New Roman"/>
                <w:b/>
                <w:noProof/>
              </w:rPr>
            </w:pPr>
            <w:r>
              <w:rPr>
                <w:rFonts w:ascii="Times New Roman" w:hAnsi="Times New Roman" w:cs="Times New Roman"/>
                <w:b/>
                <w:noProof/>
              </w:rPr>
              <w:t>National Roma strategic frameworks should:</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assess the needs and situation of all (including non-national, non-EU and stateless) Roma;</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address multiple discrimination and intersectionality, which increase the severity of exclusion;</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target the most marginalised Roma groups with inclusion and anti-poverty measures (without excluding other groups in a similar situation) and address all Roma with measures promoting participation, and Roma and non-Roma with measures preventing and fighting antigypsyism and discrimination;</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establish specific goals and targeted measures for Roma women, children and young people,</w:t>
            </w:r>
            <w:r>
              <w:rPr>
                <w:noProof/>
                <w:sz w:val="22"/>
                <w:szCs w:val="22"/>
              </w:rPr>
              <w:t xml:space="preserve"> </w:t>
            </w:r>
            <w:r>
              <w:rPr>
                <w:rFonts w:ascii="Times New Roman" w:hAnsi="Times New Roman"/>
                <w:noProof/>
                <w:sz w:val="22"/>
                <w:szCs w:val="22"/>
              </w:rPr>
              <w:t>those with disabilities, elder Roma, EU mobile citizens, stateless Roma and those from non</w:t>
            </w:r>
            <w:r>
              <w:rPr>
                <w:rFonts w:ascii="Times New Roman" w:hAnsi="Times New Roman"/>
                <w:noProof/>
                <w:sz w:val="22"/>
                <w:szCs w:val="22"/>
              </w:rPr>
              <w:noBreakHyphen/>
              <w:t>EU countries (as relevant) and break down indicators by sex and age;</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address the gender dimension in all areas, especially education, employment, healthcare, child support and fighting (multiple) discrimination, including (domestic) violence and exploitation; promote participation and ensure that measures are gender</w:t>
            </w:r>
            <w:r>
              <w:rPr>
                <w:rFonts w:ascii="Times New Roman" w:hAnsi="Times New Roman"/>
                <w:noProof/>
                <w:sz w:val="22"/>
                <w:szCs w:val="22"/>
              </w:rPr>
              <w:noBreakHyphen/>
              <w:t>responsive;</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support Roma women’s access to justice to prevent/overcome domestic violence and other human rights violations;</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engage in transnational cooperation to tackle the challenges and opportunities arising from transnational mobility of Roma more effectively, ensuring access to education, employment, housing, healthcare and other social services; and</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 xml:space="preserve">end statelessness among Roma by ensuring universal birth registration and access to identity documents, formal statelessness determination procedures and universal access to services. </w:t>
            </w:r>
          </w:p>
        </w:tc>
      </w:tr>
    </w:tbl>
    <w:p>
      <w:pPr>
        <w:rPr>
          <w:noProof/>
        </w:rPr>
      </w:pPr>
      <w:r>
        <w:rPr>
          <w:noProof/>
        </w:rPr>
        <w:br w:type="page"/>
      </w:r>
    </w:p>
    <w:tbl>
      <w:tblPr>
        <w:tblStyle w:val="TableGrid"/>
        <w:tblW w:w="9322" w:type="dxa"/>
        <w:tblLayout w:type="fixed"/>
        <w:tblLook w:val="04A0" w:firstRow="1" w:lastRow="0" w:firstColumn="1" w:lastColumn="0" w:noHBand="0" w:noVBand="1"/>
      </w:tblPr>
      <w:tblGrid>
        <w:gridCol w:w="9322"/>
      </w:tblGrid>
      <w:tr>
        <w:tc>
          <w:tcPr>
            <w:tcW w:w="9322" w:type="dxa"/>
          </w:tcPr>
          <w:p>
            <w:pPr>
              <w:spacing w:before="60" w:after="60"/>
              <w:ind w:right="-24"/>
              <w:jc w:val="center"/>
              <w:rPr>
                <w:rFonts w:ascii="Times New Roman" w:hAnsi="Times New Roman" w:cs="Times New Roman"/>
                <w:b/>
                <w:smallCaps/>
                <w:noProof/>
                <w:color w:val="0070C0"/>
              </w:rPr>
            </w:pPr>
            <w:r>
              <w:rPr>
                <w:rFonts w:ascii="Times New Roman" w:hAnsi="Times New Roman" w:cs="Times New Roman"/>
                <w:b/>
                <w:smallCaps/>
                <w:noProof/>
                <w:color w:val="0070C0"/>
              </w:rPr>
              <w:t>Combining mainstream and targeted approaches</w:t>
            </w:r>
          </w:p>
          <w:p>
            <w:pPr>
              <w:keepNext/>
              <w:keepLines/>
              <w:shd w:val="clear" w:color="auto" w:fill="FFFFFF" w:themeFill="background1"/>
              <w:spacing w:before="60" w:after="60"/>
              <w:ind w:right="-24"/>
              <w:jc w:val="both"/>
              <w:rPr>
                <w:rFonts w:ascii="Times New Roman" w:hAnsi="Times New Roman" w:cs="Times New Roman"/>
                <w:noProof/>
              </w:rPr>
            </w:pPr>
            <w:r>
              <w:rPr>
                <w:rFonts w:ascii="Times New Roman" w:hAnsi="Times New Roman" w:cs="Times New Roman"/>
                <w:noProof/>
              </w:rPr>
              <w:t>While anti</w:t>
            </w:r>
            <w:r>
              <w:rPr>
                <w:rFonts w:ascii="Times New Roman" w:hAnsi="Times New Roman" w:cs="Times New Roman"/>
                <w:noProof/>
              </w:rPr>
              <w:noBreakHyphen/>
              <w:t>Roma discrimination and exclusion justify a continued targeted approach, the aim of targeting is to promote effective inclusion and equality for Roma in all spheres of life. That pre</w:t>
            </w:r>
            <w:r>
              <w:rPr>
                <w:rFonts w:ascii="Times New Roman" w:hAnsi="Times New Roman" w:cs="Times New Roman"/>
                <w:noProof/>
              </w:rPr>
              <w:noBreakHyphen/>
              <w:t>supposes inclusive reform of mainstream policies, which requires a smart combination of targeted and mainstream approaches. Targeted policies should be temporary and serve to mitigate the additional disadvantages and discrimination that Roma face. Targeting should be explicit (though not necessarily based on ethnicity), but not exclusive, i.e. not exclude non-Roma in the same situation.</w:t>
            </w:r>
          </w:p>
          <w:p>
            <w:pPr>
              <w:spacing w:before="60" w:after="60"/>
              <w:ind w:right="-24"/>
              <w:rPr>
                <w:rFonts w:ascii="Times New Roman" w:hAnsi="Times New Roman"/>
                <w:b/>
                <w:noProof/>
              </w:rPr>
            </w:pPr>
            <w:r>
              <w:rPr>
                <w:rFonts w:ascii="Times New Roman" w:hAnsi="Times New Roman" w:cs="Times New Roman"/>
                <w:b/>
                <w:noProof/>
              </w:rPr>
              <w:t>National Roma strategic frameworks should:</w:t>
            </w:r>
          </w:p>
          <w:p>
            <w:pPr>
              <w:pStyle w:val="ListParagraph"/>
              <w:numPr>
                <w:ilvl w:val="0"/>
                <w:numId w:val="2"/>
              </w:numPr>
              <w:shd w:val="clear" w:color="auto" w:fill="FFFFFF" w:themeFill="background1"/>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spell out how</w:t>
            </w:r>
            <w:r>
              <w:rPr>
                <w:noProof/>
                <w:sz w:val="22"/>
                <w:szCs w:val="22"/>
              </w:rPr>
              <w:t xml:space="preserve"> </w:t>
            </w:r>
            <w:r>
              <w:rPr>
                <w:rFonts w:ascii="Times New Roman" w:hAnsi="Times New Roman"/>
                <w:noProof/>
                <w:sz w:val="22"/>
                <w:szCs w:val="22"/>
              </w:rPr>
              <w:t>the specific targeted measures (safeguards) address the barriers that prevent Roma from accessing and benefiting from mainstream policies, and how public policies are made more inclusive of Roma;</w:t>
            </w:r>
          </w:p>
          <w:p>
            <w:pPr>
              <w:pStyle w:val="ListParagraph"/>
              <w:numPr>
                <w:ilvl w:val="0"/>
                <w:numId w:val="2"/>
              </w:numPr>
              <w:shd w:val="clear" w:color="auto" w:fill="FFFFFF" w:themeFill="background1"/>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promote access to rights and mainstream services for Roma with additional targeted support, but without creating permanent parallel structures;</w:t>
            </w:r>
          </w:p>
          <w:p>
            <w:pPr>
              <w:pStyle w:val="ListParagraph"/>
              <w:numPr>
                <w:ilvl w:val="0"/>
                <w:numId w:val="2"/>
              </w:numPr>
              <w:shd w:val="clear" w:color="auto" w:fill="FFFFFF" w:themeFill="background1"/>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target intervention territorially to ensure that it takes account of local conditions; combine territorial and social group targeting in broad interventions (e.g. to tackle extreme poverty) and ensure that they reach the Roma population;</w:t>
            </w:r>
          </w:p>
          <w:p>
            <w:pPr>
              <w:pStyle w:val="ListParagraph"/>
              <w:numPr>
                <w:ilvl w:val="0"/>
                <w:numId w:val="2"/>
              </w:numPr>
              <w:shd w:val="clear" w:color="auto" w:fill="FFFFFF" w:themeFill="background1"/>
              <w:spacing w:before="60" w:after="60" w:line="240" w:lineRule="auto"/>
              <w:ind w:right="-24"/>
              <w:contextualSpacing w:val="0"/>
              <w:rPr>
                <w:rFonts w:ascii="Times New Roman" w:hAnsi="Times New Roman"/>
                <w:noProof/>
                <w:sz w:val="22"/>
                <w:szCs w:val="22"/>
              </w:rPr>
            </w:pPr>
            <w:r>
              <w:rPr>
                <w:rFonts w:ascii="Times New Roman" w:hAnsi="Times New Roman"/>
                <w:i/>
                <w:noProof/>
                <w:sz w:val="22"/>
                <w:szCs w:val="22"/>
              </w:rPr>
              <w:t>in countries with a significant Roma population:</w:t>
            </w:r>
          </w:p>
          <w:p>
            <w:pPr>
              <w:pStyle w:val="ListParagraph"/>
              <w:numPr>
                <w:ilvl w:val="1"/>
                <w:numId w:val="2"/>
              </w:numPr>
              <w:shd w:val="clear" w:color="auto" w:fill="FFFFFF" w:themeFill="background1"/>
              <w:spacing w:before="60" w:after="60" w:line="240" w:lineRule="auto"/>
              <w:ind w:left="851" w:right="-23" w:hanging="284"/>
              <w:contextualSpacing w:val="0"/>
              <w:rPr>
                <w:rFonts w:ascii="Times New Roman" w:hAnsi="Times New Roman"/>
                <w:noProof/>
                <w:sz w:val="22"/>
                <w:szCs w:val="22"/>
              </w:rPr>
            </w:pPr>
            <w:r>
              <w:rPr>
                <w:rFonts w:ascii="Times New Roman" w:hAnsi="Times New Roman"/>
                <w:noProof/>
                <w:sz w:val="22"/>
                <w:szCs w:val="22"/>
              </w:rPr>
              <w:t>subject key mainstream policy measures to screening/audit to assess their impact on Roma equality and inclusion;</w:t>
            </w:r>
          </w:p>
          <w:p>
            <w:pPr>
              <w:pStyle w:val="ListParagraph"/>
              <w:numPr>
                <w:ilvl w:val="1"/>
                <w:numId w:val="2"/>
              </w:numPr>
              <w:shd w:val="clear" w:color="auto" w:fill="FFFFFF" w:themeFill="background1"/>
              <w:spacing w:before="60" w:after="60" w:line="240" w:lineRule="auto"/>
              <w:ind w:left="851" w:right="-23" w:hanging="284"/>
              <w:contextualSpacing w:val="0"/>
              <w:rPr>
                <w:rFonts w:ascii="Times New Roman" w:hAnsi="Times New Roman"/>
                <w:noProof/>
                <w:sz w:val="22"/>
                <w:szCs w:val="22"/>
              </w:rPr>
            </w:pPr>
            <w:r>
              <w:rPr>
                <w:rFonts w:ascii="Times New Roman" w:hAnsi="Times New Roman"/>
                <w:noProof/>
                <w:sz w:val="22"/>
                <w:szCs w:val="22"/>
              </w:rPr>
              <w:t>set out how EU funds will be used for inclusive reform of mainstream policies (e.g. desegregation in education or housing) and for targeted action; and</w:t>
            </w:r>
          </w:p>
          <w:p>
            <w:pPr>
              <w:pStyle w:val="ListParagraph"/>
              <w:numPr>
                <w:ilvl w:val="1"/>
                <w:numId w:val="2"/>
              </w:numPr>
              <w:shd w:val="clear" w:color="auto" w:fill="FFFFFF" w:themeFill="background1"/>
              <w:spacing w:before="60" w:after="60" w:line="240" w:lineRule="auto"/>
              <w:ind w:left="851" w:right="-23" w:hanging="284"/>
              <w:contextualSpacing w:val="0"/>
              <w:rPr>
                <w:rFonts w:ascii="Times New Roman" w:hAnsi="Times New Roman"/>
                <w:noProof/>
                <w:sz w:val="22"/>
                <w:szCs w:val="22"/>
              </w:rPr>
            </w:pPr>
            <w:r>
              <w:rPr>
                <w:rFonts w:ascii="Times New Roman" w:hAnsi="Times New Roman"/>
                <w:noProof/>
                <w:sz w:val="22"/>
                <w:szCs w:val="22"/>
              </w:rPr>
              <w:t>set out arrangements for mainstreaming Roma equality, inclusion and participation at regional and local levels.</w:t>
            </w:r>
          </w:p>
        </w:tc>
      </w:tr>
    </w:tbl>
    <w:p>
      <w:pPr>
        <w:rPr>
          <w:noProof/>
        </w:rPr>
      </w:pPr>
      <w:r>
        <w:rPr>
          <w:noProof/>
        </w:rPr>
        <w:br w:type="page"/>
      </w:r>
    </w:p>
    <w:tbl>
      <w:tblPr>
        <w:tblStyle w:val="TableGrid"/>
        <w:tblW w:w="9322" w:type="dxa"/>
        <w:tblLayout w:type="fixed"/>
        <w:tblLook w:val="04A0" w:firstRow="1" w:lastRow="0" w:firstColumn="1" w:lastColumn="0" w:noHBand="0" w:noVBand="1"/>
      </w:tblPr>
      <w:tblGrid>
        <w:gridCol w:w="9322"/>
      </w:tblGrid>
      <w:tr>
        <w:tc>
          <w:tcPr>
            <w:tcW w:w="9322" w:type="dxa"/>
          </w:tcPr>
          <w:p>
            <w:pPr>
              <w:spacing w:before="60" w:after="60"/>
              <w:ind w:right="-24"/>
              <w:jc w:val="center"/>
              <w:rPr>
                <w:rFonts w:ascii="Times New Roman" w:hAnsi="Times New Roman" w:cs="Times New Roman"/>
                <w:b/>
                <w:smallCaps/>
                <w:noProof/>
                <w:color w:val="0070C0"/>
              </w:rPr>
            </w:pPr>
            <w:r>
              <w:rPr>
                <w:rFonts w:ascii="Times New Roman" w:hAnsi="Times New Roman" w:cs="Times New Roman"/>
                <w:b/>
                <w:smallCaps/>
                <w:noProof/>
                <w:color w:val="0070C0"/>
              </w:rPr>
              <w:t>Upscaling measures to prevent/mitigate the disproportionate impact of crises on Roma</w:t>
            </w:r>
          </w:p>
          <w:p>
            <w:pPr>
              <w:spacing w:before="60" w:after="60"/>
              <w:ind w:right="-24"/>
              <w:jc w:val="both"/>
              <w:rPr>
                <w:rFonts w:ascii="Times New Roman" w:hAnsi="Times New Roman" w:cs="Times New Roman"/>
                <w:noProof/>
                <w:color w:val="000000" w:themeColor="text1"/>
              </w:rPr>
            </w:pPr>
            <w:r>
              <w:rPr>
                <w:rFonts w:ascii="Times New Roman" w:hAnsi="Times New Roman" w:cs="Times New Roman"/>
                <w:noProof/>
                <w:color w:val="000000" w:themeColor="text1"/>
              </w:rPr>
              <w:t>All the core challenges facing the EU today (including the coronavirus pandemic, climate change, and the green and digital transitions) have a Roma equality and inclusion dimension. Particular care should be taken to ensure that discriminated and marginalised groups, in particular among Roma, are not forced to bear a disproportionate share of the burden from crises and transitions, and that emergency responses and longer</w:t>
            </w:r>
            <w:r>
              <w:rPr>
                <w:rFonts w:ascii="Times New Roman" w:hAnsi="Times New Roman" w:cs="Times New Roman"/>
                <w:noProof/>
                <w:color w:val="000000" w:themeColor="text1"/>
              </w:rPr>
              <w:noBreakHyphen/>
              <w:t>term growth strategies involve targeted additional support for their inclusion. Lessons should be learned from the coronavirus pandemic, which affected marginalised Roma communities disproportionately and saw them exposed to the worst short-term health and medium/long-term economic impacts. National Roma strategic frameworks should help mitigate the effects of the coronavirus crisis and equip us better to deal with any such occurrence in the future.</w:t>
            </w:r>
          </w:p>
          <w:p>
            <w:pPr>
              <w:spacing w:before="60" w:after="60"/>
              <w:ind w:right="-24"/>
              <w:rPr>
                <w:rFonts w:ascii="Times New Roman" w:hAnsi="Times New Roman" w:cs="Times New Roman"/>
                <w:b/>
                <w:noProof/>
                <w:color w:val="000000" w:themeColor="text1"/>
              </w:rPr>
            </w:pPr>
            <w:r>
              <w:rPr>
                <w:rFonts w:ascii="Times New Roman" w:hAnsi="Times New Roman" w:cs="Times New Roman"/>
                <w:b/>
                <w:noProof/>
                <w:color w:val="000000" w:themeColor="text1"/>
              </w:rPr>
              <w:t>National Roma strategic frameworks should:</w:t>
            </w:r>
          </w:p>
          <w:p>
            <w:pPr>
              <w:pStyle w:val="ListParagraph"/>
              <w:numPr>
                <w:ilvl w:val="0"/>
                <w:numId w:val="4"/>
              </w:numPr>
              <w:spacing w:before="60" w:after="60" w:line="240" w:lineRule="auto"/>
              <w:ind w:left="426" w:right="-24" w:hanging="426"/>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plan effective data collection and monitoring of socio-economic impacts (by age, sex and medical need) to ensure effective and tailored policy measures that respond to the existing/future pandemics;</w:t>
            </w:r>
          </w:p>
          <w:p>
            <w:pPr>
              <w:pStyle w:val="ListParagraph"/>
              <w:numPr>
                <w:ilvl w:val="0"/>
                <w:numId w:val="4"/>
              </w:numPr>
              <w:spacing w:before="60" w:after="60" w:line="240" w:lineRule="auto"/>
              <w:ind w:left="426" w:right="-24" w:hanging="426"/>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take account of short-, medium- and long-term needs and involve those concerned in developing and implementing measures;</w:t>
            </w:r>
          </w:p>
          <w:p>
            <w:pPr>
              <w:pStyle w:val="ListParagraph"/>
              <w:numPr>
                <w:ilvl w:val="0"/>
                <w:numId w:val="4"/>
              </w:numPr>
              <w:spacing w:before="60" w:after="60" w:line="240" w:lineRule="auto"/>
              <w:ind w:left="426" w:right="-24" w:hanging="426"/>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support local authorities’ efforts to address the most immediate needs of Roma communities (e.g. access to shelter, including food and water, access to free health services and financial support for Roma families in precarious economic situations);</w:t>
            </w:r>
          </w:p>
          <w:p>
            <w:pPr>
              <w:pStyle w:val="ListParagraph"/>
              <w:numPr>
                <w:ilvl w:val="0"/>
                <w:numId w:val="4"/>
              </w:numPr>
              <w:spacing w:before="60" w:after="60" w:line="240" w:lineRule="auto"/>
              <w:ind w:left="426" w:right="-24" w:hanging="426"/>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prioritise efforts to tackle structural inequalities and Roma communities’ lack of access to basic services and infrastructure;</w:t>
            </w:r>
          </w:p>
          <w:p>
            <w:pPr>
              <w:pStyle w:val="ListParagraph"/>
              <w:numPr>
                <w:ilvl w:val="0"/>
                <w:numId w:val="4"/>
              </w:numPr>
              <w:spacing w:before="60" w:after="60" w:line="240" w:lineRule="auto"/>
              <w:ind w:left="426" w:right="-24" w:hanging="426"/>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ensure that measures and/or actions using EU and national funding reach out to and address the needs of the most marginalised and disadvantaged communities;</w:t>
            </w:r>
          </w:p>
          <w:p>
            <w:pPr>
              <w:pStyle w:val="ListParagraph"/>
              <w:numPr>
                <w:ilvl w:val="0"/>
                <w:numId w:val="4"/>
              </w:numPr>
              <w:spacing w:before="60" w:after="60" w:line="240" w:lineRule="auto"/>
              <w:ind w:left="426" w:right="-24" w:hanging="426"/>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promote access to safe and clean drinking water for Roma</w:t>
            </w:r>
            <w:r>
              <w:rPr>
                <w:rStyle w:val="FootnoteReference"/>
                <w:rFonts w:ascii="Times New Roman" w:hAnsi="Times New Roman"/>
                <w:noProof/>
                <w:sz w:val="22"/>
                <w:szCs w:val="22"/>
              </w:rPr>
              <w:footnoteReference w:id="4"/>
            </w:r>
            <w:r>
              <w:rPr>
                <w:rFonts w:ascii="Times New Roman" w:hAnsi="Times New Roman"/>
                <w:noProof/>
                <w:color w:val="000000" w:themeColor="text1"/>
                <w:sz w:val="22"/>
                <w:szCs w:val="22"/>
              </w:rPr>
              <w:t>;</w:t>
            </w:r>
          </w:p>
          <w:p>
            <w:pPr>
              <w:pStyle w:val="ListParagraph"/>
              <w:numPr>
                <w:ilvl w:val="0"/>
                <w:numId w:val="4"/>
              </w:numPr>
              <w:spacing w:before="60" w:after="60" w:line="240" w:lineRule="auto"/>
              <w:ind w:left="426" w:right="-24" w:hanging="426"/>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improve access to sanitation and ensure the continuity of basic utility services in the event of a pandemic;</w:t>
            </w:r>
          </w:p>
          <w:p>
            <w:pPr>
              <w:pStyle w:val="ListParagraph"/>
              <w:numPr>
                <w:ilvl w:val="0"/>
                <w:numId w:val="4"/>
              </w:numPr>
              <w:spacing w:before="60" w:after="60" w:line="240" w:lineRule="auto"/>
              <w:ind w:left="426" w:right="-24" w:hanging="426"/>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promote health literacy in the Roma population;</w:t>
            </w:r>
          </w:p>
          <w:p>
            <w:pPr>
              <w:pStyle w:val="ListParagraph"/>
              <w:numPr>
                <w:ilvl w:val="0"/>
                <w:numId w:val="4"/>
              </w:numPr>
              <w:spacing w:before="60" w:after="60" w:line="240" w:lineRule="auto"/>
              <w:ind w:left="426" w:right="-24" w:hanging="426"/>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promote the dissemination of accurate, clear and evidence-based information and awareness-raising campaigns as effective tools against discrimination and xenophobia;</w:t>
            </w:r>
          </w:p>
          <w:p>
            <w:pPr>
              <w:pStyle w:val="ListParagraph"/>
              <w:numPr>
                <w:ilvl w:val="0"/>
                <w:numId w:val="4"/>
              </w:numPr>
              <w:spacing w:before="60" w:after="60" w:line="240" w:lineRule="auto"/>
              <w:ind w:left="426" w:right="-24" w:hanging="426"/>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provide for regular monitoring of environmental conditions and risks specifically affecting disadvantaged Roma communities and take action to remedy hazardous or unhygienic conditions; and</w:t>
            </w:r>
          </w:p>
          <w:p>
            <w:pPr>
              <w:pStyle w:val="ListParagraph"/>
              <w:numPr>
                <w:ilvl w:val="0"/>
                <w:numId w:val="4"/>
              </w:numPr>
              <w:spacing w:before="60" w:after="60" w:line="240" w:lineRule="auto"/>
              <w:ind w:left="426" w:right="-24" w:hanging="426"/>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promote consistency between emergency and recovery measures, and mainstream initiatives such as the ‘green deal’, digitalisation, the European pillar of social rights, the Sustainable Development Goals, the European Semester and mainstream strategies, programmes and reforms.</w:t>
            </w:r>
          </w:p>
        </w:tc>
      </w:tr>
    </w:tbl>
    <w:p>
      <w:pPr>
        <w:rPr>
          <w:noProof/>
        </w:rPr>
      </w:pPr>
      <w:r>
        <w:rPr>
          <w:noProof/>
        </w:rPr>
        <w:br w:type="page"/>
      </w:r>
    </w:p>
    <w:tbl>
      <w:tblPr>
        <w:tblStyle w:val="TableGrid"/>
        <w:tblW w:w="9322" w:type="dxa"/>
        <w:tblLayout w:type="fixed"/>
        <w:tblLook w:val="04A0" w:firstRow="1" w:lastRow="0" w:firstColumn="1" w:lastColumn="0" w:noHBand="0" w:noVBand="1"/>
      </w:tblPr>
      <w:tblGrid>
        <w:gridCol w:w="9322"/>
      </w:tblGrid>
      <w:tr>
        <w:trPr>
          <w:trHeight w:val="6511"/>
        </w:trPr>
        <w:tc>
          <w:tcPr>
            <w:tcW w:w="9322" w:type="dxa"/>
          </w:tcPr>
          <w:p>
            <w:pPr>
              <w:spacing w:before="60" w:after="60"/>
              <w:ind w:right="-24"/>
              <w:jc w:val="center"/>
              <w:rPr>
                <w:rFonts w:ascii="Times New Roman" w:hAnsi="Times New Roman" w:cs="Times New Roman"/>
                <w:b/>
                <w:smallCaps/>
                <w:noProof/>
                <w:color w:val="0070C0"/>
              </w:rPr>
            </w:pPr>
            <w:r>
              <w:rPr>
                <w:rFonts w:ascii="Times New Roman" w:hAnsi="Times New Roman" w:cs="Times New Roman"/>
                <w:b/>
                <w:smallCaps/>
                <w:noProof/>
                <w:color w:val="0070C0"/>
              </w:rPr>
              <w:t>Ensuring digital inclusion</w:t>
            </w:r>
          </w:p>
          <w:p>
            <w:pPr>
              <w:spacing w:before="60" w:after="60"/>
              <w:ind w:right="-24"/>
              <w:jc w:val="both"/>
              <w:rPr>
                <w:rFonts w:ascii="Times New Roman" w:hAnsi="Times New Roman" w:cs="Times New Roman"/>
                <w:noProof/>
              </w:rPr>
            </w:pPr>
            <w:r>
              <w:rPr>
                <w:rFonts w:ascii="Times New Roman" w:hAnsi="Times New Roman" w:cs="Times New Roman"/>
                <w:noProof/>
              </w:rPr>
              <w:t xml:space="preserve">As the coronavirus pandemic forced schools, campuses and offices to close, everyone turned to the internet for a lifeline. The mass shift to online education and telemedicine, etc. assumed that everyone had internet access. However, the crisis revealed startling </w:t>
            </w:r>
            <w:hyperlink r:id="rId16" w:history="1">
              <w:r>
                <w:rPr>
                  <w:rStyle w:val="Hyperlink"/>
                  <w:rFonts w:ascii="Times New Roman" w:hAnsi="Times New Roman" w:cs="Times New Roman"/>
                  <w:noProof/>
                </w:rPr>
                <w:t>global disparities</w:t>
              </w:r>
            </w:hyperlink>
            <w:r>
              <w:rPr>
                <w:rFonts w:ascii="Times New Roman" w:hAnsi="Times New Roman" w:cs="Times New Roman"/>
                <w:noProof/>
              </w:rPr>
              <w:t xml:space="preserve"> in online and distance learning. Roma are often located in rural areas, areas that are still in behind when it comes to access to high speed broadband infrastructures. For marginalised Roma with little or no access to IT equipment or digital literacy, its impacts brought to light deep-seated structural inequalities, translating into risks of Roma children underperforming and lagging behind in their school work and adults being deprived of real</w:t>
            </w:r>
            <w:r>
              <w:rPr>
                <w:rFonts w:ascii="Times New Roman" w:hAnsi="Times New Roman" w:cs="Times New Roman"/>
                <w:noProof/>
              </w:rPr>
              <w:noBreakHyphen/>
              <w:t>time information and job opportunities. Underlying challenges linked to inequality, discrimination and exclusion in the digital age must be tackled, to ensure that no</w:t>
            </w:r>
            <w:r>
              <w:rPr>
                <w:rFonts w:ascii="Times New Roman" w:hAnsi="Times New Roman" w:cs="Times New Roman"/>
                <w:noProof/>
              </w:rPr>
              <w:noBreakHyphen/>
              <w:t>one is left behind. The successful deployment of digital technologies and Europe’s resilience and social fairness depend on people having access to the necessary infrastructure, equipment and digital skills.</w:t>
            </w:r>
          </w:p>
          <w:p>
            <w:pPr>
              <w:spacing w:before="60" w:after="60"/>
              <w:ind w:right="-24"/>
              <w:rPr>
                <w:rFonts w:ascii="Times New Roman" w:hAnsi="Times New Roman"/>
                <w:b/>
                <w:noProof/>
              </w:rPr>
            </w:pPr>
            <w:r>
              <w:rPr>
                <w:rFonts w:ascii="Times New Roman" w:hAnsi="Times New Roman" w:cs="Times New Roman"/>
                <w:b/>
                <w:noProof/>
              </w:rPr>
              <w:t>National Roma strategic frameworks should:</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tackle the digital exclusion of Roma by providing access to digital technologies, in particular access to and support for online and distance learning if education and training institutions close, as during the coronavirus pandemic;</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encourage synergies with other policy initiatives (especially those concerned with online public, e</w:t>
            </w:r>
            <w:r>
              <w:rPr>
                <w:rFonts w:ascii="Times New Roman" w:hAnsi="Times New Roman"/>
                <w:noProof/>
                <w:sz w:val="22"/>
                <w:szCs w:val="22"/>
              </w:rPr>
              <w:noBreakHyphen/>
              <w:t>government and commercial services), so as to improve the usability of public services and promote inclusive e</w:t>
            </w:r>
            <w:r>
              <w:rPr>
                <w:rFonts w:ascii="Times New Roman" w:hAnsi="Times New Roman"/>
                <w:noProof/>
                <w:sz w:val="22"/>
                <w:szCs w:val="22"/>
              </w:rPr>
              <w:noBreakHyphen/>
              <w:t>government, with specific measures to deliver public services to and connect Roma with a special attention to rural areas;</w:t>
            </w:r>
          </w:p>
          <w:p>
            <w:pPr>
              <w:pStyle w:val="ListParagraph"/>
              <w:numPr>
                <w:ilvl w:val="0"/>
                <w:numId w:val="1"/>
              </w:numPr>
              <w:spacing w:before="60" w:after="60" w:line="276" w:lineRule="auto"/>
              <w:ind w:right="-24"/>
              <w:contextualSpacing w:val="0"/>
              <w:rPr>
                <w:noProof/>
                <w:sz w:val="22"/>
                <w:szCs w:val="22"/>
              </w:rPr>
            </w:pPr>
            <w:r>
              <w:rPr>
                <w:rFonts w:ascii="Times New Roman" w:hAnsi="Times New Roman"/>
                <w:noProof/>
                <w:sz w:val="22"/>
                <w:szCs w:val="22"/>
              </w:rPr>
              <w:t>boost digital skills and competences</w:t>
            </w:r>
            <w:r>
              <w:rPr>
                <w:rStyle w:val="FootnoteReference"/>
                <w:rFonts w:ascii="Times New Roman" w:hAnsi="Times New Roman"/>
                <w:noProof/>
                <w:sz w:val="22"/>
                <w:szCs w:val="22"/>
              </w:rPr>
              <w:footnoteReference w:id="5"/>
            </w:r>
            <w:r>
              <w:rPr>
                <w:rFonts w:ascii="Times New Roman" w:hAnsi="Times New Roman"/>
                <w:noProof/>
                <w:sz w:val="22"/>
                <w:szCs w:val="22"/>
              </w:rPr>
              <w:t xml:space="preserve"> among Roma by: </w:t>
            </w:r>
          </w:p>
          <w:p>
            <w:pPr>
              <w:spacing w:before="60" w:after="60"/>
              <w:ind w:left="851" w:right="-23" w:hanging="284"/>
              <w:jc w:val="both"/>
              <w:rPr>
                <w:rFonts w:ascii="Times New Roman" w:hAnsi="Times New Roman"/>
                <w:noProof/>
              </w:rPr>
            </w:pPr>
            <w:r>
              <w:rPr>
                <w:rFonts w:ascii="Times New Roman" w:hAnsi="Times New Roman"/>
                <w:noProof/>
              </w:rPr>
              <w:t xml:space="preserve">1) </w:t>
            </w:r>
            <w:r>
              <w:rPr>
                <w:rFonts w:ascii="Times New Roman" w:hAnsi="Times New Roman"/>
                <w:noProof/>
              </w:rPr>
              <w:tab/>
              <w:t>improving access to digital equipment and network connections (e.g. public internet access points in deprived areas);</w:t>
            </w:r>
          </w:p>
          <w:p>
            <w:pPr>
              <w:spacing w:before="60" w:after="60"/>
              <w:ind w:left="851" w:right="-23" w:hanging="284"/>
              <w:jc w:val="both"/>
              <w:rPr>
                <w:rFonts w:ascii="Times New Roman" w:hAnsi="Times New Roman"/>
                <w:noProof/>
              </w:rPr>
            </w:pPr>
            <w:r>
              <w:rPr>
                <w:rFonts w:ascii="Times New Roman" w:hAnsi="Times New Roman"/>
                <w:noProof/>
              </w:rPr>
              <w:t xml:space="preserve">2) </w:t>
            </w:r>
            <w:r>
              <w:rPr>
                <w:rFonts w:ascii="Times New Roman" w:hAnsi="Times New Roman"/>
                <w:noProof/>
              </w:rPr>
              <w:tab/>
              <w:t xml:space="preserve">promoting basic digital skills and competences in a lifelong learning perspective and offering respective training; </w:t>
            </w:r>
          </w:p>
          <w:p>
            <w:pPr>
              <w:spacing w:before="60" w:after="60"/>
              <w:ind w:left="851" w:right="-23" w:hanging="284"/>
              <w:jc w:val="both"/>
              <w:rPr>
                <w:rFonts w:ascii="Times New Roman" w:hAnsi="Times New Roman"/>
                <w:noProof/>
              </w:rPr>
            </w:pPr>
            <w:r>
              <w:rPr>
                <w:rFonts w:ascii="Times New Roman" w:hAnsi="Times New Roman"/>
                <w:noProof/>
              </w:rPr>
              <w:t xml:space="preserve">3) </w:t>
            </w:r>
            <w:r>
              <w:rPr>
                <w:rFonts w:ascii="Times New Roman" w:hAnsi="Times New Roman"/>
                <w:noProof/>
              </w:rPr>
              <w:tab/>
              <w:t xml:space="preserve">improving Roma’s quality of use and participation in the information society; and </w:t>
            </w:r>
          </w:p>
          <w:p>
            <w:pPr>
              <w:spacing w:before="60" w:after="60"/>
              <w:ind w:left="851" w:right="-23" w:hanging="284"/>
              <w:jc w:val="both"/>
              <w:rPr>
                <w:rFonts w:ascii="Times New Roman" w:hAnsi="Times New Roman"/>
                <w:noProof/>
              </w:rPr>
            </w:pPr>
            <w:r>
              <w:rPr>
                <w:rFonts w:ascii="Times New Roman" w:hAnsi="Times New Roman"/>
                <w:noProof/>
              </w:rPr>
              <w:t xml:space="preserve">4) </w:t>
            </w:r>
            <w:r>
              <w:rPr>
                <w:rFonts w:ascii="Times New Roman" w:hAnsi="Times New Roman"/>
                <w:noProof/>
              </w:rPr>
              <w:tab/>
              <w:t>promoting the reporting of online discriminatory practices in access to and the use of services;</w:t>
            </w:r>
          </w:p>
          <w:p>
            <w:pPr>
              <w:spacing w:before="60" w:after="60"/>
              <w:ind w:left="851" w:right="-23" w:hanging="284"/>
              <w:jc w:val="both"/>
              <w:rPr>
                <w:rFonts w:ascii="Times New Roman" w:hAnsi="Times New Roman"/>
                <w:noProof/>
              </w:rPr>
            </w:pPr>
            <w:r>
              <w:rPr>
                <w:rFonts w:ascii="Times New Roman" w:hAnsi="Times New Roman"/>
                <w:noProof/>
              </w:rPr>
              <w:t xml:space="preserve">5) </w:t>
            </w:r>
            <w:r>
              <w:rPr>
                <w:rFonts w:ascii="Times New Roman" w:hAnsi="Times New Roman" w:cs="Times New Roman"/>
                <w:noProof/>
              </w:rPr>
              <w:t>embedding</w:t>
            </w:r>
            <w:r>
              <w:rPr>
                <w:rFonts w:ascii="Times New Roman" w:hAnsi="Times New Roman"/>
                <w:noProof/>
              </w:rPr>
              <w:t xml:space="preserve"> digital literacy initiatives in local socio-economic contexts, adapting them to the specific needs and conditions of Roma communities;</w:t>
            </w:r>
          </w:p>
          <w:p>
            <w:pPr>
              <w:spacing w:before="60" w:after="60"/>
              <w:ind w:left="851" w:right="-23" w:hanging="284"/>
              <w:jc w:val="both"/>
              <w:rPr>
                <w:rFonts w:ascii="Times New Roman" w:hAnsi="Times New Roman"/>
                <w:noProof/>
              </w:rPr>
            </w:pPr>
            <w:r>
              <w:rPr>
                <w:rFonts w:ascii="Times New Roman" w:hAnsi="Times New Roman"/>
                <w:noProof/>
              </w:rPr>
              <w:t>6) encouraging and supporting digital literacy</w:t>
            </w:r>
            <w:r>
              <w:rPr>
                <w:rStyle w:val="FootnoteReference"/>
                <w:rFonts w:ascii="Times New Roman" w:hAnsi="Times New Roman"/>
                <w:noProof/>
              </w:rPr>
              <w:footnoteReference w:id="6"/>
            </w:r>
            <w:r>
              <w:rPr>
                <w:rFonts w:ascii="Times New Roman" w:hAnsi="Times New Roman"/>
                <w:noProof/>
              </w:rPr>
              <w:t xml:space="preserve"> initiatives that:</w:t>
            </w:r>
          </w:p>
          <w:p>
            <w:pPr>
              <w:pStyle w:val="ListParagraph"/>
              <w:numPr>
                <w:ilvl w:val="0"/>
                <w:numId w:val="7"/>
              </w:numPr>
              <w:spacing w:before="60" w:after="60" w:line="240" w:lineRule="auto"/>
              <w:ind w:left="851" w:right="-23" w:hanging="284"/>
              <w:contextualSpacing w:val="0"/>
              <w:rPr>
                <w:rFonts w:ascii="Times New Roman" w:hAnsi="Times New Roman"/>
                <w:noProof/>
                <w:sz w:val="22"/>
                <w:szCs w:val="22"/>
              </w:rPr>
            </w:pPr>
            <w:r>
              <w:rPr>
                <w:rFonts w:ascii="Times New Roman" w:hAnsi="Times New Roman"/>
                <w:noProof/>
                <w:sz w:val="22"/>
                <w:szCs w:val="22"/>
              </w:rPr>
              <w:t xml:space="preserve">stimulate motivation and awareness as regards using the internet; </w:t>
            </w:r>
          </w:p>
          <w:p>
            <w:pPr>
              <w:pStyle w:val="ListParagraph"/>
              <w:numPr>
                <w:ilvl w:val="0"/>
                <w:numId w:val="7"/>
              </w:numPr>
              <w:spacing w:before="60" w:after="60" w:line="240" w:lineRule="auto"/>
              <w:ind w:left="851" w:right="-23" w:hanging="284"/>
              <w:contextualSpacing w:val="0"/>
              <w:rPr>
                <w:rFonts w:ascii="Times New Roman" w:hAnsi="Times New Roman"/>
                <w:noProof/>
                <w:sz w:val="22"/>
                <w:szCs w:val="22"/>
              </w:rPr>
            </w:pPr>
            <w:r>
              <w:rPr>
                <w:rFonts w:ascii="Times New Roman" w:hAnsi="Times New Roman"/>
                <w:noProof/>
                <w:sz w:val="22"/>
                <w:szCs w:val="22"/>
              </w:rPr>
              <w:t xml:space="preserve">are affordable and sustainable; </w:t>
            </w:r>
          </w:p>
          <w:p>
            <w:pPr>
              <w:pStyle w:val="ListParagraph"/>
              <w:numPr>
                <w:ilvl w:val="0"/>
                <w:numId w:val="7"/>
              </w:numPr>
              <w:spacing w:before="60" w:after="60" w:line="240" w:lineRule="auto"/>
              <w:ind w:left="851" w:right="-23" w:hanging="284"/>
              <w:contextualSpacing w:val="0"/>
              <w:rPr>
                <w:rFonts w:ascii="Times New Roman" w:hAnsi="Times New Roman"/>
                <w:noProof/>
                <w:sz w:val="22"/>
                <w:szCs w:val="22"/>
              </w:rPr>
            </w:pPr>
            <w:r>
              <w:rPr>
                <w:rFonts w:ascii="Times New Roman" w:hAnsi="Times New Roman"/>
                <w:noProof/>
                <w:sz w:val="22"/>
                <w:szCs w:val="22"/>
              </w:rPr>
              <w:t xml:space="preserve">feature content and delivery modes adapted to Roma (new teaching methods, informal learning, etc.); and </w:t>
            </w:r>
          </w:p>
          <w:p>
            <w:pPr>
              <w:pStyle w:val="ListParagraph"/>
              <w:numPr>
                <w:ilvl w:val="0"/>
                <w:numId w:val="7"/>
              </w:numPr>
              <w:spacing w:before="60" w:after="60" w:line="240" w:lineRule="auto"/>
              <w:ind w:left="851" w:right="-23" w:hanging="284"/>
              <w:contextualSpacing w:val="0"/>
              <w:rPr>
                <w:rFonts w:ascii="Times New Roman" w:hAnsi="Times New Roman"/>
                <w:noProof/>
                <w:sz w:val="22"/>
                <w:szCs w:val="22"/>
              </w:rPr>
            </w:pPr>
            <w:r>
              <w:rPr>
                <w:rFonts w:ascii="Times New Roman" w:hAnsi="Times New Roman"/>
                <w:noProof/>
                <w:sz w:val="22"/>
                <w:szCs w:val="22"/>
              </w:rPr>
              <w:t xml:space="preserve">are accessible and usable; </w:t>
            </w:r>
          </w:p>
          <w:p>
            <w:pPr>
              <w:pStyle w:val="ListParagraph"/>
              <w:numPr>
                <w:ilvl w:val="0"/>
                <w:numId w:val="1"/>
              </w:numPr>
              <w:spacing w:before="60" w:after="60" w:line="240" w:lineRule="auto"/>
              <w:ind w:right="-24"/>
              <w:contextualSpacing w:val="0"/>
              <w:rPr>
                <w:rFonts w:ascii="Times New Roman" w:hAnsi="Times New Roman"/>
                <w:noProof/>
                <w:sz w:val="22"/>
                <w:szCs w:val="22"/>
              </w:rPr>
            </w:pPr>
            <w:r>
              <w:rPr>
                <w:rFonts w:ascii="Times New Roman" w:hAnsi="Times New Roman"/>
                <w:noProof/>
                <w:sz w:val="22"/>
                <w:szCs w:val="22"/>
              </w:rPr>
              <w:t>encourage the use of digital solutions for healthcare, for both patients and healthcare professionals, in order to ensure continuity of care and safe means of treatment; and</w:t>
            </w:r>
          </w:p>
          <w:p>
            <w:pPr>
              <w:pStyle w:val="ListParagraph"/>
              <w:numPr>
                <w:ilvl w:val="0"/>
                <w:numId w:val="1"/>
              </w:numPr>
              <w:spacing w:before="60" w:after="60" w:line="240" w:lineRule="auto"/>
              <w:ind w:right="-24"/>
              <w:contextualSpacing w:val="0"/>
              <w:rPr>
                <w:noProof/>
                <w:sz w:val="22"/>
                <w:szCs w:val="22"/>
              </w:rPr>
            </w:pPr>
            <w:r>
              <w:rPr>
                <w:rFonts w:ascii="Times New Roman" w:hAnsi="Times New Roman"/>
                <w:noProof/>
                <w:sz w:val="22"/>
                <w:szCs w:val="22"/>
              </w:rPr>
              <w:t>revisit strategic frameworks for digital inclusion to assess barriers experienced by Roma.</w:t>
            </w:r>
          </w:p>
        </w:tc>
      </w:tr>
    </w:tbl>
    <w:p>
      <w:pPr>
        <w:rPr>
          <w:noProof/>
        </w:rPr>
      </w:pPr>
      <w:r>
        <w:rPr>
          <w:noProof/>
        </w:rPr>
        <w:br w:type="page"/>
      </w:r>
    </w:p>
    <w:tbl>
      <w:tblPr>
        <w:tblStyle w:val="TableGrid"/>
        <w:tblW w:w="9322" w:type="dxa"/>
        <w:tblLayout w:type="fixed"/>
        <w:tblLook w:val="04A0" w:firstRow="1" w:lastRow="0" w:firstColumn="1" w:lastColumn="0" w:noHBand="0" w:noVBand="1"/>
      </w:tblPr>
      <w:tblGrid>
        <w:gridCol w:w="9322"/>
      </w:tblGrid>
      <w:tr>
        <w:trPr>
          <w:trHeight w:val="416"/>
        </w:trPr>
        <w:tc>
          <w:tcPr>
            <w:tcW w:w="9322" w:type="dxa"/>
          </w:tcPr>
          <w:p>
            <w:pPr>
              <w:spacing w:before="60" w:after="60"/>
              <w:ind w:right="-24"/>
              <w:jc w:val="center"/>
              <w:rPr>
                <w:rFonts w:ascii="Times New Roman" w:hAnsi="Times New Roman" w:cs="Times New Roman"/>
                <w:b/>
                <w:smallCaps/>
                <w:noProof/>
                <w:color w:val="0070C0"/>
              </w:rPr>
            </w:pPr>
            <w:r>
              <w:rPr>
                <w:rFonts w:ascii="Times New Roman" w:hAnsi="Times New Roman" w:cs="Times New Roman"/>
                <w:b/>
                <w:smallCaps/>
                <w:noProof/>
                <w:color w:val="0070C0"/>
              </w:rPr>
              <w:t>Delivering environmental justice</w:t>
            </w:r>
          </w:p>
          <w:p>
            <w:pPr>
              <w:spacing w:before="60" w:after="60"/>
              <w:ind w:right="-24"/>
              <w:jc w:val="both"/>
              <w:rPr>
                <w:rFonts w:ascii="Times New Roman" w:hAnsi="Times New Roman" w:cs="Times New Roman"/>
                <w:noProof/>
              </w:rPr>
            </w:pPr>
            <w:r>
              <w:rPr>
                <w:rFonts w:ascii="Times New Roman" w:hAnsi="Times New Roman" w:cs="Times New Roman"/>
                <w:noProof/>
              </w:rPr>
              <w:t>The environmental discrimination</w:t>
            </w:r>
            <w:r>
              <w:rPr>
                <w:rStyle w:val="FootnoteReference"/>
                <w:rFonts w:ascii="Times New Roman" w:hAnsi="Times New Roman" w:cs="Times New Roman"/>
                <w:smallCaps/>
                <w:noProof/>
                <w:color w:val="0070C0"/>
              </w:rPr>
              <w:footnoteReference w:id="7"/>
            </w:r>
            <w:r>
              <w:rPr>
                <w:rFonts w:ascii="Times New Roman" w:hAnsi="Times New Roman" w:cs="Times New Roman"/>
                <w:noProof/>
              </w:rPr>
              <w:t xml:space="preserve"> faced by numerous Roma communities is coming to public attention. This long</w:t>
            </w:r>
            <w:r>
              <w:rPr>
                <w:rFonts w:ascii="Times New Roman" w:hAnsi="Times New Roman" w:cs="Times New Roman"/>
                <w:noProof/>
              </w:rPr>
              <w:noBreakHyphen/>
              <w:t xml:space="preserve">neglected reality has revealed its disproportionate effects during the coronavirus pandemic, which saw marginalised communities more vulnerable to contamination and other associated health issues. Health risks are compounded by inadequate living conditions and segregation, pushing Roma even further into socio-economic exclusion. </w:t>
            </w:r>
          </w:p>
          <w:p>
            <w:pPr>
              <w:spacing w:before="60" w:after="60"/>
              <w:ind w:right="-24"/>
              <w:rPr>
                <w:rFonts w:ascii="Times New Roman" w:hAnsi="Times New Roman"/>
                <w:b/>
                <w:noProof/>
                <w:color w:val="000000" w:themeColor="text1"/>
              </w:rPr>
            </w:pPr>
            <w:r>
              <w:rPr>
                <w:rFonts w:ascii="Times New Roman" w:hAnsi="Times New Roman" w:cs="Times New Roman"/>
                <w:b/>
                <w:noProof/>
                <w:color w:val="000000" w:themeColor="text1"/>
              </w:rPr>
              <w:t>National Roma strategic frameworks should:</w:t>
            </w:r>
          </w:p>
          <w:p>
            <w:pPr>
              <w:pStyle w:val="ListParagraph"/>
              <w:numPr>
                <w:ilvl w:val="0"/>
                <w:numId w:val="3"/>
              </w:numPr>
              <w:spacing w:before="60" w:after="60" w:line="240" w:lineRule="auto"/>
              <w:ind w:right="-24"/>
              <w:contextualSpacing w:val="0"/>
              <w:rPr>
                <w:rFonts w:ascii="Times New Roman" w:hAnsi="Times New Roman"/>
                <w:b/>
                <w:smallCaps/>
                <w:noProof/>
                <w:color w:val="000000" w:themeColor="text1"/>
                <w:sz w:val="22"/>
                <w:szCs w:val="22"/>
              </w:rPr>
            </w:pPr>
            <w:r>
              <w:rPr>
                <w:rFonts w:ascii="Times New Roman" w:hAnsi="Times New Roman"/>
                <w:noProof/>
                <w:color w:val="000000" w:themeColor="text1"/>
                <w:sz w:val="22"/>
                <w:szCs w:val="22"/>
              </w:rPr>
              <w:t>recognise and tackle environmental discrimination, in particular as it affects marginalised Roma communities in segregated areas (as a manifestation of antigypsyism); promote understanding of how environmental discrimination and a lack of environmental services force marginalised Roma to live in environmentally degraded areas;</w:t>
            </w:r>
          </w:p>
          <w:p>
            <w:pPr>
              <w:pStyle w:val="ListParagraph"/>
              <w:numPr>
                <w:ilvl w:val="0"/>
                <w:numId w:val="3"/>
              </w:numPr>
              <w:spacing w:before="60" w:after="60" w:line="240" w:lineRule="auto"/>
              <w:ind w:right="-24"/>
              <w:contextualSpacing w:val="0"/>
              <w:rPr>
                <w:rFonts w:ascii="Times New Roman" w:hAnsi="Times New Roman"/>
                <w:b/>
                <w:smallCaps/>
                <w:noProof/>
                <w:color w:val="000000" w:themeColor="text1"/>
                <w:sz w:val="22"/>
                <w:szCs w:val="22"/>
              </w:rPr>
            </w:pPr>
            <w:r>
              <w:rPr>
                <w:rFonts w:ascii="Times New Roman" w:hAnsi="Times New Roman"/>
                <w:noProof/>
                <w:color w:val="000000" w:themeColor="text1"/>
                <w:sz w:val="22"/>
                <w:szCs w:val="22"/>
              </w:rPr>
              <w:t>focus on access to water, adequate sanitation, waste collection and management services, and fight persisting spatial segregation as a cause of environmental discrimination in the field of housing and essential services;</w:t>
            </w:r>
          </w:p>
          <w:p>
            <w:pPr>
              <w:pStyle w:val="ListParagraph"/>
              <w:numPr>
                <w:ilvl w:val="0"/>
                <w:numId w:val="3"/>
              </w:numPr>
              <w:spacing w:before="60" w:after="60" w:line="240" w:lineRule="auto"/>
              <w:ind w:right="-24"/>
              <w:contextualSpacing w:val="0"/>
              <w:rPr>
                <w:rFonts w:ascii="Times New Roman" w:hAnsi="Times New Roman"/>
                <w:b/>
                <w:smallCaps/>
                <w:noProof/>
                <w:color w:val="000000" w:themeColor="text1"/>
                <w:sz w:val="22"/>
                <w:szCs w:val="22"/>
              </w:rPr>
            </w:pPr>
            <w:r>
              <w:rPr>
                <w:rFonts w:ascii="Times New Roman" w:hAnsi="Times New Roman"/>
                <w:noProof/>
                <w:color w:val="000000" w:themeColor="text1"/>
                <w:sz w:val="22"/>
                <w:szCs w:val="22"/>
              </w:rPr>
              <w:t>tackle insufficient access of Roma to green living areas with recreational value;</w:t>
            </w:r>
          </w:p>
          <w:p>
            <w:pPr>
              <w:pStyle w:val="ListParagraph"/>
              <w:numPr>
                <w:ilvl w:val="0"/>
                <w:numId w:val="3"/>
              </w:numPr>
              <w:spacing w:before="60" w:after="60" w:line="240" w:lineRule="auto"/>
              <w:ind w:right="-24"/>
              <w:contextualSpacing w:val="0"/>
              <w:rPr>
                <w:rFonts w:ascii="Times New Roman" w:hAnsi="Times New Roman"/>
                <w:b/>
                <w:smallCaps/>
                <w:noProof/>
                <w:color w:val="000000" w:themeColor="text1"/>
                <w:sz w:val="22"/>
                <w:szCs w:val="22"/>
              </w:rPr>
            </w:pPr>
            <w:r>
              <w:rPr>
                <w:rFonts w:ascii="Times New Roman" w:hAnsi="Times New Roman"/>
                <w:noProof/>
                <w:color w:val="000000" w:themeColor="text1"/>
                <w:sz w:val="22"/>
                <w:szCs w:val="22"/>
              </w:rPr>
              <w:t>prevent environmental health risks and tackle the health impact of exposure to pollution and contamination; and</w:t>
            </w:r>
          </w:p>
          <w:p>
            <w:pPr>
              <w:pStyle w:val="ListParagraph"/>
              <w:numPr>
                <w:ilvl w:val="0"/>
                <w:numId w:val="3"/>
              </w:numPr>
              <w:spacing w:before="60" w:after="60" w:line="240" w:lineRule="auto"/>
              <w:ind w:right="-24"/>
              <w:contextualSpacing w:val="0"/>
              <w:rPr>
                <w:rFonts w:ascii="Times New Roman" w:hAnsi="Times New Roman"/>
                <w:b/>
                <w:smallCaps/>
                <w:noProof/>
                <w:color w:val="000000" w:themeColor="text1"/>
                <w:sz w:val="21"/>
                <w:szCs w:val="21"/>
              </w:rPr>
            </w:pPr>
            <w:r>
              <w:rPr>
                <w:rFonts w:ascii="Times New Roman" w:hAnsi="Times New Roman"/>
                <w:noProof/>
                <w:color w:val="000000" w:themeColor="text1"/>
                <w:sz w:val="22"/>
                <w:szCs w:val="22"/>
              </w:rPr>
              <w:t>ensure occupational health and safety for those working in less favourable environmental conditions.</w:t>
            </w:r>
          </w:p>
        </w:tc>
      </w:tr>
    </w:tbl>
    <w:p>
      <w:pPr>
        <w:rPr>
          <w:noProof/>
        </w:rPr>
      </w:pPr>
      <w:r>
        <w:rPr>
          <w:noProof/>
        </w:rPr>
        <w:br w:type="page"/>
      </w:r>
    </w:p>
    <w:tbl>
      <w:tblPr>
        <w:tblStyle w:val="TableGrid"/>
        <w:tblW w:w="9322" w:type="dxa"/>
        <w:tblLayout w:type="fixed"/>
        <w:tblLook w:val="04A0" w:firstRow="1" w:lastRow="0" w:firstColumn="1" w:lastColumn="0" w:noHBand="0" w:noVBand="1"/>
      </w:tblPr>
      <w:tblGrid>
        <w:gridCol w:w="9322"/>
      </w:tblGrid>
      <w:tr>
        <w:trPr>
          <w:trHeight w:val="691"/>
        </w:trPr>
        <w:tc>
          <w:tcPr>
            <w:tcW w:w="9322" w:type="dxa"/>
          </w:tcPr>
          <w:p>
            <w:pPr>
              <w:spacing w:before="60" w:after="60"/>
              <w:ind w:right="-24"/>
              <w:jc w:val="center"/>
              <w:rPr>
                <w:rFonts w:ascii="Times New Roman" w:hAnsi="Times New Roman" w:cs="Times New Roman"/>
                <w:b/>
                <w:smallCaps/>
                <w:noProof/>
                <w:color w:val="0070C0"/>
              </w:rPr>
            </w:pPr>
            <w:r>
              <w:rPr>
                <w:rFonts w:ascii="Times New Roman" w:hAnsi="Times New Roman" w:cs="Times New Roman"/>
                <w:b/>
                <w:smallCaps/>
                <w:noProof/>
                <w:color w:val="0070C0"/>
              </w:rPr>
              <w:t>Promoting (awareness of) Roma arts, history and culture</w:t>
            </w:r>
          </w:p>
          <w:p>
            <w:pPr>
              <w:keepNext/>
              <w:keepLines/>
              <w:shd w:val="clear" w:color="auto" w:fill="FFFFFF" w:themeFill="background1"/>
              <w:spacing w:before="60" w:after="60"/>
              <w:ind w:right="-24"/>
              <w:jc w:val="both"/>
              <w:rPr>
                <w:rFonts w:ascii="Times New Roman" w:hAnsi="Times New Roman" w:cs="Times New Roman"/>
                <w:noProof/>
              </w:rPr>
            </w:pPr>
            <w:r>
              <w:rPr>
                <w:rFonts w:ascii="Times New Roman" w:hAnsi="Times New Roman" w:cs="Times New Roman"/>
                <w:noProof/>
              </w:rPr>
              <w:t xml:space="preserve">Roma art, history and culture are integral features of our European and national landscapes. However, over centuries, portrayals of Roma culture and identity have been romanticised and stereotyped, and this has exacerbated the alienation of Roma communities from mainstream societies. Cultural recognition should be built through Roma narratives. </w:t>
            </w:r>
          </w:p>
          <w:p>
            <w:pPr>
              <w:keepNext/>
              <w:keepLines/>
              <w:shd w:val="clear" w:color="auto" w:fill="FFFFFF" w:themeFill="background1"/>
              <w:spacing w:before="60" w:after="60"/>
              <w:ind w:right="-24"/>
              <w:jc w:val="both"/>
              <w:rPr>
                <w:rFonts w:ascii="Times New Roman" w:hAnsi="Times New Roman" w:cs="Times New Roman"/>
                <w:noProof/>
              </w:rPr>
            </w:pPr>
            <w:r>
              <w:rPr>
                <w:rFonts w:ascii="Times New Roman" w:hAnsi="Times New Roman" w:cs="Times New Roman"/>
                <w:b/>
                <w:noProof/>
              </w:rPr>
              <w:t>National Roma strategic frameworks should:</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recognise and raise awareness and Roma ownership of the contribution of Roma art and culture to national and European heritage;</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support platforms to facilitate contacts between Roma and non-Roma at local level through the promotion of traditional and modern Roma arts, crafts and culture, and knowledge about Roma history;</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promote awareness-raising activities in cooperation with media operators in support of a self</w:t>
            </w:r>
            <w:r>
              <w:rPr>
                <w:rFonts w:ascii="Times New Roman" w:hAnsi="Times New Roman"/>
                <w:noProof/>
                <w:color w:val="000000" w:themeColor="text1"/>
                <w:sz w:val="22"/>
                <w:szCs w:val="22"/>
              </w:rPr>
              <w:noBreakHyphen/>
              <w:t xml:space="preserve">constructed Roma identity and cultural heritage; </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combat anti</w:t>
            </w:r>
            <w:r>
              <w:rPr>
                <w:rFonts w:ascii="Times New Roman" w:hAnsi="Times New Roman"/>
                <w:noProof/>
                <w:color w:val="000000" w:themeColor="text1"/>
                <w:sz w:val="22"/>
                <w:szCs w:val="22"/>
              </w:rPr>
              <w:noBreakHyphen/>
              <w:t xml:space="preserve">Roma prejudice and stereotypes; </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designate and commemorate 2 August as European Roma Holocaust Memorial Day, to commemorate the victims of the Roma genocide in World War II;</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promote an integrated approach to Holocaust commemoration, by remembering the fate of the Roma on International Holocaust Memorial Day (27 January, the day on which the Auschwitz-Birkenau concentration camp was liberated);</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integrate Roma communities in national cultural narratives, by including Roma arts, history and culture in collections in national archives, museums and permanent art exhibitions; allocate appropriate resources to preserving, conserving and developing Roma arts and culture, including through the promotion of festivals;</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include the Romani language and Roma history in school curricula and textbooks for both Roma and non-Roma students; promote multicultural awareness</w:t>
            </w:r>
            <w:r>
              <w:rPr>
                <w:rFonts w:ascii="Times New Roman" w:hAnsi="Times New Roman"/>
                <w:noProof/>
                <w:color w:val="000000" w:themeColor="text1"/>
                <w:sz w:val="22"/>
                <w:szCs w:val="22"/>
              </w:rPr>
              <w:noBreakHyphen/>
              <w:t>raising activities and campaigns in schools; and</w:t>
            </w:r>
          </w:p>
          <w:p>
            <w:pPr>
              <w:pStyle w:val="ListParagraph"/>
              <w:numPr>
                <w:ilvl w:val="0"/>
                <w:numId w:val="1"/>
              </w:numPr>
              <w:spacing w:before="60" w:after="60" w:line="240" w:lineRule="auto"/>
              <w:ind w:right="-24"/>
              <w:contextualSpacing w:val="0"/>
              <w:rPr>
                <w:rFonts w:ascii="Times New Roman" w:hAnsi="Times New Roman"/>
                <w:b/>
                <w:smallCaps/>
                <w:noProof/>
                <w:sz w:val="22"/>
                <w:szCs w:val="22"/>
              </w:rPr>
            </w:pPr>
            <w:r>
              <w:rPr>
                <w:rFonts w:ascii="Times New Roman" w:hAnsi="Times New Roman"/>
                <w:noProof/>
                <w:color w:val="000000" w:themeColor="text1"/>
                <w:sz w:val="22"/>
                <w:szCs w:val="22"/>
              </w:rPr>
              <w:t>provide opportunities for empowerment and support Roma entrepreneurs and self-employed individuals with local businesses that promote Roma traditions and culture.</w:t>
            </w:r>
          </w:p>
        </w:tc>
      </w:tr>
    </w:tbl>
    <w:p>
      <w:pPr>
        <w:rPr>
          <w:noProof/>
        </w:rPr>
      </w:pPr>
      <w:r>
        <w:rPr>
          <w:noProof/>
        </w:rPr>
        <w:br w:type="page"/>
      </w:r>
    </w:p>
    <w:tbl>
      <w:tblPr>
        <w:tblStyle w:val="TableGrid"/>
        <w:tblW w:w="9322" w:type="dxa"/>
        <w:tblLayout w:type="fixed"/>
        <w:tblLook w:val="04A0" w:firstRow="1" w:lastRow="0" w:firstColumn="1" w:lastColumn="0" w:noHBand="0" w:noVBand="1"/>
      </w:tblPr>
      <w:tblGrid>
        <w:gridCol w:w="9322"/>
      </w:tblGrid>
      <w:tr>
        <w:trPr>
          <w:trHeight w:val="691"/>
        </w:trPr>
        <w:tc>
          <w:tcPr>
            <w:tcW w:w="9322" w:type="dxa"/>
          </w:tcPr>
          <w:p>
            <w:pPr>
              <w:spacing w:before="60" w:after="60"/>
              <w:ind w:right="-24"/>
              <w:jc w:val="center"/>
              <w:rPr>
                <w:rFonts w:ascii="Times New Roman" w:hAnsi="Times New Roman" w:cs="Times New Roman"/>
                <w:b/>
                <w:smallCaps/>
                <w:noProof/>
                <w:color w:val="0070C0"/>
              </w:rPr>
            </w:pPr>
            <w:r>
              <w:rPr>
                <w:rFonts w:ascii="Times New Roman" w:hAnsi="Times New Roman" w:cs="Times New Roman"/>
                <w:b/>
                <w:smallCaps/>
                <w:noProof/>
                <w:color w:val="0070C0"/>
              </w:rPr>
              <w:t>Promoting social innovation and policy experimentation</w:t>
            </w:r>
          </w:p>
          <w:p>
            <w:pPr>
              <w:keepNext/>
              <w:keepLines/>
              <w:shd w:val="clear" w:color="auto" w:fill="FFFFFF" w:themeFill="background1"/>
              <w:spacing w:before="60" w:after="60"/>
              <w:ind w:right="-24"/>
              <w:jc w:val="both"/>
              <w:rPr>
                <w:rFonts w:ascii="Times New Roman" w:hAnsi="Times New Roman" w:cs="Times New Roman"/>
                <w:noProof/>
              </w:rPr>
            </w:pPr>
            <w:r>
              <w:rPr>
                <w:rFonts w:ascii="Times New Roman" w:hAnsi="Times New Roman" w:cs="Times New Roman"/>
                <w:noProof/>
              </w:rPr>
              <w:t xml:space="preserve">Social innovation and policy experimentation constitute new approaches from the field of social change that encompass ideas, practices and initiatives that intervene at the various levels of a system to catalyse deep shift and lasting positive impact. As such, they can be meaningful tools to promote Roma equality, inclusion, participation and empowerment. </w:t>
            </w:r>
          </w:p>
          <w:p>
            <w:pPr>
              <w:keepNext/>
              <w:keepLines/>
              <w:shd w:val="clear" w:color="auto" w:fill="FFFFFF" w:themeFill="background1"/>
              <w:spacing w:before="60" w:after="60"/>
              <w:ind w:right="-24"/>
              <w:jc w:val="both"/>
              <w:rPr>
                <w:rFonts w:ascii="Times New Roman" w:hAnsi="Times New Roman" w:cs="Times New Roman"/>
                <w:noProof/>
              </w:rPr>
            </w:pPr>
            <w:r>
              <w:rPr>
                <w:rFonts w:ascii="Times New Roman" w:hAnsi="Times New Roman" w:cs="Times New Roman"/>
                <w:noProof/>
              </w:rPr>
              <w:t>EU policy defines ‘social innovation’ as activities that are social both as to their ends and means, and which relate to the development and implementation of new ideas (concerning products, services and models) that simultaneously meet social needs and create new social relationships or collaborations, thereby benefiting society and boosting its capacity to act</w:t>
            </w:r>
            <w:r>
              <w:rPr>
                <w:rStyle w:val="FootnoteReference"/>
                <w:rFonts w:ascii="Times New Roman" w:hAnsi="Times New Roman" w:cs="Times New Roman"/>
                <w:noProof/>
              </w:rPr>
              <w:footnoteReference w:id="8"/>
            </w:r>
            <w:r>
              <w:rPr>
                <w:rFonts w:ascii="Times New Roman" w:hAnsi="Times New Roman" w:cs="Times New Roman"/>
                <w:noProof/>
              </w:rPr>
              <w:t>. ‘Social policy experimentations’ mean policy interventions that offer an innovative response to social needs, implemented on a small scale and in conditions that enable their impact to be measured, prior to being implemented in other contexts or on a larger scale, if the results prove convincing</w:t>
            </w:r>
            <w:r>
              <w:rPr>
                <w:rStyle w:val="FootnoteReference"/>
                <w:rFonts w:ascii="Times New Roman" w:hAnsi="Times New Roman" w:cs="Times New Roman"/>
                <w:noProof/>
              </w:rPr>
              <w:footnoteReference w:id="9"/>
            </w:r>
            <w:r>
              <w:rPr>
                <w:rFonts w:ascii="Times New Roman" w:hAnsi="Times New Roman" w:cs="Times New Roman"/>
                <w:noProof/>
              </w:rPr>
              <w:t>.</w:t>
            </w:r>
          </w:p>
          <w:p>
            <w:pPr>
              <w:keepNext/>
              <w:keepLines/>
              <w:shd w:val="clear" w:color="auto" w:fill="FFFFFF" w:themeFill="background1"/>
              <w:spacing w:before="60" w:after="60"/>
              <w:ind w:right="-24"/>
              <w:jc w:val="both"/>
              <w:rPr>
                <w:rFonts w:ascii="Times New Roman" w:hAnsi="Times New Roman" w:cs="Times New Roman"/>
                <w:noProof/>
              </w:rPr>
            </w:pPr>
            <w:r>
              <w:rPr>
                <w:rFonts w:ascii="Times New Roman" w:hAnsi="Times New Roman" w:cs="Times New Roman"/>
                <w:b/>
                <w:noProof/>
              </w:rPr>
              <w:t>National Roma strategic frameworks should:</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support emergence of national alliances for learning and innovation for inclusion – bringing together actors from across the ecosystem (relevant Roma practitioner organisations together with business/industry, social incubators and change-makers’ networks, embassies, research organisations);</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launch joint co-creation processes with national/regional stakeholders, philanthropy and social purpose organisations to identify needs, available resources and opportunity for joint systematic action (including with available EU advisory support);</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support incubation of outcome-oriented projects addressing key social service areas (access to housing, utilities, basic public infrastructure and services etc.);</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catalyse and accumulate learning on working approaches on the different topics/sectors, while activating and capacitating key actors from the different sectors (public, private, civil) for joint collaboration;</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experiment with social policies (e.g. providing basic income guarantees) to generate models and test alternative delivery mechanisms for welfare benefits;</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explore mobilisation of private capital, and the pooling of funds with e.g. philanthropic organisations through possible matching schemes, to respond to unaddressed needs of the most vulnerable;</w:t>
            </w:r>
          </w:p>
          <w:p>
            <w:pPr>
              <w:pStyle w:val="ListParagraph"/>
              <w:numPr>
                <w:ilvl w:val="0"/>
                <w:numId w:val="1"/>
              </w:numPr>
              <w:spacing w:before="60" w:after="60" w:line="240" w:lineRule="auto"/>
              <w:ind w:right="-24"/>
              <w:contextualSpacing w:val="0"/>
              <w:rPr>
                <w:rFonts w:ascii="Times New Roman" w:hAnsi="Times New Roman"/>
                <w:noProof/>
                <w:color w:val="000000" w:themeColor="text1"/>
                <w:sz w:val="22"/>
                <w:szCs w:val="22"/>
              </w:rPr>
            </w:pPr>
            <w:r>
              <w:rPr>
                <w:rFonts w:ascii="Times New Roman" w:hAnsi="Times New Roman"/>
                <w:noProof/>
                <w:color w:val="000000" w:themeColor="text1"/>
                <w:sz w:val="22"/>
                <w:szCs w:val="22"/>
              </w:rPr>
              <w:t>explore new service or delivery models and expanded provisioning through outcome-oriented partnerships;</w:t>
            </w:r>
          </w:p>
          <w:p>
            <w:pPr>
              <w:pStyle w:val="ListParagraph"/>
              <w:numPr>
                <w:ilvl w:val="0"/>
                <w:numId w:val="1"/>
              </w:numPr>
              <w:spacing w:before="60" w:after="60" w:line="240" w:lineRule="auto"/>
              <w:ind w:right="-24"/>
              <w:contextualSpacing w:val="0"/>
              <w:rPr>
                <w:rFonts w:ascii="Times New Roman" w:hAnsi="Times New Roman"/>
                <w:noProof/>
              </w:rPr>
            </w:pPr>
            <w:r>
              <w:rPr>
                <w:rFonts w:ascii="Times New Roman" w:hAnsi="Times New Roman"/>
                <w:noProof/>
                <w:color w:val="000000" w:themeColor="text1"/>
                <w:sz w:val="22"/>
                <w:szCs w:val="22"/>
              </w:rPr>
              <w:t xml:space="preserve">support pooling and </w:t>
            </w:r>
            <w:r>
              <w:rPr>
                <w:rFonts w:ascii="Times New Roman" w:hAnsi="Times New Roman"/>
                <w:noProof/>
                <w:sz w:val="22"/>
                <w:szCs w:val="22"/>
              </w:rPr>
              <w:t>integration of targeted and flexible funding; and</w:t>
            </w:r>
          </w:p>
          <w:p>
            <w:pPr>
              <w:pStyle w:val="ListParagraph"/>
              <w:numPr>
                <w:ilvl w:val="0"/>
                <w:numId w:val="1"/>
              </w:numPr>
              <w:spacing w:before="60" w:after="60" w:line="240" w:lineRule="auto"/>
              <w:ind w:right="-24"/>
              <w:contextualSpacing w:val="0"/>
              <w:rPr>
                <w:rFonts w:ascii="Times New Roman" w:hAnsi="Times New Roman"/>
                <w:noProof/>
              </w:rPr>
            </w:pPr>
            <w:r>
              <w:rPr>
                <w:rFonts w:ascii="Times New Roman" w:hAnsi="Times New Roman"/>
                <w:noProof/>
                <w:sz w:val="22"/>
                <w:szCs w:val="22"/>
              </w:rPr>
              <w:t>support the establishment of s</w:t>
            </w:r>
            <w:r>
              <w:rPr>
                <w:rFonts w:ascii="Times New Roman" w:hAnsi="Times New Roman"/>
                <w:noProof/>
                <w:color w:val="000000" w:themeColor="text1"/>
                <w:sz w:val="22"/>
                <w:szCs w:val="22"/>
              </w:rPr>
              <w:t>ocial innovation competence centres (to be supported through ESF+ transnational activities) and give mandate to support Roma inclusion needs.</w:t>
            </w:r>
          </w:p>
        </w:tc>
      </w:tr>
    </w:tbl>
    <w:p>
      <w:pPr>
        <w:ind w:right="-24"/>
        <w:rPr>
          <w:rFonts w:cstheme="minorHAnsi"/>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487508"/>
      <w:docPartObj>
        <w:docPartGallery w:val="Page Numbers (Bottom of Page)"/>
        <w:docPartUnique/>
      </w:docPartObj>
    </w:sdtPr>
    <w:sdtEndPr>
      <w:rPr>
        <w:sz w:val="18"/>
        <w:szCs w:val="18"/>
      </w:rPr>
    </w:sdtEndPr>
    <w:sdtContent>
      <w:p>
        <w:pPr>
          <w:pStyle w:val="Footer"/>
          <w:jc w:val="center"/>
          <w:rPr>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PAGE   \* MERGEFORMAT </w:instrText>
        </w:r>
        <w:r>
          <w:rPr>
            <w:rFonts w:ascii="Times New Roman" w:hAnsi="Times New Roman" w:cs="Times New Roman"/>
            <w:sz w:val="18"/>
            <w:szCs w:val="18"/>
          </w:rPr>
          <w:fldChar w:fldCharType="separate"/>
        </w:r>
        <w:r>
          <w:rPr>
            <w:rFonts w:ascii="Times New Roman" w:hAnsi="Times New Roman" w:cs="Times New Roman"/>
            <w:noProof/>
            <w:sz w:val="18"/>
            <w:szCs w:val="18"/>
          </w:rPr>
          <w:t>1</w:t>
        </w:r>
        <w:r>
          <w:rPr>
            <w:rFonts w:ascii="Times New Roman" w:hAnsi="Times New Roman" w:cs="Times New Roman"/>
            <w:sz w:val="18"/>
            <w:szCs w:val="18"/>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ind w:left="284" w:hanging="284"/>
        <w:jc w:val="both"/>
        <w:rPr>
          <w:rFonts w:ascii="Times New Roman" w:hAnsi="Times New Roman" w:cs="Times New Roman"/>
          <w:color w:val="000000" w:themeColor="text1"/>
          <w:sz w:val="19"/>
          <w:szCs w:val="19"/>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w:t>
      </w:r>
      <w:r>
        <w:rPr>
          <w:rFonts w:ascii="Times New Roman" w:hAnsi="Times New Roman" w:cs="Times New Roman"/>
          <w:sz w:val="19"/>
          <w:szCs w:val="19"/>
        </w:rPr>
        <w:tab/>
      </w:r>
      <w:hyperlink r:id="rId1" w:history="1">
        <w:r>
          <w:rPr>
            <w:rStyle w:val="Hyperlink"/>
            <w:rFonts w:ascii="Times New Roman" w:hAnsi="Times New Roman" w:cs="Times New Roman"/>
            <w:i/>
            <w:sz w:val="19"/>
            <w:szCs w:val="19"/>
          </w:rPr>
          <w:t>Antigypsyism — a reference paper</w:t>
        </w:r>
      </w:hyperlink>
      <w:r>
        <w:rPr>
          <w:rFonts w:ascii="Times New Roman" w:hAnsi="Times New Roman" w:cs="Times New Roman"/>
          <w:sz w:val="19"/>
          <w:szCs w:val="19"/>
        </w:rPr>
        <w:t xml:space="preserve">, Berlin/Budapest, 2017; </w:t>
      </w:r>
      <w:hyperlink r:id="rId2" w:history="1">
        <w:r>
          <w:rPr>
            <w:rStyle w:val="Hyperlink"/>
            <w:rFonts w:ascii="Times New Roman" w:hAnsi="Times New Roman" w:cs="Times New Roman"/>
            <w:sz w:val="19"/>
            <w:szCs w:val="19"/>
          </w:rPr>
          <w:t>European Parliament Resolution of 15 April 2015 on the occasion of International Roma Day — Anti-gypsyism in Europe and EU recognition of the memorial day of the Roma genocide during World War II</w:t>
        </w:r>
      </w:hyperlink>
      <w:r>
        <w:rPr>
          <w:rFonts w:ascii="Times New Roman" w:hAnsi="Times New Roman" w:cs="Times New Roman"/>
          <w:sz w:val="19"/>
          <w:szCs w:val="19"/>
        </w:rPr>
        <w:t xml:space="preserve">; </w:t>
      </w:r>
      <w:hyperlink r:id="rId3" w:history="1">
        <w:r>
          <w:rPr>
            <w:rStyle w:val="Hyperlink"/>
            <w:rFonts w:ascii="Times New Roman" w:hAnsi="Times New Roman" w:cs="Times New Roman"/>
            <w:sz w:val="19"/>
            <w:szCs w:val="19"/>
          </w:rPr>
          <w:t>European Parliament report on fundamental rights aspects in Roma integration in the EU – fighting anti-gypsyism (2017/2038(INI))</w:t>
        </w:r>
      </w:hyperlink>
      <w:r>
        <w:rPr>
          <w:rFonts w:ascii="Times New Roman" w:hAnsi="Times New Roman" w:cs="Times New Roman"/>
          <w:sz w:val="19"/>
          <w:szCs w:val="19"/>
        </w:rPr>
        <w:t xml:space="preserve">; </w:t>
      </w:r>
      <w:hyperlink r:id="rId4" w:history="1">
        <w:r>
          <w:rPr>
            <w:rStyle w:val="Hyperlink"/>
            <w:rFonts w:ascii="Times New Roman" w:hAnsi="Times New Roman" w:cs="Times New Roman"/>
            <w:sz w:val="19"/>
            <w:szCs w:val="19"/>
          </w:rPr>
          <w:t>European Parliament Resolution of 12 February 2019 on the need for a strengthened post-2020 strategic EU framework for national Roma inclusion strategies and stepping up the fight against anti-gypsyism</w:t>
        </w:r>
      </w:hyperlink>
      <w:r>
        <w:rPr>
          <w:rFonts w:ascii="Times New Roman" w:hAnsi="Times New Roman" w:cs="Times New Roman"/>
          <w:sz w:val="19"/>
          <w:szCs w:val="19"/>
        </w:rPr>
        <w:t xml:space="preserve">; </w:t>
      </w:r>
      <w:hyperlink r:id="rId5" w:history="1">
        <w:r>
          <w:rPr>
            <w:rStyle w:val="Hyperlink"/>
            <w:rFonts w:ascii="Times New Roman" w:hAnsi="Times New Roman" w:cs="Times New Roman"/>
            <w:sz w:val="19"/>
            <w:szCs w:val="19"/>
          </w:rPr>
          <w:t>ECRI 2012 General Policy Recommendation No 13 on combating anti-gypsyism and discrimination against Roma</w:t>
        </w:r>
      </w:hyperlink>
      <w:r>
        <w:rPr>
          <w:rFonts w:ascii="Times New Roman" w:hAnsi="Times New Roman" w:cs="Times New Roman"/>
          <w:sz w:val="19"/>
          <w:szCs w:val="19"/>
        </w:rPr>
        <w:t xml:space="preserve">; </w:t>
      </w:r>
      <w:hyperlink r:id="rId6" w:history="1">
        <w:r>
          <w:rPr>
            <w:rStyle w:val="Hyperlink"/>
            <w:rFonts w:ascii="Times New Roman" w:hAnsi="Times New Roman" w:cs="Times New Roman"/>
            <w:sz w:val="19"/>
            <w:szCs w:val="19"/>
          </w:rPr>
          <w:t>Council of Europe, Declaration of the Committee of Ministers on the rise of anti-gypsyism and racist violence against Roma in Europe</w:t>
        </w:r>
      </w:hyperlink>
      <w:r>
        <w:rPr>
          <w:rStyle w:val="Hyperlink"/>
          <w:rFonts w:ascii="Times New Roman" w:hAnsi="Times New Roman" w:cs="Times New Roman"/>
          <w:sz w:val="19"/>
          <w:szCs w:val="19"/>
          <w:u w:val="none"/>
        </w:rPr>
        <w:t>.</w:t>
      </w:r>
    </w:p>
  </w:footnote>
  <w:footnote w:id="2">
    <w:p>
      <w:pPr>
        <w:pStyle w:val="FootnoteText"/>
        <w:ind w:left="284" w:hanging="284"/>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w:t>
      </w:r>
      <w:r>
        <w:rPr>
          <w:rFonts w:ascii="Times New Roman" w:hAnsi="Times New Roman" w:cs="Times New Roman"/>
          <w:sz w:val="19"/>
          <w:szCs w:val="19"/>
        </w:rPr>
        <w:tab/>
        <w:t xml:space="preserve">Systemic discrimination results from inequalities embedded in legislation, policy and practice. They are often not embedded by intent but because of a range of institutional factors in the formulation, implementation and review of legislation, policy and practice. See </w:t>
      </w:r>
      <w:hyperlink r:id="rId7" w:history="1">
        <w:r>
          <w:rPr>
            <w:rStyle w:val="Hyperlink"/>
            <w:rFonts w:ascii="Times New Roman" w:hAnsi="Times New Roman" w:cs="Times New Roman"/>
            <w:sz w:val="19"/>
            <w:szCs w:val="19"/>
          </w:rPr>
          <w:t>Roma and traveller inclusion: towards a new EU framework, learning from the work of equality bodies</w:t>
        </w:r>
      </w:hyperlink>
      <w:r>
        <w:rPr>
          <w:rStyle w:val="Hyperlink"/>
          <w:rFonts w:ascii="Times New Roman" w:hAnsi="Times New Roman" w:cs="Times New Roman"/>
          <w:sz w:val="19"/>
          <w:szCs w:val="19"/>
          <w:u w:val="none"/>
        </w:rPr>
        <w:t>.</w:t>
      </w:r>
    </w:p>
  </w:footnote>
  <w:footnote w:id="3">
    <w:p>
      <w:pPr>
        <w:pStyle w:val="FootnoteText"/>
        <w:ind w:left="284" w:hanging="284"/>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w:t>
      </w:r>
      <w:r>
        <w:rPr>
          <w:rFonts w:ascii="Times New Roman" w:hAnsi="Times New Roman" w:cs="Times New Roman"/>
          <w:sz w:val="19"/>
          <w:szCs w:val="19"/>
        </w:rPr>
        <w:tab/>
        <w:t xml:space="preserve">Violetta Zentai, Georgeta Munteanu and Simona Torotcoi, </w:t>
      </w:r>
      <w:hyperlink r:id="rId8" w:history="1">
        <w:r>
          <w:rPr>
            <w:rStyle w:val="Hyperlink"/>
            <w:rFonts w:ascii="Times New Roman" w:hAnsi="Times New Roman" w:cs="Times New Roman"/>
            <w:i/>
            <w:sz w:val="19"/>
            <w:szCs w:val="19"/>
          </w:rPr>
          <w:t>The quality of participation in a post-2020 EU initiative for Roma equality and inclusion</w:t>
        </w:r>
      </w:hyperlink>
      <w:r>
        <w:rPr>
          <w:rFonts w:ascii="Times New Roman" w:hAnsi="Times New Roman" w:cs="Times New Roman"/>
          <w:sz w:val="19"/>
          <w:szCs w:val="19"/>
        </w:rPr>
        <w:t>, expert reports building on forward-looking aspects of the evaluation of the EU framework for national Roma integration strategies, 2020, pp. 41, 59-60.</w:t>
      </w:r>
    </w:p>
  </w:footnote>
  <w:footnote w:id="4">
    <w:p>
      <w:pPr>
        <w:pStyle w:val="FootnoteText"/>
        <w:ind w:left="284" w:hanging="284"/>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w:t>
      </w:r>
      <w:r>
        <w:rPr>
          <w:rFonts w:ascii="Times New Roman" w:hAnsi="Times New Roman" w:cs="Times New Roman"/>
          <w:sz w:val="19"/>
          <w:szCs w:val="19"/>
        </w:rPr>
        <w:tab/>
        <w:t xml:space="preserve">The </w:t>
      </w:r>
      <w:hyperlink r:id="rId9" w:history="1">
        <w:r>
          <w:rPr>
            <w:rStyle w:val="Hyperlink"/>
            <w:rFonts w:ascii="Times New Roman" w:hAnsi="Times New Roman" w:cs="Times New Roman"/>
            <w:sz w:val="19"/>
            <w:szCs w:val="19"/>
          </w:rPr>
          <w:t>Drinking Water Directive</w:t>
        </w:r>
      </w:hyperlink>
      <w:r>
        <w:rPr>
          <w:rFonts w:ascii="Times New Roman" w:hAnsi="Times New Roman" w:cs="Times New Roman"/>
          <w:sz w:val="19"/>
          <w:szCs w:val="19"/>
        </w:rPr>
        <w:t xml:space="preserve"> (recital 31; Article 16) requires Member States to take account of the specific situation of minority cultures, such as Roma and travellers, whether or not settled, by taking the necessary measures to improve their access to water intended for human consumption.</w:t>
      </w:r>
    </w:p>
  </w:footnote>
  <w:footnote w:id="5">
    <w:p>
      <w:pPr>
        <w:pStyle w:val="FootnoteText"/>
        <w:jc w:val="both"/>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 xml:space="preserve"> The </w:t>
      </w:r>
      <w:hyperlink r:id="rId10" w:history="1">
        <w:r>
          <w:rPr>
            <w:rStyle w:val="Hyperlink"/>
            <w:rFonts w:ascii="Times New Roman" w:hAnsi="Times New Roman" w:cs="Times New Roman"/>
            <w:sz w:val="18"/>
            <w:szCs w:val="18"/>
          </w:rPr>
          <w:t>Digital Competences for citizens framework</w:t>
        </w:r>
      </w:hyperlink>
      <w:r>
        <w:rPr>
          <w:rFonts w:ascii="Times New Roman" w:hAnsi="Times New Roman" w:cs="Times New Roman"/>
          <w:sz w:val="18"/>
          <w:szCs w:val="18"/>
        </w:rPr>
        <w:t xml:space="preserve"> identifies five components of digital competence: information and data literacy, communication and collaboration, digital content creation, safety and problem solving.</w:t>
      </w:r>
    </w:p>
  </w:footnote>
  <w:footnote w:id="6">
    <w:p>
      <w:pPr>
        <w:pStyle w:val="FootnoteText"/>
        <w:jc w:val="both"/>
      </w:pPr>
      <w:r>
        <w:rPr>
          <w:rStyle w:val="FootnoteReference"/>
        </w:rPr>
        <w:footnoteRef/>
      </w:r>
      <w:r>
        <w:t xml:space="preserve"> </w:t>
      </w:r>
      <w:r>
        <w:rPr>
          <w:rFonts w:ascii="Times New Roman" w:hAnsi="Times New Roman" w:cs="Times New Roman"/>
          <w:sz w:val="18"/>
          <w:szCs w:val="18"/>
        </w:rPr>
        <w:t xml:space="preserve">The </w:t>
      </w:r>
      <w:hyperlink r:id="rId11" w:history="1">
        <w:r>
          <w:rPr>
            <w:rStyle w:val="Hyperlink"/>
            <w:rFonts w:ascii="Times New Roman" w:hAnsi="Times New Roman" w:cs="Times New Roman"/>
            <w:sz w:val="18"/>
            <w:szCs w:val="18"/>
          </w:rPr>
          <w:t>Digital Competence for citizens’ framework</w:t>
        </w:r>
      </w:hyperlink>
      <w:r>
        <w:rPr>
          <w:rFonts w:ascii="Times New Roman" w:hAnsi="Times New Roman" w:cs="Times New Roman"/>
          <w:sz w:val="18"/>
          <w:szCs w:val="18"/>
        </w:rPr>
        <w:t xml:space="preserve"> defines information and data/digital literacy as the ability </w:t>
      </w:r>
      <w:r>
        <w:rPr>
          <w:rFonts w:ascii="Times New Roman" w:hAnsi="Times New Roman" w:cs="Times New Roman"/>
          <w:color w:val="000000"/>
          <w:sz w:val="18"/>
          <w:szCs w:val="18"/>
          <w:lang w:eastAsia="en-IE"/>
        </w:rPr>
        <w:t>to articulate information needs; to locate and retrieve digital data, information and content; to judge the relevance of the source and its content; and to store, manage, and organise digital data, information and content.</w:t>
      </w:r>
    </w:p>
  </w:footnote>
  <w:footnote w:id="7">
    <w:p>
      <w:pPr>
        <w:pStyle w:val="FootnoteText"/>
        <w:ind w:left="284" w:hanging="284"/>
        <w:jc w:val="both"/>
        <w:rPr>
          <w:rFonts w:ascii="Times New Roman" w:hAnsi="Times New Roman" w:cs="Times New Roman"/>
          <w:sz w:val="19"/>
          <w:szCs w:val="19"/>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w:t>
      </w:r>
      <w:r>
        <w:rPr>
          <w:rFonts w:ascii="Times New Roman" w:hAnsi="Times New Roman" w:cs="Times New Roman"/>
          <w:sz w:val="19"/>
          <w:szCs w:val="19"/>
        </w:rPr>
        <w:tab/>
        <w:t xml:space="preserve">Environmental discrimination is suffered by Roma living in segregated settlements among environmentally hazardous conditions (next to waste dumps, abandoned industrial sites or flood-prone areas) deprived of basic environmental necessities such as water and waste management. See </w:t>
      </w:r>
      <w:hyperlink r:id="rId12" w:history="1">
        <w:r>
          <w:rPr>
            <w:rStyle w:val="Hyperlink"/>
            <w:rFonts w:ascii="Times New Roman" w:hAnsi="Times New Roman" w:cs="Times New Roman"/>
            <w:i/>
            <w:sz w:val="19"/>
            <w:szCs w:val="19"/>
          </w:rPr>
          <w:t>Pushed to the wastelands: environmental racism against Roma communities in central and Eastern Europe</w:t>
        </w:r>
      </w:hyperlink>
      <w:r>
        <w:rPr>
          <w:rFonts w:ascii="Times New Roman" w:hAnsi="Times New Roman" w:cs="Times New Roman"/>
          <w:sz w:val="19"/>
          <w:szCs w:val="19"/>
        </w:rPr>
        <w:t xml:space="preserve">. For conceptual explanations and resources, see the Energy Justice Network’s </w:t>
      </w:r>
      <w:hyperlink r:id="rId13" w:history="1">
        <w:r>
          <w:rPr>
            <w:rStyle w:val="Hyperlink"/>
            <w:rFonts w:ascii="Times New Roman" w:hAnsi="Times New Roman" w:cs="Times New Roman"/>
            <w:sz w:val="19"/>
            <w:szCs w:val="19"/>
          </w:rPr>
          <w:t>website</w:t>
        </w:r>
      </w:hyperlink>
      <w:r>
        <w:rPr>
          <w:rFonts w:ascii="Times New Roman" w:hAnsi="Times New Roman" w:cs="Times New Roman"/>
          <w:sz w:val="19"/>
          <w:szCs w:val="19"/>
        </w:rPr>
        <w:t>.</w:t>
      </w:r>
    </w:p>
  </w:footnote>
  <w:footnote w:id="8">
    <w:p>
      <w:pPr>
        <w:pStyle w:val="FootnoteText"/>
        <w:jc w:val="both"/>
        <w:rPr>
          <w:rFonts w:ascii="Times New Roman" w:hAnsi="Times New Roman" w:cs="Times New Roman"/>
          <w:sz w:val="19"/>
          <w:szCs w:val="19"/>
          <w:lang w:val="en-US"/>
        </w:rPr>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Cf. Commission proposal for a Regulation of the European Parliament and of the Council on the European Social Fund Plus (ESF+) 2018/0206 COD (</w:t>
      </w:r>
      <w:hyperlink r:id="rId14" w:history="1">
        <w:r>
          <w:rPr>
            <w:rStyle w:val="Hyperlink"/>
            <w:rFonts w:ascii="Times New Roman" w:hAnsi="Times New Roman" w:cs="Times New Roman"/>
            <w:sz w:val="19"/>
            <w:szCs w:val="19"/>
          </w:rPr>
          <w:t>COM(2018) 382 final</w:t>
        </w:r>
      </w:hyperlink>
      <w:r>
        <w:rPr>
          <w:rFonts w:ascii="Times New Roman" w:hAnsi="Times New Roman" w:cs="Times New Roman"/>
          <w:sz w:val="19"/>
          <w:szCs w:val="19"/>
        </w:rPr>
        <w:t>), 30.5.2018, Article 2(16).</w:t>
      </w:r>
    </w:p>
  </w:footnote>
  <w:footnote w:id="9">
    <w:p>
      <w:pPr>
        <w:pStyle w:val="FootnoteText"/>
        <w:jc w:val="both"/>
      </w:pPr>
      <w:r>
        <w:rPr>
          <w:rStyle w:val="FootnoteReference"/>
          <w:rFonts w:ascii="Times New Roman" w:hAnsi="Times New Roman" w:cs="Times New Roman"/>
          <w:sz w:val="19"/>
          <w:szCs w:val="19"/>
        </w:rPr>
        <w:footnoteRef/>
      </w:r>
      <w:r>
        <w:rPr>
          <w:rFonts w:ascii="Times New Roman" w:hAnsi="Times New Roman" w:cs="Times New Roman"/>
          <w:sz w:val="19"/>
          <w:szCs w:val="19"/>
        </w:rPr>
        <w:t xml:space="preserve"> Ibid, Article 2(17).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eastAsia="en-GB"/>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583680" cy="1645920"/>
              <wp:effectExtent l="0" t="1771650" r="0" b="16973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83680" cy="1645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NormalWeb"/>
                            <w:spacing w:before="0" w:beforeAutospacing="0" w:after="0" w:afterAutospacing="0"/>
                            <w:jc w:val="center"/>
                          </w:pPr>
                          <w:r>
                            <w:rPr>
                              <w:rFonts w:ascii="Calibri" w:hAnsi="Calibri" w:cs="Calibri"/>
                              <w:color w:val="7F7F7F" w:themeColor="text1" w:themeTint="80"/>
                              <w:sz w:val="2"/>
                              <w:szCs w:val="2"/>
                              <w14:textFill>
                                <w14:solidFill>
                                  <w14:schemeClr w14:val="tx1">
                                    <w14:alpha w14:val="50000"/>
                                    <w14:lumMod w14:val="50000"/>
                                    <w14:lumOff w14:val="50000"/>
                                  </w14:schemeClr>
                                </w14:solidFill>
                              </w14:textFill>
                            </w:rPr>
                            <w:t>Internal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518.4pt;height:129.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" o:allowincell="f" filled="f" stroked="f">
              <v:stroke joinstyle="round"/>
              <o:lock v:ext="edit" shapetype="t"/>
              <v:textbox style="mso-fit-shape-to-text:t">
                <w:txbxContent>
                  <w:p>
                    <w:pPr>
                      <w:pStyle w:val="NormalWeb"/>
                      <w:spacing w:before="0" w:beforeAutospacing="0" w:after="0" w:afterAutospacing="0"/>
                      <w:jc w:val="center"/>
                    </w:pPr>
                    <w:r>
                      <w:rPr>
                        <w:rFonts w:ascii="Calibri" w:hAnsi="Calibri" w:cs="Calibri"/>
                        <w:color w:val="7F7F7F" w:themeColor="text1" w:themeTint="80"/>
                        <w:sz w:val="2"/>
                        <w:szCs w:val="2"/>
                        <w14:textFill>
                          <w14:solidFill>
                            <w14:schemeClr w14:val="tx1">
                              <w14:alpha w14:val="50000"/>
                              <w14:lumMod w14:val="50000"/>
                              <w14:lumOff w14:val="50000"/>
                            </w14:schemeClr>
                          </w14:solidFill>
                        </w14:textFill>
                      </w:rPr>
                      <w:t>Internal draft</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eastAsia="en-GB"/>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583680" cy="1645920"/>
              <wp:effectExtent l="0" t="1771650" r="0" b="16973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83680" cy="1645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pPr>
                            <w:pStyle w:val="NormalWeb"/>
                            <w:spacing w:before="0" w:beforeAutospacing="0" w:after="0" w:afterAutospacing="0"/>
                            <w:jc w:val="center"/>
                          </w:pPr>
                          <w:r>
                            <w:rPr>
                              <w:rFonts w:ascii="Calibri" w:hAnsi="Calibri" w:cs="Calibri"/>
                              <w:color w:val="7F7F7F" w:themeColor="text1" w:themeTint="80"/>
                              <w:sz w:val="2"/>
                              <w:szCs w:val="2"/>
                              <w14:textFill>
                                <w14:solidFill>
                                  <w14:schemeClr w14:val="tx1">
                                    <w14:alpha w14:val="50000"/>
                                    <w14:lumMod w14:val="50000"/>
                                    <w14:lumOff w14:val="50000"/>
                                  </w14:schemeClr>
                                </w14:solidFill>
                              </w14:textFill>
                            </w:rPr>
                            <w:t>Internal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width:518.4pt;height:129.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" o:allowincell="f" filled="f" stroked="f">
              <v:stroke joinstyle="round"/>
              <o:lock v:ext="edit" shapetype="t"/>
              <v:textbox style="mso-fit-shape-to-text:t">
                <w:txbxContent>
                  <w:p>
                    <w:pPr>
                      <w:pStyle w:val="NormalWeb"/>
                      <w:spacing w:before="0" w:beforeAutospacing="0" w:after="0" w:afterAutospacing="0"/>
                      <w:jc w:val="center"/>
                    </w:pPr>
                    <w:r>
                      <w:rPr>
                        <w:rFonts w:ascii="Calibri" w:hAnsi="Calibri" w:cs="Calibri"/>
                        <w:color w:val="7F7F7F" w:themeColor="text1" w:themeTint="80"/>
                        <w:sz w:val="2"/>
                        <w:szCs w:val="2"/>
                        <w14:textFill>
                          <w14:solidFill>
                            <w14:schemeClr w14:val="tx1">
                              <w14:alpha w14:val="50000"/>
                              <w14:lumMod w14:val="50000"/>
                              <w14:lumOff w14:val="50000"/>
                            </w14:schemeClr>
                          </w14:solidFill>
                        </w14:textFill>
                      </w:rPr>
                      <w:t>Internal 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E58B7"/>
    <w:multiLevelType w:val="hybridMultilevel"/>
    <w:tmpl w:val="7C508B4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17F83ED7"/>
    <w:multiLevelType w:val="hybridMultilevel"/>
    <w:tmpl w:val="FC7A964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8466082"/>
    <w:multiLevelType w:val="hybridMultilevel"/>
    <w:tmpl w:val="72AC9D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2CAA1ED9"/>
    <w:multiLevelType w:val="hybridMultilevel"/>
    <w:tmpl w:val="BAF8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3600B9"/>
    <w:multiLevelType w:val="hybridMultilevel"/>
    <w:tmpl w:val="F07419FA"/>
    <w:lvl w:ilvl="0" w:tplc="01EC09CE">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5">
    <w:nsid w:val="40A365C1"/>
    <w:multiLevelType w:val="hybridMultilevel"/>
    <w:tmpl w:val="F74C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C36B5B"/>
    <w:multiLevelType w:val="hybridMultilevel"/>
    <w:tmpl w:val="85A6ADE6"/>
    <w:lvl w:ilvl="0" w:tplc="01EC09CE">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7">
    <w:nsid w:val="6C7D5596"/>
    <w:multiLevelType w:val="hybridMultilevel"/>
    <w:tmpl w:val="4ABC6AF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6E0A4F56"/>
    <w:multiLevelType w:val="hybridMultilevel"/>
    <w:tmpl w:val="A92C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3"/>
  </w:num>
  <w:num w:numId="6">
    <w:abstractNumId w:val="8"/>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0"/>
    <w:docVar w:name="LW_CORRIGENDUM" w:val="&lt;UNUSED&gt;"/>
    <w:docVar w:name="LW_COVERPAGE_EXISTS" w:val="True"/>
    <w:docVar w:name="LW_COVERPAGE_GUID" w:val="57D1B464-A471-44C3-B69F-8122EFB7AA2F"/>
    <w:docVar w:name="LW_COVERPAGE_TYPE" w:val="1"/>
    <w:docVar w:name="LW_CROSSREFERENCE" w:val="{SWD(2020) 530 final}"/>
    <w:docVar w:name="LW_DocType" w:val="NORMAL"/>
    <w:docVar w:name="LW_EMISSION" w:val="7.10.2020"/>
    <w:docVar w:name="LW_EMISSION_ISODATE" w:val="2020-10-07"/>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A Union of Equality:_x000d__x000d__x000d__x000d__x000d__x000d__x000b_EU Roma strategic framework for equality, inclusion and participation"/>
    <w:docVar w:name="LW_PART_NBR" w:val="1"/>
    <w:docVar w:name="LW_PART_NBR_TOTAL" w:val="1"/>
    <w:docVar w:name="LW_REF.INST.NEW" w:val="COM"/>
    <w:docVar w:name="LW_REF.INST.NEW_ADOPTED" w:val="final"/>
    <w:docVar w:name="LW_REF.INST.NEW_TEXT" w:val="(2020) 6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UNICATION FROM THE COMMISSION TO THE EUROPEAN PARLIAMENT AND THE COUNCIL"/>
    <w:docVar w:name="Stamp" w:val="\\dossiers.dgt.cec.eu.int\dossiers\JUST\JUST-2020-03278\JUST-2020-03278-00-01-EN-EDT-00.202007070940194183075.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Bulle,2"/>
    <w:basedOn w:val="Normal"/>
    <w:link w:val="ListParagraphChar"/>
    <w:uiPriority w:val="34"/>
    <w:qFormat/>
    <w:pPr>
      <w:spacing w:after="120" w:line="259" w:lineRule="auto"/>
      <w:ind w:left="720"/>
      <w:contextualSpacing/>
      <w:jc w:val="both"/>
    </w:pPr>
    <w:rPr>
      <w:rFonts w:ascii="Verdana" w:eastAsia="Times New Roman" w:hAnsi="Verdana" w:cs="Times New Roman"/>
      <w:sz w:val="20"/>
      <w:szCs w:val="20"/>
      <w:lang w:eastAsia="en-GB"/>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f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qFormat/>
    <w:pPr>
      <w:spacing w:after="160" w:line="240" w:lineRule="exact"/>
      <w:jc w:val="both"/>
    </w:pPr>
    <w:rPr>
      <w:vertAlign w:val="superscript"/>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Bulle Char"/>
    <w:link w:val="ListParagraph"/>
    <w:uiPriority w:val="34"/>
    <w:qFormat/>
    <w:locked/>
    <w:rPr>
      <w:rFonts w:ascii="Verdana" w:eastAsia="Times New Roman" w:hAnsi="Verdana" w:cs="Times New Roman"/>
      <w:sz w:val="20"/>
      <w:szCs w:val="20"/>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1st level - Bullet List Paragraph,List Paragraph1,Lettre d'introduction,Paragrafo elenco,Medium Grid 1 - Accent 21,Fiche List Paragraph,body,Odsek zoznamu2,Odsek zoznamu1,3,Bullet 1,Bullet Points,Colorful List - Accent 11,Dot pt,Bulle,2"/>
    <w:basedOn w:val="Normal"/>
    <w:link w:val="ListParagraphChar"/>
    <w:uiPriority w:val="34"/>
    <w:qFormat/>
    <w:pPr>
      <w:spacing w:after="120" w:line="259" w:lineRule="auto"/>
      <w:ind w:left="720"/>
      <w:contextualSpacing/>
      <w:jc w:val="both"/>
    </w:pPr>
    <w:rPr>
      <w:rFonts w:ascii="Verdana" w:eastAsia="Times New Roman" w:hAnsi="Verdana" w:cs="Times New Roman"/>
      <w:sz w:val="20"/>
      <w:szCs w:val="20"/>
      <w:lang w:eastAsia="en-GB"/>
    </w:rPr>
  </w:style>
  <w:style w:type="character" w:styleId="FootnoteReference">
    <w:name w:val="footnote reference"/>
    <w:aliases w:val="Footnote Reference Superscript,Footnote Reference/,Footnote symbol,Odwołanie przypisu,Times 10 Point,Exposant 3 Point,footnote ref, Exposant 3 Point,EN Footnote Reference,number,SUPERS,ftref,Footnote reference number,Ref,B2,BVI fnr,fr"/>
    <w:basedOn w:val="DefaultParagraphFont"/>
    <w:link w:val="BVIfnrCarCarCarCarCharCharCharCharCar"/>
    <w:uiPriority w:val="99"/>
    <w:qFormat/>
    <w:rPr>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paragraph" w:customStyle="1" w:styleId="BVIfnrCarCarCarCarCharCharCharCharCar">
    <w:name w:val="BVI fnr Car Car Car Car Char Char Char Char Car"/>
    <w:aliases w:val="BVI fnr Car Car Car Car Char Char Car,BVI fnr Car Car Car Car Char Char Char Char Char Char Char Char Char Car"/>
    <w:basedOn w:val="Normal"/>
    <w:link w:val="FootnoteReference"/>
    <w:qFormat/>
    <w:pPr>
      <w:spacing w:after="160" w:line="240" w:lineRule="exact"/>
      <w:jc w:val="both"/>
    </w:pPr>
    <w:rPr>
      <w:vertAlign w:val="superscript"/>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st level - Bullet List Paragraph Char,List Paragraph1 Char,Lettre d'introduction Char,Paragrafo elenco Char,Medium Grid 1 - Accent 21 Char,Fiche List Paragraph Char,body Char,Odsek zoznamu2 Char,Odsek zoznamu1 Char,3 Char,Bulle Char"/>
    <w:link w:val="ListParagraph"/>
    <w:uiPriority w:val="34"/>
    <w:qFormat/>
    <w:locked/>
    <w:rPr>
      <w:rFonts w:ascii="Verdana" w:eastAsia="Times New Roman" w:hAnsi="Verdana" w:cs="Times New Roman"/>
      <w:sz w:val="20"/>
      <w:szCs w:val="20"/>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200"/>
    </w:pPr>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news.un.org/en/story/2020/04/1062232"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policies/justice-and-fundamental-rights/combatting-discrimination/roma-and-eu/preparing-post-2020-initiative-roma-equality-and-inclusion_en" TargetMode="External"/><Relationship Id="rId13" Type="http://schemas.openxmlformats.org/officeDocument/2006/relationships/hyperlink" Target="https://www.ejnet.org/ej/" TargetMode="External"/><Relationship Id="rId3" Type="http://schemas.openxmlformats.org/officeDocument/2006/relationships/hyperlink" Target="https://www.europarl.europa.eu/doceo/document/A-8-2017-0294_EN.html" TargetMode="External"/><Relationship Id="rId7" Type="http://schemas.openxmlformats.org/officeDocument/2006/relationships/hyperlink" Target="https://equineteurope.org/2020/roma-and-traveller-inclusion-towards-a-new-eu-framework/" TargetMode="External"/><Relationship Id="rId12" Type="http://schemas.openxmlformats.org/officeDocument/2006/relationships/hyperlink" Target="https://eeb.org/library/pushed-to-the-wastelands-environmental-racism-against-roma-communities-in-central-and-eastern-europe/" TargetMode="External"/><Relationship Id="rId2" Type="http://schemas.openxmlformats.org/officeDocument/2006/relationships/hyperlink" Target="https://eur-lex.europa.eu/legal-content/EN/TXT/?uri=CELEX%3A52015IP0095" TargetMode="External"/><Relationship Id="rId1" Type="http://schemas.openxmlformats.org/officeDocument/2006/relationships/hyperlink" Target="https://www.antigypsyism.eu/?page_id=17" TargetMode="External"/><Relationship Id="rId6" Type="http://schemas.openxmlformats.org/officeDocument/2006/relationships/hyperlink" Target="https://rm.coe.int/16800c0adc" TargetMode="External"/><Relationship Id="rId11" Type="http://schemas.openxmlformats.org/officeDocument/2006/relationships/hyperlink" Target="https://ec.europa.eu/jrc/en/publication/eur-scientific-and-technical-research-reports/digcomp-21-digital-competence-framework-citizens-eight-proficiency-levels-and-examples-usehttps:/ec.europa.eu/jrc/en/publication/eur-scientific-and-technical-research-reports/digcomp-21-digital-competence-framework-citizens-eight-proficiency-levels-and-examples-use" TargetMode="External"/><Relationship Id="rId5" Type="http://schemas.openxmlformats.org/officeDocument/2006/relationships/hyperlink" Target="https://www.coe.int/en/web/european-commission-against-racism-and-intolerance/recommendation-no.13" TargetMode="External"/><Relationship Id="rId10" Type="http://schemas.openxmlformats.org/officeDocument/2006/relationships/hyperlink" Target="https://ec.europa.eu/jrc/en/publication/eur-scientific-and-technical-research-reports/digcomp-21-digital-competence-framework-citizens-eight-proficiency-levels-and-examples-usehttps:/ec.europa.eu/jrc/en/publication/eur-scientific-and-technical-research-reports/digcomp-21-digital-competence-framework-citizens-eight-proficiency-levels-and-examples-use" TargetMode="External"/><Relationship Id="rId4" Type="http://schemas.openxmlformats.org/officeDocument/2006/relationships/hyperlink" Target="http://www.europarl.europa.eu/doceo/document/TA-8-2019-0075_EN.html" TargetMode="External"/><Relationship Id="rId9" Type="http://schemas.openxmlformats.org/officeDocument/2006/relationships/hyperlink" Target="https://eur-lex.europa.eu/legal-content/EN/TXT/?qid=1583491875802&amp;uri=CONSIL:ST_6060_2020_REV_1" TargetMode="External"/><Relationship Id="rId14" Type="http://schemas.openxmlformats.org/officeDocument/2006/relationships/hyperlink" Target="https://eur-lex.europa.eu/legal-content/en/TXT/?uri=CELEX:52018PC03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44E09-E80E-47BA-9981-2BD862A6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3348</Words>
  <Characters>21132</Characters>
  <Application>Microsoft Office Word</Application>
  <DocSecurity>0</DocSecurity>
  <Lines>330</Lines>
  <Paragraphs>148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GEDEI Ottilia (JUST)</dc:creator>
  <cp:keywords/>
  <dc:description/>
  <cp:lastModifiedBy>WES PDFC Administrator</cp:lastModifiedBy>
  <cp:revision>8</cp:revision>
  <cp:lastPrinted>2020-07-02T14:49:00Z</cp:lastPrinted>
  <dcterms:created xsi:type="dcterms:W3CDTF">2020-10-06T09:03:00Z</dcterms:created>
  <dcterms:modified xsi:type="dcterms:W3CDTF">2020-10-06T14:54:00Z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7.0.1, Build 20190916</vt:lpwstr>
  </property>
  <property fmtid="{D5CDD505-2E9C-101B-9397-08002B2CF9AE}" pid="11" name="Created using">
    <vt:lpwstr>LW 7.0, Build 20190717</vt:lpwstr>
  </property>
</Properties>
</file>