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719" w:rsidRDefault="000E39BA">
      <w:pPr>
        <w:pStyle w:val="Pagedecouverture"/>
        <w:rPr>
          <w:noProof/>
        </w:rPr>
      </w:pPr>
      <w:bookmarkStart w:id="0" w:name="LW_BM_COVERPAGE"/>
      <w:r>
        <w:rPr>
          <w:noProof/>
        </w:rPr>
        <w:pict w14:anchorId="329F7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307463F-600C-495B-81A5-BBB4D1C5925D" style="width:451pt;height:444pt">
            <v:imagedata r:id="rId8" o:title=""/>
          </v:shape>
        </w:pict>
      </w:r>
    </w:p>
    <w:bookmarkEnd w:id="0"/>
    <w:p w:rsidR="00EE1719" w:rsidRDefault="00EE1719">
      <w:pPr>
        <w:rPr>
          <w:noProof/>
        </w:rPr>
        <w:sectPr w:rsidR="00EE1719">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EE1719" w:rsidRDefault="00EE1719">
      <w:pPr>
        <w:pStyle w:val="Pagedecouverture"/>
        <w:rPr>
          <w:noProof/>
        </w:rPr>
      </w:pPr>
    </w:p>
    <w:sdt>
      <w:sdtPr>
        <w:rPr>
          <w:rFonts w:asciiTheme="minorHAnsi" w:eastAsiaTheme="minorEastAsia" w:hAnsiTheme="minorHAnsi" w:cstheme="minorBidi"/>
          <w:b w:val="0"/>
          <w:noProof/>
          <w:sz w:val="22"/>
          <w:szCs w:val="22"/>
          <w:lang w:eastAsia="en-GB"/>
        </w:rPr>
        <w:id w:val="1320776679"/>
        <w:docPartObj>
          <w:docPartGallery w:val="Table of Contents"/>
          <w:docPartUnique/>
        </w:docPartObj>
      </w:sdtPr>
      <w:sdtEndPr>
        <w:rPr>
          <w:bCs/>
        </w:rPr>
      </w:sdtEndPr>
      <w:sdtContent>
        <w:p w:rsidR="00EE1719" w:rsidRDefault="000E39BA">
          <w:pPr>
            <w:pStyle w:val="TOCHeading"/>
            <w:rPr>
              <w:noProof/>
            </w:rPr>
          </w:pPr>
          <w:r>
            <w:rPr>
              <w:noProof/>
            </w:rPr>
            <w:t>Table of Contents</w:t>
          </w:r>
        </w:p>
        <w:p w:rsidR="00EE1719" w:rsidRDefault="000E39BA">
          <w:pPr>
            <w:pStyle w:val="TOC1"/>
            <w:rPr>
              <w:rFonts w:asciiTheme="minorHAnsi" w:eastAsiaTheme="minorEastAsia" w:hAnsiTheme="minorHAnsi"/>
              <w:bCs w:val="0"/>
              <w:caps w:val="0"/>
              <w:noProof/>
              <w:sz w:val="22"/>
              <w:szCs w:val="22"/>
              <w:lang w:eastAsia="en-GB"/>
            </w:rPr>
          </w:pPr>
          <w:r>
            <w:rPr>
              <w:caps w:val="0"/>
              <w:noProof/>
            </w:rPr>
            <w:fldChar w:fldCharType="begin"/>
          </w:r>
          <w:r>
            <w:rPr>
              <w:caps w:val="0"/>
              <w:noProof/>
            </w:rPr>
            <w:instrText xml:space="preserve"> TOC \o "1-3" \h \z \u </w:instrText>
          </w:r>
          <w:r>
            <w:rPr>
              <w:caps w:val="0"/>
              <w:noProof/>
            </w:rPr>
            <w:fldChar w:fldCharType="separate"/>
          </w:r>
          <w:hyperlink w:anchor="_Toc52745500" w:history="1">
            <w:r>
              <w:rPr>
                <w:rStyle w:val="Hyperlink"/>
                <w:noProof/>
              </w:rPr>
              <w:t>1.</w:t>
            </w:r>
            <w:r>
              <w:rPr>
                <w:rFonts w:asciiTheme="minorHAnsi" w:eastAsiaTheme="minorEastAsia" w:hAnsiTheme="minorHAnsi"/>
                <w:bCs w:val="0"/>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_Toc52745500 \h </w:instrText>
            </w:r>
            <w:r>
              <w:rPr>
                <w:noProof/>
                <w:webHidden/>
              </w:rPr>
            </w:r>
            <w:r>
              <w:rPr>
                <w:noProof/>
                <w:webHidden/>
              </w:rPr>
              <w:fldChar w:fldCharType="separate"/>
            </w:r>
            <w:r>
              <w:rPr>
                <w:noProof/>
                <w:webHidden/>
              </w:rPr>
              <w:t>3</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01" w:history="1">
            <w:r>
              <w:rPr>
                <w:rStyle w:val="Hyperlink"/>
                <w:noProof/>
              </w:rPr>
              <w:t>1.1.</w:t>
            </w:r>
            <w:r>
              <w:rPr>
                <w:rFonts w:asciiTheme="minorHAnsi" w:eastAsiaTheme="minorEastAsia" w:hAnsiTheme="minorHAnsi" w:cstheme="minorBidi"/>
                <w:bCs w:val="0"/>
                <w:noProof/>
                <w:sz w:val="22"/>
                <w:szCs w:val="22"/>
                <w:lang w:eastAsia="en-GB"/>
              </w:rPr>
              <w:tab/>
            </w:r>
            <w:r>
              <w:rPr>
                <w:rStyle w:val="Hyperlink"/>
                <w:noProof/>
              </w:rPr>
              <w:t>Context</w:t>
            </w:r>
            <w:r>
              <w:rPr>
                <w:noProof/>
                <w:webHidden/>
              </w:rPr>
              <w:tab/>
            </w:r>
            <w:r>
              <w:rPr>
                <w:noProof/>
                <w:webHidden/>
              </w:rPr>
              <w:fldChar w:fldCharType="begin"/>
            </w:r>
            <w:r>
              <w:rPr>
                <w:noProof/>
                <w:webHidden/>
              </w:rPr>
              <w:instrText xml:space="preserve"> PAGEREF _Toc52745501 \h </w:instrText>
            </w:r>
            <w:r>
              <w:rPr>
                <w:noProof/>
                <w:webHidden/>
              </w:rPr>
            </w:r>
            <w:r>
              <w:rPr>
                <w:noProof/>
                <w:webHidden/>
              </w:rPr>
              <w:fldChar w:fldCharType="separate"/>
            </w:r>
            <w:r>
              <w:rPr>
                <w:noProof/>
                <w:webHidden/>
              </w:rPr>
              <w:t>3</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02" w:history="1">
            <w:r>
              <w:rPr>
                <w:rStyle w:val="Hyperlink"/>
                <w:noProof/>
              </w:rPr>
              <w:t>1.2.</w:t>
            </w:r>
            <w:r>
              <w:rPr>
                <w:rFonts w:asciiTheme="minorHAnsi" w:eastAsiaTheme="minorEastAsia" w:hAnsiTheme="minorHAnsi" w:cstheme="minorBidi"/>
                <w:bCs w:val="0"/>
                <w:noProof/>
                <w:sz w:val="22"/>
                <w:szCs w:val="22"/>
                <w:lang w:eastAsia="en-GB"/>
              </w:rPr>
              <w:tab/>
            </w:r>
            <w:r>
              <w:rPr>
                <w:rStyle w:val="Hyperlink"/>
                <w:noProof/>
              </w:rPr>
              <w:t>Summary of the report</w:t>
            </w:r>
            <w:r>
              <w:rPr>
                <w:noProof/>
                <w:webHidden/>
              </w:rPr>
              <w:tab/>
            </w:r>
            <w:r>
              <w:rPr>
                <w:noProof/>
                <w:webHidden/>
              </w:rPr>
              <w:fldChar w:fldCharType="begin"/>
            </w:r>
            <w:r>
              <w:rPr>
                <w:noProof/>
                <w:webHidden/>
              </w:rPr>
              <w:instrText xml:space="preserve"> PAGEREF _Toc52745502 \h </w:instrText>
            </w:r>
            <w:r>
              <w:rPr>
                <w:noProof/>
                <w:webHidden/>
              </w:rPr>
            </w:r>
            <w:r>
              <w:rPr>
                <w:noProof/>
                <w:webHidden/>
              </w:rPr>
              <w:fldChar w:fldCharType="separate"/>
            </w:r>
            <w:r>
              <w:rPr>
                <w:noProof/>
                <w:webHidden/>
              </w:rPr>
              <w:t>4</w:t>
            </w:r>
            <w:r>
              <w:rPr>
                <w:noProof/>
                <w:webHidden/>
              </w:rPr>
              <w:fldChar w:fldCharType="end"/>
            </w:r>
          </w:hyperlink>
        </w:p>
        <w:p w:rsidR="00EE1719" w:rsidRDefault="000E39BA">
          <w:pPr>
            <w:pStyle w:val="TOC1"/>
            <w:rPr>
              <w:rFonts w:asciiTheme="minorHAnsi" w:eastAsiaTheme="minorEastAsia" w:hAnsiTheme="minorHAnsi"/>
              <w:bCs w:val="0"/>
              <w:caps w:val="0"/>
              <w:noProof/>
              <w:sz w:val="22"/>
              <w:szCs w:val="22"/>
              <w:lang w:eastAsia="en-GB"/>
            </w:rPr>
          </w:pPr>
          <w:hyperlink w:anchor="_Toc52745503" w:history="1">
            <w:r>
              <w:rPr>
                <w:rStyle w:val="Hyperlink"/>
                <w:rFonts w:eastAsiaTheme="majorEastAsia"/>
                <w:noProof/>
              </w:rPr>
              <w:t>2.</w:t>
            </w:r>
            <w:r>
              <w:rPr>
                <w:rFonts w:asciiTheme="minorHAnsi" w:eastAsiaTheme="minorEastAsia" w:hAnsiTheme="minorHAnsi"/>
                <w:bCs w:val="0"/>
                <w:caps w:val="0"/>
                <w:noProof/>
                <w:sz w:val="22"/>
                <w:szCs w:val="22"/>
                <w:lang w:eastAsia="en-GB"/>
              </w:rPr>
              <w:tab/>
            </w:r>
            <w:r>
              <w:rPr>
                <w:rStyle w:val="Hyperlink"/>
                <w:noProof/>
              </w:rPr>
              <w:t>Funda</w:t>
            </w:r>
            <w:r>
              <w:rPr>
                <w:rStyle w:val="Hyperlink"/>
                <w:noProof/>
              </w:rPr>
              <w:t>mentals first: political criteria and rule of law ch</w:t>
            </w:r>
            <w:bookmarkStart w:id="1" w:name="_GoBack"/>
            <w:bookmarkEnd w:id="1"/>
            <w:r>
              <w:rPr>
                <w:rStyle w:val="Hyperlink"/>
                <w:noProof/>
              </w:rPr>
              <w:t>apters</w:t>
            </w:r>
            <w:r>
              <w:rPr>
                <w:noProof/>
                <w:webHidden/>
              </w:rPr>
              <w:tab/>
            </w:r>
            <w:r>
              <w:rPr>
                <w:noProof/>
                <w:webHidden/>
              </w:rPr>
              <w:fldChar w:fldCharType="begin"/>
            </w:r>
            <w:r>
              <w:rPr>
                <w:noProof/>
                <w:webHidden/>
              </w:rPr>
              <w:instrText xml:space="preserve"> PAGEREF _Toc52745503 \h </w:instrText>
            </w:r>
            <w:r>
              <w:rPr>
                <w:noProof/>
                <w:webHidden/>
              </w:rPr>
            </w:r>
            <w:r>
              <w:rPr>
                <w:noProof/>
                <w:webHidden/>
              </w:rPr>
              <w:fldChar w:fldCharType="separate"/>
            </w:r>
            <w:r>
              <w:rPr>
                <w:noProof/>
                <w:webHidden/>
              </w:rPr>
              <w:t>8</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04" w:history="1">
            <w:r>
              <w:rPr>
                <w:rStyle w:val="Hyperlink"/>
                <w:rFonts w:eastAsiaTheme="majorEastAsia"/>
                <w:noProof/>
              </w:rPr>
              <w:t>2.1.</w:t>
            </w:r>
            <w:r>
              <w:rPr>
                <w:rFonts w:asciiTheme="minorHAnsi" w:eastAsiaTheme="minorEastAsia" w:hAnsiTheme="minorHAnsi" w:cstheme="minorBidi"/>
                <w:bCs w:val="0"/>
                <w:noProof/>
                <w:sz w:val="22"/>
                <w:szCs w:val="22"/>
                <w:lang w:eastAsia="en-GB"/>
              </w:rPr>
              <w:tab/>
            </w:r>
            <w:r>
              <w:rPr>
                <w:rStyle w:val="Hyperlink"/>
                <w:rFonts w:eastAsiaTheme="majorEastAsia"/>
                <w:noProof/>
              </w:rPr>
              <w:t>Functioning of democratic institutions and public administration re</w:t>
            </w:r>
            <w:r>
              <w:rPr>
                <w:rStyle w:val="Hyperlink"/>
                <w:rFonts w:eastAsiaTheme="majorEastAsia"/>
                <w:noProof/>
              </w:rPr>
              <w:t>form</w:t>
            </w:r>
            <w:r>
              <w:rPr>
                <w:noProof/>
                <w:webHidden/>
              </w:rPr>
              <w:tab/>
            </w:r>
            <w:r>
              <w:rPr>
                <w:noProof/>
                <w:webHidden/>
              </w:rPr>
              <w:fldChar w:fldCharType="begin"/>
            </w:r>
            <w:r>
              <w:rPr>
                <w:noProof/>
                <w:webHidden/>
              </w:rPr>
              <w:instrText xml:space="preserve"> PAGEREF _Toc52745504 \h </w:instrText>
            </w:r>
            <w:r>
              <w:rPr>
                <w:noProof/>
                <w:webHidden/>
              </w:rPr>
            </w:r>
            <w:r>
              <w:rPr>
                <w:noProof/>
                <w:webHidden/>
              </w:rPr>
              <w:fldChar w:fldCharType="separate"/>
            </w:r>
            <w:r>
              <w:rPr>
                <w:noProof/>
                <w:webHidden/>
              </w:rPr>
              <w:t>8</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05" w:history="1">
            <w:r>
              <w:rPr>
                <w:rStyle w:val="Hyperlink"/>
                <w:rFonts w:eastAsiaTheme="majorEastAsia"/>
                <w:noProof/>
              </w:rPr>
              <w:t xml:space="preserve">2.1.1 </w:t>
            </w:r>
            <w:r>
              <w:rPr>
                <w:rFonts w:asciiTheme="minorHAnsi" w:eastAsiaTheme="minorEastAsia" w:hAnsiTheme="minorHAnsi" w:cstheme="minorBidi"/>
                <w:bCs w:val="0"/>
                <w:noProof/>
                <w:sz w:val="22"/>
                <w:szCs w:val="22"/>
                <w:lang w:eastAsia="en-GB"/>
              </w:rPr>
              <w:tab/>
            </w:r>
            <w:r>
              <w:rPr>
                <w:rStyle w:val="Hyperlink"/>
                <w:rFonts w:eastAsiaTheme="majorEastAsia"/>
                <w:noProof/>
              </w:rPr>
              <w:t>Democracy</w:t>
            </w:r>
            <w:r>
              <w:rPr>
                <w:noProof/>
                <w:webHidden/>
              </w:rPr>
              <w:tab/>
            </w:r>
            <w:r>
              <w:rPr>
                <w:noProof/>
                <w:webHidden/>
              </w:rPr>
              <w:fldChar w:fldCharType="begin"/>
            </w:r>
            <w:r>
              <w:rPr>
                <w:noProof/>
                <w:webHidden/>
              </w:rPr>
              <w:instrText xml:space="preserve"> PAGEREF _Toc52745505 \h </w:instrText>
            </w:r>
            <w:r>
              <w:rPr>
                <w:noProof/>
                <w:webHidden/>
              </w:rPr>
            </w:r>
            <w:r>
              <w:rPr>
                <w:noProof/>
                <w:webHidden/>
              </w:rPr>
              <w:fldChar w:fldCharType="separate"/>
            </w:r>
            <w:r>
              <w:rPr>
                <w:noProof/>
                <w:webHidden/>
              </w:rPr>
              <w:t>8</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06" w:history="1">
            <w:r>
              <w:rPr>
                <w:rStyle w:val="Hyperlink"/>
                <w:rFonts w:eastAsiaTheme="majorEastAsia"/>
                <w:noProof/>
              </w:rPr>
              <w:t>2.1.2.</w:t>
            </w:r>
            <w:r>
              <w:rPr>
                <w:rFonts w:asciiTheme="minorHAnsi" w:eastAsiaTheme="minorEastAsia" w:hAnsiTheme="minorHAnsi" w:cstheme="minorBidi"/>
                <w:bCs w:val="0"/>
                <w:noProof/>
                <w:sz w:val="22"/>
                <w:szCs w:val="22"/>
                <w:lang w:eastAsia="en-GB"/>
              </w:rPr>
              <w:tab/>
            </w:r>
            <w:r>
              <w:rPr>
                <w:rStyle w:val="Hyperlink"/>
                <w:rFonts w:eastAsiaTheme="majorEastAsia"/>
                <w:noProof/>
              </w:rPr>
              <w:t>Public administration reform</w:t>
            </w:r>
            <w:r>
              <w:rPr>
                <w:noProof/>
                <w:webHidden/>
              </w:rPr>
              <w:tab/>
            </w:r>
            <w:r>
              <w:rPr>
                <w:noProof/>
                <w:webHidden/>
              </w:rPr>
              <w:fldChar w:fldCharType="begin"/>
            </w:r>
            <w:r>
              <w:rPr>
                <w:noProof/>
                <w:webHidden/>
              </w:rPr>
              <w:instrText xml:space="preserve"> PAGEREF _Toc52745506 \h </w:instrText>
            </w:r>
            <w:r>
              <w:rPr>
                <w:noProof/>
                <w:webHidden/>
              </w:rPr>
            </w:r>
            <w:r>
              <w:rPr>
                <w:noProof/>
                <w:webHidden/>
              </w:rPr>
              <w:fldChar w:fldCharType="separate"/>
            </w:r>
            <w:r>
              <w:rPr>
                <w:noProof/>
                <w:webHidden/>
              </w:rPr>
              <w:t>14</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07" w:history="1">
            <w:r>
              <w:rPr>
                <w:rStyle w:val="Hyperlink"/>
                <w:rFonts w:eastAsiaTheme="majorEastAsia"/>
                <w:noProof/>
              </w:rPr>
              <w:t>2.2.1.</w:t>
            </w:r>
            <w:r>
              <w:rPr>
                <w:rFonts w:asciiTheme="minorHAnsi" w:eastAsiaTheme="minorEastAsia" w:hAnsiTheme="minorHAnsi" w:cstheme="minorBidi"/>
                <w:bCs w:val="0"/>
                <w:noProof/>
                <w:sz w:val="22"/>
                <w:szCs w:val="22"/>
                <w:lang w:eastAsia="en-GB"/>
              </w:rPr>
              <w:tab/>
            </w:r>
            <w:r>
              <w:rPr>
                <w:rStyle w:val="Hyperlink"/>
                <w:rFonts w:eastAsiaTheme="majorEastAsia"/>
                <w:noProof/>
              </w:rPr>
              <w:t>Chapter 23: Judiciary and fundamental rights</w:t>
            </w:r>
            <w:r>
              <w:rPr>
                <w:noProof/>
                <w:webHidden/>
              </w:rPr>
              <w:tab/>
            </w:r>
            <w:r>
              <w:rPr>
                <w:noProof/>
                <w:webHidden/>
              </w:rPr>
              <w:fldChar w:fldCharType="begin"/>
            </w:r>
            <w:r>
              <w:rPr>
                <w:noProof/>
                <w:webHidden/>
              </w:rPr>
              <w:instrText xml:space="preserve"> PAGEREF _Toc52745507 \h </w:instrText>
            </w:r>
            <w:r>
              <w:rPr>
                <w:noProof/>
                <w:webHidden/>
              </w:rPr>
            </w:r>
            <w:r>
              <w:rPr>
                <w:noProof/>
                <w:webHidden/>
              </w:rPr>
              <w:fldChar w:fldCharType="separate"/>
            </w:r>
            <w:r>
              <w:rPr>
                <w:noProof/>
                <w:webHidden/>
              </w:rPr>
              <w:t>18</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08" w:history="1">
            <w:r>
              <w:rPr>
                <w:rStyle w:val="Hyperlink"/>
                <w:rFonts w:eastAsiaTheme="majorEastAsia"/>
                <w:noProof/>
              </w:rPr>
              <w:t>2.2.2.</w:t>
            </w:r>
            <w:r>
              <w:rPr>
                <w:rFonts w:asciiTheme="minorHAnsi" w:eastAsiaTheme="minorEastAsia" w:hAnsiTheme="minorHAnsi" w:cstheme="minorBidi"/>
                <w:bCs w:val="0"/>
                <w:noProof/>
                <w:sz w:val="22"/>
                <w:szCs w:val="22"/>
                <w:lang w:eastAsia="en-GB"/>
              </w:rPr>
              <w:tab/>
            </w:r>
            <w:r>
              <w:rPr>
                <w:rStyle w:val="Hyperlink"/>
                <w:rFonts w:eastAsiaTheme="majorEastAsia"/>
                <w:noProof/>
              </w:rPr>
              <w:t>Chapter 24: Justice, freedom and security</w:t>
            </w:r>
            <w:r>
              <w:rPr>
                <w:noProof/>
                <w:webHidden/>
              </w:rPr>
              <w:tab/>
            </w:r>
            <w:r>
              <w:rPr>
                <w:noProof/>
                <w:webHidden/>
              </w:rPr>
              <w:fldChar w:fldCharType="begin"/>
            </w:r>
            <w:r>
              <w:rPr>
                <w:noProof/>
                <w:webHidden/>
              </w:rPr>
              <w:instrText xml:space="preserve"> PAGEREF _Toc52745508 \h </w:instrText>
            </w:r>
            <w:r>
              <w:rPr>
                <w:noProof/>
                <w:webHidden/>
              </w:rPr>
            </w:r>
            <w:r>
              <w:rPr>
                <w:noProof/>
                <w:webHidden/>
              </w:rPr>
              <w:fldChar w:fldCharType="separate"/>
            </w:r>
            <w:r>
              <w:rPr>
                <w:noProof/>
                <w:webHidden/>
              </w:rPr>
              <w:t>37</w:t>
            </w:r>
            <w:r>
              <w:rPr>
                <w:noProof/>
                <w:webHidden/>
              </w:rPr>
              <w:fldChar w:fldCharType="end"/>
            </w:r>
          </w:hyperlink>
        </w:p>
        <w:p w:rsidR="00EE1719" w:rsidRDefault="000E39BA">
          <w:pPr>
            <w:pStyle w:val="TOC1"/>
            <w:rPr>
              <w:rFonts w:asciiTheme="minorHAnsi" w:eastAsiaTheme="minorEastAsia" w:hAnsiTheme="minorHAnsi"/>
              <w:bCs w:val="0"/>
              <w:caps w:val="0"/>
              <w:noProof/>
              <w:sz w:val="22"/>
              <w:szCs w:val="22"/>
              <w:lang w:eastAsia="en-GB"/>
            </w:rPr>
          </w:pPr>
          <w:hyperlink w:anchor="_Toc52745509" w:history="1">
            <w:r>
              <w:rPr>
                <w:rStyle w:val="Hyperlink"/>
                <w:noProof/>
              </w:rPr>
              <w:t>3.</w:t>
            </w:r>
            <w:r>
              <w:rPr>
                <w:rFonts w:asciiTheme="minorHAnsi" w:eastAsiaTheme="minorEastAsia" w:hAnsiTheme="minorHAnsi"/>
                <w:bCs w:val="0"/>
                <w:caps w:val="0"/>
                <w:noProof/>
                <w:sz w:val="22"/>
                <w:szCs w:val="22"/>
                <w:lang w:eastAsia="en-GB"/>
              </w:rPr>
              <w:tab/>
            </w:r>
            <w:r>
              <w:rPr>
                <w:rStyle w:val="Hyperlink"/>
                <w:noProof/>
              </w:rPr>
              <w:t>Fundamentals first: economic development and competitiveness</w:t>
            </w:r>
            <w:r>
              <w:rPr>
                <w:noProof/>
                <w:webHidden/>
              </w:rPr>
              <w:tab/>
            </w:r>
            <w:r>
              <w:rPr>
                <w:noProof/>
                <w:webHidden/>
              </w:rPr>
              <w:fldChar w:fldCharType="begin"/>
            </w:r>
            <w:r>
              <w:rPr>
                <w:noProof/>
                <w:webHidden/>
              </w:rPr>
              <w:instrText xml:space="preserve"> PAGEREF _Toc52745509 \h </w:instrText>
            </w:r>
            <w:r>
              <w:rPr>
                <w:noProof/>
                <w:webHidden/>
              </w:rPr>
            </w:r>
            <w:r>
              <w:rPr>
                <w:noProof/>
                <w:webHidden/>
              </w:rPr>
              <w:fldChar w:fldCharType="separate"/>
            </w:r>
            <w:r>
              <w:rPr>
                <w:noProof/>
                <w:webHidden/>
              </w:rPr>
              <w:t>51</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10" w:history="1">
            <w:r>
              <w:rPr>
                <w:rStyle w:val="Hyperlink"/>
                <w:rFonts w:eastAsia="Calibri"/>
                <w:noProof/>
              </w:rPr>
              <w:t>3.1.</w:t>
            </w:r>
            <w:r>
              <w:rPr>
                <w:rFonts w:asciiTheme="minorHAnsi" w:eastAsiaTheme="minorEastAsia" w:hAnsiTheme="minorHAnsi" w:cstheme="minorBidi"/>
                <w:bCs w:val="0"/>
                <w:noProof/>
                <w:sz w:val="22"/>
                <w:szCs w:val="22"/>
                <w:lang w:eastAsia="en-GB"/>
              </w:rPr>
              <w:tab/>
            </w:r>
            <w:r>
              <w:rPr>
                <w:rStyle w:val="Hyperlink"/>
                <w:rFonts w:eastAsia="Calibri"/>
                <w:noProof/>
              </w:rPr>
              <w:t>The existence of a functioning market economy</w:t>
            </w:r>
            <w:r>
              <w:rPr>
                <w:noProof/>
                <w:webHidden/>
              </w:rPr>
              <w:tab/>
            </w:r>
            <w:r>
              <w:rPr>
                <w:noProof/>
                <w:webHidden/>
              </w:rPr>
              <w:fldChar w:fldCharType="begin"/>
            </w:r>
            <w:r>
              <w:rPr>
                <w:noProof/>
                <w:webHidden/>
              </w:rPr>
              <w:instrText xml:space="preserve"> PAGEREF _Toc52745510 \h </w:instrText>
            </w:r>
            <w:r>
              <w:rPr>
                <w:noProof/>
                <w:webHidden/>
              </w:rPr>
            </w:r>
            <w:r>
              <w:rPr>
                <w:noProof/>
                <w:webHidden/>
              </w:rPr>
              <w:fldChar w:fldCharType="separate"/>
            </w:r>
            <w:r>
              <w:rPr>
                <w:noProof/>
                <w:webHidden/>
              </w:rPr>
              <w:t>51</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11" w:history="1">
            <w:r>
              <w:rPr>
                <w:rStyle w:val="Hyperlink"/>
                <w:rFonts w:eastAsia="Calibri"/>
                <w:noProof/>
              </w:rPr>
              <w:t>3.2.</w:t>
            </w:r>
            <w:r>
              <w:rPr>
                <w:rFonts w:asciiTheme="minorHAnsi" w:eastAsiaTheme="minorEastAsia" w:hAnsiTheme="minorHAnsi" w:cstheme="minorBidi"/>
                <w:bCs w:val="0"/>
                <w:noProof/>
                <w:sz w:val="22"/>
                <w:szCs w:val="22"/>
                <w:lang w:eastAsia="en-GB"/>
              </w:rPr>
              <w:tab/>
            </w:r>
            <w:r>
              <w:rPr>
                <w:rStyle w:val="Hyperlink"/>
                <w:rFonts w:eastAsia="Calibri"/>
                <w:noProof/>
              </w:rPr>
              <w:t>The capacity to cope with competitive pressure and market forces within the Union</w:t>
            </w:r>
            <w:r>
              <w:rPr>
                <w:noProof/>
                <w:webHidden/>
              </w:rPr>
              <w:tab/>
            </w:r>
            <w:r>
              <w:rPr>
                <w:noProof/>
                <w:webHidden/>
              </w:rPr>
              <w:fldChar w:fldCharType="begin"/>
            </w:r>
            <w:r>
              <w:rPr>
                <w:noProof/>
                <w:webHidden/>
              </w:rPr>
              <w:instrText xml:space="preserve"> PAGEREF _Toc52745511 \h </w:instrText>
            </w:r>
            <w:r>
              <w:rPr>
                <w:noProof/>
                <w:webHidden/>
              </w:rPr>
            </w:r>
            <w:r>
              <w:rPr>
                <w:noProof/>
                <w:webHidden/>
              </w:rPr>
              <w:fldChar w:fldCharType="separate"/>
            </w:r>
            <w:r>
              <w:rPr>
                <w:noProof/>
                <w:webHidden/>
              </w:rPr>
              <w:t>57</w:t>
            </w:r>
            <w:r>
              <w:rPr>
                <w:noProof/>
                <w:webHidden/>
              </w:rPr>
              <w:fldChar w:fldCharType="end"/>
            </w:r>
          </w:hyperlink>
        </w:p>
        <w:p w:rsidR="00EE1719" w:rsidRDefault="000E39BA">
          <w:pPr>
            <w:pStyle w:val="TOC1"/>
            <w:rPr>
              <w:rFonts w:asciiTheme="minorHAnsi" w:eastAsiaTheme="minorEastAsia" w:hAnsiTheme="minorHAnsi"/>
              <w:bCs w:val="0"/>
              <w:caps w:val="0"/>
              <w:noProof/>
              <w:sz w:val="22"/>
              <w:szCs w:val="22"/>
              <w:lang w:eastAsia="en-GB"/>
            </w:rPr>
          </w:pPr>
          <w:hyperlink w:anchor="_Toc52745512" w:history="1">
            <w:r>
              <w:rPr>
                <w:rStyle w:val="Hyperlink"/>
                <w:noProof/>
              </w:rPr>
              <w:t>4.</w:t>
            </w:r>
            <w:r>
              <w:rPr>
                <w:rFonts w:asciiTheme="minorHAnsi" w:eastAsiaTheme="minorEastAsia" w:hAnsiTheme="minorHAnsi"/>
                <w:bCs w:val="0"/>
                <w:caps w:val="0"/>
                <w:noProof/>
                <w:sz w:val="22"/>
                <w:szCs w:val="22"/>
                <w:lang w:eastAsia="en-GB"/>
              </w:rPr>
              <w:tab/>
            </w:r>
            <w:r>
              <w:rPr>
                <w:rStyle w:val="Hyperlink"/>
                <w:noProof/>
              </w:rPr>
              <w:t>Good neighbourly rela</w:t>
            </w:r>
            <w:r>
              <w:rPr>
                <w:rStyle w:val="Hyperlink"/>
                <w:noProof/>
              </w:rPr>
              <w:t>tions and regional cooperation</w:t>
            </w:r>
            <w:r>
              <w:rPr>
                <w:noProof/>
                <w:webHidden/>
              </w:rPr>
              <w:tab/>
            </w:r>
            <w:r>
              <w:rPr>
                <w:noProof/>
                <w:webHidden/>
              </w:rPr>
              <w:fldChar w:fldCharType="begin"/>
            </w:r>
            <w:r>
              <w:rPr>
                <w:noProof/>
                <w:webHidden/>
              </w:rPr>
              <w:instrText xml:space="preserve"> PAGEREF _Toc52745512 \h </w:instrText>
            </w:r>
            <w:r>
              <w:rPr>
                <w:noProof/>
                <w:webHidden/>
              </w:rPr>
            </w:r>
            <w:r>
              <w:rPr>
                <w:noProof/>
                <w:webHidden/>
              </w:rPr>
              <w:fldChar w:fldCharType="separate"/>
            </w:r>
            <w:r>
              <w:rPr>
                <w:noProof/>
                <w:webHidden/>
              </w:rPr>
              <w:t>59</w:t>
            </w:r>
            <w:r>
              <w:rPr>
                <w:noProof/>
                <w:webHidden/>
              </w:rPr>
              <w:fldChar w:fldCharType="end"/>
            </w:r>
          </w:hyperlink>
        </w:p>
        <w:p w:rsidR="00EE1719" w:rsidRDefault="000E39BA">
          <w:pPr>
            <w:pStyle w:val="TOC1"/>
            <w:rPr>
              <w:rFonts w:asciiTheme="minorHAnsi" w:eastAsiaTheme="minorEastAsia" w:hAnsiTheme="minorHAnsi"/>
              <w:bCs w:val="0"/>
              <w:caps w:val="0"/>
              <w:noProof/>
              <w:sz w:val="22"/>
              <w:szCs w:val="22"/>
              <w:lang w:eastAsia="en-GB"/>
            </w:rPr>
          </w:pPr>
          <w:hyperlink w:anchor="_Toc52745513" w:history="1">
            <w:r>
              <w:rPr>
                <w:rStyle w:val="Hyperlink"/>
                <w:noProof/>
              </w:rPr>
              <w:t>5.</w:t>
            </w:r>
            <w:r>
              <w:rPr>
                <w:rFonts w:asciiTheme="minorHAnsi" w:eastAsiaTheme="minorEastAsia" w:hAnsiTheme="minorHAnsi"/>
                <w:bCs w:val="0"/>
                <w:caps w:val="0"/>
                <w:noProof/>
                <w:sz w:val="22"/>
                <w:szCs w:val="22"/>
                <w:lang w:eastAsia="en-GB"/>
              </w:rPr>
              <w:tab/>
            </w:r>
            <w:r>
              <w:rPr>
                <w:rStyle w:val="Hyperlink"/>
                <w:noProof/>
              </w:rPr>
              <w:t>Ability to assume the obligations of membership</w:t>
            </w:r>
            <w:r>
              <w:rPr>
                <w:noProof/>
                <w:webHidden/>
              </w:rPr>
              <w:tab/>
            </w:r>
            <w:r>
              <w:rPr>
                <w:noProof/>
                <w:webHidden/>
              </w:rPr>
              <w:fldChar w:fldCharType="begin"/>
            </w:r>
            <w:r>
              <w:rPr>
                <w:noProof/>
                <w:webHidden/>
              </w:rPr>
              <w:instrText xml:space="preserve"> PAGEREF _Toc52745513 \h </w:instrText>
            </w:r>
            <w:r>
              <w:rPr>
                <w:noProof/>
                <w:webHidden/>
              </w:rPr>
            </w:r>
            <w:r>
              <w:rPr>
                <w:noProof/>
                <w:webHidden/>
              </w:rPr>
              <w:fldChar w:fldCharType="separate"/>
            </w:r>
            <w:r>
              <w:rPr>
                <w:noProof/>
                <w:webHidden/>
              </w:rPr>
              <w:t>62</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14" w:history="1">
            <w:r>
              <w:rPr>
                <w:rStyle w:val="Hyperlink"/>
                <w:noProof/>
              </w:rPr>
              <w:t>5.1.</w:t>
            </w:r>
            <w:r>
              <w:rPr>
                <w:rFonts w:asciiTheme="minorHAnsi" w:eastAsiaTheme="minorEastAsia" w:hAnsiTheme="minorHAnsi" w:cstheme="minorBidi"/>
                <w:bCs w:val="0"/>
                <w:noProof/>
                <w:sz w:val="22"/>
                <w:szCs w:val="22"/>
                <w:lang w:eastAsia="en-GB"/>
              </w:rPr>
              <w:tab/>
            </w:r>
            <w:r>
              <w:rPr>
                <w:rStyle w:val="Hyperlink"/>
                <w:noProof/>
              </w:rPr>
              <w:t>Chapter 1: Free movement of goods</w:t>
            </w:r>
            <w:r>
              <w:rPr>
                <w:noProof/>
                <w:webHidden/>
              </w:rPr>
              <w:tab/>
            </w:r>
            <w:r>
              <w:rPr>
                <w:noProof/>
                <w:webHidden/>
              </w:rPr>
              <w:fldChar w:fldCharType="begin"/>
            </w:r>
            <w:r>
              <w:rPr>
                <w:noProof/>
                <w:webHidden/>
              </w:rPr>
              <w:instrText xml:space="preserve"> PAGEREF _Toc52745514 \h </w:instrText>
            </w:r>
            <w:r>
              <w:rPr>
                <w:noProof/>
                <w:webHidden/>
              </w:rPr>
            </w:r>
            <w:r>
              <w:rPr>
                <w:noProof/>
                <w:webHidden/>
              </w:rPr>
              <w:fldChar w:fldCharType="separate"/>
            </w:r>
            <w:r>
              <w:rPr>
                <w:noProof/>
                <w:webHidden/>
              </w:rPr>
              <w:t>62</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15" w:history="1">
            <w:r>
              <w:rPr>
                <w:rStyle w:val="Hyperlink"/>
                <w:noProof/>
              </w:rPr>
              <w:t>5.2.</w:t>
            </w:r>
            <w:r>
              <w:rPr>
                <w:rFonts w:asciiTheme="minorHAnsi" w:eastAsiaTheme="minorEastAsia" w:hAnsiTheme="minorHAnsi" w:cstheme="minorBidi"/>
                <w:bCs w:val="0"/>
                <w:noProof/>
                <w:sz w:val="22"/>
                <w:szCs w:val="22"/>
                <w:lang w:eastAsia="en-GB"/>
              </w:rPr>
              <w:tab/>
            </w:r>
            <w:r>
              <w:rPr>
                <w:rStyle w:val="Hyperlink"/>
                <w:noProof/>
              </w:rPr>
              <w:t>Chapter 2: Freedom of movement of workers</w:t>
            </w:r>
            <w:r>
              <w:rPr>
                <w:noProof/>
                <w:webHidden/>
              </w:rPr>
              <w:tab/>
            </w:r>
            <w:r>
              <w:rPr>
                <w:noProof/>
                <w:webHidden/>
              </w:rPr>
              <w:fldChar w:fldCharType="begin"/>
            </w:r>
            <w:r>
              <w:rPr>
                <w:noProof/>
                <w:webHidden/>
              </w:rPr>
              <w:instrText xml:space="preserve"> PAGEREF _Toc52745515 \h </w:instrText>
            </w:r>
            <w:r>
              <w:rPr>
                <w:noProof/>
                <w:webHidden/>
              </w:rPr>
            </w:r>
            <w:r>
              <w:rPr>
                <w:noProof/>
                <w:webHidden/>
              </w:rPr>
              <w:fldChar w:fldCharType="separate"/>
            </w:r>
            <w:r>
              <w:rPr>
                <w:noProof/>
                <w:webHidden/>
              </w:rPr>
              <w:t>64</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16" w:history="1">
            <w:r>
              <w:rPr>
                <w:rStyle w:val="Hyperlink"/>
                <w:noProof/>
              </w:rPr>
              <w:t>5.3.</w:t>
            </w:r>
            <w:r>
              <w:rPr>
                <w:rFonts w:asciiTheme="minorHAnsi" w:eastAsiaTheme="minorEastAsia" w:hAnsiTheme="minorHAnsi" w:cstheme="minorBidi"/>
                <w:bCs w:val="0"/>
                <w:noProof/>
                <w:sz w:val="22"/>
                <w:szCs w:val="22"/>
                <w:lang w:eastAsia="en-GB"/>
              </w:rPr>
              <w:tab/>
            </w:r>
            <w:r>
              <w:rPr>
                <w:rStyle w:val="Hyperlink"/>
                <w:noProof/>
              </w:rPr>
              <w:t>Chapter 3: Right of establishment and freedom to provide services</w:t>
            </w:r>
            <w:r>
              <w:rPr>
                <w:noProof/>
                <w:webHidden/>
              </w:rPr>
              <w:tab/>
            </w:r>
            <w:r>
              <w:rPr>
                <w:noProof/>
                <w:webHidden/>
              </w:rPr>
              <w:fldChar w:fldCharType="begin"/>
            </w:r>
            <w:r>
              <w:rPr>
                <w:noProof/>
                <w:webHidden/>
              </w:rPr>
              <w:instrText xml:space="preserve"> PAGEREF _Toc52745516 \h </w:instrText>
            </w:r>
            <w:r>
              <w:rPr>
                <w:noProof/>
                <w:webHidden/>
              </w:rPr>
            </w:r>
            <w:r>
              <w:rPr>
                <w:noProof/>
                <w:webHidden/>
              </w:rPr>
              <w:fldChar w:fldCharType="separate"/>
            </w:r>
            <w:r>
              <w:rPr>
                <w:noProof/>
                <w:webHidden/>
              </w:rPr>
              <w:t>64</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17" w:history="1">
            <w:r>
              <w:rPr>
                <w:rStyle w:val="Hyperlink"/>
                <w:noProof/>
              </w:rPr>
              <w:t>5.4.</w:t>
            </w:r>
            <w:r>
              <w:rPr>
                <w:rFonts w:asciiTheme="minorHAnsi" w:eastAsiaTheme="minorEastAsia" w:hAnsiTheme="minorHAnsi" w:cstheme="minorBidi"/>
                <w:bCs w:val="0"/>
                <w:noProof/>
                <w:sz w:val="22"/>
                <w:szCs w:val="22"/>
                <w:lang w:eastAsia="en-GB"/>
              </w:rPr>
              <w:tab/>
            </w:r>
            <w:r>
              <w:rPr>
                <w:rStyle w:val="Hyperlink"/>
                <w:noProof/>
              </w:rPr>
              <w:t xml:space="preserve"> Chapter 4: Free movement of capital</w:t>
            </w:r>
            <w:r>
              <w:rPr>
                <w:noProof/>
                <w:webHidden/>
              </w:rPr>
              <w:tab/>
            </w:r>
            <w:r>
              <w:rPr>
                <w:noProof/>
                <w:webHidden/>
              </w:rPr>
              <w:fldChar w:fldCharType="begin"/>
            </w:r>
            <w:r>
              <w:rPr>
                <w:noProof/>
                <w:webHidden/>
              </w:rPr>
              <w:instrText xml:space="preserve"> PAGEREF _Toc52745517 \h </w:instrText>
            </w:r>
            <w:r>
              <w:rPr>
                <w:noProof/>
                <w:webHidden/>
              </w:rPr>
            </w:r>
            <w:r>
              <w:rPr>
                <w:noProof/>
                <w:webHidden/>
              </w:rPr>
              <w:fldChar w:fldCharType="separate"/>
            </w:r>
            <w:r>
              <w:rPr>
                <w:noProof/>
                <w:webHidden/>
              </w:rPr>
              <w:t>65</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18" w:history="1">
            <w:r>
              <w:rPr>
                <w:rStyle w:val="Hyperlink"/>
                <w:noProof/>
              </w:rPr>
              <w:t xml:space="preserve">5.5. </w:t>
            </w:r>
            <w:r>
              <w:rPr>
                <w:rFonts w:asciiTheme="minorHAnsi" w:eastAsiaTheme="minorEastAsia" w:hAnsiTheme="minorHAnsi" w:cstheme="minorBidi"/>
                <w:bCs w:val="0"/>
                <w:noProof/>
                <w:sz w:val="22"/>
                <w:szCs w:val="22"/>
                <w:lang w:eastAsia="en-GB"/>
              </w:rPr>
              <w:tab/>
            </w:r>
            <w:r>
              <w:rPr>
                <w:rStyle w:val="Hyperlink"/>
                <w:noProof/>
              </w:rPr>
              <w:t>Chapter 5: Public procurement</w:t>
            </w:r>
            <w:r>
              <w:rPr>
                <w:noProof/>
                <w:webHidden/>
              </w:rPr>
              <w:tab/>
            </w:r>
            <w:r>
              <w:rPr>
                <w:noProof/>
                <w:webHidden/>
              </w:rPr>
              <w:fldChar w:fldCharType="begin"/>
            </w:r>
            <w:r>
              <w:rPr>
                <w:noProof/>
                <w:webHidden/>
              </w:rPr>
              <w:instrText xml:space="preserve"> PAGEREF _Toc52745518 \h </w:instrText>
            </w:r>
            <w:r>
              <w:rPr>
                <w:noProof/>
                <w:webHidden/>
              </w:rPr>
            </w:r>
            <w:r>
              <w:rPr>
                <w:noProof/>
                <w:webHidden/>
              </w:rPr>
              <w:fldChar w:fldCharType="separate"/>
            </w:r>
            <w:r>
              <w:rPr>
                <w:noProof/>
                <w:webHidden/>
              </w:rPr>
              <w:t>67</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19" w:history="1">
            <w:r>
              <w:rPr>
                <w:rStyle w:val="Hyperlink"/>
                <w:noProof/>
              </w:rPr>
              <w:t>5.6.</w:t>
            </w:r>
            <w:r>
              <w:rPr>
                <w:rFonts w:asciiTheme="minorHAnsi" w:eastAsiaTheme="minorEastAsia" w:hAnsiTheme="minorHAnsi" w:cstheme="minorBidi"/>
                <w:bCs w:val="0"/>
                <w:noProof/>
                <w:sz w:val="22"/>
                <w:szCs w:val="22"/>
                <w:lang w:eastAsia="en-GB"/>
              </w:rPr>
              <w:tab/>
            </w:r>
            <w:r>
              <w:rPr>
                <w:rStyle w:val="Hyperlink"/>
                <w:noProof/>
              </w:rPr>
              <w:t>Chapter 6: Company law</w:t>
            </w:r>
            <w:r>
              <w:rPr>
                <w:noProof/>
                <w:webHidden/>
              </w:rPr>
              <w:tab/>
            </w:r>
            <w:r>
              <w:rPr>
                <w:noProof/>
                <w:webHidden/>
              </w:rPr>
              <w:fldChar w:fldCharType="begin"/>
            </w:r>
            <w:r>
              <w:rPr>
                <w:noProof/>
                <w:webHidden/>
              </w:rPr>
              <w:instrText xml:space="preserve"> PAGEREF _Toc52745519 \h </w:instrText>
            </w:r>
            <w:r>
              <w:rPr>
                <w:noProof/>
                <w:webHidden/>
              </w:rPr>
            </w:r>
            <w:r>
              <w:rPr>
                <w:noProof/>
                <w:webHidden/>
              </w:rPr>
              <w:fldChar w:fldCharType="separate"/>
            </w:r>
            <w:r>
              <w:rPr>
                <w:noProof/>
                <w:webHidden/>
              </w:rPr>
              <w:t>69</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20" w:history="1">
            <w:r>
              <w:rPr>
                <w:rStyle w:val="Hyperlink"/>
                <w:noProof/>
              </w:rPr>
              <w:t xml:space="preserve">5.7. </w:t>
            </w:r>
            <w:r>
              <w:rPr>
                <w:rFonts w:asciiTheme="minorHAnsi" w:eastAsiaTheme="minorEastAsia" w:hAnsiTheme="minorHAnsi" w:cstheme="minorBidi"/>
                <w:bCs w:val="0"/>
                <w:noProof/>
                <w:sz w:val="22"/>
                <w:szCs w:val="22"/>
                <w:lang w:eastAsia="en-GB"/>
              </w:rPr>
              <w:tab/>
            </w:r>
            <w:r>
              <w:rPr>
                <w:rStyle w:val="Hyperlink"/>
                <w:noProof/>
              </w:rPr>
              <w:t>Chapter 7: Intellectual property law</w:t>
            </w:r>
            <w:r>
              <w:rPr>
                <w:noProof/>
                <w:webHidden/>
              </w:rPr>
              <w:tab/>
            </w:r>
            <w:r>
              <w:rPr>
                <w:noProof/>
                <w:webHidden/>
              </w:rPr>
              <w:fldChar w:fldCharType="begin"/>
            </w:r>
            <w:r>
              <w:rPr>
                <w:noProof/>
                <w:webHidden/>
              </w:rPr>
              <w:instrText xml:space="preserve"> PAGEREF _Toc52745520 \h </w:instrText>
            </w:r>
            <w:r>
              <w:rPr>
                <w:noProof/>
                <w:webHidden/>
              </w:rPr>
            </w:r>
            <w:r>
              <w:rPr>
                <w:noProof/>
                <w:webHidden/>
              </w:rPr>
              <w:fldChar w:fldCharType="separate"/>
            </w:r>
            <w:r>
              <w:rPr>
                <w:noProof/>
                <w:webHidden/>
              </w:rPr>
              <w:t>70</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21" w:history="1">
            <w:r>
              <w:rPr>
                <w:rStyle w:val="Hyperlink"/>
                <w:noProof/>
              </w:rPr>
              <w:t xml:space="preserve">5.8. </w:t>
            </w:r>
            <w:r>
              <w:rPr>
                <w:rFonts w:asciiTheme="minorHAnsi" w:eastAsiaTheme="minorEastAsia" w:hAnsiTheme="minorHAnsi" w:cstheme="minorBidi"/>
                <w:bCs w:val="0"/>
                <w:noProof/>
                <w:sz w:val="22"/>
                <w:szCs w:val="22"/>
                <w:lang w:eastAsia="en-GB"/>
              </w:rPr>
              <w:tab/>
            </w:r>
            <w:r>
              <w:rPr>
                <w:rStyle w:val="Hyperlink"/>
                <w:noProof/>
              </w:rPr>
              <w:t xml:space="preserve">Chapter 8: </w:t>
            </w:r>
            <w:r>
              <w:rPr>
                <w:rStyle w:val="Hyperlink"/>
                <w:noProof/>
              </w:rPr>
              <w:t>Competition policy</w:t>
            </w:r>
            <w:r>
              <w:rPr>
                <w:noProof/>
                <w:webHidden/>
              </w:rPr>
              <w:tab/>
            </w:r>
            <w:r>
              <w:rPr>
                <w:noProof/>
                <w:webHidden/>
              </w:rPr>
              <w:fldChar w:fldCharType="begin"/>
            </w:r>
            <w:r>
              <w:rPr>
                <w:noProof/>
                <w:webHidden/>
              </w:rPr>
              <w:instrText xml:space="preserve"> PAGEREF _Toc52745521 \h </w:instrText>
            </w:r>
            <w:r>
              <w:rPr>
                <w:noProof/>
                <w:webHidden/>
              </w:rPr>
            </w:r>
            <w:r>
              <w:rPr>
                <w:noProof/>
                <w:webHidden/>
              </w:rPr>
              <w:fldChar w:fldCharType="separate"/>
            </w:r>
            <w:r>
              <w:rPr>
                <w:noProof/>
                <w:webHidden/>
              </w:rPr>
              <w:t>71</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22" w:history="1">
            <w:r>
              <w:rPr>
                <w:rStyle w:val="Hyperlink"/>
                <w:noProof/>
              </w:rPr>
              <w:t>5.9.</w:t>
            </w:r>
            <w:r>
              <w:rPr>
                <w:rFonts w:asciiTheme="minorHAnsi" w:eastAsiaTheme="minorEastAsia" w:hAnsiTheme="minorHAnsi" w:cstheme="minorBidi"/>
                <w:bCs w:val="0"/>
                <w:noProof/>
                <w:sz w:val="22"/>
                <w:szCs w:val="22"/>
                <w:lang w:eastAsia="en-GB"/>
              </w:rPr>
              <w:tab/>
            </w:r>
            <w:r>
              <w:rPr>
                <w:rStyle w:val="Hyperlink"/>
                <w:noProof/>
              </w:rPr>
              <w:t>Chapter 9: Financial services</w:t>
            </w:r>
            <w:r>
              <w:rPr>
                <w:noProof/>
                <w:webHidden/>
              </w:rPr>
              <w:tab/>
            </w:r>
            <w:r>
              <w:rPr>
                <w:noProof/>
                <w:webHidden/>
              </w:rPr>
              <w:fldChar w:fldCharType="begin"/>
            </w:r>
            <w:r>
              <w:rPr>
                <w:noProof/>
                <w:webHidden/>
              </w:rPr>
              <w:instrText xml:space="preserve"> PAGEREF _Toc52745522 \h </w:instrText>
            </w:r>
            <w:r>
              <w:rPr>
                <w:noProof/>
                <w:webHidden/>
              </w:rPr>
            </w:r>
            <w:r>
              <w:rPr>
                <w:noProof/>
                <w:webHidden/>
              </w:rPr>
              <w:fldChar w:fldCharType="separate"/>
            </w:r>
            <w:r>
              <w:rPr>
                <w:noProof/>
                <w:webHidden/>
              </w:rPr>
              <w:t>72</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23" w:history="1">
            <w:r>
              <w:rPr>
                <w:rStyle w:val="Hyperlink"/>
                <w:noProof/>
              </w:rPr>
              <w:t>5.10.</w:t>
            </w:r>
            <w:r>
              <w:rPr>
                <w:rFonts w:asciiTheme="minorHAnsi" w:eastAsiaTheme="minorEastAsia" w:hAnsiTheme="minorHAnsi" w:cstheme="minorBidi"/>
                <w:bCs w:val="0"/>
                <w:noProof/>
                <w:sz w:val="22"/>
                <w:szCs w:val="22"/>
                <w:lang w:eastAsia="en-GB"/>
              </w:rPr>
              <w:tab/>
            </w:r>
            <w:r>
              <w:rPr>
                <w:rStyle w:val="Hyperlink"/>
                <w:noProof/>
              </w:rPr>
              <w:t xml:space="preserve"> Chapter 10: Information society and media</w:t>
            </w:r>
            <w:r>
              <w:rPr>
                <w:noProof/>
                <w:webHidden/>
              </w:rPr>
              <w:tab/>
            </w:r>
            <w:r>
              <w:rPr>
                <w:noProof/>
                <w:webHidden/>
              </w:rPr>
              <w:fldChar w:fldCharType="begin"/>
            </w:r>
            <w:r>
              <w:rPr>
                <w:noProof/>
                <w:webHidden/>
              </w:rPr>
              <w:instrText xml:space="preserve"> PAGEREF _Toc52745523 \h </w:instrText>
            </w:r>
            <w:r>
              <w:rPr>
                <w:noProof/>
                <w:webHidden/>
              </w:rPr>
            </w:r>
            <w:r>
              <w:rPr>
                <w:noProof/>
                <w:webHidden/>
              </w:rPr>
              <w:fldChar w:fldCharType="separate"/>
            </w:r>
            <w:r>
              <w:rPr>
                <w:noProof/>
                <w:webHidden/>
              </w:rPr>
              <w:t>74</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24" w:history="1">
            <w:r>
              <w:rPr>
                <w:rStyle w:val="Hyperlink"/>
                <w:noProof/>
              </w:rPr>
              <w:t xml:space="preserve">5.11. </w:t>
            </w:r>
            <w:r>
              <w:rPr>
                <w:rFonts w:asciiTheme="minorHAnsi" w:eastAsiaTheme="minorEastAsia" w:hAnsiTheme="minorHAnsi" w:cstheme="minorBidi"/>
                <w:bCs w:val="0"/>
                <w:noProof/>
                <w:sz w:val="22"/>
                <w:szCs w:val="22"/>
                <w:lang w:eastAsia="en-GB"/>
              </w:rPr>
              <w:tab/>
            </w:r>
            <w:r>
              <w:rPr>
                <w:rStyle w:val="Hyperlink"/>
                <w:noProof/>
              </w:rPr>
              <w:t>Chapter 11: Agricultu</w:t>
            </w:r>
            <w:r>
              <w:rPr>
                <w:rStyle w:val="Hyperlink"/>
                <w:noProof/>
              </w:rPr>
              <w:t>re and rural development</w:t>
            </w:r>
            <w:r>
              <w:rPr>
                <w:noProof/>
                <w:webHidden/>
              </w:rPr>
              <w:tab/>
            </w:r>
            <w:r>
              <w:rPr>
                <w:noProof/>
                <w:webHidden/>
              </w:rPr>
              <w:fldChar w:fldCharType="begin"/>
            </w:r>
            <w:r>
              <w:rPr>
                <w:noProof/>
                <w:webHidden/>
              </w:rPr>
              <w:instrText xml:space="preserve"> PAGEREF _Toc52745524 \h </w:instrText>
            </w:r>
            <w:r>
              <w:rPr>
                <w:noProof/>
                <w:webHidden/>
              </w:rPr>
            </w:r>
            <w:r>
              <w:rPr>
                <w:noProof/>
                <w:webHidden/>
              </w:rPr>
              <w:fldChar w:fldCharType="separate"/>
            </w:r>
            <w:r>
              <w:rPr>
                <w:noProof/>
                <w:webHidden/>
              </w:rPr>
              <w:t>75</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25" w:history="1">
            <w:r>
              <w:rPr>
                <w:rStyle w:val="Hyperlink"/>
                <w:noProof/>
              </w:rPr>
              <w:t xml:space="preserve">5.12. </w:t>
            </w:r>
            <w:r>
              <w:rPr>
                <w:rFonts w:asciiTheme="minorHAnsi" w:eastAsiaTheme="minorEastAsia" w:hAnsiTheme="minorHAnsi" w:cstheme="minorBidi"/>
                <w:bCs w:val="0"/>
                <w:noProof/>
                <w:sz w:val="22"/>
                <w:szCs w:val="22"/>
                <w:lang w:eastAsia="en-GB"/>
              </w:rPr>
              <w:tab/>
            </w:r>
            <w:r>
              <w:rPr>
                <w:rStyle w:val="Hyperlink"/>
                <w:noProof/>
              </w:rPr>
              <w:t>Chapter 12: Food safety, veterinary and phytosanitary policy</w:t>
            </w:r>
            <w:r>
              <w:rPr>
                <w:noProof/>
                <w:webHidden/>
              </w:rPr>
              <w:tab/>
            </w:r>
            <w:r>
              <w:rPr>
                <w:noProof/>
                <w:webHidden/>
              </w:rPr>
              <w:fldChar w:fldCharType="begin"/>
            </w:r>
            <w:r>
              <w:rPr>
                <w:noProof/>
                <w:webHidden/>
              </w:rPr>
              <w:instrText xml:space="preserve"> PAGEREF _Toc52745525 \h </w:instrText>
            </w:r>
            <w:r>
              <w:rPr>
                <w:noProof/>
                <w:webHidden/>
              </w:rPr>
            </w:r>
            <w:r>
              <w:rPr>
                <w:noProof/>
                <w:webHidden/>
              </w:rPr>
              <w:fldChar w:fldCharType="separate"/>
            </w:r>
            <w:r>
              <w:rPr>
                <w:noProof/>
                <w:webHidden/>
              </w:rPr>
              <w:t>77</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26" w:history="1">
            <w:r>
              <w:rPr>
                <w:rStyle w:val="Hyperlink"/>
                <w:noProof/>
              </w:rPr>
              <w:t xml:space="preserve">5.13. </w:t>
            </w:r>
            <w:r>
              <w:rPr>
                <w:rFonts w:asciiTheme="minorHAnsi" w:eastAsiaTheme="minorEastAsia" w:hAnsiTheme="minorHAnsi" w:cstheme="minorBidi"/>
                <w:bCs w:val="0"/>
                <w:noProof/>
                <w:sz w:val="22"/>
                <w:szCs w:val="22"/>
                <w:lang w:eastAsia="en-GB"/>
              </w:rPr>
              <w:tab/>
            </w:r>
            <w:r>
              <w:rPr>
                <w:rStyle w:val="Hyperlink"/>
                <w:noProof/>
              </w:rPr>
              <w:t>Chapter 13: Fisheries</w:t>
            </w:r>
            <w:r>
              <w:rPr>
                <w:noProof/>
                <w:webHidden/>
              </w:rPr>
              <w:tab/>
            </w:r>
            <w:r>
              <w:rPr>
                <w:noProof/>
                <w:webHidden/>
              </w:rPr>
              <w:fldChar w:fldCharType="begin"/>
            </w:r>
            <w:r>
              <w:rPr>
                <w:noProof/>
                <w:webHidden/>
              </w:rPr>
              <w:instrText xml:space="preserve"> PAGEREF _Toc52745526 \h </w:instrText>
            </w:r>
            <w:r>
              <w:rPr>
                <w:noProof/>
                <w:webHidden/>
              </w:rPr>
            </w:r>
            <w:r>
              <w:rPr>
                <w:noProof/>
                <w:webHidden/>
              </w:rPr>
              <w:fldChar w:fldCharType="separate"/>
            </w:r>
            <w:r>
              <w:rPr>
                <w:noProof/>
                <w:webHidden/>
              </w:rPr>
              <w:t>78</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27" w:history="1">
            <w:r>
              <w:rPr>
                <w:rStyle w:val="Hyperlink"/>
                <w:noProof/>
              </w:rPr>
              <w:t>5.14</w:t>
            </w:r>
            <w:r>
              <w:rPr>
                <w:rStyle w:val="Hyperlink"/>
                <w:noProof/>
              </w:rPr>
              <w:t xml:space="preserve">. </w:t>
            </w:r>
            <w:r>
              <w:rPr>
                <w:rFonts w:asciiTheme="minorHAnsi" w:eastAsiaTheme="minorEastAsia" w:hAnsiTheme="minorHAnsi" w:cstheme="minorBidi"/>
                <w:bCs w:val="0"/>
                <w:noProof/>
                <w:sz w:val="22"/>
                <w:szCs w:val="22"/>
                <w:lang w:eastAsia="en-GB"/>
              </w:rPr>
              <w:tab/>
            </w:r>
            <w:r>
              <w:rPr>
                <w:rStyle w:val="Hyperlink"/>
                <w:noProof/>
              </w:rPr>
              <w:t>Chapter 14: Transport</w:t>
            </w:r>
            <w:r>
              <w:rPr>
                <w:noProof/>
                <w:webHidden/>
              </w:rPr>
              <w:tab/>
            </w:r>
            <w:r>
              <w:rPr>
                <w:noProof/>
                <w:webHidden/>
              </w:rPr>
              <w:fldChar w:fldCharType="begin"/>
            </w:r>
            <w:r>
              <w:rPr>
                <w:noProof/>
                <w:webHidden/>
              </w:rPr>
              <w:instrText xml:space="preserve"> PAGEREF _Toc52745527 \h </w:instrText>
            </w:r>
            <w:r>
              <w:rPr>
                <w:noProof/>
                <w:webHidden/>
              </w:rPr>
            </w:r>
            <w:r>
              <w:rPr>
                <w:noProof/>
                <w:webHidden/>
              </w:rPr>
              <w:fldChar w:fldCharType="separate"/>
            </w:r>
            <w:r>
              <w:rPr>
                <w:noProof/>
                <w:webHidden/>
              </w:rPr>
              <w:t>79</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28" w:history="1">
            <w:r>
              <w:rPr>
                <w:rStyle w:val="Hyperlink"/>
                <w:noProof/>
              </w:rPr>
              <w:t xml:space="preserve">5.15. </w:t>
            </w:r>
            <w:r>
              <w:rPr>
                <w:rFonts w:asciiTheme="minorHAnsi" w:eastAsiaTheme="minorEastAsia" w:hAnsiTheme="minorHAnsi" w:cstheme="minorBidi"/>
                <w:bCs w:val="0"/>
                <w:noProof/>
                <w:sz w:val="22"/>
                <w:szCs w:val="22"/>
                <w:lang w:eastAsia="en-GB"/>
              </w:rPr>
              <w:tab/>
            </w:r>
            <w:r>
              <w:rPr>
                <w:rStyle w:val="Hyperlink"/>
                <w:noProof/>
              </w:rPr>
              <w:t>Chapter 15: Energy</w:t>
            </w:r>
            <w:r>
              <w:rPr>
                <w:noProof/>
                <w:webHidden/>
              </w:rPr>
              <w:tab/>
            </w:r>
            <w:r>
              <w:rPr>
                <w:noProof/>
                <w:webHidden/>
              </w:rPr>
              <w:fldChar w:fldCharType="begin"/>
            </w:r>
            <w:r>
              <w:rPr>
                <w:noProof/>
                <w:webHidden/>
              </w:rPr>
              <w:instrText xml:space="preserve"> PAGEREF _Toc52745528 \h </w:instrText>
            </w:r>
            <w:r>
              <w:rPr>
                <w:noProof/>
                <w:webHidden/>
              </w:rPr>
            </w:r>
            <w:r>
              <w:rPr>
                <w:noProof/>
                <w:webHidden/>
              </w:rPr>
              <w:fldChar w:fldCharType="separate"/>
            </w:r>
            <w:r>
              <w:rPr>
                <w:noProof/>
                <w:webHidden/>
              </w:rPr>
              <w:t>81</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29" w:history="1">
            <w:r>
              <w:rPr>
                <w:rStyle w:val="Hyperlink"/>
                <w:noProof/>
              </w:rPr>
              <w:t xml:space="preserve">5.16. </w:t>
            </w:r>
            <w:r>
              <w:rPr>
                <w:rFonts w:asciiTheme="minorHAnsi" w:eastAsiaTheme="minorEastAsia" w:hAnsiTheme="minorHAnsi" w:cstheme="minorBidi"/>
                <w:bCs w:val="0"/>
                <w:noProof/>
                <w:sz w:val="22"/>
                <w:szCs w:val="22"/>
                <w:lang w:eastAsia="en-GB"/>
              </w:rPr>
              <w:tab/>
            </w:r>
            <w:r>
              <w:rPr>
                <w:rStyle w:val="Hyperlink"/>
                <w:noProof/>
              </w:rPr>
              <w:t>Chapter 16: Taxation</w:t>
            </w:r>
            <w:r>
              <w:rPr>
                <w:noProof/>
                <w:webHidden/>
              </w:rPr>
              <w:tab/>
            </w:r>
            <w:r>
              <w:rPr>
                <w:noProof/>
                <w:webHidden/>
              </w:rPr>
              <w:fldChar w:fldCharType="begin"/>
            </w:r>
            <w:r>
              <w:rPr>
                <w:noProof/>
                <w:webHidden/>
              </w:rPr>
              <w:instrText xml:space="preserve"> PAGEREF _Toc52745529 \h </w:instrText>
            </w:r>
            <w:r>
              <w:rPr>
                <w:noProof/>
                <w:webHidden/>
              </w:rPr>
            </w:r>
            <w:r>
              <w:rPr>
                <w:noProof/>
                <w:webHidden/>
              </w:rPr>
              <w:fldChar w:fldCharType="separate"/>
            </w:r>
            <w:r>
              <w:rPr>
                <w:noProof/>
                <w:webHidden/>
              </w:rPr>
              <w:t>84</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30" w:history="1">
            <w:r>
              <w:rPr>
                <w:rStyle w:val="Hyperlink"/>
                <w:noProof/>
              </w:rPr>
              <w:t>5.17.</w:t>
            </w:r>
            <w:r>
              <w:rPr>
                <w:rFonts w:asciiTheme="minorHAnsi" w:eastAsiaTheme="minorEastAsia" w:hAnsiTheme="minorHAnsi" w:cstheme="minorBidi"/>
                <w:bCs w:val="0"/>
                <w:noProof/>
                <w:sz w:val="22"/>
                <w:szCs w:val="22"/>
                <w:lang w:eastAsia="en-GB"/>
              </w:rPr>
              <w:tab/>
            </w:r>
            <w:r>
              <w:rPr>
                <w:rStyle w:val="Hyperlink"/>
                <w:noProof/>
              </w:rPr>
              <w:t>Chapter 17: Economic and monetary policy</w:t>
            </w:r>
            <w:r>
              <w:rPr>
                <w:noProof/>
                <w:webHidden/>
              </w:rPr>
              <w:tab/>
            </w:r>
            <w:r>
              <w:rPr>
                <w:noProof/>
                <w:webHidden/>
              </w:rPr>
              <w:fldChar w:fldCharType="begin"/>
            </w:r>
            <w:r>
              <w:rPr>
                <w:noProof/>
                <w:webHidden/>
              </w:rPr>
              <w:instrText xml:space="preserve"> PAGEREF _Toc52745530 \h </w:instrText>
            </w:r>
            <w:r>
              <w:rPr>
                <w:noProof/>
                <w:webHidden/>
              </w:rPr>
            </w:r>
            <w:r>
              <w:rPr>
                <w:noProof/>
                <w:webHidden/>
              </w:rPr>
              <w:fldChar w:fldCharType="separate"/>
            </w:r>
            <w:r>
              <w:rPr>
                <w:noProof/>
                <w:webHidden/>
              </w:rPr>
              <w:t>85</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31" w:history="1">
            <w:r>
              <w:rPr>
                <w:rStyle w:val="Hyperlink"/>
                <w:noProof/>
              </w:rPr>
              <w:t xml:space="preserve">5.18. </w:t>
            </w:r>
            <w:r>
              <w:rPr>
                <w:rFonts w:asciiTheme="minorHAnsi" w:eastAsiaTheme="minorEastAsia" w:hAnsiTheme="minorHAnsi" w:cstheme="minorBidi"/>
                <w:bCs w:val="0"/>
                <w:noProof/>
                <w:sz w:val="22"/>
                <w:szCs w:val="22"/>
                <w:lang w:eastAsia="en-GB"/>
              </w:rPr>
              <w:tab/>
            </w:r>
            <w:r>
              <w:rPr>
                <w:rStyle w:val="Hyperlink"/>
                <w:noProof/>
              </w:rPr>
              <w:t>Chapter 18: Statistics</w:t>
            </w:r>
            <w:r>
              <w:rPr>
                <w:noProof/>
                <w:webHidden/>
              </w:rPr>
              <w:tab/>
            </w:r>
            <w:r>
              <w:rPr>
                <w:noProof/>
                <w:webHidden/>
              </w:rPr>
              <w:fldChar w:fldCharType="begin"/>
            </w:r>
            <w:r>
              <w:rPr>
                <w:noProof/>
                <w:webHidden/>
              </w:rPr>
              <w:instrText xml:space="preserve"> PAGEREF _Toc52745531 \h </w:instrText>
            </w:r>
            <w:r>
              <w:rPr>
                <w:noProof/>
                <w:webHidden/>
              </w:rPr>
            </w:r>
            <w:r>
              <w:rPr>
                <w:noProof/>
                <w:webHidden/>
              </w:rPr>
              <w:fldChar w:fldCharType="separate"/>
            </w:r>
            <w:r>
              <w:rPr>
                <w:noProof/>
                <w:webHidden/>
              </w:rPr>
              <w:t>86</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32" w:history="1">
            <w:r>
              <w:rPr>
                <w:rStyle w:val="Hyperlink"/>
                <w:noProof/>
              </w:rPr>
              <w:t xml:space="preserve">5.19. </w:t>
            </w:r>
            <w:r>
              <w:rPr>
                <w:rFonts w:asciiTheme="minorHAnsi" w:eastAsiaTheme="minorEastAsia" w:hAnsiTheme="minorHAnsi" w:cstheme="minorBidi"/>
                <w:bCs w:val="0"/>
                <w:noProof/>
                <w:sz w:val="22"/>
                <w:szCs w:val="22"/>
                <w:lang w:eastAsia="en-GB"/>
              </w:rPr>
              <w:tab/>
            </w:r>
            <w:r>
              <w:rPr>
                <w:rStyle w:val="Hyperlink"/>
                <w:noProof/>
              </w:rPr>
              <w:t>Chapter 19: Social policy and employment</w:t>
            </w:r>
            <w:r>
              <w:rPr>
                <w:noProof/>
                <w:webHidden/>
              </w:rPr>
              <w:tab/>
            </w:r>
            <w:r>
              <w:rPr>
                <w:noProof/>
                <w:webHidden/>
              </w:rPr>
              <w:fldChar w:fldCharType="begin"/>
            </w:r>
            <w:r>
              <w:rPr>
                <w:noProof/>
                <w:webHidden/>
              </w:rPr>
              <w:instrText xml:space="preserve"> PAGEREF _Toc52745532 \h </w:instrText>
            </w:r>
            <w:r>
              <w:rPr>
                <w:noProof/>
                <w:webHidden/>
              </w:rPr>
            </w:r>
            <w:r>
              <w:rPr>
                <w:noProof/>
                <w:webHidden/>
              </w:rPr>
              <w:fldChar w:fldCharType="separate"/>
            </w:r>
            <w:r>
              <w:rPr>
                <w:noProof/>
                <w:webHidden/>
              </w:rPr>
              <w:t>88</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33" w:history="1">
            <w:r>
              <w:rPr>
                <w:rStyle w:val="Hyperlink"/>
                <w:noProof/>
              </w:rPr>
              <w:t xml:space="preserve">5.20. </w:t>
            </w:r>
            <w:r>
              <w:rPr>
                <w:rFonts w:asciiTheme="minorHAnsi" w:eastAsiaTheme="minorEastAsia" w:hAnsiTheme="minorHAnsi" w:cstheme="minorBidi"/>
                <w:bCs w:val="0"/>
                <w:noProof/>
                <w:sz w:val="22"/>
                <w:szCs w:val="22"/>
                <w:lang w:eastAsia="en-GB"/>
              </w:rPr>
              <w:tab/>
            </w:r>
            <w:r>
              <w:rPr>
                <w:rStyle w:val="Hyperlink"/>
                <w:noProof/>
              </w:rPr>
              <w:t>Chapter 20: Enterprise and industrial policy</w:t>
            </w:r>
            <w:r>
              <w:rPr>
                <w:noProof/>
                <w:webHidden/>
              </w:rPr>
              <w:tab/>
            </w:r>
            <w:r>
              <w:rPr>
                <w:noProof/>
                <w:webHidden/>
              </w:rPr>
              <w:fldChar w:fldCharType="begin"/>
            </w:r>
            <w:r>
              <w:rPr>
                <w:noProof/>
                <w:webHidden/>
              </w:rPr>
              <w:instrText xml:space="preserve"> PAG</w:instrText>
            </w:r>
            <w:r>
              <w:rPr>
                <w:noProof/>
                <w:webHidden/>
              </w:rPr>
              <w:instrText xml:space="preserve">EREF _Toc52745533 \h </w:instrText>
            </w:r>
            <w:r>
              <w:rPr>
                <w:noProof/>
                <w:webHidden/>
              </w:rPr>
            </w:r>
            <w:r>
              <w:rPr>
                <w:noProof/>
                <w:webHidden/>
              </w:rPr>
              <w:fldChar w:fldCharType="separate"/>
            </w:r>
            <w:r>
              <w:rPr>
                <w:noProof/>
                <w:webHidden/>
              </w:rPr>
              <w:t>93</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34" w:history="1">
            <w:r>
              <w:rPr>
                <w:rStyle w:val="Hyperlink"/>
                <w:rFonts w:eastAsiaTheme="majorEastAsia"/>
                <w:noProof/>
              </w:rPr>
              <w:t xml:space="preserve">5.21. </w:t>
            </w:r>
            <w:r>
              <w:rPr>
                <w:rFonts w:asciiTheme="minorHAnsi" w:eastAsiaTheme="minorEastAsia" w:hAnsiTheme="minorHAnsi" w:cstheme="minorBidi"/>
                <w:bCs w:val="0"/>
                <w:noProof/>
                <w:sz w:val="22"/>
                <w:szCs w:val="22"/>
                <w:lang w:eastAsia="en-GB"/>
              </w:rPr>
              <w:tab/>
            </w:r>
            <w:r>
              <w:rPr>
                <w:rStyle w:val="Hyperlink"/>
                <w:rFonts w:eastAsiaTheme="majorEastAsia"/>
                <w:noProof/>
              </w:rPr>
              <w:t>Chapter 21: Trans-European networks</w:t>
            </w:r>
            <w:r>
              <w:rPr>
                <w:noProof/>
                <w:webHidden/>
              </w:rPr>
              <w:tab/>
            </w:r>
            <w:r>
              <w:rPr>
                <w:noProof/>
                <w:webHidden/>
              </w:rPr>
              <w:fldChar w:fldCharType="begin"/>
            </w:r>
            <w:r>
              <w:rPr>
                <w:noProof/>
                <w:webHidden/>
              </w:rPr>
              <w:instrText xml:space="preserve"> PAGEREF _Toc52745534 \h </w:instrText>
            </w:r>
            <w:r>
              <w:rPr>
                <w:noProof/>
                <w:webHidden/>
              </w:rPr>
            </w:r>
            <w:r>
              <w:rPr>
                <w:noProof/>
                <w:webHidden/>
              </w:rPr>
              <w:fldChar w:fldCharType="separate"/>
            </w:r>
            <w:r>
              <w:rPr>
                <w:noProof/>
                <w:webHidden/>
              </w:rPr>
              <w:t>96</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35" w:history="1">
            <w:r>
              <w:rPr>
                <w:rStyle w:val="Hyperlink"/>
                <w:rFonts w:eastAsiaTheme="majorEastAsia"/>
                <w:noProof/>
              </w:rPr>
              <w:t xml:space="preserve">5.22. </w:t>
            </w:r>
            <w:r>
              <w:rPr>
                <w:rFonts w:asciiTheme="minorHAnsi" w:eastAsiaTheme="minorEastAsia" w:hAnsiTheme="minorHAnsi" w:cstheme="minorBidi"/>
                <w:bCs w:val="0"/>
                <w:noProof/>
                <w:sz w:val="22"/>
                <w:szCs w:val="22"/>
                <w:lang w:eastAsia="en-GB"/>
              </w:rPr>
              <w:tab/>
            </w:r>
            <w:r>
              <w:rPr>
                <w:rStyle w:val="Hyperlink"/>
                <w:rFonts w:eastAsiaTheme="majorEastAsia"/>
                <w:noProof/>
              </w:rPr>
              <w:t>Chapter 22: Regional policy and coordination of structural instruments</w:t>
            </w:r>
            <w:r>
              <w:rPr>
                <w:noProof/>
                <w:webHidden/>
              </w:rPr>
              <w:tab/>
            </w:r>
            <w:r>
              <w:rPr>
                <w:noProof/>
                <w:webHidden/>
              </w:rPr>
              <w:fldChar w:fldCharType="begin"/>
            </w:r>
            <w:r>
              <w:rPr>
                <w:noProof/>
                <w:webHidden/>
              </w:rPr>
              <w:instrText xml:space="preserve"> PAGEREF _Toc52745535 \h </w:instrText>
            </w:r>
            <w:r>
              <w:rPr>
                <w:noProof/>
                <w:webHidden/>
              </w:rPr>
            </w:r>
            <w:r>
              <w:rPr>
                <w:noProof/>
                <w:webHidden/>
              </w:rPr>
              <w:fldChar w:fldCharType="separate"/>
            </w:r>
            <w:r>
              <w:rPr>
                <w:noProof/>
                <w:webHidden/>
              </w:rPr>
              <w:t>98</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36" w:history="1">
            <w:r>
              <w:rPr>
                <w:rStyle w:val="Hyperlink"/>
                <w:rFonts w:eastAsiaTheme="majorEastAsia"/>
                <w:noProof/>
              </w:rPr>
              <w:t xml:space="preserve">5.25. </w:t>
            </w:r>
            <w:r>
              <w:rPr>
                <w:rFonts w:asciiTheme="minorHAnsi" w:eastAsiaTheme="minorEastAsia" w:hAnsiTheme="minorHAnsi" w:cstheme="minorBidi"/>
                <w:bCs w:val="0"/>
                <w:noProof/>
                <w:sz w:val="22"/>
                <w:szCs w:val="22"/>
                <w:lang w:eastAsia="en-GB"/>
              </w:rPr>
              <w:tab/>
            </w:r>
            <w:r>
              <w:rPr>
                <w:rStyle w:val="Hyperlink"/>
                <w:rFonts w:eastAsiaTheme="majorEastAsia"/>
                <w:noProof/>
              </w:rPr>
              <w:t>Chapter 25: Science and research</w:t>
            </w:r>
            <w:r>
              <w:rPr>
                <w:noProof/>
                <w:webHidden/>
              </w:rPr>
              <w:tab/>
            </w:r>
            <w:r>
              <w:rPr>
                <w:noProof/>
                <w:webHidden/>
              </w:rPr>
              <w:fldChar w:fldCharType="begin"/>
            </w:r>
            <w:r>
              <w:rPr>
                <w:noProof/>
                <w:webHidden/>
              </w:rPr>
              <w:instrText xml:space="preserve"> PAGEREF _Toc52745536 \h </w:instrText>
            </w:r>
            <w:r>
              <w:rPr>
                <w:noProof/>
                <w:webHidden/>
              </w:rPr>
            </w:r>
            <w:r>
              <w:rPr>
                <w:noProof/>
                <w:webHidden/>
              </w:rPr>
              <w:fldChar w:fldCharType="separate"/>
            </w:r>
            <w:r>
              <w:rPr>
                <w:noProof/>
                <w:webHidden/>
              </w:rPr>
              <w:t>99</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37" w:history="1">
            <w:r>
              <w:rPr>
                <w:rStyle w:val="Hyperlink"/>
                <w:rFonts w:eastAsiaTheme="majorEastAsia"/>
                <w:noProof/>
              </w:rPr>
              <w:t>5.26.</w:t>
            </w:r>
            <w:r>
              <w:rPr>
                <w:rFonts w:asciiTheme="minorHAnsi" w:eastAsiaTheme="minorEastAsia" w:hAnsiTheme="minorHAnsi" w:cstheme="minorBidi"/>
                <w:bCs w:val="0"/>
                <w:noProof/>
                <w:sz w:val="22"/>
                <w:szCs w:val="22"/>
                <w:lang w:eastAsia="en-GB"/>
              </w:rPr>
              <w:tab/>
            </w:r>
            <w:r>
              <w:rPr>
                <w:rStyle w:val="Hyperlink"/>
                <w:rFonts w:eastAsiaTheme="majorEastAsia"/>
                <w:noProof/>
              </w:rPr>
              <w:t xml:space="preserve"> Chapter 26: Education and culture</w:t>
            </w:r>
            <w:r>
              <w:rPr>
                <w:noProof/>
                <w:webHidden/>
              </w:rPr>
              <w:tab/>
            </w:r>
            <w:r>
              <w:rPr>
                <w:noProof/>
                <w:webHidden/>
              </w:rPr>
              <w:fldChar w:fldCharType="begin"/>
            </w:r>
            <w:r>
              <w:rPr>
                <w:noProof/>
                <w:webHidden/>
              </w:rPr>
              <w:instrText xml:space="preserve"> PAGEREF _Toc52745537 \h </w:instrText>
            </w:r>
            <w:r>
              <w:rPr>
                <w:noProof/>
                <w:webHidden/>
              </w:rPr>
            </w:r>
            <w:r>
              <w:rPr>
                <w:noProof/>
                <w:webHidden/>
              </w:rPr>
              <w:fldChar w:fldCharType="separate"/>
            </w:r>
            <w:r>
              <w:rPr>
                <w:noProof/>
                <w:webHidden/>
              </w:rPr>
              <w:t>100</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38" w:history="1">
            <w:r>
              <w:rPr>
                <w:rStyle w:val="Hyperlink"/>
                <w:noProof/>
              </w:rPr>
              <w:t xml:space="preserve">5.27. </w:t>
            </w:r>
            <w:r>
              <w:rPr>
                <w:rFonts w:asciiTheme="minorHAnsi" w:eastAsiaTheme="minorEastAsia" w:hAnsiTheme="minorHAnsi" w:cstheme="minorBidi"/>
                <w:bCs w:val="0"/>
                <w:noProof/>
                <w:sz w:val="22"/>
                <w:szCs w:val="22"/>
                <w:lang w:eastAsia="en-GB"/>
              </w:rPr>
              <w:tab/>
            </w:r>
            <w:r>
              <w:rPr>
                <w:rStyle w:val="Hyperlink"/>
                <w:noProof/>
              </w:rPr>
              <w:t>Chapter 27: Environment and climate change</w:t>
            </w:r>
            <w:r>
              <w:rPr>
                <w:noProof/>
                <w:webHidden/>
              </w:rPr>
              <w:tab/>
            </w:r>
            <w:r>
              <w:rPr>
                <w:noProof/>
                <w:webHidden/>
              </w:rPr>
              <w:fldChar w:fldCharType="begin"/>
            </w:r>
            <w:r>
              <w:rPr>
                <w:noProof/>
                <w:webHidden/>
              </w:rPr>
              <w:instrText xml:space="preserve"> PAGEREF _Toc52745538 \h </w:instrText>
            </w:r>
            <w:r>
              <w:rPr>
                <w:noProof/>
                <w:webHidden/>
              </w:rPr>
            </w:r>
            <w:r>
              <w:rPr>
                <w:noProof/>
                <w:webHidden/>
              </w:rPr>
              <w:fldChar w:fldCharType="separate"/>
            </w:r>
            <w:r>
              <w:rPr>
                <w:noProof/>
                <w:webHidden/>
              </w:rPr>
              <w:t>104</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39" w:history="1">
            <w:r>
              <w:rPr>
                <w:rStyle w:val="Hyperlink"/>
                <w:noProof/>
              </w:rPr>
              <w:t xml:space="preserve">5.28. </w:t>
            </w:r>
            <w:r>
              <w:rPr>
                <w:rFonts w:asciiTheme="minorHAnsi" w:eastAsiaTheme="minorEastAsia" w:hAnsiTheme="minorHAnsi" w:cstheme="minorBidi"/>
                <w:bCs w:val="0"/>
                <w:noProof/>
                <w:sz w:val="22"/>
                <w:szCs w:val="22"/>
                <w:lang w:eastAsia="en-GB"/>
              </w:rPr>
              <w:tab/>
            </w:r>
            <w:r>
              <w:rPr>
                <w:rStyle w:val="Hyperlink"/>
                <w:noProof/>
              </w:rPr>
              <w:t>Chapter 28: Consumer and health protection</w:t>
            </w:r>
            <w:r>
              <w:rPr>
                <w:noProof/>
                <w:webHidden/>
              </w:rPr>
              <w:tab/>
            </w:r>
            <w:r>
              <w:rPr>
                <w:noProof/>
                <w:webHidden/>
              </w:rPr>
              <w:fldChar w:fldCharType="begin"/>
            </w:r>
            <w:r>
              <w:rPr>
                <w:noProof/>
                <w:webHidden/>
              </w:rPr>
              <w:instrText xml:space="preserve"> PAGEREF _Toc52745539 \h </w:instrText>
            </w:r>
            <w:r>
              <w:rPr>
                <w:noProof/>
                <w:webHidden/>
              </w:rPr>
            </w:r>
            <w:r>
              <w:rPr>
                <w:noProof/>
                <w:webHidden/>
              </w:rPr>
              <w:fldChar w:fldCharType="separate"/>
            </w:r>
            <w:r>
              <w:rPr>
                <w:noProof/>
                <w:webHidden/>
              </w:rPr>
              <w:t>107</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40" w:history="1">
            <w:r>
              <w:rPr>
                <w:rStyle w:val="Hyperlink"/>
                <w:noProof/>
              </w:rPr>
              <w:t xml:space="preserve">5.29. </w:t>
            </w:r>
            <w:r>
              <w:rPr>
                <w:rFonts w:asciiTheme="minorHAnsi" w:eastAsiaTheme="minorEastAsia" w:hAnsiTheme="minorHAnsi" w:cstheme="minorBidi"/>
                <w:bCs w:val="0"/>
                <w:noProof/>
                <w:sz w:val="22"/>
                <w:szCs w:val="22"/>
                <w:lang w:eastAsia="en-GB"/>
              </w:rPr>
              <w:tab/>
            </w:r>
            <w:r>
              <w:rPr>
                <w:rStyle w:val="Hyperlink"/>
                <w:noProof/>
              </w:rPr>
              <w:t>Chapter 29: Customs union</w:t>
            </w:r>
            <w:r>
              <w:rPr>
                <w:noProof/>
                <w:webHidden/>
              </w:rPr>
              <w:tab/>
            </w:r>
            <w:r>
              <w:rPr>
                <w:noProof/>
                <w:webHidden/>
              </w:rPr>
              <w:fldChar w:fldCharType="begin"/>
            </w:r>
            <w:r>
              <w:rPr>
                <w:noProof/>
                <w:webHidden/>
              </w:rPr>
              <w:instrText xml:space="preserve"> PAGEREF _Toc52745540 \h </w:instrText>
            </w:r>
            <w:r>
              <w:rPr>
                <w:noProof/>
                <w:webHidden/>
              </w:rPr>
            </w:r>
            <w:r>
              <w:rPr>
                <w:noProof/>
                <w:webHidden/>
              </w:rPr>
              <w:fldChar w:fldCharType="separate"/>
            </w:r>
            <w:r>
              <w:rPr>
                <w:noProof/>
                <w:webHidden/>
              </w:rPr>
              <w:t>109</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41" w:history="1">
            <w:r>
              <w:rPr>
                <w:rStyle w:val="Hyperlink"/>
                <w:noProof/>
              </w:rPr>
              <w:t xml:space="preserve">5.30. </w:t>
            </w:r>
            <w:r>
              <w:rPr>
                <w:rFonts w:asciiTheme="minorHAnsi" w:eastAsiaTheme="minorEastAsia" w:hAnsiTheme="minorHAnsi" w:cstheme="minorBidi"/>
                <w:bCs w:val="0"/>
                <w:noProof/>
                <w:sz w:val="22"/>
                <w:szCs w:val="22"/>
                <w:lang w:eastAsia="en-GB"/>
              </w:rPr>
              <w:tab/>
            </w:r>
            <w:r>
              <w:rPr>
                <w:rStyle w:val="Hyperlink"/>
                <w:noProof/>
              </w:rPr>
              <w:t>Chapter 30: External relations</w:t>
            </w:r>
            <w:r>
              <w:rPr>
                <w:noProof/>
                <w:webHidden/>
              </w:rPr>
              <w:tab/>
            </w:r>
            <w:r>
              <w:rPr>
                <w:noProof/>
                <w:webHidden/>
              </w:rPr>
              <w:fldChar w:fldCharType="begin"/>
            </w:r>
            <w:r>
              <w:rPr>
                <w:noProof/>
                <w:webHidden/>
              </w:rPr>
              <w:instrText xml:space="preserve"> PAGEREF _Toc52745541 \h </w:instrText>
            </w:r>
            <w:r>
              <w:rPr>
                <w:noProof/>
                <w:webHidden/>
              </w:rPr>
            </w:r>
            <w:r>
              <w:rPr>
                <w:noProof/>
                <w:webHidden/>
              </w:rPr>
              <w:fldChar w:fldCharType="separate"/>
            </w:r>
            <w:r>
              <w:rPr>
                <w:noProof/>
                <w:webHidden/>
              </w:rPr>
              <w:t>110</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42" w:history="1">
            <w:r>
              <w:rPr>
                <w:rStyle w:val="Hyperlink"/>
                <w:noProof/>
              </w:rPr>
              <w:t xml:space="preserve">5.31. </w:t>
            </w:r>
            <w:r>
              <w:rPr>
                <w:rFonts w:asciiTheme="minorHAnsi" w:eastAsiaTheme="minorEastAsia" w:hAnsiTheme="minorHAnsi" w:cstheme="minorBidi"/>
                <w:bCs w:val="0"/>
                <w:noProof/>
                <w:sz w:val="22"/>
                <w:szCs w:val="22"/>
                <w:lang w:eastAsia="en-GB"/>
              </w:rPr>
              <w:tab/>
            </w:r>
            <w:r>
              <w:rPr>
                <w:rStyle w:val="Hyperlink"/>
                <w:noProof/>
              </w:rPr>
              <w:t>Chapter 31: Foreign, security and defence policy</w:t>
            </w:r>
            <w:r>
              <w:rPr>
                <w:noProof/>
                <w:webHidden/>
              </w:rPr>
              <w:tab/>
            </w:r>
            <w:r>
              <w:rPr>
                <w:noProof/>
                <w:webHidden/>
              </w:rPr>
              <w:fldChar w:fldCharType="begin"/>
            </w:r>
            <w:r>
              <w:rPr>
                <w:noProof/>
                <w:webHidden/>
              </w:rPr>
              <w:instrText xml:space="preserve"> PAGEREF _Toc52745542 \h </w:instrText>
            </w:r>
            <w:r>
              <w:rPr>
                <w:noProof/>
                <w:webHidden/>
              </w:rPr>
            </w:r>
            <w:r>
              <w:rPr>
                <w:noProof/>
                <w:webHidden/>
              </w:rPr>
              <w:fldChar w:fldCharType="separate"/>
            </w:r>
            <w:r>
              <w:rPr>
                <w:noProof/>
                <w:webHidden/>
              </w:rPr>
              <w:t>112</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43" w:history="1">
            <w:r>
              <w:rPr>
                <w:rStyle w:val="Hyperlink"/>
                <w:noProof/>
              </w:rPr>
              <w:t xml:space="preserve">5.32. </w:t>
            </w:r>
            <w:r>
              <w:rPr>
                <w:rFonts w:asciiTheme="minorHAnsi" w:eastAsiaTheme="minorEastAsia" w:hAnsiTheme="minorHAnsi" w:cstheme="minorBidi"/>
                <w:bCs w:val="0"/>
                <w:noProof/>
                <w:sz w:val="22"/>
                <w:szCs w:val="22"/>
                <w:lang w:eastAsia="en-GB"/>
              </w:rPr>
              <w:tab/>
            </w:r>
            <w:r>
              <w:rPr>
                <w:rStyle w:val="Hyperlink"/>
                <w:noProof/>
              </w:rPr>
              <w:t>Chapter 32: Financial control</w:t>
            </w:r>
            <w:r>
              <w:rPr>
                <w:noProof/>
                <w:webHidden/>
              </w:rPr>
              <w:tab/>
            </w:r>
            <w:r>
              <w:rPr>
                <w:noProof/>
                <w:webHidden/>
              </w:rPr>
              <w:fldChar w:fldCharType="begin"/>
            </w:r>
            <w:r>
              <w:rPr>
                <w:noProof/>
                <w:webHidden/>
              </w:rPr>
              <w:instrText xml:space="preserve"> PAGEREF _Toc52745543 \h </w:instrText>
            </w:r>
            <w:r>
              <w:rPr>
                <w:noProof/>
                <w:webHidden/>
              </w:rPr>
            </w:r>
            <w:r>
              <w:rPr>
                <w:noProof/>
                <w:webHidden/>
              </w:rPr>
              <w:fldChar w:fldCharType="separate"/>
            </w:r>
            <w:r>
              <w:rPr>
                <w:noProof/>
                <w:webHidden/>
              </w:rPr>
              <w:t>114</w:t>
            </w:r>
            <w:r>
              <w:rPr>
                <w:noProof/>
                <w:webHidden/>
              </w:rPr>
              <w:fldChar w:fldCharType="end"/>
            </w:r>
          </w:hyperlink>
        </w:p>
        <w:p w:rsidR="00EE1719" w:rsidRDefault="000E39BA">
          <w:pPr>
            <w:pStyle w:val="TOC2"/>
            <w:rPr>
              <w:rFonts w:asciiTheme="minorHAnsi" w:eastAsiaTheme="minorEastAsia" w:hAnsiTheme="minorHAnsi" w:cstheme="minorBidi"/>
              <w:bCs w:val="0"/>
              <w:noProof/>
              <w:sz w:val="22"/>
              <w:szCs w:val="22"/>
              <w:lang w:eastAsia="en-GB"/>
            </w:rPr>
          </w:pPr>
          <w:hyperlink w:anchor="_Toc52745544" w:history="1">
            <w:r>
              <w:rPr>
                <w:rStyle w:val="Hyperlink"/>
                <w:noProof/>
              </w:rPr>
              <w:t xml:space="preserve">5.33. </w:t>
            </w:r>
            <w:r>
              <w:rPr>
                <w:rFonts w:asciiTheme="minorHAnsi" w:eastAsiaTheme="minorEastAsia" w:hAnsiTheme="minorHAnsi" w:cstheme="minorBidi"/>
                <w:bCs w:val="0"/>
                <w:noProof/>
                <w:sz w:val="22"/>
                <w:szCs w:val="22"/>
                <w:lang w:eastAsia="en-GB"/>
              </w:rPr>
              <w:tab/>
            </w:r>
            <w:r>
              <w:rPr>
                <w:rStyle w:val="Hyperlink"/>
                <w:noProof/>
              </w:rPr>
              <w:t>Chapter 33: Financial and budgetary provisions</w:t>
            </w:r>
            <w:r>
              <w:rPr>
                <w:noProof/>
                <w:webHidden/>
              </w:rPr>
              <w:tab/>
            </w:r>
            <w:r>
              <w:rPr>
                <w:noProof/>
                <w:webHidden/>
              </w:rPr>
              <w:fldChar w:fldCharType="begin"/>
            </w:r>
            <w:r>
              <w:rPr>
                <w:noProof/>
                <w:webHidden/>
              </w:rPr>
              <w:instrText xml:space="preserve"> PAGEREF _Toc52745544 \h </w:instrText>
            </w:r>
            <w:r>
              <w:rPr>
                <w:noProof/>
                <w:webHidden/>
              </w:rPr>
            </w:r>
            <w:r>
              <w:rPr>
                <w:noProof/>
                <w:webHidden/>
              </w:rPr>
              <w:fldChar w:fldCharType="separate"/>
            </w:r>
            <w:r>
              <w:rPr>
                <w:noProof/>
                <w:webHidden/>
              </w:rPr>
              <w:t>116</w:t>
            </w:r>
            <w:r>
              <w:rPr>
                <w:noProof/>
                <w:webHidden/>
              </w:rPr>
              <w:fldChar w:fldCharType="end"/>
            </w:r>
          </w:hyperlink>
        </w:p>
        <w:p w:rsidR="00EE1719" w:rsidRDefault="000E39BA">
          <w:pPr>
            <w:pStyle w:val="TOC1"/>
            <w:rPr>
              <w:rFonts w:asciiTheme="minorHAnsi" w:eastAsiaTheme="minorEastAsia" w:hAnsiTheme="minorHAnsi"/>
              <w:bCs w:val="0"/>
              <w:caps w:val="0"/>
              <w:noProof/>
              <w:sz w:val="22"/>
              <w:szCs w:val="22"/>
              <w:lang w:eastAsia="en-GB"/>
            </w:rPr>
          </w:pPr>
          <w:hyperlink w:anchor="_Toc52745545" w:history="1">
            <w:r>
              <w:rPr>
                <w:rStyle w:val="Hyperlink"/>
                <w:noProof/>
              </w:rPr>
              <w:t>Annex I – Relations between the EU and Albania</w:t>
            </w:r>
            <w:r>
              <w:rPr>
                <w:noProof/>
                <w:webHidden/>
              </w:rPr>
              <w:tab/>
            </w:r>
            <w:r>
              <w:rPr>
                <w:noProof/>
                <w:webHidden/>
              </w:rPr>
              <w:fldChar w:fldCharType="begin"/>
            </w:r>
            <w:r>
              <w:rPr>
                <w:noProof/>
                <w:webHidden/>
              </w:rPr>
              <w:instrText xml:space="preserve"> PAGEREF _Toc52745545 \h </w:instrText>
            </w:r>
            <w:r>
              <w:rPr>
                <w:noProof/>
                <w:webHidden/>
              </w:rPr>
            </w:r>
            <w:r>
              <w:rPr>
                <w:noProof/>
                <w:webHidden/>
              </w:rPr>
              <w:fldChar w:fldCharType="separate"/>
            </w:r>
            <w:r>
              <w:rPr>
                <w:noProof/>
                <w:webHidden/>
              </w:rPr>
              <w:t>118</w:t>
            </w:r>
            <w:r>
              <w:rPr>
                <w:noProof/>
                <w:webHidden/>
              </w:rPr>
              <w:fldChar w:fldCharType="end"/>
            </w:r>
          </w:hyperlink>
        </w:p>
        <w:p w:rsidR="00EE1719" w:rsidRDefault="000E39BA">
          <w:pPr>
            <w:rPr>
              <w:noProof/>
            </w:rPr>
          </w:pPr>
          <w:r>
            <w:rPr>
              <w:b/>
              <w:bCs/>
              <w:noProof/>
            </w:rPr>
            <w:fldChar w:fldCharType="end"/>
          </w:r>
        </w:p>
      </w:sdtContent>
    </w:sdt>
    <w:p w:rsidR="00EE1719" w:rsidRDefault="000E39BA">
      <w:pPr>
        <w:spacing w:after="160" w:line="259" w:lineRule="auto"/>
        <w:rPr>
          <w:rFonts w:ascii="Times New Roman" w:eastAsia="Arial Unicode MS" w:hAnsi="Times New Roman" w:cs="Times New Roman"/>
          <w:noProof/>
          <w:color w:val="000000" w:themeColor="text1"/>
          <w:sz w:val="24"/>
          <w:szCs w:val="24"/>
          <w:lang w:eastAsia="ar-SA"/>
        </w:rPr>
      </w:pPr>
      <w:r>
        <w:rPr>
          <w:rFonts w:ascii="Times New Roman" w:eastAsia="Arial Unicode MS" w:hAnsi="Times New Roman" w:cs="Times New Roman"/>
          <w:noProof/>
          <w:color w:val="000000" w:themeColor="text1"/>
          <w:sz w:val="24"/>
          <w:szCs w:val="24"/>
          <w:lang w:eastAsia="ar-SA"/>
        </w:rPr>
        <w:br w:type="page"/>
      </w:r>
    </w:p>
    <w:p w:rsidR="00EE1719" w:rsidRDefault="000E39BA">
      <w:pPr>
        <w:pStyle w:val="Heading1"/>
      </w:pPr>
      <w:bookmarkStart w:id="2" w:name="_Toc52745500"/>
      <w:r>
        <w:lastRenderedPageBreak/>
        <w:t>1.</w:t>
      </w:r>
      <w:r>
        <w:tab/>
        <w:t>Introduction</w:t>
      </w:r>
      <w:bookmarkEnd w:id="2"/>
      <w:r>
        <w:t xml:space="preserve"> </w:t>
      </w:r>
    </w:p>
    <w:p w:rsidR="00EE1719" w:rsidRDefault="000E39BA">
      <w:pPr>
        <w:pStyle w:val="Heading2"/>
      </w:pPr>
      <w:bookmarkStart w:id="3" w:name="_Toc52745501"/>
      <w:r>
        <w:t>1.1.</w:t>
      </w:r>
      <w:r>
        <w:tab/>
        <w:t>Context</w:t>
      </w:r>
      <w:bookmarkEnd w:id="3"/>
      <w:r>
        <w:t xml:space="preserve"> </w:t>
      </w:r>
    </w:p>
    <w:p w:rsidR="00EE1719" w:rsidRDefault="000E39BA">
      <w:pPr>
        <w:pStyle w:val="ListParagraph"/>
        <w:spacing w:after="120" w:line="240" w:lineRule="auto"/>
        <w:ind w:left="0"/>
        <w:contextualSpacing w:val="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Albania has continued to implement the Stabilisation and Association Agreement and the meetings of the joint bodies under the agreement took place. In April 2018, the Commission issued its first recommendation inviting the Council to decide that accession </w:t>
      </w:r>
      <w:r>
        <w:rPr>
          <w:rFonts w:ascii="Times New Roman" w:hAnsi="Times New Roman" w:cs="Times New Roman"/>
          <w:noProof/>
          <w:color w:val="000000" w:themeColor="text1"/>
          <w:sz w:val="24"/>
          <w:szCs w:val="24"/>
        </w:rPr>
        <w:t>negotiations be opened with Albania. In its June 2018 Conclusions, the Council acknowledged the progress achieved by Albania and set out the path towards opening accession negotiations in June 2019. In line with the Council Conclusions, the Commission star</w:t>
      </w:r>
      <w:r>
        <w:rPr>
          <w:rFonts w:ascii="Times New Roman" w:hAnsi="Times New Roman" w:cs="Times New Roman"/>
          <w:noProof/>
          <w:color w:val="000000" w:themeColor="text1"/>
          <w:sz w:val="24"/>
          <w:szCs w:val="24"/>
        </w:rPr>
        <w:t xml:space="preserve">ted the preparatory work, including through the technical explanation of chapters of the EU </w:t>
      </w:r>
      <w:r>
        <w:rPr>
          <w:rFonts w:ascii="Times New Roman" w:hAnsi="Times New Roman" w:cs="Times New Roman"/>
          <w:i/>
          <w:noProof/>
          <w:color w:val="000000" w:themeColor="text1"/>
          <w:sz w:val="24"/>
          <w:szCs w:val="24"/>
        </w:rPr>
        <w:t>acquis</w:t>
      </w:r>
      <w:r>
        <w:rPr>
          <w:rFonts w:ascii="Times New Roman" w:hAnsi="Times New Roman" w:cs="Times New Roman"/>
          <w:noProof/>
          <w:color w:val="000000" w:themeColor="text1"/>
          <w:sz w:val="24"/>
          <w:szCs w:val="24"/>
        </w:rPr>
        <w:t xml:space="preserve">. In light of the significant progress achieved and the conditions set unanimously by the Council in June 2018 being met, the Commission recommended again in </w:t>
      </w:r>
      <w:r>
        <w:rPr>
          <w:rFonts w:ascii="Times New Roman" w:hAnsi="Times New Roman" w:cs="Times New Roman"/>
          <w:noProof/>
          <w:color w:val="000000" w:themeColor="text1"/>
          <w:sz w:val="24"/>
          <w:szCs w:val="24"/>
        </w:rPr>
        <w:t>May 2019 to open accession negotiations with the country. In June 2019, the Council postponed the decision to October 2019. The European Council then decided to ‘revert to the issue of enlargement before the EU-Western Balkans summit in Zagreb in May 2020’</w:t>
      </w:r>
      <w:r>
        <w:rPr>
          <w:rFonts w:ascii="Times New Roman" w:hAnsi="Times New Roman" w:cs="Times New Roman"/>
          <w:noProof/>
          <w:color w:val="000000" w:themeColor="text1"/>
          <w:sz w:val="24"/>
          <w:szCs w:val="24"/>
        </w:rPr>
        <w:t xml:space="preserve">. </w:t>
      </w:r>
    </w:p>
    <w:p w:rsidR="00EE1719" w:rsidRDefault="000E39BA">
      <w:pPr>
        <w:pStyle w:val="ListParagraph"/>
        <w:spacing w:after="120" w:line="240" w:lineRule="auto"/>
        <w:ind w:left="0"/>
        <w:contextualSpacing w:val="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Commission has continued to monitor thoroughly developments in Albania. The country has continued to implement reforms related to the EU agenda. On 26 November 2019, Albania was hit by a devastating earthquake of a magnitude of 6.3 Richter. Despite </w:t>
      </w:r>
      <w:r>
        <w:rPr>
          <w:rFonts w:ascii="Times New Roman" w:hAnsi="Times New Roman" w:cs="Times New Roman"/>
          <w:noProof/>
          <w:color w:val="000000" w:themeColor="text1"/>
          <w:sz w:val="24"/>
          <w:szCs w:val="24"/>
        </w:rPr>
        <w:t>the challenge of dealing with the emergency situation, the Albanian authorities have maintained a constant, strong public political commitment to the country’s strategic goal of European integration. Overall, Albania has increased its efforts and delivered</w:t>
      </w:r>
      <w:r>
        <w:rPr>
          <w:rFonts w:ascii="Times New Roman" w:hAnsi="Times New Roman" w:cs="Times New Roman"/>
          <w:noProof/>
          <w:color w:val="000000" w:themeColor="text1"/>
          <w:sz w:val="24"/>
          <w:szCs w:val="24"/>
        </w:rPr>
        <w:t xml:space="preserve"> further tangible and sustainable results in the key areas identified in the Council Conclusions of June 2018. Consequently, in its update on Albania published in March 2020</w:t>
      </w:r>
      <w:r>
        <w:rPr>
          <w:rStyle w:val="FootnoteReference"/>
          <w:rFonts w:ascii="Times New Roman" w:hAnsi="Times New Roman" w:cs="Times New Roman"/>
          <w:noProof/>
          <w:color w:val="000000" w:themeColor="text1"/>
          <w:sz w:val="24"/>
          <w:szCs w:val="24"/>
        </w:rPr>
        <w:footnoteReference w:id="1"/>
      </w:r>
      <w:r>
        <w:rPr>
          <w:rFonts w:ascii="Times New Roman" w:hAnsi="Times New Roman" w:cs="Times New Roman"/>
          <w:noProof/>
          <w:color w:val="000000" w:themeColor="text1"/>
          <w:sz w:val="24"/>
          <w:szCs w:val="24"/>
        </w:rPr>
        <w:t>, the Commission confirmed that the bases of its 2019 recommendation to open acces</w:t>
      </w:r>
      <w:r>
        <w:rPr>
          <w:rFonts w:ascii="Times New Roman" w:hAnsi="Times New Roman" w:cs="Times New Roman"/>
          <w:noProof/>
          <w:color w:val="000000" w:themeColor="text1"/>
          <w:sz w:val="24"/>
          <w:szCs w:val="24"/>
        </w:rPr>
        <w:t>sion negotiations with Albania remain valid. On this basis, on 25 March 2020, the Council decided – and European leaders endorsed this decision on 26 March 2020 – to open accession negotiations with Albania and tasked the Commission to report on a number o</w:t>
      </w:r>
      <w:r>
        <w:rPr>
          <w:rFonts w:ascii="Times New Roman" w:hAnsi="Times New Roman" w:cs="Times New Roman"/>
          <w:noProof/>
          <w:color w:val="000000" w:themeColor="text1"/>
          <w:sz w:val="24"/>
          <w:szCs w:val="24"/>
        </w:rPr>
        <w:t>f issues to be addressed by Albania prior to the first Inter-governmental Conference, including progress regarding the track record</w:t>
      </w:r>
      <w:r>
        <w:rPr>
          <w:rStyle w:val="FootnoteReference"/>
          <w:rFonts w:ascii="Times New Roman" w:hAnsi="Times New Roman" w:cs="Times New Roman"/>
          <w:noProof/>
          <w:color w:val="000000" w:themeColor="text1"/>
          <w:sz w:val="24"/>
          <w:szCs w:val="24"/>
        </w:rPr>
        <w:footnoteReference w:id="2"/>
      </w:r>
      <w:r>
        <w:rPr>
          <w:rFonts w:ascii="Times New Roman" w:hAnsi="Times New Roman" w:cs="Times New Roman"/>
          <w:noProof/>
          <w:color w:val="000000" w:themeColor="text1"/>
          <w:sz w:val="24"/>
          <w:szCs w:val="24"/>
        </w:rPr>
        <w:t>. The present Report also serves the purpose of reporting on the Council Conclusions on the conditions identified with regar</w:t>
      </w:r>
      <w:r>
        <w:rPr>
          <w:rFonts w:ascii="Times New Roman" w:hAnsi="Times New Roman" w:cs="Times New Roman"/>
          <w:noProof/>
          <w:color w:val="000000" w:themeColor="text1"/>
          <w:sz w:val="24"/>
          <w:szCs w:val="24"/>
        </w:rPr>
        <w:t xml:space="preserve">ds to the first Inter-governmental Conference (IGC) as well as other important priorities and the issues to be reflected in the Negotiating Framework. </w:t>
      </w:r>
    </w:p>
    <w:p w:rsidR="00EE1719" w:rsidRDefault="000E39BA">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COVID-19 pandemic is a global shock that has not spared the Western Balkans. It represents an unprec</w:t>
      </w:r>
      <w:r>
        <w:rPr>
          <w:rFonts w:ascii="Times New Roman" w:hAnsi="Times New Roman" w:cs="Times New Roman"/>
          <w:noProof/>
          <w:color w:val="000000" w:themeColor="text1"/>
          <w:sz w:val="24"/>
          <w:szCs w:val="24"/>
        </w:rPr>
        <w:t>edented burden on their health and social protection systems. The final extent of its footprint in terms of loss of human lives and damage to the economies is still difficult to assess, but early Commission estimates foresee a drop of between 4 and 6% of G</w:t>
      </w:r>
      <w:r>
        <w:rPr>
          <w:rFonts w:ascii="Times New Roman" w:hAnsi="Times New Roman" w:cs="Times New Roman"/>
          <w:noProof/>
          <w:color w:val="000000" w:themeColor="text1"/>
          <w:sz w:val="24"/>
          <w:szCs w:val="24"/>
        </w:rPr>
        <w:t xml:space="preserve">ross Domestic Product (GDP) in the region. Thousands of citizens are at risk of losing their jobs, and temporary government support measures (unemployment benefits, deferrals/waivers to tax and social security contributions, etc.) have an important fiscal </w:t>
      </w:r>
      <w:r>
        <w:rPr>
          <w:rFonts w:ascii="Times New Roman" w:hAnsi="Times New Roman" w:cs="Times New Roman"/>
          <w:noProof/>
          <w:color w:val="000000" w:themeColor="text1"/>
          <w:sz w:val="24"/>
          <w:szCs w:val="24"/>
        </w:rPr>
        <w:t xml:space="preserve">impact. </w:t>
      </w:r>
    </w:p>
    <w:p w:rsidR="00EE1719" w:rsidRDefault="000E39BA">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While the EU is itself heavily affected by the pandemic, it has spared no time and effort to provide essential and unparalleled support to the Western Balkans. This includes financial support of more than EUR 3.3 billion for countries in the </w:t>
      </w:r>
      <w:r>
        <w:rPr>
          <w:rFonts w:ascii="Times New Roman" w:hAnsi="Times New Roman" w:cs="Times New Roman"/>
          <w:noProof/>
          <w:color w:val="000000" w:themeColor="text1"/>
          <w:sz w:val="24"/>
          <w:szCs w:val="24"/>
        </w:rPr>
        <w:t>region to address the immediate health crisis and resulting humanitarian needs, as well as longer term and structural impact on their societies and economies. Given the European perspective of the Western Balkans, the EU is also treating the region as priv</w:t>
      </w:r>
      <w:r>
        <w:rPr>
          <w:rFonts w:ascii="Times New Roman" w:hAnsi="Times New Roman" w:cs="Times New Roman"/>
          <w:noProof/>
          <w:color w:val="000000" w:themeColor="text1"/>
          <w:sz w:val="24"/>
          <w:szCs w:val="24"/>
        </w:rPr>
        <w:t xml:space="preserve">ileged partners by associating them with the Union’s mechanisms and instruments. These include the Health Security Committee, Joint Procurement Agreements, Union Civil Protection Mechanism, Solidarity Fund, consular assistance in repatriation or exemption </w:t>
      </w:r>
      <w:r>
        <w:rPr>
          <w:rFonts w:ascii="Times New Roman" w:hAnsi="Times New Roman" w:cs="Times New Roman"/>
          <w:noProof/>
          <w:color w:val="000000" w:themeColor="text1"/>
          <w:sz w:val="24"/>
          <w:szCs w:val="24"/>
        </w:rPr>
        <w:t>from temporary EU export restrictions of medical equipment. These and other measures have provided immediate relief and are a clear message of the EU’s political commitment towards the region.</w:t>
      </w:r>
    </w:p>
    <w:p w:rsidR="00EE1719" w:rsidRDefault="000E39BA">
      <w:pPr>
        <w:pStyle w:val="Default"/>
        <w:spacing w:after="120"/>
        <w:jc w:val="both"/>
        <w:rPr>
          <w:rFonts w:eastAsia="Calibri"/>
          <w:noProof/>
          <w:color w:val="000000" w:themeColor="text1"/>
        </w:rPr>
      </w:pPr>
      <w:r>
        <w:rPr>
          <w:rFonts w:eastAsia="Calibri"/>
          <w:noProof/>
          <w:color w:val="000000" w:themeColor="text1"/>
        </w:rPr>
        <w:lastRenderedPageBreak/>
        <w:t>As of March 2020, the government reacted swiftly to the COVID-1</w:t>
      </w:r>
      <w:r>
        <w:rPr>
          <w:rFonts w:eastAsia="Calibri"/>
          <w:noProof/>
          <w:color w:val="000000" w:themeColor="text1"/>
        </w:rPr>
        <w:t xml:space="preserve">9 pandemic and took stringent measures thus managing the crisis with limited human and financial loss. It issued a series of decrees subsequently endorsed by the Parliament. The State of Emergency for Natural Disaster, put in place after the November 2019 </w:t>
      </w:r>
      <w:r>
        <w:rPr>
          <w:rFonts w:eastAsia="Calibri"/>
          <w:noProof/>
          <w:color w:val="000000" w:themeColor="text1"/>
        </w:rPr>
        <w:t xml:space="preserve">earthquake, was extended until June 2020. The authorities notified a derogation from the obligations under certain articles of the Convention for the Protection of Human and Fundamental Freedoms. </w:t>
      </w:r>
    </w:p>
    <w:p w:rsidR="00EE1719" w:rsidRDefault="000E39BA">
      <w:pPr>
        <w:pStyle w:val="Default"/>
        <w:spacing w:after="120"/>
        <w:jc w:val="both"/>
        <w:rPr>
          <w:noProof/>
          <w:color w:val="000000" w:themeColor="text1"/>
        </w:rPr>
      </w:pPr>
      <w:r>
        <w:rPr>
          <w:noProof/>
          <w:color w:val="000000" w:themeColor="text1"/>
        </w:rPr>
        <w:t>The European Commission recommended that emergency measures</w:t>
      </w:r>
      <w:r>
        <w:rPr>
          <w:noProof/>
          <w:color w:val="000000" w:themeColor="text1"/>
        </w:rPr>
        <w:t xml:space="preserve"> taken in the context of the COVID-19 pandemic are proportionate, restricted to what is necessary and limited in time so that rule of law and democratic and human rights standards are respected.</w:t>
      </w:r>
    </w:p>
    <w:p w:rsidR="00EE1719" w:rsidRDefault="000E39BA">
      <w:pPr>
        <w:pStyle w:val="Default"/>
        <w:spacing w:after="120"/>
        <w:jc w:val="both"/>
        <w:rPr>
          <w:rFonts w:eastAsia="Calibri"/>
          <w:noProof/>
          <w:color w:val="000000" w:themeColor="text1"/>
        </w:rPr>
      </w:pPr>
      <w:r>
        <w:rPr>
          <w:rFonts w:eastAsia="Calibri"/>
          <w:noProof/>
          <w:color w:val="000000" w:themeColor="text1"/>
        </w:rPr>
        <w:t>As of 18 May 2020 the government lifted lockdown measures. Al</w:t>
      </w:r>
      <w:r>
        <w:rPr>
          <w:rFonts w:eastAsia="Calibri"/>
          <w:noProof/>
          <w:color w:val="000000" w:themeColor="text1"/>
        </w:rPr>
        <w:t>l public and economic activities are open, except public transport, sports activities, schools and mass gathering activities. As of 1 June 2020 all movements in all territory are free without time limitations. All borders with the neighbouring countries ar</w:t>
      </w:r>
      <w:r>
        <w:rPr>
          <w:rFonts w:eastAsia="Calibri"/>
          <w:noProof/>
          <w:color w:val="000000" w:themeColor="text1"/>
        </w:rPr>
        <w:t>e open. No quarantine is required for persons entering in the country. Quarantine is implemented only for specific cases recommended by the health authorities in the country or protocols issued/approved by the EU Infections Control.</w:t>
      </w:r>
    </w:p>
    <w:p w:rsidR="00EE1719" w:rsidRDefault="000E39BA">
      <w:pPr>
        <w:pStyle w:val="Heading2"/>
      </w:pPr>
      <w:bookmarkStart w:id="4" w:name="_Toc52745502"/>
      <w:r>
        <w:t>1.2.</w:t>
      </w:r>
      <w:r>
        <w:tab/>
        <w:t>Summary of the rep</w:t>
      </w:r>
      <w:r>
        <w:t>ort</w:t>
      </w:r>
      <w:bookmarkEnd w:id="4"/>
      <w:r>
        <w:t xml:space="preserve"> </w:t>
      </w:r>
    </w:p>
    <w:p w:rsidR="00EE1719" w:rsidRDefault="000E39BA">
      <w:pPr>
        <w:spacing w:after="120" w:line="240" w:lineRule="auto"/>
        <w:jc w:val="both"/>
        <w:rPr>
          <w:noProof/>
        </w:rPr>
      </w:pPr>
      <w:r>
        <w:rPr>
          <w:rFonts w:ascii="Times New Roman" w:hAnsi="Times New Roman" w:cs="Times New Roman"/>
          <w:noProof/>
          <w:color w:val="000000" w:themeColor="text1"/>
          <w:sz w:val="24"/>
          <w:szCs w:val="24"/>
        </w:rPr>
        <w:t xml:space="preserve">As regards the </w:t>
      </w:r>
      <w:r>
        <w:rPr>
          <w:rFonts w:ascii="Times New Roman" w:hAnsi="Times New Roman" w:cs="Times New Roman"/>
          <w:b/>
          <w:noProof/>
          <w:color w:val="000000" w:themeColor="text1"/>
          <w:sz w:val="24"/>
          <w:szCs w:val="24"/>
        </w:rPr>
        <w:t>political criteria</w:t>
      </w:r>
      <w:r>
        <w:rPr>
          <w:rFonts w:ascii="Times New Roman" w:hAnsi="Times New Roman" w:cs="Times New Roman"/>
          <w:noProof/>
          <w:color w:val="000000" w:themeColor="text1"/>
          <w:sz w:val="24"/>
          <w:szCs w:val="24"/>
        </w:rPr>
        <w:t>, the political environment in Albania continued to be marked by intense polarisation. Parliamentary activities were affected by the opposition relinquishing their mandates. Institutional continuity was still ensured t</w:t>
      </w:r>
      <w:r>
        <w:rPr>
          <w:rFonts w:ascii="Times New Roman" w:hAnsi="Times New Roman" w:cs="Times New Roman"/>
          <w:noProof/>
          <w:color w:val="000000" w:themeColor="text1"/>
          <w:sz w:val="24"/>
          <w:szCs w:val="24"/>
        </w:rPr>
        <w:t>hrough gradual filling of vacant parliamentary seats. At the end of the reporting period, the Assembly had 122 out of 140 members. The opposition decided to boycott the 30 June 2019 local elections. These were held, while the President had issued a decisio</w:t>
      </w:r>
      <w:r>
        <w:rPr>
          <w:rFonts w:ascii="Times New Roman" w:hAnsi="Times New Roman" w:cs="Times New Roman"/>
          <w:noProof/>
          <w:color w:val="000000" w:themeColor="text1"/>
          <w:sz w:val="24"/>
          <w:szCs w:val="24"/>
        </w:rPr>
        <w:t xml:space="preserve">n to postpone the vote to October. The Parliament initiated an impeachment procedure on the President that was finalised in late July 2020. The </w:t>
      </w:r>
      <w:r>
        <w:rPr>
          <w:rFonts w:ascii="Times New Roman" w:hAnsi="Times New Roman" w:cs="Times New Roman"/>
          <w:i/>
          <w:noProof/>
          <w:color w:val="000000" w:themeColor="text1"/>
          <w:sz w:val="24"/>
          <w:szCs w:val="24"/>
        </w:rPr>
        <w:t>ad hoc</w:t>
      </w:r>
      <w:r>
        <w:rPr>
          <w:rFonts w:ascii="Times New Roman" w:hAnsi="Times New Roman" w:cs="Times New Roman"/>
          <w:noProof/>
          <w:color w:val="000000" w:themeColor="text1"/>
          <w:sz w:val="24"/>
          <w:szCs w:val="24"/>
        </w:rPr>
        <w:t xml:space="preserve"> inquiry committee of the Parliament concluded that while the President had overstepped his Constitutional</w:t>
      </w:r>
      <w:r>
        <w:rPr>
          <w:rFonts w:ascii="Times New Roman" w:hAnsi="Times New Roman" w:cs="Times New Roman"/>
          <w:noProof/>
          <w:color w:val="000000" w:themeColor="text1"/>
          <w:sz w:val="24"/>
          <w:szCs w:val="24"/>
        </w:rPr>
        <w:t xml:space="preserve"> competences, the violations did not justify his impeachment. The country's political stalemate saw an opening in January 2020, when the ruling majority and the parliamentary and extra-parliamentary opposition reached an agreement to take forward the </w:t>
      </w:r>
      <w:r>
        <w:rPr>
          <w:rFonts w:ascii="Times New Roman" w:hAnsi="Times New Roman" w:cs="Times New Roman"/>
          <w:i/>
          <w:noProof/>
          <w:color w:val="000000" w:themeColor="text1"/>
          <w:sz w:val="24"/>
          <w:szCs w:val="24"/>
        </w:rPr>
        <w:t>elect</w:t>
      </w:r>
      <w:r>
        <w:rPr>
          <w:rFonts w:ascii="Times New Roman" w:hAnsi="Times New Roman" w:cs="Times New Roman"/>
          <w:i/>
          <w:noProof/>
          <w:color w:val="000000" w:themeColor="text1"/>
          <w:sz w:val="24"/>
          <w:szCs w:val="24"/>
        </w:rPr>
        <w:t>oral reform</w:t>
      </w:r>
      <w:r>
        <w:rPr>
          <w:rFonts w:ascii="Times New Roman" w:hAnsi="Times New Roman" w:cs="Times New Roman"/>
          <w:noProof/>
          <w:color w:val="000000" w:themeColor="text1"/>
          <w:sz w:val="24"/>
          <w:szCs w:val="24"/>
        </w:rPr>
        <w:t>, by establishing a Political Council, platform to complete technical and political talks and to implement the outstanding recommendations of the</w:t>
      </w:r>
      <w:r>
        <w:rPr>
          <w:rFonts w:ascii="Times New Roman" w:eastAsiaTheme="minorHAnsi" w:hAnsi="Times New Roman" w:cs="Times New Roman"/>
          <w:noProof/>
          <w:color w:val="000000" w:themeColor="text1"/>
          <w:sz w:val="24"/>
          <w:szCs w:val="24"/>
        </w:rPr>
        <w:t xml:space="preserve"> Office for Democratic Institutions and Human Rights at the Organisation for Security and Cooperatio</w:t>
      </w:r>
      <w:r>
        <w:rPr>
          <w:rFonts w:ascii="Times New Roman" w:eastAsiaTheme="minorHAnsi" w:hAnsi="Times New Roman" w:cs="Times New Roman"/>
          <w:noProof/>
          <w:color w:val="000000" w:themeColor="text1"/>
          <w:sz w:val="24"/>
          <w:szCs w:val="24"/>
        </w:rPr>
        <w:t>n in Europe (OSCE/ODIHR)</w:t>
      </w:r>
      <w:r>
        <w:rPr>
          <w:rFonts w:ascii="Times New Roman" w:hAnsi="Times New Roman" w:cs="Times New Roman"/>
          <w:noProof/>
          <w:color w:val="000000" w:themeColor="text1"/>
          <w:sz w:val="24"/>
          <w:szCs w:val="24"/>
        </w:rPr>
        <w:t>, ensuring transparent financing of political parties and electoral campaigns. On 5 June 2020, the Political Council reached a breakthrough agreement to gradually introduce a depoliticised electoral administration, in line with OSCE</w:t>
      </w:r>
      <w:r>
        <w:rPr>
          <w:rFonts w:ascii="Times New Roman" w:hAnsi="Times New Roman" w:cs="Times New Roman"/>
          <w:noProof/>
          <w:color w:val="000000" w:themeColor="text1"/>
          <w:sz w:val="24"/>
          <w:szCs w:val="24"/>
        </w:rPr>
        <w:t>/ODIHR recommendations. The parties also agreed to introduce electronic identification of all the voters (where technically viable), to restructure the Central Election Commission, and for the Electoral College to be comprised of vetted judges. The amendme</w:t>
      </w:r>
      <w:r>
        <w:rPr>
          <w:rFonts w:ascii="Times New Roman" w:hAnsi="Times New Roman" w:cs="Times New Roman"/>
          <w:noProof/>
          <w:color w:val="000000" w:themeColor="text1"/>
          <w:sz w:val="24"/>
          <w:szCs w:val="24"/>
        </w:rPr>
        <w:t xml:space="preserve">nts to the electoral code were adopted by the Parliament on 23 July 2020, in accordance with the 5 June 2020 agreement </w:t>
      </w:r>
      <w:r>
        <w:rPr>
          <w:rFonts w:ascii="Times New Roman" w:hAnsi="Times New Roman" w:cs="Times New Roman"/>
          <w:i/>
          <w:noProof/>
          <w:color w:val="000000" w:themeColor="text1"/>
          <w:sz w:val="24"/>
          <w:szCs w:val="24"/>
        </w:rPr>
        <w:t xml:space="preserve">thus meeting the condition for first IGC. </w:t>
      </w:r>
      <w:r>
        <w:rPr>
          <w:rFonts w:ascii="Times New Roman" w:hAnsi="Times New Roman" w:cs="Times New Roman"/>
          <w:noProof/>
          <w:color w:val="000000" w:themeColor="text1"/>
          <w:sz w:val="24"/>
          <w:szCs w:val="24"/>
        </w:rPr>
        <w:t xml:space="preserve">In addition, the Parliament adopted on 30 July some amendments to the Constitution relating to </w:t>
      </w:r>
      <w:r>
        <w:rPr>
          <w:rFonts w:ascii="Times New Roman" w:hAnsi="Times New Roman" w:cs="Times New Roman"/>
          <w:noProof/>
          <w:color w:val="000000" w:themeColor="text1"/>
          <w:sz w:val="24"/>
          <w:szCs w:val="24"/>
        </w:rPr>
        <w:t xml:space="preserve">the electoral system. </w:t>
      </w:r>
      <w:r>
        <w:rPr>
          <w:rFonts w:ascii="Times New Roman" w:hAnsi="Times New Roman" w:cs="Times New Roman"/>
          <w:noProof/>
          <w:sz w:val="24"/>
          <w:szCs w:val="24"/>
        </w:rPr>
        <w:t>These amendments that are unrelated to the implementation of the OSCE/ODHIR recommendations</w:t>
      </w:r>
      <w:r>
        <w:rPr>
          <w:rFonts w:eastAsiaTheme="minorHAnsi"/>
          <w:noProof/>
          <w:lang w:eastAsia="en-US"/>
        </w:rPr>
        <w:t xml:space="preserve"> </w:t>
      </w:r>
      <w:r>
        <w:rPr>
          <w:rFonts w:ascii="Times New Roman" w:hAnsi="Times New Roman" w:cs="Times New Roman"/>
          <w:noProof/>
          <w:sz w:val="24"/>
          <w:szCs w:val="24"/>
        </w:rPr>
        <w:t>required further amendments to the electoral code which were discussed among parties in the Political Council, but without reaching a compromi</w:t>
      </w:r>
      <w:r>
        <w:rPr>
          <w:rFonts w:ascii="Times New Roman" w:hAnsi="Times New Roman" w:cs="Times New Roman"/>
          <w:noProof/>
          <w:sz w:val="24"/>
          <w:szCs w:val="24"/>
        </w:rPr>
        <w:t xml:space="preserve">se before the Parliament voted on them on 5 October. Despite the positive outcome of the agreement reached on 5 June 2020, the political dialogue in the country needs to be improved, in particular on electoral reform and its implementation.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 xml:space="preserve">On 9 June </w:t>
      </w:r>
      <w:r>
        <w:rPr>
          <w:rFonts w:ascii="Times New Roman" w:eastAsia="Calibri" w:hAnsi="Times New Roman" w:cs="Times New Roman"/>
          <w:noProof/>
          <w:color w:val="000000" w:themeColor="text1"/>
          <w:sz w:val="24"/>
          <w:szCs w:val="24"/>
          <w:lang w:eastAsia="en-US"/>
        </w:rPr>
        <w:t>2020, the Government presented to an extended meeting of the National Council for European Integration an action plan to address the conditions and priorities set by the March 2020 Council Conclusions on Albania. On 6 May 2020, the Government nominated the</w:t>
      </w:r>
      <w:r>
        <w:rPr>
          <w:rFonts w:ascii="Times New Roman" w:eastAsia="Calibri" w:hAnsi="Times New Roman" w:cs="Times New Roman"/>
          <w:noProof/>
          <w:color w:val="000000" w:themeColor="text1"/>
          <w:sz w:val="24"/>
          <w:szCs w:val="24"/>
          <w:lang w:eastAsia="en-US"/>
        </w:rPr>
        <w:t xml:space="preserve"> Chief Negotiator and the negotiating team.</w:t>
      </w:r>
    </w:p>
    <w:p w:rsidR="00EE1719" w:rsidRDefault="000E39BA">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lastRenderedPageBreak/>
        <w:t xml:space="preserve">Albania is moderately prepared in the reform of its </w:t>
      </w:r>
      <w:r>
        <w:rPr>
          <w:rFonts w:ascii="Times New Roman" w:hAnsi="Times New Roman" w:cs="Times New Roman"/>
          <w:b/>
          <w:noProof/>
          <w:color w:val="000000" w:themeColor="text1"/>
          <w:sz w:val="24"/>
          <w:szCs w:val="24"/>
        </w:rPr>
        <w:t>public administration</w:t>
      </w:r>
      <w:r>
        <w:rPr>
          <w:rFonts w:ascii="Times New Roman" w:hAnsi="Times New Roman" w:cs="Times New Roman"/>
          <w:noProof/>
          <w:color w:val="000000" w:themeColor="text1"/>
          <w:sz w:val="24"/>
          <w:szCs w:val="24"/>
        </w:rPr>
        <w:t>. Efforts continued in several related areas, resulting in some progress in enforcing the guidelines on regulatory impact assessments acros</w:t>
      </w:r>
      <w:r>
        <w:rPr>
          <w:rFonts w:ascii="Times New Roman" w:hAnsi="Times New Roman" w:cs="Times New Roman"/>
          <w:noProof/>
          <w:color w:val="000000" w:themeColor="text1"/>
          <w:sz w:val="24"/>
          <w:szCs w:val="24"/>
        </w:rPr>
        <w:t>s line ministries, in developing the legislative package related to policy planning, in increasing the number of e-services and improving transparency in data collection and human resources management between central and local level. These tangible achieve</w:t>
      </w:r>
      <w:r>
        <w:rPr>
          <w:rFonts w:ascii="Times New Roman" w:hAnsi="Times New Roman" w:cs="Times New Roman"/>
          <w:noProof/>
          <w:color w:val="000000" w:themeColor="text1"/>
          <w:sz w:val="24"/>
          <w:szCs w:val="24"/>
        </w:rPr>
        <w:t>ments need further consolidation. Particularly the government needs to step up efforts towards more evidence-based policy making, by building administrative capacity in line ministries on policy planning and monitoring, data collection as well as usage of </w:t>
      </w:r>
      <w:r>
        <w:rPr>
          <w:rFonts w:ascii="Times New Roman" w:hAnsi="Times New Roman" w:cs="Times New Roman"/>
          <w:noProof/>
          <w:color w:val="000000" w:themeColor="text1"/>
          <w:sz w:val="24"/>
          <w:szCs w:val="24"/>
        </w:rPr>
        <w:t>regulatory impact assessments to inform better policies.</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Albania's </w:t>
      </w:r>
      <w:r>
        <w:rPr>
          <w:rFonts w:ascii="Times New Roman" w:hAnsi="Times New Roman" w:cs="Times New Roman"/>
          <w:b/>
          <w:noProof/>
          <w:color w:val="000000" w:themeColor="text1"/>
          <w:sz w:val="24"/>
          <w:szCs w:val="24"/>
        </w:rPr>
        <w:t>judicial system</w:t>
      </w:r>
      <w:r>
        <w:rPr>
          <w:rFonts w:ascii="Times New Roman" w:hAnsi="Times New Roman" w:cs="Times New Roman"/>
          <w:noProof/>
          <w:color w:val="000000" w:themeColor="text1"/>
          <w:sz w:val="24"/>
          <w:szCs w:val="24"/>
        </w:rPr>
        <w:t xml:space="preserve"> has some level of preparation / is moderately prepared. The implementation of a comprehensive and thorough justice reform has continued consistently, resulting in good progr</w:t>
      </w:r>
      <w:r>
        <w:rPr>
          <w:rFonts w:ascii="Times New Roman" w:hAnsi="Times New Roman" w:cs="Times New Roman"/>
          <w:noProof/>
          <w:color w:val="000000" w:themeColor="text1"/>
          <w:sz w:val="24"/>
          <w:szCs w:val="24"/>
        </w:rPr>
        <w:t xml:space="preserve">ess overall. The new institutions for the self-governance of the judiciary have been performing their duties, including </w:t>
      </w:r>
      <w:r>
        <w:rPr>
          <w:rFonts w:ascii="Times New Roman" w:hAnsi="Times New Roman" w:cs="Times New Roman"/>
          <w:bCs/>
          <w:noProof/>
          <w:color w:val="000000" w:themeColor="text1"/>
          <w:sz w:val="24"/>
          <w:szCs w:val="24"/>
        </w:rPr>
        <w:t>managing the processes to fill the vacancies at the High Court and the Constitutional Court. The High Judicial Council finalised the sel</w:t>
      </w:r>
      <w:r>
        <w:rPr>
          <w:rFonts w:ascii="Times New Roman" w:hAnsi="Times New Roman" w:cs="Times New Roman"/>
          <w:bCs/>
          <w:noProof/>
          <w:color w:val="000000" w:themeColor="text1"/>
          <w:sz w:val="24"/>
          <w:szCs w:val="24"/>
        </w:rPr>
        <w:t xml:space="preserve">ection of three non-magistrate candidates for the </w:t>
      </w:r>
      <w:r>
        <w:rPr>
          <w:rFonts w:ascii="Times New Roman" w:hAnsi="Times New Roman" w:cs="Times New Roman"/>
          <w:bCs/>
          <w:i/>
          <w:noProof/>
          <w:color w:val="000000" w:themeColor="text1"/>
          <w:sz w:val="24"/>
          <w:szCs w:val="24"/>
        </w:rPr>
        <w:t>High Court</w:t>
      </w:r>
      <w:r>
        <w:rPr>
          <w:rFonts w:ascii="Times New Roman" w:hAnsi="Times New Roman" w:cs="Times New Roman"/>
          <w:bCs/>
          <w:noProof/>
          <w:color w:val="000000" w:themeColor="text1"/>
          <w:sz w:val="24"/>
          <w:szCs w:val="24"/>
        </w:rPr>
        <w:t xml:space="preserve">, appointed on 11 March 2019, thus allowing one of the chambers of the Court to function and meeting the related </w:t>
      </w:r>
      <w:r>
        <w:rPr>
          <w:rFonts w:ascii="Times New Roman" w:hAnsi="Times New Roman" w:cs="Times New Roman"/>
          <w:i/>
          <w:noProof/>
          <w:color w:val="000000" w:themeColor="text1"/>
          <w:sz w:val="24"/>
          <w:szCs w:val="24"/>
        </w:rPr>
        <w:t>condition for the first IGC</w:t>
      </w:r>
      <w:r>
        <w:rPr>
          <w:rFonts w:ascii="Times New Roman" w:hAnsi="Times New Roman" w:cs="Times New Roman"/>
          <w:bCs/>
          <w:noProof/>
          <w:color w:val="000000" w:themeColor="text1"/>
          <w:sz w:val="24"/>
          <w:szCs w:val="24"/>
        </w:rPr>
        <w:t>. The selection process for the fourth non-magistrate me</w:t>
      </w:r>
      <w:r>
        <w:rPr>
          <w:rFonts w:ascii="Times New Roman" w:hAnsi="Times New Roman" w:cs="Times New Roman"/>
          <w:bCs/>
          <w:noProof/>
          <w:color w:val="000000" w:themeColor="text1"/>
          <w:sz w:val="24"/>
          <w:szCs w:val="24"/>
        </w:rPr>
        <w:t xml:space="preserve">mber is close to finalisation. The other magistrate candidates are in the process of being promoted from within the court system. Albania is making progress to reconstitute the </w:t>
      </w:r>
      <w:r>
        <w:rPr>
          <w:rFonts w:ascii="Times New Roman" w:hAnsi="Times New Roman" w:cs="Times New Roman"/>
          <w:bCs/>
          <w:i/>
          <w:noProof/>
          <w:color w:val="000000" w:themeColor="text1"/>
          <w:sz w:val="24"/>
          <w:szCs w:val="24"/>
        </w:rPr>
        <w:t>Constitutional Court</w:t>
      </w:r>
      <w:r>
        <w:rPr>
          <w:rFonts w:ascii="Times New Roman" w:hAnsi="Times New Roman" w:cs="Times New Roman"/>
          <w:bCs/>
          <w:noProof/>
          <w:color w:val="000000" w:themeColor="text1"/>
          <w:sz w:val="24"/>
          <w:szCs w:val="24"/>
        </w:rPr>
        <w:t xml:space="preserve"> and has appointed three new members. </w:t>
      </w:r>
      <w:r>
        <w:rPr>
          <w:rFonts w:ascii="Times New Roman" w:hAnsi="Times New Roman" w:cs="Times New Roman"/>
          <w:noProof/>
          <w:color w:val="000000"/>
          <w:sz w:val="24"/>
          <w:szCs w:val="24"/>
        </w:rPr>
        <w:t>This provides the bas</w:t>
      </w:r>
      <w:r>
        <w:rPr>
          <w:rFonts w:ascii="Times New Roman" w:hAnsi="Times New Roman" w:cs="Times New Roman"/>
          <w:noProof/>
          <w:color w:val="000000"/>
          <w:sz w:val="24"/>
          <w:szCs w:val="24"/>
        </w:rPr>
        <w:t xml:space="preserve">is for the Constitutional Court to regain functionality </w:t>
      </w:r>
      <w:r>
        <w:rPr>
          <w:rFonts w:ascii="Times New Roman" w:hAnsi="Times New Roman" w:cs="Times New Roman"/>
          <w:bCs/>
          <w:noProof/>
          <w:color w:val="000000" w:themeColor="text1"/>
          <w:sz w:val="24"/>
          <w:szCs w:val="24"/>
        </w:rPr>
        <w:t xml:space="preserve">– a </w:t>
      </w:r>
      <w:r>
        <w:rPr>
          <w:rFonts w:ascii="Times New Roman" w:hAnsi="Times New Roman" w:cs="Times New Roman"/>
          <w:i/>
          <w:noProof/>
          <w:color w:val="000000" w:themeColor="text1"/>
          <w:sz w:val="24"/>
          <w:szCs w:val="24"/>
        </w:rPr>
        <w:t xml:space="preserve">condition for the first IGC close to being met – </w:t>
      </w:r>
      <w:r>
        <w:rPr>
          <w:rFonts w:ascii="Times New Roman" w:hAnsi="Times New Roman" w:cs="Times New Roman"/>
          <w:bCs/>
          <w:noProof/>
          <w:color w:val="000000" w:themeColor="text1"/>
          <w:sz w:val="24"/>
          <w:szCs w:val="24"/>
        </w:rPr>
        <w:t xml:space="preserve">and increase public trust. In December 2019, the Court had one judge in office out of nine as a result of the vetting. The Court now has four members. There was a dispute about the appointment procedure of one of the latest judges nominated. </w:t>
      </w:r>
      <w:r>
        <w:rPr>
          <w:rFonts w:ascii="Times New Roman" w:eastAsia="Times New Roman" w:hAnsi="Times New Roman" w:cs="Times New Roman"/>
          <w:noProof/>
          <w:color w:val="000000" w:themeColor="text1"/>
          <w:sz w:val="24"/>
          <w:szCs w:val="24"/>
        </w:rPr>
        <w:t>The Venice Com</w:t>
      </w:r>
      <w:r>
        <w:rPr>
          <w:rFonts w:ascii="Times New Roman" w:eastAsia="Times New Roman" w:hAnsi="Times New Roman" w:cs="Times New Roman"/>
          <w:noProof/>
          <w:color w:val="000000" w:themeColor="text1"/>
          <w:sz w:val="24"/>
          <w:szCs w:val="24"/>
        </w:rPr>
        <w:t xml:space="preserve">mission has issued an opinion on the matter, providing the necessary guidance to the Albanian authorities to complete the outstanding appointments to the Constitutional Court. </w:t>
      </w:r>
      <w:r>
        <w:rPr>
          <w:rFonts w:ascii="Times New Roman" w:hAnsi="Times New Roman" w:cs="Times New Roman"/>
          <w:bCs/>
          <w:noProof/>
          <w:color w:val="000000" w:themeColor="text1"/>
          <w:sz w:val="24"/>
          <w:szCs w:val="24"/>
        </w:rPr>
        <w:t>With the current four members, the Court has the minimum quorum to adjudicate on</w:t>
      </w:r>
      <w:r>
        <w:rPr>
          <w:rFonts w:ascii="Times New Roman" w:hAnsi="Times New Roman" w:cs="Times New Roman"/>
          <w:bCs/>
          <w:noProof/>
          <w:color w:val="000000" w:themeColor="text1"/>
          <w:sz w:val="24"/>
          <w:szCs w:val="24"/>
        </w:rPr>
        <w:t xml:space="preserve"> the admissibility of cases. </w:t>
      </w:r>
      <w:r>
        <w:rPr>
          <w:rFonts w:ascii="Times New Roman" w:eastAsia="Times New Roman" w:hAnsi="Times New Roman" w:cs="Times New Roman"/>
          <w:noProof/>
          <w:color w:val="000000" w:themeColor="text1"/>
          <w:sz w:val="24"/>
          <w:szCs w:val="24"/>
        </w:rPr>
        <w:t xml:space="preserve">The selection process for three vacant posts is ongoing. The process has been affected slightly by the COVID-19 crisis, but is expected to be finalised as a priority. Completion of appointments at the Constitutional Court will </w:t>
      </w:r>
      <w:r>
        <w:rPr>
          <w:rFonts w:ascii="Times New Roman" w:eastAsia="Times New Roman" w:hAnsi="Times New Roman" w:cs="Times New Roman"/>
          <w:noProof/>
          <w:color w:val="000000" w:themeColor="text1"/>
          <w:sz w:val="24"/>
          <w:szCs w:val="24"/>
        </w:rPr>
        <w:t xml:space="preserve">proceed once the High Court reaches the required quorum of three fifths of members in office, as the latter is the third appointing authority alongside the Assembly and the President of the Republic. </w:t>
      </w:r>
      <w:r>
        <w:rPr>
          <w:rFonts w:ascii="Times New Roman" w:hAnsi="Times New Roman" w:cs="Times New Roman"/>
          <w:bCs/>
          <w:noProof/>
          <w:color w:val="000000" w:themeColor="text1"/>
          <w:sz w:val="24"/>
          <w:szCs w:val="24"/>
        </w:rPr>
        <w:t>The new General Prosecutor has been appointed, for the f</w:t>
      </w:r>
      <w:r>
        <w:rPr>
          <w:rFonts w:ascii="Times New Roman" w:hAnsi="Times New Roman" w:cs="Times New Roman"/>
          <w:bCs/>
          <w:noProof/>
          <w:color w:val="000000" w:themeColor="text1"/>
          <w:sz w:val="24"/>
          <w:szCs w:val="24"/>
        </w:rPr>
        <w:t xml:space="preserve">irst time based on the procedures established in the latest justice reform. </w:t>
      </w:r>
    </w:p>
    <w:p w:rsidR="00EE1719" w:rsidRDefault="000E39BA">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bCs/>
          <w:noProof/>
          <w:color w:val="000000" w:themeColor="text1"/>
          <w:sz w:val="24"/>
          <w:szCs w:val="24"/>
        </w:rPr>
        <w:t xml:space="preserve">The establishment of the </w:t>
      </w:r>
      <w:r>
        <w:rPr>
          <w:rFonts w:ascii="Times New Roman" w:hAnsi="Times New Roman" w:cs="Times New Roman"/>
          <w:b/>
          <w:bCs/>
          <w:noProof/>
          <w:color w:val="000000" w:themeColor="text1"/>
          <w:sz w:val="24"/>
          <w:szCs w:val="24"/>
        </w:rPr>
        <w:t>Special Anti-Corruption and Organised Crime Structure (SPAK)</w:t>
      </w:r>
      <w:r>
        <w:rPr>
          <w:rFonts w:ascii="Times New Roman" w:hAnsi="Times New Roman" w:cs="Times New Roman"/>
          <w:bCs/>
          <w:noProof/>
          <w:color w:val="000000" w:themeColor="text1"/>
          <w:sz w:val="24"/>
          <w:szCs w:val="24"/>
        </w:rPr>
        <w:t xml:space="preserve"> was finalised in 2019 with the appointment of the Chief Special Prosecutor in December. With </w:t>
      </w:r>
      <w:r>
        <w:rPr>
          <w:rFonts w:ascii="Times New Roman" w:hAnsi="Times New Roman" w:cs="Times New Roman"/>
          <w:bCs/>
          <w:noProof/>
          <w:color w:val="000000" w:themeColor="text1"/>
          <w:sz w:val="24"/>
          <w:szCs w:val="24"/>
        </w:rPr>
        <w:t xml:space="preserve">thirteen out of fifteen Special Prosecutors appointed, the </w:t>
      </w:r>
      <w:r>
        <w:rPr>
          <w:rFonts w:ascii="Times New Roman" w:hAnsi="Times New Roman" w:cs="Times New Roman"/>
          <w:b/>
          <w:bCs/>
          <w:noProof/>
          <w:color w:val="000000" w:themeColor="text1"/>
          <w:sz w:val="24"/>
          <w:szCs w:val="24"/>
        </w:rPr>
        <w:t xml:space="preserve">Special Prosecution Office (SPO) </w:t>
      </w:r>
      <w:r>
        <w:rPr>
          <w:rFonts w:ascii="Times New Roman" w:hAnsi="Times New Roman" w:cs="Times New Roman"/>
          <w:bCs/>
          <w:noProof/>
          <w:color w:val="000000" w:themeColor="text1"/>
          <w:sz w:val="24"/>
          <w:szCs w:val="24"/>
        </w:rPr>
        <w:t xml:space="preserve">is fully operational. On 30 July 2020 the Director of the </w:t>
      </w:r>
      <w:r>
        <w:rPr>
          <w:rFonts w:ascii="Times New Roman" w:hAnsi="Times New Roman" w:cs="Times New Roman"/>
          <w:b/>
          <w:bCs/>
          <w:noProof/>
          <w:color w:val="000000" w:themeColor="text1"/>
          <w:sz w:val="24"/>
          <w:szCs w:val="24"/>
        </w:rPr>
        <w:t>National Bureau of Investigation (NBI)</w:t>
      </w:r>
      <w:r>
        <w:rPr>
          <w:rFonts w:ascii="Times New Roman" w:hAnsi="Times New Roman" w:cs="Times New Roman"/>
          <w:bCs/>
          <w:noProof/>
          <w:color w:val="000000" w:themeColor="text1"/>
          <w:sz w:val="24"/>
          <w:szCs w:val="24"/>
        </w:rPr>
        <w:t xml:space="preserve"> was also appointed by the High Prosecutorial Council</w:t>
      </w:r>
      <w:r>
        <w:rPr>
          <w:rFonts w:ascii="Times New Roman" w:eastAsia="Times New Roman" w:hAnsi="Times New Roman" w:cs="Times New Roman"/>
          <w:noProof/>
          <w:color w:val="000000" w:themeColor="text1"/>
          <w:sz w:val="24"/>
          <w:szCs w:val="24"/>
        </w:rPr>
        <w:t xml:space="preserve"> and started pe</w:t>
      </w:r>
      <w:r>
        <w:rPr>
          <w:rFonts w:ascii="Times New Roman" w:eastAsia="Times New Roman" w:hAnsi="Times New Roman" w:cs="Times New Roman"/>
          <w:noProof/>
          <w:color w:val="000000" w:themeColor="text1"/>
          <w:sz w:val="24"/>
          <w:szCs w:val="24"/>
        </w:rPr>
        <w:t>rforming his functions.</w:t>
      </w:r>
      <w:r>
        <w:rPr>
          <w:rFonts w:ascii="Times New Roman" w:hAnsi="Times New Roman" w:cs="Times New Roman"/>
          <w:bCs/>
          <w:noProof/>
          <w:color w:val="000000" w:themeColor="text1"/>
          <w:sz w:val="24"/>
          <w:szCs w:val="24"/>
        </w:rPr>
        <w:t xml:space="preserve"> The </w:t>
      </w:r>
      <w:r>
        <w:rPr>
          <w:rFonts w:ascii="Times New Roman" w:hAnsi="Times New Roman" w:cs="Times New Roman"/>
          <w:i/>
          <w:noProof/>
          <w:color w:val="000000" w:themeColor="text1"/>
          <w:sz w:val="24"/>
          <w:szCs w:val="24"/>
        </w:rPr>
        <w:t>above developments fulfil the condition for the first IGC.</w:t>
      </w:r>
      <w:r>
        <w:rPr>
          <w:rFonts w:ascii="Times New Roman" w:hAnsi="Times New Roman" w:cs="Times New Roman"/>
          <w:i/>
          <w:noProof/>
          <w:color w:val="000000" w:themeColor="text1"/>
          <w:sz w:val="24"/>
          <w:szCs w:val="24"/>
          <w:highlight w:val="yellow"/>
        </w:rPr>
        <w:t xml:space="preserve"> </w:t>
      </w:r>
    </w:p>
    <w:p w:rsidR="00EE1719" w:rsidRDefault="000E39BA">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temporary re</w:t>
      </w:r>
      <w:r>
        <w:rPr>
          <w:rFonts w:ascii="Times New Roman" w:hAnsi="Times New Roman" w:cs="Times New Roman"/>
          <w:noProof/>
          <w:color w:val="000000" w:themeColor="text1"/>
          <w:sz w:val="24"/>
          <w:szCs w:val="24"/>
        </w:rPr>
        <w:noBreakHyphen/>
        <w:t>evaluation of all judges and prosecutors (</w:t>
      </w:r>
      <w:r>
        <w:rPr>
          <w:rFonts w:ascii="Times New Roman" w:hAnsi="Times New Roman" w:cs="Times New Roman"/>
          <w:b/>
          <w:noProof/>
          <w:color w:val="000000" w:themeColor="text1"/>
          <w:sz w:val="24"/>
          <w:szCs w:val="24"/>
        </w:rPr>
        <w:t>vetting process</w:t>
      </w:r>
      <w:r>
        <w:rPr>
          <w:rFonts w:ascii="Times New Roman" w:hAnsi="Times New Roman" w:cs="Times New Roman"/>
          <w:noProof/>
          <w:color w:val="000000" w:themeColor="text1"/>
          <w:sz w:val="24"/>
          <w:szCs w:val="24"/>
        </w:rPr>
        <w:t xml:space="preserve">) has advanced steadily, continuing to produce tangible results, </w:t>
      </w:r>
      <w:r>
        <w:rPr>
          <w:rFonts w:ascii="Times New Roman" w:hAnsi="Times New Roman" w:cs="Times New Roman"/>
          <w:i/>
          <w:noProof/>
          <w:color w:val="000000" w:themeColor="text1"/>
          <w:sz w:val="24"/>
          <w:szCs w:val="24"/>
        </w:rPr>
        <w:t>hence meeting the</w:t>
      </w:r>
      <w:r>
        <w:rPr>
          <w:rFonts w:ascii="Times New Roman" w:hAnsi="Times New Roman" w:cs="Times New Roman"/>
          <w:noProof/>
          <w:color w:val="000000" w:themeColor="text1"/>
          <w:sz w:val="24"/>
          <w:szCs w:val="24"/>
        </w:rPr>
        <w:t xml:space="preserve"> </w:t>
      </w:r>
      <w:r>
        <w:rPr>
          <w:rFonts w:ascii="Times New Roman" w:hAnsi="Times New Roman" w:cs="Times New Roman"/>
          <w:i/>
          <w:noProof/>
          <w:color w:val="000000" w:themeColor="text1"/>
          <w:sz w:val="24"/>
          <w:szCs w:val="24"/>
        </w:rPr>
        <w:t>condition f</w:t>
      </w:r>
      <w:r>
        <w:rPr>
          <w:rFonts w:ascii="Times New Roman" w:hAnsi="Times New Roman" w:cs="Times New Roman"/>
          <w:i/>
          <w:noProof/>
          <w:color w:val="000000" w:themeColor="text1"/>
          <w:sz w:val="24"/>
          <w:szCs w:val="24"/>
        </w:rPr>
        <w:t>or the first IGC</w:t>
      </w:r>
      <w:r>
        <w:rPr>
          <w:rFonts w:ascii="Times New Roman" w:hAnsi="Times New Roman" w:cs="Times New Roman"/>
          <w:noProof/>
          <w:color w:val="000000" w:themeColor="text1"/>
          <w:sz w:val="24"/>
          <w:szCs w:val="24"/>
        </w:rPr>
        <w:t>. Under the aegis of the European Commission, the International Monitoring Operation has continued to oversee the process. More than 286 dossiers have been processed thus far, resulting in 62% dismissals, mostly for issues related to unjust</w:t>
      </w:r>
      <w:r>
        <w:rPr>
          <w:rFonts w:ascii="Times New Roman" w:hAnsi="Times New Roman" w:cs="Times New Roman"/>
          <w:noProof/>
          <w:color w:val="000000" w:themeColor="text1"/>
          <w:sz w:val="24"/>
          <w:szCs w:val="24"/>
        </w:rPr>
        <w:t xml:space="preserve">ified assets or resignations. During the COVID-19 lockdown period, the vetting institutions have continued to perform a number of important investigative activities in remote modality. The vetting institutions have resumed public hearings in June 2020. </w:t>
      </w:r>
    </w:p>
    <w:p w:rsidR="00EE1719" w:rsidRDefault="000E39BA">
      <w:pPr>
        <w:spacing w:after="120" w:line="240" w:lineRule="auto"/>
        <w:jc w:val="both"/>
        <w:rPr>
          <w:rFonts w:ascii="Times New Roman" w:hAnsi="Times New Roman" w:cs="Times New Roman"/>
          <w:b/>
          <w:bCs/>
          <w:noProof/>
          <w:color w:val="000000" w:themeColor="text1"/>
          <w:sz w:val="24"/>
          <w:szCs w:val="24"/>
          <w:highlight w:val="yellow"/>
        </w:rPr>
      </w:pPr>
      <w:r>
        <w:rPr>
          <w:rFonts w:ascii="Times New Roman" w:hAnsi="Times New Roman" w:cs="Times New Roman"/>
          <w:noProof/>
          <w:color w:val="000000" w:themeColor="text1"/>
          <w:sz w:val="24"/>
          <w:szCs w:val="24"/>
        </w:rPr>
        <w:t>Al</w:t>
      </w:r>
      <w:r>
        <w:rPr>
          <w:rFonts w:ascii="Times New Roman" w:hAnsi="Times New Roman" w:cs="Times New Roman"/>
          <w:noProof/>
          <w:color w:val="000000" w:themeColor="text1"/>
          <w:sz w:val="24"/>
          <w:szCs w:val="24"/>
        </w:rPr>
        <w:t xml:space="preserve">bania has some level of preparation in the </w:t>
      </w:r>
      <w:r>
        <w:rPr>
          <w:rFonts w:ascii="Times New Roman" w:hAnsi="Times New Roman" w:cs="Times New Roman"/>
          <w:b/>
          <w:noProof/>
          <w:color w:val="000000" w:themeColor="text1"/>
          <w:sz w:val="24"/>
          <w:szCs w:val="24"/>
        </w:rPr>
        <w:t>fight against corruption</w:t>
      </w:r>
      <w:r>
        <w:rPr>
          <w:rFonts w:ascii="Times New Roman" w:hAnsi="Times New Roman" w:cs="Times New Roman"/>
          <w:noProof/>
          <w:color w:val="000000" w:themeColor="text1"/>
          <w:sz w:val="24"/>
          <w:szCs w:val="24"/>
        </w:rPr>
        <w:t>. Good progress was made in the reporting period. Albanian authorities strengthened operational, coordination and monitoring capacities in the fight against corruption,</w:t>
      </w:r>
      <w:r>
        <w:rPr>
          <w:rFonts w:ascii="Times New Roman" w:hAnsi="Times New Roman" w:cs="Times New Roman"/>
          <w:i/>
          <w:noProof/>
          <w:color w:val="000000" w:themeColor="text1"/>
          <w:sz w:val="24"/>
          <w:szCs w:val="24"/>
        </w:rPr>
        <w:t xml:space="preserve"> thus meeting the condition for the first IGC</w:t>
      </w:r>
      <w:r>
        <w:rPr>
          <w:rFonts w:ascii="Times New Roman" w:hAnsi="Times New Roman" w:cs="Times New Roman"/>
          <w:noProof/>
          <w:color w:val="000000" w:themeColor="text1"/>
          <w:sz w:val="24"/>
          <w:szCs w:val="24"/>
        </w:rPr>
        <w:t>. Albania has continued its efforts towards the establishment of</w:t>
      </w:r>
      <w:r>
        <w:rPr>
          <w:rFonts w:ascii="Times New Roman" w:eastAsia="Calibri" w:hAnsi="Times New Roman" w:cs="Times New Roman"/>
          <w:bCs/>
          <w:noProof/>
          <w:color w:val="000000" w:themeColor="text1"/>
          <w:sz w:val="24"/>
          <w:szCs w:val="24"/>
        </w:rPr>
        <w:t xml:space="preserve"> a solid track record </w:t>
      </w:r>
      <w:r>
        <w:rPr>
          <w:rFonts w:ascii="Times New Roman" w:hAnsi="Times New Roman" w:cs="Times New Roman"/>
          <w:noProof/>
          <w:color w:val="000000" w:themeColor="text1"/>
          <w:sz w:val="24"/>
          <w:szCs w:val="24"/>
        </w:rPr>
        <w:t xml:space="preserve">on </w:t>
      </w:r>
      <w:r>
        <w:rPr>
          <w:rFonts w:ascii="Times New Roman" w:hAnsi="Times New Roman" w:cs="Times New Roman"/>
          <w:noProof/>
          <w:color w:val="000000" w:themeColor="text1"/>
          <w:sz w:val="24"/>
          <w:szCs w:val="24"/>
        </w:rPr>
        <w:lastRenderedPageBreak/>
        <w:t xml:space="preserve">investigating, prosecuting and trying corruption cases. </w:t>
      </w:r>
      <w:r>
        <w:rPr>
          <w:rFonts w:ascii="Times New Roman" w:eastAsia="Calibri" w:hAnsi="Times New Roman" w:cs="Times New Roman"/>
          <w:bCs/>
          <w:noProof/>
          <w:color w:val="000000" w:themeColor="text1"/>
          <w:sz w:val="24"/>
          <w:szCs w:val="24"/>
        </w:rPr>
        <w:t>Although the vetting of the members of the judiciary is an adminis</w:t>
      </w:r>
      <w:r>
        <w:rPr>
          <w:rFonts w:ascii="Times New Roman" w:eastAsia="Calibri" w:hAnsi="Times New Roman" w:cs="Times New Roman"/>
          <w:bCs/>
          <w:noProof/>
          <w:color w:val="000000" w:themeColor="text1"/>
          <w:sz w:val="24"/>
          <w:szCs w:val="24"/>
        </w:rPr>
        <w:t>trative process, it is relevant to assess the concrete results by Albania to fight corruption. These have included the dismissal from office of a number of high-ranking magistrates, including at Constitutional Court and High Court level. In 2019, there wer</w:t>
      </w:r>
      <w:r>
        <w:rPr>
          <w:rFonts w:ascii="Times New Roman" w:eastAsia="Calibri" w:hAnsi="Times New Roman" w:cs="Times New Roman"/>
          <w:bCs/>
          <w:noProof/>
          <w:color w:val="000000" w:themeColor="text1"/>
          <w:sz w:val="24"/>
          <w:szCs w:val="24"/>
        </w:rPr>
        <w:t>e two final convictions for passive corruption of judges, prosecutors and other officials of the judiciary. In 2019, there were 262 first-instance convictions involving lower or middle-ranking officials in addition to 294 first-instance convictions in 2018</w:t>
      </w:r>
      <w:r>
        <w:rPr>
          <w:rFonts w:ascii="Times New Roman" w:eastAsia="Calibri" w:hAnsi="Times New Roman" w:cs="Times New Roman"/>
          <w:bCs/>
          <w:noProof/>
          <w:color w:val="000000" w:themeColor="text1"/>
          <w:sz w:val="24"/>
          <w:szCs w:val="24"/>
        </w:rPr>
        <w:t xml:space="preserve">. </w:t>
      </w:r>
      <w:r>
        <w:rPr>
          <w:rFonts w:ascii="Times New Roman" w:hAnsi="Times New Roman" w:cs="Times New Roman"/>
          <w:bCs/>
          <w:noProof/>
          <w:color w:val="000000" w:themeColor="text1"/>
          <w:sz w:val="24"/>
          <w:szCs w:val="24"/>
        </w:rPr>
        <w:t xml:space="preserve">In 2019, there were 246 final convictions at appeal level involving lower or middle-ranking officials in addition to 289 final convictions in 2018. Further efforts towards establishing a solid track record in the fight against corruption have been made, </w:t>
      </w:r>
      <w:r>
        <w:rPr>
          <w:rFonts w:ascii="Times New Roman" w:hAnsi="Times New Roman" w:cs="Times New Roman"/>
          <w:bCs/>
          <w:noProof/>
          <w:color w:val="000000" w:themeColor="text1"/>
          <w:sz w:val="24"/>
          <w:szCs w:val="24"/>
        </w:rPr>
        <w:t>although it remains a long-term objective that continues to require further structured and consistent efforts. While the number of ongoing investigations remains high, to date, final convictions in cases involving high-level officials remain limited.</w:t>
      </w:r>
      <w:r>
        <w:rPr>
          <w:rFonts w:ascii="Times New Roman" w:hAnsi="Times New Roman" w:cs="Times New Roman"/>
          <w:noProof/>
          <w:color w:val="000000" w:themeColor="text1"/>
          <w:sz w:val="24"/>
          <w:szCs w:val="24"/>
        </w:rPr>
        <w:t xml:space="preserve"> The n</w:t>
      </w:r>
      <w:r>
        <w:rPr>
          <w:rFonts w:ascii="Times New Roman" w:hAnsi="Times New Roman" w:cs="Times New Roman"/>
          <w:noProof/>
          <w:color w:val="000000" w:themeColor="text1"/>
          <w:sz w:val="24"/>
          <w:szCs w:val="24"/>
        </w:rPr>
        <w:t>ewly established specialised anti-corruption bodies (SPAK and the Anti-Corruption and Organised Crime Courts) are expected to significantly strengthen the overall capacity to investigate and prosecute corruption.</w:t>
      </w:r>
      <w:r>
        <w:rPr>
          <w:rFonts w:ascii="Times New Roman" w:hAnsi="Times New Roman" w:cs="Times New Roman"/>
          <w:i/>
          <w:noProof/>
          <w:color w:val="000000" w:themeColor="text1"/>
          <w:sz w:val="24"/>
          <w:szCs w:val="24"/>
        </w:rPr>
        <w:t xml:space="preserve"> </w:t>
      </w:r>
      <w:r>
        <w:rPr>
          <w:rFonts w:ascii="Times New Roman" w:hAnsi="Times New Roman" w:cs="Times New Roman"/>
          <w:noProof/>
          <w:color w:val="000000" w:themeColor="text1"/>
          <w:sz w:val="24"/>
          <w:szCs w:val="24"/>
        </w:rPr>
        <w:t>However, o</w:t>
      </w:r>
      <w:r>
        <w:rPr>
          <w:rFonts w:ascii="Times New Roman" w:eastAsia="Times New Roman" w:hAnsi="Times New Roman" w:cs="Times New Roman"/>
          <w:noProof/>
          <w:color w:val="000000" w:themeColor="text1"/>
          <w:sz w:val="24"/>
          <w:szCs w:val="24"/>
        </w:rPr>
        <w:t>verall, corruption remains widesp</w:t>
      </w:r>
      <w:r>
        <w:rPr>
          <w:rFonts w:ascii="Times New Roman" w:eastAsia="Times New Roman" w:hAnsi="Times New Roman" w:cs="Times New Roman"/>
          <w:noProof/>
          <w:color w:val="000000" w:themeColor="text1"/>
          <w:sz w:val="24"/>
          <w:szCs w:val="24"/>
        </w:rPr>
        <w:t xml:space="preserve">read and is a serious concern. </w:t>
      </w:r>
    </w:p>
    <w:p w:rsidR="00EE1719" w:rsidRDefault="000E39BA">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Albania has some level of preparation in the </w:t>
      </w:r>
      <w:r>
        <w:rPr>
          <w:rFonts w:ascii="Times New Roman" w:hAnsi="Times New Roman" w:cs="Times New Roman"/>
          <w:b/>
          <w:noProof/>
          <w:color w:val="000000" w:themeColor="text1"/>
          <w:sz w:val="24"/>
          <w:szCs w:val="24"/>
        </w:rPr>
        <w:t>fight against organised crime</w:t>
      </w:r>
      <w:r>
        <w:rPr>
          <w:rFonts w:ascii="Times New Roman" w:hAnsi="Times New Roman" w:cs="Times New Roman"/>
          <w:noProof/>
          <w:color w:val="000000" w:themeColor="text1"/>
          <w:sz w:val="24"/>
          <w:szCs w:val="24"/>
        </w:rPr>
        <w:t>. Albania has made good progress in strengthening the fight against organised crime, including through cooperation with EU Member States and through t</w:t>
      </w:r>
      <w:r>
        <w:rPr>
          <w:rFonts w:ascii="Times New Roman" w:hAnsi="Times New Roman" w:cs="Times New Roman"/>
          <w:noProof/>
          <w:color w:val="000000" w:themeColor="text1"/>
          <w:sz w:val="24"/>
          <w:szCs w:val="24"/>
        </w:rPr>
        <w:t xml:space="preserve">he action plan to address the Financial Action Task Force (FATF) recommendations, </w:t>
      </w:r>
      <w:r>
        <w:rPr>
          <w:rFonts w:ascii="Times New Roman" w:hAnsi="Times New Roman" w:cs="Times New Roman"/>
          <w:i/>
          <w:noProof/>
          <w:color w:val="000000" w:themeColor="text1"/>
          <w:sz w:val="24"/>
          <w:szCs w:val="24"/>
        </w:rPr>
        <w:t>hence meeting the condition for the first IGC</w:t>
      </w:r>
      <w:r>
        <w:rPr>
          <w:rFonts w:ascii="Times New Roman" w:hAnsi="Times New Roman" w:cs="Times New Roman"/>
          <w:noProof/>
          <w:color w:val="000000" w:themeColor="text1"/>
          <w:sz w:val="24"/>
          <w:szCs w:val="24"/>
        </w:rPr>
        <w:t xml:space="preserve">.  Police operations to dismantle criminal organisations have </w:t>
      </w:r>
      <w:r>
        <w:rPr>
          <w:rFonts w:ascii="Times New Roman" w:eastAsiaTheme="minorHAnsi" w:hAnsi="Times New Roman" w:cs="Times New Roman"/>
          <w:noProof/>
          <w:color w:val="000000" w:themeColor="text1"/>
          <w:sz w:val="24"/>
          <w:szCs w:val="24"/>
          <w:lang w:eastAsia="en-US"/>
        </w:rPr>
        <w:t xml:space="preserve">further </w:t>
      </w:r>
      <w:r>
        <w:rPr>
          <w:rFonts w:ascii="Times New Roman" w:hAnsi="Times New Roman" w:cs="Times New Roman"/>
          <w:noProof/>
          <w:color w:val="000000" w:themeColor="text1"/>
          <w:sz w:val="24"/>
          <w:szCs w:val="24"/>
        </w:rPr>
        <w:t>intensified and good progress has been made. As in the past</w:t>
      </w:r>
      <w:r>
        <w:rPr>
          <w:rFonts w:ascii="Times New Roman" w:hAnsi="Times New Roman" w:cs="Times New Roman"/>
          <w:noProof/>
          <w:color w:val="000000" w:themeColor="text1"/>
          <w:sz w:val="24"/>
          <w:szCs w:val="24"/>
        </w:rPr>
        <w:t xml:space="preserve"> years, Albania showed also in 2019 a strong, constant commitment to counter the production and trafficking of cannabis. Albania allows a very intrusive monitoring mechanism by a third country (aerial surveys by the Italian </w:t>
      </w:r>
      <w:r>
        <w:rPr>
          <w:rFonts w:ascii="Times New Roman" w:hAnsi="Times New Roman" w:cs="Times New Roman"/>
          <w:i/>
          <w:noProof/>
          <w:color w:val="000000" w:themeColor="text1"/>
          <w:sz w:val="24"/>
          <w:szCs w:val="24"/>
        </w:rPr>
        <w:t>Guardia di Finanza</w:t>
      </w:r>
      <w:r>
        <w:rPr>
          <w:rFonts w:ascii="Times New Roman" w:hAnsi="Times New Roman" w:cs="Times New Roman"/>
          <w:noProof/>
          <w:color w:val="000000" w:themeColor="text1"/>
          <w:sz w:val="24"/>
          <w:szCs w:val="24"/>
        </w:rPr>
        <w:t xml:space="preserve">, co-financed </w:t>
      </w:r>
      <w:r>
        <w:rPr>
          <w:rFonts w:ascii="Times New Roman" w:hAnsi="Times New Roman" w:cs="Times New Roman"/>
          <w:noProof/>
          <w:color w:val="000000" w:themeColor="text1"/>
          <w:sz w:val="24"/>
          <w:szCs w:val="24"/>
        </w:rPr>
        <w:t xml:space="preserve">by the EU) to be in place. International police cooperation, especially with EU Member States, has also intensified, leading to a number of successful large-scale law enforcement operations in the course of 2019, also continuing in 2020. </w:t>
      </w:r>
      <w:r>
        <w:rPr>
          <w:rFonts w:ascii="Times New Roman" w:eastAsia="Calibri" w:hAnsi="Times New Roman" w:cs="Times New Roman"/>
          <w:noProof/>
          <w:color w:val="000000" w:themeColor="text1"/>
          <w:sz w:val="24"/>
          <w:szCs w:val="24"/>
        </w:rPr>
        <w:t>Cooperation betwee</w:t>
      </w:r>
      <w:r>
        <w:rPr>
          <w:rFonts w:ascii="Times New Roman" w:eastAsia="Calibri" w:hAnsi="Times New Roman" w:cs="Times New Roman"/>
          <w:noProof/>
          <w:color w:val="000000" w:themeColor="text1"/>
          <w:sz w:val="24"/>
          <w:szCs w:val="24"/>
        </w:rPr>
        <w:t xml:space="preserve">n police and prosecutors further intensified. </w:t>
      </w:r>
      <w:r>
        <w:rPr>
          <w:rFonts w:ascii="Times New Roman" w:eastAsia="Times New Roman" w:hAnsi="Times New Roman" w:cs="Times New Roman"/>
          <w:noProof/>
          <w:color w:val="000000" w:themeColor="text1"/>
          <w:sz w:val="24"/>
          <w:szCs w:val="24"/>
        </w:rPr>
        <w:t xml:space="preserve">The SPO was established and provided with a set of important investigative tools. </w:t>
      </w:r>
      <w:r>
        <w:rPr>
          <w:rFonts w:ascii="Times New Roman" w:hAnsi="Times New Roman" w:cs="Times New Roman"/>
          <w:noProof/>
          <w:color w:val="000000" w:themeColor="text1"/>
          <w:sz w:val="24"/>
          <w:szCs w:val="24"/>
        </w:rPr>
        <w:t xml:space="preserve">These steps represent some tangible progress in meeting last years’ recommendations on improving the track record. Efforts need </w:t>
      </w:r>
      <w:r>
        <w:rPr>
          <w:rFonts w:ascii="Times New Roman" w:hAnsi="Times New Roman" w:cs="Times New Roman"/>
          <w:noProof/>
          <w:color w:val="000000" w:themeColor="text1"/>
          <w:sz w:val="24"/>
          <w:szCs w:val="24"/>
        </w:rPr>
        <w:t xml:space="preserve">to continue, to ensure increased prosecutions and final convictions, as well tackling money laundering and confiscating assets stemming from crimes and other unjustified wealth. </w:t>
      </w:r>
      <w:r>
        <w:rPr>
          <w:rFonts w:ascii="Times New Roman" w:hAnsi="Times New Roman" w:cs="Times New Roman"/>
          <w:i/>
          <w:noProof/>
          <w:color w:val="000000" w:themeColor="text1"/>
          <w:sz w:val="24"/>
          <w:szCs w:val="24"/>
        </w:rPr>
        <w:t>On the fight against money laundering</w:t>
      </w:r>
      <w:r>
        <w:rPr>
          <w:rFonts w:ascii="Times New Roman" w:hAnsi="Times New Roman" w:cs="Times New Roman"/>
          <w:noProof/>
          <w:color w:val="000000" w:themeColor="text1"/>
          <w:sz w:val="24"/>
          <w:szCs w:val="24"/>
        </w:rPr>
        <w:t>, the Albanian Parliament adopted a ‘Mone</w:t>
      </w:r>
      <w:r>
        <w:rPr>
          <w:rFonts w:ascii="Times New Roman" w:hAnsi="Times New Roman" w:cs="Times New Roman"/>
          <w:noProof/>
          <w:color w:val="000000" w:themeColor="text1"/>
          <w:sz w:val="24"/>
          <w:szCs w:val="24"/>
        </w:rPr>
        <w:t>yval package’ in July 2019 aimed at addressing the recommendations issued by Moneyval in their report on Albania published in December 2018. On 21 February 2020, the Financial Action Task Force (FATF) however listed Albania for enhanced monitoring and prop</w:t>
      </w:r>
      <w:r>
        <w:rPr>
          <w:rFonts w:ascii="Times New Roman" w:hAnsi="Times New Roman" w:cs="Times New Roman"/>
          <w:noProof/>
          <w:color w:val="000000" w:themeColor="text1"/>
          <w:sz w:val="24"/>
          <w:szCs w:val="24"/>
        </w:rPr>
        <w:t>osed an action plan focussing on some outstanding recommendations. Albania has made a high-level political commitment to work with the FATF to address that action plan and has started implementing its measures. In that respect, a new law on the register of</w:t>
      </w:r>
      <w:r>
        <w:rPr>
          <w:rFonts w:ascii="Times New Roman" w:hAnsi="Times New Roman" w:cs="Times New Roman"/>
          <w:noProof/>
          <w:color w:val="000000" w:themeColor="text1"/>
          <w:sz w:val="24"/>
          <w:szCs w:val="24"/>
        </w:rPr>
        <w:t xml:space="preserve"> beneficial owners was adopted in Parliament in July 2020. Good progress has been made in the fight against terrorism and preventing/countering violent extremism through the implementation of the objectives set out in the Joint Action Plan on counter-terro</w:t>
      </w:r>
      <w:r>
        <w:rPr>
          <w:rFonts w:ascii="Times New Roman" w:hAnsi="Times New Roman" w:cs="Times New Roman"/>
          <w:noProof/>
          <w:color w:val="000000" w:themeColor="text1"/>
          <w:sz w:val="24"/>
          <w:szCs w:val="24"/>
        </w:rPr>
        <w:t>rism for the Western Balkans and the bilateral implementing arrangement. Implementation efforts should be sustained notably as regards anti money-laundering.</w:t>
      </w:r>
    </w:p>
    <w:p w:rsidR="00EE1719" w:rsidRDefault="000E39BA">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On </w:t>
      </w:r>
      <w:r>
        <w:rPr>
          <w:rFonts w:ascii="Times New Roman" w:hAnsi="Times New Roman" w:cs="Times New Roman"/>
          <w:b/>
          <w:noProof/>
          <w:color w:val="000000" w:themeColor="text1"/>
          <w:sz w:val="24"/>
          <w:szCs w:val="24"/>
        </w:rPr>
        <w:t>fundamental rights</w:t>
      </w:r>
      <w:r>
        <w:rPr>
          <w:rFonts w:ascii="Times New Roman" w:hAnsi="Times New Roman" w:cs="Times New Roman"/>
          <w:noProof/>
          <w:color w:val="000000" w:themeColor="text1"/>
          <w:sz w:val="24"/>
          <w:szCs w:val="24"/>
        </w:rPr>
        <w:t>, Albania complies with international human rights instruments and has develo</w:t>
      </w:r>
      <w:r>
        <w:rPr>
          <w:rFonts w:ascii="Times New Roman" w:hAnsi="Times New Roman" w:cs="Times New Roman"/>
          <w:noProof/>
          <w:color w:val="000000" w:themeColor="text1"/>
          <w:sz w:val="24"/>
          <w:szCs w:val="24"/>
        </w:rPr>
        <w:t xml:space="preserve">ped its legal framework in line with European standards. During the reporting period, Albania made efforts to meet obligations that arise in this context. The overall implementation remains, however, to be strengthened. Regarding the implementation of the </w:t>
      </w:r>
      <w:r>
        <w:rPr>
          <w:rFonts w:ascii="Times New Roman" w:hAnsi="Times New Roman" w:cs="Times New Roman"/>
          <w:noProof/>
          <w:color w:val="000000" w:themeColor="text1"/>
          <w:sz w:val="24"/>
          <w:szCs w:val="24"/>
        </w:rPr>
        <w:t>Law on Social Housing, nine sub-legal acts were approved following a wide consultation process. The legal framework in the areas of children rights and juvenile justice was also improved by sub-legal acts. Efforts are ongoing to implement a comprehensive l</w:t>
      </w:r>
      <w:r>
        <w:rPr>
          <w:rFonts w:ascii="Times New Roman" w:hAnsi="Times New Roman" w:cs="Times New Roman"/>
          <w:noProof/>
          <w:color w:val="000000" w:themeColor="text1"/>
          <w:sz w:val="24"/>
          <w:szCs w:val="24"/>
        </w:rPr>
        <w:t xml:space="preserve">and sector </w:t>
      </w:r>
      <w:r>
        <w:rPr>
          <w:rFonts w:ascii="Times New Roman" w:hAnsi="Times New Roman" w:cs="Times New Roman"/>
          <w:noProof/>
          <w:color w:val="000000" w:themeColor="text1"/>
          <w:sz w:val="24"/>
          <w:szCs w:val="24"/>
        </w:rPr>
        <w:lastRenderedPageBreak/>
        <w:t>reform and to consolidate property rights. The Law on the Finalisation of Transitional Ownership Processes was adopted in March 2020, taking into account the recommendations of the Venice Commission Opinion of October 2019. Efforts need to conti</w:t>
      </w:r>
      <w:r>
        <w:rPr>
          <w:rFonts w:ascii="Times New Roman" w:hAnsi="Times New Roman" w:cs="Times New Roman"/>
          <w:noProof/>
          <w:color w:val="000000" w:themeColor="text1"/>
          <w:sz w:val="24"/>
          <w:szCs w:val="24"/>
        </w:rPr>
        <w:t>nue to advance the process for registration and compensation. Albania needs to swiftly adopt the remaining implementing legislation related to the 2017 framework Law on the Protection of National</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Minorities. Albania is also in the process of preparing the law on the implementation of the forthcoming census. Swift progress is needed on this, and on the advancement of the process of registration of properties. Concerns have been raised by citizens be</w:t>
      </w:r>
      <w:r>
        <w:rPr>
          <w:rFonts w:ascii="Times New Roman" w:hAnsi="Times New Roman" w:cs="Times New Roman"/>
          <w:noProof/>
          <w:color w:val="000000" w:themeColor="text1"/>
          <w:sz w:val="24"/>
          <w:szCs w:val="24"/>
        </w:rPr>
        <w:t xml:space="preserve">longing to the Greek minority in relation to property rights in the southern coastal region. As regards the </w:t>
      </w:r>
      <w:r>
        <w:rPr>
          <w:rFonts w:ascii="Times New Roman" w:hAnsi="Times New Roman" w:cs="Times New Roman"/>
          <w:b/>
          <w:noProof/>
          <w:color w:val="000000" w:themeColor="text1"/>
          <w:sz w:val="24"/>
          <w:szCs w:val="24"/>
        </w:rPr>
        <w:t>freedom of expression</w:t>
      </w:r>
      <w:r>
        <w:rPr>
          <w:rFonts w:ascii="Times New Roman" w:hAnsi="Times New Roman" w:cs="Times New Roman"/>
          <w:noProof/>
          <w:color w:val="000000" w:themeColor="text1"/>
          <w:sz w:val="24"/>
          <w:szCs w:val="24"/>
        </w:rPr>
        <w:t xml:space="preserve">, the country has some level of preparation / is moderately prepared. In December 2019, the Parliament </w:t>
      </w:r>
      <w:r>
        <w:rPr>
          <w:rFonts w:ascii="Times New Roman" w:eastAsia="Calibri" w:hAnsi="Times New Roman" w:cs="Times New Roman"/>
          <w:bCs/>
          <w:noProof/>
          <w:color w:val="000000" w:themeColor="text1"/>
          <w:sz w:val="24"/>
          <w:szCs w:val="24"/>
        </w:rPr>
        <w:t>approved a set of amende</w:t>
      </w:r>
      <w:r>
        <w:rPr>
          <w:rFonts w:ascii="Times New Roman" w:eastAsia="Calibri" w:hAnsi="Times New Roman" w:cs="Times New Roman"/>
          <w:bCs/>
          <w:noProof/>
          <w:color w:val="000000" w:themeColor="text1"/>
          <w:sz w:val="24"/>
          <w:szCs w:val="24"/>
        </w:rPr>
        <w:t xml:space="preserve">ments to the </w:t>
      </w:r>
      <w:r>
        <w:rPr>
          <w:rFonts w:ascii="Times New Roman" w:hAnsi="Times New Roman" w:cs="Times New Roman"/>
          <w:noProof/>
          <w:color w:val="000000" w:themeColor="text1"/>
          <w:sz w:val="24"/>
          <w:szCs w:val="24"/>
        </w:rPr>
        <w:t xml:space="preserve">media law, aiming to regulate online media and some aspects of defamation on which, in </w:t>
      </w:r>
      <w:r>
        <w:rPr>
          <w:rFonts w:ascii="Times New Roman" w:eastAsia="Calibri" w:hAnsi="Times New Roman" w:cs="Times New Roman"/>
          <w:bCs/>
          <w:noProof/>
          <w:color w:val="000000" w:themeColor="text1"/>
          <w:sz w:val="24"/>
          <w:szCs w:val="24"/>
        </w:rPr>
        <w:t xml:space="preserve">June 2020, the Venice Commission issued an opinion. </w:t>
      </w:r>
      <w:r>
        <w:rPr>
          <w:rFonts w:ascii="Times New Roman" w:hAnsi="Times New Roman" w:cs="Times New Roman"/>
          <w:noProof/>
          <w:color w:val="000000" w:themeColor="text1"/>
          <w:sz w:val="24"/>
          <w:szCs w:val="24"/>
        </w:rPr>
        <w:t xml:space="preserve">The amendments fall short </w:t>
      </w:r>
      <w:r>
        <w:rPr>
          <w:rFonts w:ascii="Times New Roman" w:hAnsi="Times New Roman" w:cs="Times New Roman"/>
          <w:noProof/>
          <w:color w:val="000000" w:themeColor="text1"/>
          <w:sz w:val="24"/>
          <w:szCs w:val="24"/>
          <w:shd w:val="clear" w:color="auto" w:fill="FFFFFF"/>
        </w:rPr>
        <w:t xml:space="preserve">of international standards and principles of media freedom and raise concerns </w:t>
      </w:r>
      <w:r>
        <w:rPr>
          <w:rFonts w:ascii="Times New Roman" w:hAnsi="Times New Roman" w:cs="Times New Roman"/>
          <w:noProof/>
          <w:color w:val="000000" w:themeColor="text1"/>
          <w:sz w:val="24"/>
          <w:szCs w:val="24"/>
          <w:shd w:val="clear" w:color="auto" w:fill="FFFFFF"/>
        </w:rPr>
        <w:t>about increased censorship and self-censorship, and about possible setbacks on freedom of expression in the country.</w:t>
      </w:r>
      <w:r>
        <w:rPr>
          <w:rFonts w:ascii="Times New Roman" w:eastAsia="Calibri" w:hAnsi="Times New Roman" w:cs="Times New Roman"/>
          <w:bCs/>
          <w:noProof/>
          <w:color w:val="000000" w:themeColor="text1"/>
          <w:sz w:val="24"/>
          <w:szCs w:val="24"/>
        </w:rPr>
        <w:t xml:space="preserve"> Representatives from the ruling majority publicly committed to follow up on the guidance of the Venice Commission opinion. The </w:t>
      </w:r>
      <w:r>
        <w:rPr>
          <w:rFonts w:ascii="Times New Roman" w:hAnsi="Times New Roman" w:cs="Times New Roman"/>
          <w:noProof/>
          <w:color w:val="000000" w:themeColor="text1"/>
          <w:sz w:val="24"/>
          <w:szCs w:val="24"/>
        </w:rPr>
        <w:t xml:space="preserve">draft media </w:t>
      </w:r>
      <w:r>
        <w:rPr>
          <w:rFonts w:ascii="Times New Roman" w:hAnsi="Times New Roman" w:cs="Times New Roman"/>
          <w:noProof/>
          <w:color w:val="000000" w:themeColor="text1"/>
          <w:sz w:val="24"/>
          <w:szCs w:val="24"/>
        </w:rPr>
        <w:t xml:space="preserve">law is currently being revised in light of the opinion of the Venice Commission. </w:t>
      </w:r>
    </w:p>
    <w:p w:rsidR="00EE1719" w:rsidRDefault="000E39BA">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With regard to </w:t>
      </w:r>
      <w:r>
        <w:rPr>
          <w:rFonts w:ascii="Times New Roman" w:hAnsi="Times New Roman" w:cs="Times New Roman"/>
          <w:b/>
          <w:noProof/>
          <w:color w:val="000000" w:themeColor="text1"/>
          <w:sz w:val="24"/>
          <w:szCs w:val="24"/>
        </w:rPr>
        <w:t>migration</w:t>
      </w:r>
      <w:r>
        <w:rPr>
          <w:rFonts w:ascii="Times New Roman" w:hAnsi="Times New Roman" w:cs="Times New Roman"/>
          <w:noProof/>
          <w:color w:val="000000" w:themeColor="text1"/>
          <w:sz w:val="24"/>
          <w:szCs w:val="24"/>
        </w:rPr>
        <w:t>, some progress was made in improving the institutional capacity on border management and asylum.</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Reception capacity to deal with mixed migration flow</w:t>
      </w:r>
      <w:r>
        <w:rPr>
          <w:rFonts w:ascii="Times New Roman" w:hAnsi="Times New Roman" w:cs="Times New Roman"/>
          <w:noProof/>
          <w:color w:val="000000" w:themeColor="text1"/>
          <w:sz w:val="24"/>
          <w:szCs w:val="24"/>
        </w:rPr>
        <w:t xml:space="preserve">s was further enhanced and remained sufficient to accommodate the increased number of arrivals. </w:t>
      </w:r>
      <w:r>
        <w:rPr>
          <w:rFonts w:ascii="Times New Roman" w:hAnsi="Times New Roman" w:cs="Times New Roman"/>
          <w:bCs/>
          <w:noProof/>
          <w:color w:val="000000" w:themeColor="text1"/>
          <w:sz w:val="24"/>
          <w:szCs w:val="24"/>
        </w:rPr>
        <w:t>Albania is the first of the Western Balkan countries where the European Border and Coast Guard Status Agreement with the EU has entered into force (May 2019). T</w:t>
      </w:r>
      <w:r>
        <w:rPr>
          <w:rFonts w:ascii="Times New Roman" w:hAnsi="Times New Roman" w:cs="Times New Roman"/>
          <w:bCs/>
          <w:noProof/>
          <w:color w:val="000000" w:themeColor="text1"/>
          <w:sz w:val="24"/>
          <w:szCs w:val="24"/>
        </w:rPr>
        <w:t>he Frontex joint operation, deploying teams together with Albanian border guards at the Greek-Albanian border, has proved successful in strengthening border controls, enhancing security at the EU’s external borders and combating migrant smuggling.</w:t>
      </w:r>
    </w:p>
    <w:p w:rsidR="00EE1719" w:rsidRDefault="000E39BA">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numb</w:t>
      </w:r>
      <w:r>
        <w:rPr>
          <w:rFonts w:ascii="Times New Roman" w:hAnsi="Times New Roman" w:cs="Times New Roman"/>
          <w:noProof/>
          <w:color w:val="000000" w:themeColor="text1"/>
          <w:sz w:val="24"/>
          <w:szCs w:val="24"/>
        </w:rPr>
        <w:t>er of unfounded asylum applications lodged by Albanian nationals in the EU has decreased but remains high and requires continuous and sustained efforts, including addressing the phenomenon of unaccompanied minors. Albania has maintained its efforts to tack</w:t>
      </w:r>
      <w:r>
        <w:rPr>
          <w:rFonts w:ascii="Times New Roman" w:hAnsi="Times New Roman" w:cs="Times New Roman"/>
          <w:noProof/>
          <w:color w:val="000000" w:themeColor="text1"/>
          <w:sz w:val="24"/>
          <w:szCs w:val="24"/>
        </w:rPr>
        <w:t xml:space="preserve">le unfounded asylum applications lodged by Albanian citizens to EU Member States and Schengen-associated countries. </w:t>
      </w:r>
    </w:p>
    <w:p w:rsidR="00EE1719" w:rsidRDefault="000E39BA">
      <w:pPr>
        <w:spacing w:after="120" w:line="240" w:lineRule="auto"/>
        <w:jc w:val="both"/>
        <w:rPr>
          <w:rFonts w:ascii="Times New Roman"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lang w:eastAsia="en-US"/>
        </w:rPr>
        <w:t>In 2019 there were around 2.7% fewer of these unfounded asylum applications than in 2018 and almost 20% fewer than in 2017. The decrease co</w:t>
      </w:r>
      <w:r>
        <w:rPr>
          <w:rFonts w:ascii="Times New Roman" w:eastAsia="Calibri" w:hAnsi="Times New Roman" w:cs="Times New Roman"/>
          <w:noProof/>
          <w:color w:val="000000" w:themeColor="text1"/>
          <w:sz w:val="24"/>
          <w:szCs w:val="24"/>
          <w:lang w:eastAsia="en-US"/>
        </w:rPr>
        <w:t>ntinued in the first two months of 2020 (pre COVID-19), with 35% fewer than in the same period in 2019. In the period January-May 2020, there were 3 305 applications lodged against 10 375 in the same period in 2019, which represents a decrease of around 74</w:t>
      </w:r>
      <w:r>
        <w:rPr>
          <w:rFonts w:ascii="Times New Roman" w:eastAsia="Calibri" w:hAnsi="Times New Roman" w:cs="Times New Roman"/>
          <w:noProof/>
          <w:color w:val="000000" w:themeColor="text1"/>
          <w:sz w:val="24"/>
          <w:szCs w:val="24"/>
          <w:lang w:eastAsia="en-US"/>
        </w:rPr>
        <w:t xml:space="preserve">% in applications. </w:t>
      </w:r>
      <w:r>
        <w:rPr>
          <w:rFonts w:ascii="Times New Roman" w:eastAsia="Times New Roman" w:hAnsi="Times New Roman" w:cs="Times New Roman"/>
          <w:noProof/>
          <w:color w:val="000000" w:themeColor="text1"/>
          <w:sz w:val="24"/>
          <w:szCs w:val="24"/>
        </w:rPr>
        <w:t>The ‘recognition rate’ (i.e. the number of successful applications expressed as a percentage of all decisions) was around 6%, 1.6 pps less than in 2018.</w:t>
      </w:r>
    </w:p>
    <w:p w:rsidR="00EE1719" w:rsidRDefault="000E39BA">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This issue has required and will continue to require substantial efforts by Albanian</w:t>
      </w:r>
      <w:r>
        <w:rPr>
          <w:rFonts w:ascii="Times New Roman" w:hAnsi="Times New Roman" w:cs="Times New Roman"/>
          <w:noProof/>
          <w:color w:val="000000" w:themeColor="text1"/>
          <w:sz w:val="24"/>
          <w:szCs w:val="24"/>
        </w:rPr>
        <w:t xml:space="preserve"> authorities. In addition to information campaigns on the rights and obligations of the visa-free regime, thorough border checks, refusal of departure for citizens with insufficient means and actions on addressing the underlying reasons, Albanian authoriti</w:t>
      </w:r>
      <w:r>
        <w:rPr>
          <w:rFonts w:ascii="Times New Roman" w:hAnsi="Times New Roman" w:cs="Times New Roman"/>
          <w:noProof/>
          <w:color w:val="000000" w:themeColor="text1"/>
          <w:sz w:val="24"/>
          <w:szCs w:val="24"/>
        </w:rPr>
        <w:t xml:space="preserve">es have strengthened dialogue and cooperation with the most affected countries. In this regard, three Albanian police liaison officers have been deployed to the EU to expedite repatriation to Albania, and a liaison officer from the EU is located in Tirana </w:t>
      </w:r>
      <w:r>
        <w:rPr>
          <w:rFonts w:ascii="Times New Roman" w:hAnsi="Times New Roman" w:cs="Times New Roman"/>
          <w:noProof/>
          <w:color w:val="000000" w:themeColor="text1"/>
          <w:sz w:val="24"/>
          <w:szCs w:val="24"/>
        </w:rPr>
        <w:t xml:space="preserve">to assist on exit checks. </w:t>
      </w:r>
    </w:p>
    <w:p w:rsidR="00EE1719" w:rsidRDefault="000E39BA">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As regards the </w:t>
      </w:r>
      <w:r>
        <w:rPr>
          <w:rFonts w:ascii="Times New Roman" w:hAnsi="Times New Roman" w:cs="Times New Roman"/>
          <w:b/>
          <w:noProof/>
          <w:color w:val="000000" w:themeColor="text1"/>
          <w:sz w:val="24"/>
          <w:szCs w:val="24"/>
        </w:rPr>
        <w:t>economic criteria</w:t>
      </w:r>
      <w:r>
        <w:rPr>
          <w:rFonts w:ascii="Times New Roman"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rPr>
        <w:t>Albania has made some progress and is moderately prepared in developing a functioning market economy</w:t>
      </w:r>
      <w:r>
        <w:rPr>
          <w:rFonts w:ascii="Times New Roman" w:hAnsi="Times New Roman" w:cs="Times New Roman"/>
          <w:noProof/>
          <w:color w:val="000000" w:themeColor="text1"/>
          <w:sz w:val="24"/>
          <w:szCs w:val="24"/>
        </w:rPr>
        <w:t>. While GDP growth slowed down due to lower hydroelectric power production, other sectors perfo</w:t>
      </w:r>
      <w:r>
        <w:rPr>
          <w:rFonts w:ascii="Times New Roman" w:hAnsi="Times New Roman" w:cs="Times New Roman"/>
          <w:noProof/>
          <w:color w:val="000000" w:themeColor="text1"/>
          <w:sz w:val="24"/>
          <w:szCs w:val="24"/>
        </w:rPr>
        <w:t xml:space="preserve">rmed well and unemployment continued to decrease to record lows. Exports grew solidly, and the public-debt-to-GDP ratio continued to decline but remained high during the reporting period. Banks continued reducing </w:t>
      </w:r>
      <w:r>
        <w:rPr>
          <w:rFonts w:ascii="Times New Roman" w:hAnsi="Times New Roman" w:cs="Times New Roman"/>
          <w:noProof/>
          <w:color w:val="000000" w:themeColor="text1"/>
          <w:sz w:val="24"/>
          <w:szCs w:val="24"/>
        </w:rPr>
        <w:lastRenderedPageBreak/>
        <w:t>the number of non</w:t>
      </w:r>
      <w:r>
        <w:rPr>
          <w:rFonts w:ascii="Times New Roman" w:hAnsi="Times New Roman" w:cs="Times New Roman"/>
          <w:noProof/>
          <w:color w:val="000000" w:themeColor="text1"/>
          <w:sz w:val="24"/>
          <w:szCs w:val="24"/>
        </w:rPr>
        <w:noBreakHyphen/>
        <w:t>performing loans and land</w:t>
      </w:r>
      <w:r>
        <w:rPr>
          <w:rFonts w:ascii="Times New Roman" w:hAnsi="Times New Roman" w:cs="Times New Roman"/>
          <w:noProof/>
          <w:color w:val="000000" w:themeColor="text1"/>
          <w:sz w:val="24"/>
          <w:szCs w:val="24"/>
        </w:rPr>
        <w:t>ing to private sector picked up. Steps towards developing the financial market have been taken, but financial intermediation remained low. The implementation of comprehensive justice reform advanced well, but has not yet improved the legal certainty for bu</w:t>
      </w:r>
      <w:r>
        <w:rPr>
          <w:rFonts w:ascii="Times New Roman" w:hAnsi="Times New Roman" w:cs="Times New Roman"/>
          <w:noProof/>
          <w:color w:val="000000" w:themeColor="text1"/>
          <w:sz w:val="24"/>
          <w:szCs w:val="24"/>
        </w:rPr>
        <w:t>siness. The COVID-19 pandemic has exacerbated the structural weaknesses and its economic fall-out erases some of the progress.</w:t>
      </w:r>
    </w:p>
    <w:p w:rsidR="00EE1719" w:rsidRDefault="000E39BA">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Albania has made some progress and has some level of preparation in terms of capacity to cope with competitive pressure and marke</w:t>
      </w:r>
      <w:r>
        <w:rPr>
          <w:rFonts w:ascii="Times New Roman" w:hAnsi="Times New Roman" w:cs="Times New Roman"/>
          <w:noProof/>
          <w:color w:val="000000" w:themeColor="text1"/>
          <w:sz w:val="24"/>
          <w:szCs w:val="24"/>
        </w:rPr>
        <w:t xml:space="preserve">t forces within the Union. Infrastructure on energy, transport and digital communication, as well as educational outcomes have improved, but significant gaps remain compared to regional and European levels. Albania’s competitiveness is hindered by lack of </w:t>
      </w:r>
      <w:r>
        <w:rPr>
          <w:rFonts w:ascii="Times New Roman" w:hAnsi="Times New Roman" w:cs="Times New Roman"/>
          <w:noProof/>
          <w:color w:val="000000" w:themeColor="text1"/>
          <w:sz w:val="24"/>
          <w:szCs w:val="24"/>
        </w:rPr>
        <w:t>entrepreneurial and technological know-how, a significant skills gap, weak institutions and low levels of investment and infrastructure quality. Integration into international value chains, and exports remained below potential. Furthermore, consolidation o</w:t>
      </w:r>
      <w:r>
        <w:rPr>
          <w:rFonts w:ascii="Times New Roman" w:hAnsi="Times New Roman" w:cs="Times New Roman"/>
          <w:noProof/>
          <w:color w:val="000000" w:themeColor="text1"/>
          <w:sz w:val="24"/>
          <w:szCs w:val="24"/>
        </w:rPr>
        <w:t xml:space="preserve">f property rights and a fully functioning cadastre are critical prerequisites for increasing investments and access to finance, as well as to achieve competitiveness of the agricultural and tourism sectors. </w:t>
      </w:r>
    </w:p>
    <w:p w:rsidR="00EE1719" w:rsidRDefault="000E39BA">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With regard to </w:t>
      </w:r>
      <w:r>
        <w:rPr>
          <w:rFonts w:ascii="Times New Roman" w:hAnsi="Times New Roman" w:cs="Times New Roman"/>
          <w:b/>
          <w:noProof/>
          <w:color w:val="000000" w:themeColor="text1"/>
          <w:sz w:val="24"/>
          <w:szCs w:val="24"/>
        </w:rPr>
        <w:t>good neighbourly relations and re</w:t>
      </w:r>
      <w:r>
        <w:rPr>
          <w:rFonts w:ascii="Times New Roman" w:hAnsi="Times New Roman" w:cs="Times New Roman"/>
          <w:b/>
          <w:noProof/>
          <w:color w:val="000000" w:themeColor="text1"/>
          <w:sz w:val="24"/>
          <w:szCs w:val="24"/>
        </w:rPr>
        <w:t>gional cooperation</w:t>
      </w:r>
      <w:r>
        <w:rPr>
          <w:rFonts w:ascii="Times New Roman" w:hAnsi="Times New Roman" w:cs="Times New Roman"/>
          <w:noProof/>
          <w:color w:val="000000" w:themeColor="text1"/>
          <w:sz w:val="24"/>
          <w:szCs w:val="24"/>
        </w:rPr>
        <w:t>, Albania has continued to participate actively in regional cooperation and maintain good neighbourly relations.</w:t>
      </w:r>
    </w:p>
    <w:p w:rsidR="00EE1719" w:rsidRDefault="000E39BA">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Albania continued to align its legislation to EU requirements in a number of areas, enhancing its </w:t>
      </w:r>
      <w:r>
        <w:rPr>
          <w:rFonts w:ascii="Times New Roman" w:hAnsi="Times New Roman" w:cs="Times New Roman"/>
          <w:b/>
          <w:noProof/>
          <w:color w:val="000000" w:themeColor="text1"/>
          <w:sz w:val="24"/>
          <w:szCs w:val="24"/>
        </w:rPr>
        <w:t xml:space="preserve">ability to assume the </w:t>
      </w:r>
      <w:r>
        <w:rPr>
          <w:rFonts w:ascii="Times New Roman" w:hAnsi="Times New Roman" w:cs="Times New Roman"/>
          <w:b/>
          <w:noProof/>
          <w:color w:val="000000" w:themeColor="text1"/>
          <w:sz w:val="24"/>
          <w:szCs w:val="24"/>
        </w:rPr>
        <w:t>obligations of membership</w:t>
      </w:r>
      <w:r>
        <w:rPr>
          <w:rFonts w:ascii="Times New Roman" w:hAnsi="Times New Roman" w:cs="Times New Roman"/>
          <w:noProof/>
          <w:color w:val="000000" w:themeColor="text1"/>
          <w:sz w:val="24"/>
          <w:szCs w:val="24"/>
        </w:rPr>
        <w:t>. The country is moderately prepared in many areas, such as financial control, education and culture and statistics, or has some level of preparation, including in the areas of public procurement, social policy and employment and t</w:t>
      </w:r>
      <w:r>
        <w:rPr>
          <w:rFonts w:ascii="Times New Roman" w:hAnsi="Times New Roman" w:cs="Times New Roman"/>
          <w:noProof/>
          <w:color w:val="000000" w:themeColor="text1"/>
          <w:sz w:val="24"/>
          <w:szCs w:val="24"/>
        </w:rPr>
        <w:t xml:space="preserve">rans-European networks. Albania will need to continue its efforts as regards the overall preparations for adopting and implementing the EU </w:t>
      </w:r>
      <w:r>
        <w:rPr>
          <w:rFonts w:ascii="Times New Roman" w:hAnsi="Times New Roman" w:cs="Times New Roman"/>
          <w:i/>
          <w:noProof/>
          <w:color w:val="000000" w:themeColor="text1"/>
          <w:sz w:val="24"/>
          <w:szCs w:val="24"/>
        </w:rPr>
        <w:t>acquis</w:t>
      </w:r>
      <w:r>
        <w:rPr>
          <w:rFonts w:ascii="Times New Roman" w:hAnsi="Times New Roman" w:cs="Times New Roman"/>
          <w:noProof/>
          <w:color w:val="000000" w:themeColor="text1"/>
          <w:sz w:val="24"/>
          <w:szCs w:val="24"/>
        </w:rPr>
        <w:t>. Adopting a comprehensive Public Internal Financial Control policy and coordinating its implementation with on</w:t>
      </w:r>
      <w:r>
        <w:rPr>
          <w:rFonts w:ascii="Times New Roman" w:hAnsi="Times New Roman" w:cs="Times New Roman"/>
          <w:noProof/>
          <w:color w:val="000000" w:themeColor="text1"/>
          <w:sz w:val="24"/>
          <w:szCs w:val="24"/>
        </w:rPr>
        <w:t>going public administration and public finance management reform remains key towards a functioning system of internal control in public sector. Albania should continue work on the development of the transport and energy networks, and related connectivity r</w:t>
      </w:r>
      <w:r>
        <w:rPr>
          <w:rFonts w:ascii="Times New Roman" w:hAnsi="Times New Roman" w:cs="Times New Roman"/>
          <w:noProof/>
          <w:color w:val="000000" w:themeColor="text1"/>
          <w:sz w:val="24"/>
          <w:szCs w:val="24"/>
        </w:rPr>
        <w:t xml:space="preserve">eform measures, also with a view to improving connectivity throughout the region. Albania has to finalise the adoption of the secondary legislation for the implementation of the employment reform and strengthen inter-institutional coordination on measures </w:t>
      </w:r>
      <w:r>
        <w:rPr>
          <w:rFonts w:ascii="Times New Roman" w:hAnsi="Times New Roman" w:cs="Times New Roman"/>
          <w:noProof/>
          <w:color w:val="000000" w:themeColor="text1"/>
          <w:sz w:val="24"/>
          <w:szCs w:val="24"/>
        </w:rPr>
        <w:t>affecting the most vulnerable groups.</w:t>
      </w:r>
    </w:p>
    <w:p w:rsidR="00EE1719" w:rsidRDefault="000E39BA">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administrative capacity and professional standards of bodies charged with the implementation of the EU </w:t>
      </w:r>
      <w:r>
        <w:rPr>
          <w:rFonts w:ascii="Times New Roman" w:hAnsi="Times New Roman" w:cs="Times New Roman"/>
          <w:i/>
          <w:noProof/>
          <w:color w:val="000000" w:themeColor="text1"/>
          <w:sz w:val="24"/>
          <w:szCs w:val="24"/>
        </w:rPr>
        <w:t>acquis</w:t>
      </w:r>
      <w:r>
        <w:rPr>
          <w:rFonts w:ascii="Times New Roman" w:hAnsi="Times New Roman" w:cs="Times New Roman"/>
          <w:noProof/>
          <w:color w:val="000000" w:themeColor="text1"/>
          <w:sz w:val="24"/>
          <w:szCs w:val="24"/>
        </w:rPr>
        <w:t xml:space="preserve"> need to be strengthened and the independence of regulatory bodies safeguarded. Enhancing transparency an</w:t>
      </w:r>
      <w:r>
        <w:rPr>
          <w:rFonts w:ascii="Times New Roman" w:hAnsi="Times New Roman" w:cs="Times New Roman"/>
          <w:noProof/>
          <w:color w:val="000000" w:themeColor="text1"/>
          <w:sz w:val="24"/>
          <w:szCs w:val="24"/>
        </w:rPr>
        <w:t>d accountability, in particular ensuring the effective, efficient and transparent functioning of the public procurement system and public finance management, remains essential. Albania has continued to fully align with all EU Common Foreign and Security Po</w:t>
      </w:r>
      <w:r>
        <w:rPr>
          <w:rFonts w:ascii="Times New Roman" w:hAnsi="Times New Roman" w:cs="Times New Roman"/>
          <w:noProof/>
          <w:color w:val="000000" w:themeColor="text1"/>
          <w:sz w:val="24"/>
          <w:szCs w:val="24"/>
        </w:rPr>
        <w:t>licy positions and declarations.</w:t>
      </w:r>
    </w:p>
    <w:p w:rsidR="00EE1719" w:rsidRDefault="000E39BA">
      <w:pPr>
        <w:spacing w:after="120" w:line="240" w:lineRule="auto"/>
        <w:jc w:val="both"/>
        <w:rPr>
          <w:rFonts w:ascii="Times New Roman" w:hAnsi="Times New Roman" w:cs="Times New Roman"/>
          <w:b/>
          <w:noProof/>
          <w:color w:val="000000" w:themeColor="text1"/>
          <w:sz w:val="24"/>
          <w:szCs w:val="24"/>
        </w:rPr>
      </w:pPr>
      <w:r>
        <w:rPr>
          <w:rFonts w:ascii="Times New Roman" w:hAnsi="Times New Roman" w:cs="Times New Roman"/>
          <w:noProof/>
          <w:color w:val="000000" w:themeColor="text1"/>
          <w:sz w:val="24"/>
          <w:szCs w:val="24"/>
        </w:rPr>
        <w:t xml:space="preserve"> </w:t>
      </w:r>
    </w:p>
    <w:p w:rsidR="00EE1719" w:rsidRDefault="000E39BA">
      <w:pPr>
        <w:pStyle w:val="Heading1"/>
        <w:rPr>
          <w:rFonts w:eastAsiaTheme="majorEastAsia"/>
        </w:rPr>
      </w:pPr>
      <w:bookmarkStart w:id="5" w:name="_Toc510686842"/>
      <w:bookmarkStart w:id="6" w:name="_Toc530733558"/>
      <w:bookmarkStart w:id="7" w:name="_Toc9328475"/>
      <w:bookmarkStart w:id="8" w:name="_Toc9331909"/>
      <w:bookmarkStart w:id="9" w:name="_Toc9429999"/>
      <w:bookmarkStart w:id="10" w:name="_Toc29803499"/>
      <w:bookmarkStart w:id="11" w:name="_Toc52745503"/>
      <w:r>
        <w:rPr>
          <w:rFonts w:eastAsiaTheme="majorEastAsia"/>
        </w:rPr>
        <w:t>2.</w:t>
      </w:r>
      <w:r>
        <w:rPr>
          <w:rFonts w:eastAsiaTheme="majorEastAsia"/>
        </w:rPr>
        <w:tab/>
      </w:r>
      <w:r>
        <w:t>Fundamentals first: political criteria and rule of law chapters</w:t>
      </w:r>
      <w:bookmarkEnd w:id="5"/>
      <w:bookmarkEnd w:id="6"/>
      <w:bookmarkEnd w:id="7"/>
      <w:bookmarkEnd w:id="8"/>
      <w:bookmarkEnd w:id="9"/>
      <w:bookmarkEnd w:id="10"/>
      <w:bookmarkEnd w:id="11"/>
    </w:p>
    <w:p w:rsidR="00EE1719" w:rsidRDefault="000E39BA">
      <w:pPr>
        <w:pStyle w:val="Heading2"/>
        <w:rPr>
          <w:rFonts w:eastAsiaTheme="majorEastAsia"/>
        </w:rPr>
      </w:pPr>
      <w:bookmarkStart w:id="12" w:name="_Toc510686843"/>
      <w:bookmarkStart w:id="13" w:name="_Toc530733559"/>
      <w:bookmarkStart w:id="14" w:name="_Toc9328476"/>
      <w:bookmarkStart w:id="15" w:name="_Toc9331910"/>
      <w:bookmarkStart w:id="16" w:name="_Toc9430000"/>
      <w:bookmarkStart w:id="17" w:name="_Toc29803500"/>
      <w:bookmarkStart w:id="18" w:name="_Toc52745504"/>
      <w:r>
        <w:rPr>
          <w:rFonts w:eastAsiaTheme="majorEastAsia"/>
        </w:rPr>
        <w:t>2.1.</w:t>
      </w:r>
      <w:r>
        <w:rPr>
          <w:rFonts w:eastAsiaTheme="majorEastAsia"/>
        </w:rPr>
        <w:tab/>
        <w:t>Functioning of democratic institutions and public administration reform</w:t>
      </w:r>
      <w:bookmarkEnd w:id="12"/>
      <w:bookmarkEnd w:id="13"/>
      <w:bookmarkEnd w:id="14"/>
      <w:bookmarkEnd w:id="15"/>
      <w:bookmarkEnd w:id="16"/>
      <w:bookmarkEnd w:id="17"/>
      <w:bookmarkEnd w:id="18"/>
    </w:p>
    <w:p w:rsidR="00EE1719" w:rsidRDefault="000E39BA">
      <w:pPr>
        <w:pStyle w:val="Heading2"/>
        <w:rPr>
          <w:rFonts w:eastAsiaTheme="majorEastAsia"/>
        </w:rPr>
      </w:pPr>
      <w:bookmarkStart w:id="19" w:name="_Toc510686844"/>
      <w:bookmarkStart w:id="20" w:name="_Toc530733560"/>
      <w:bookmarkStart w:id="21" w:name="_Toc9328477"/>
      <w:bookmarkStart w:id="22" w:name="_Toc9331911"/>
      <w:bookmarkStart w:id="23" w:name="_Toc9430001"/>
      <w:bookmarkStart w:id="24" w:name="_Toc29803501"/>
      <w:bookmarkStart w:id="25" w:name="_Toc52745505"/>
      <w:r>
        <w:rPr>
          <w:rFonts w:eastAsiaTheme="majorEastAsia"/>
        </w:rPr>
        <w:t xml:space="preserve">2.1.1 </w:t>
      </w:r>
      <w:r>
        <w:rPr>
          <w:rFonts w:eastAsiaTheme="majorEastAsia"/>
        </w:rPr>
        <w:tab/>
        <w:t>Democracy</w:t>
      </w:r>
      <w:bookmarkEnd w:id="19"/>
      <w:bookmarkEnd w:id="20"/>
      <w:bookmarkEnd w:id="21"/>
      <w:bookmarkEnd w:id="22"/>
      <w:bookmarkEnd w:id="23"/>
      <w:bookmarkEnd w:id="24"/>
      <w:bookmarkEnd w:id="25"/>
    </w:p>
    <w:p w:rsidR="00EE1719" w:rsidRDefault="000E39BA">
      <w:pPr>
        <w:pBdr>
          <w:top w:val="single" w:sz="4" w:space="4" w:color="auto"/>
          <w:left w:val="single" w:sz="4" w:space="4" w:color="auto"/>
          <w:bottom w:val="single" w:sz="4" w:space="0" w:color="auto"/>
          <w:right w:val="single" w:sz="4" w:space="4" w:color="auto"/>
        </w:pBdr>
        <w:shd w:val="clear" w:color="auto" w:fill="F2F2F2" w:themeFill="background1" w:themeFillShade="F2"/>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 political environment continued to be marked by intense </w:t>
      </w:r>
      <w:r>
        <w:rPr>
          <w:rFonts w:ascii="Times New Roman" w:eastAsia="Times New Roman" w:hAnsi="Times New Roman" w:cs="Times New Roman"/>
          <w:noProof/>
          <w:color w:val="000000" w:themeColor="text1"/>
          <w:sz w:val="24"/>
          <w:szCs w:val="24"/>
        </w:rPr>
        <w:t>polarisation. The opposition decided to boycott the 30 June 2019 local elections. These were held, while the President had issued a decision to postpone the vote to October. The Parliament initiated an impeachment procedure on the President, which was conc</w:t>
      </w:r>
      <w:r>
        <w:rPr>
          <w:rFonts w:ascii="Times New Roman" w:eastAsia="Times New Roman" w:hAnsi="Times New Roman" w:cs="Times New Roman"/>
          <w:noProof/>
          <w:color w:val="000000" w:themeColor="text1"/>
          <w:sz w:val="24"/>
          <w:szCs w:val="24"/>
        </w:rPr>
        <w:t>luded in July 2020. The country's political stalemate saw an opening in January 2020, when the ruling majority and the parliamentary and extra-parliamentary opposition reached an agreement to take forward the electoral reform, by establishing a platform to</w:t>
      </w:r>
      <w:r>
        <w:rPr>
          <w:rFonts w:ascii="Times New Roman" w:eastAsia="Times New Roman" w:hAnsi="Times New Roman" w:cs="Times New Roman"/>
          <w:noProof/>
          <w:color w:val="000000" w:themeColor="text1"/>
          <w:sz w:val="24"/>
          <w:szCs w:val="24"/>
        </w:rPr>
        <w:t xml:space="preserve"> complete technical and political talks. An agreement was finally </w:t>
      </w:r>
      <w:r>
        <w:rPr>
          <w:rFonts w:ascii="Times New Roman" w:eastAsia="Times New Roman" w:hAnsi="Times New Roman" w:cs="Times New Roman"/>
          <w:noProof/>
          <w:color w:val="000000" w:themeColor="text1"/>
          <w:sz w:val="24"/>
          <w:szCs w:val="24"/>
        </w:rPr>
        <w:lastRenderedPageBreak/>
        <w:t>reached on 5 June 2020. Amendments to the electoral code were adopted by Parliament on 23 July 2020, in accordance with the 5 June 2020 agreement and implementing the OSCE/ODIHR recommendati</w:t>
      </w:r>
      <w:r>
        <w:rPr>
          <w:rFonts w:ascii="Times New Roman" w:eastAsia="Times New Roman" w:hAnsi="Times New Roman" w:cs="Times New Roman"/>
          <w:noProof/>
          <w:color w:val="000000" w:themeColor="text1"/>
          <w:sz w:val="24"/>
          <w:szCs w:val="24"/>
        </w:rPr>
        <w:t>ons</w:t>
      </w:r>
      <w:r>
        <w:rPr>
          <w:rFonts w:ascii="Times New Roman" w:eastAsia="Times New Roman" w:hAnsi="Times New Roman" w:cs="Times New Roman"/>
          <w:i/>
          <w:noProof/>
          <w:color w:val="000000" w:themeColor="text1"/>
          <w:sz w:val="24"/>
          <w:szCs w:val="24"/>
        </w:rPr>
        <w:t>.</w:t>
      </w:r>
      <w:r>
        <w:rPr>
          <w:rFonts w:ascii="Times New Roman" w:eastAsia="Times New Roman" w:hAnsi="Times New Roman" w:cs="Times New Roman"/>
          <w:noProof/>
          <w:color w:val="000000" w:themeColor="text1"/>
          <w:sz w:val="24"/>
          <w:szCs w:val="24"/>
        </w:rPr>
        <w:t xml:space="preserve"> In addition, the Parliament adopted on 30 July some amendments to the Constitution relating to the electoral system. </w:t>
      </w:r>
      <w:r>
        <w:rPr>
          <w:rFonts w:ascii="Times New Roman" w:hAnsi="Times New Roman" w:cs="Times New Roman"/>
          <w:noProof/>
          <w:sz w:val="24"/>
          <w:szCs w:val="24"/>
        </w:rPr>
        <w:t xml:space="preserve"> These amendments that are unrelated to the implementation of the OSCE/ODHIR recommendations</w:t>
      </w:r>
      <w:r>
        <w:rPr>
          <w:rFonts w:ascii="Times New Roman" w:eastAsia="Times New Roman" w:hAnsi="Times New Roman" w:cs="Times New Roman"/>
          <w:noProof/>
          <w:color w:val="000000" w:themeColor="text1"/>
          <w:sz w:val="24"/>
          <w:szCs w:val="24"/>
        </w:rPr>
        <w:t xml:space="preserve"> required further amendments to the electo</w:t>
      </w:r>
      <w:r>
        <w:rPr>
          <w:rFonts w:ascii="Times New Roman" w:eastAsia="Times New Roman" w:hAnsi="Times New Roman" w:cs="Times New Roman"/>
          <w:noProof/>
          <w:color w:val="000000" w:themeColor="text1"/>
          <w:sz w:val="24"/>
          <w:szCs w:val="24"/>
        </w:rPr>
        <w:t xml:space="preserve">ral code which were discussed among parties </w:t>
      </w:r>
      <w:r>
        <w:rPr>
          <w:rFonts w:ascii="Times New Roman" w:hAnsi="Times New Roman" w:cs="Times New Roman"/>
          <w:noProof/>
          <w:sz w:val="24"/>
          <w:szCs w:val="24"/>
        </w:rPr>
        <w:t>in the Political Council, but without reaching a compromise before the Parliament voted on them on 5 October. Despite the positive outcome of the agreement reached on 5 June 2020, the political dialogue in the co</w:t>
      </w:r>
      <w:r>
        <w:rPr>
          <w:rFonts w:ascii="Times New Roman" w:hAnsi="Times New Roman" w:cs="Times New Roman"/>
          <w:noProof/>
          <w:sz w:val="24"/>
          <w:szCs w:val="24"/>
        </w:rPr>
        <w:t>untry needs to be improved, in particular on electoral reform and its implementation.</w:t>
      </w:r>
      <w:r>
        <w:rPr>
          <w:rFonts w:ascii="Times New Roman" w:hAnsi="Times New Roman" w:cs="Times New Roman"/>
          <w:noProof/>
          <w:color w:val="000000"/>
          <w:sz w:val="24"/>
          <w:szCs w:val="24"/>
        </w:rPr>
        <w:t> </w:t>
      </w:r>
    </w:p>
    <w:p w:rsidR="00EE1719" w:rsidRDefault="000E39BA">
      <w:pPr>
        <w:spacing w:after="120" w:line="240" w:lineRule="auto"/>
        <w:jc w:val="both"/>
        <w:rPr>
          <w:rFonts w:ascii="Times New Roman" w:eastAsia="Times New Roman" w:hAnsi="Times New Roman" w:cs="Times New Roman"/>
          <w:b/>
          <w:noProof/>
          <w:color w:val="000000" w:themeColor="text1"/>
          <w:sz w:val="24"/>
          <w:szCs w:val="24"/>
        </w:rPr>
      </w:pPr>
      <w:r>
        <w:rPr>
          <w:rFonts w:ascii="Times New Roman" w:eastAsia="Times New Roman" w:hAnsi="Times New Roman" w:cs="Times New Roman"/>
          <w:b/>
          <w:noProof/>
          <w:color w:val="000000" w:themeColor="text1"/>
          <w:sz w:val="24"/>
          <w:szCs w:val="24"/>
        </w:rPr>
        <w:t>Elections</w:t>
      </w:r>
    </w:p>
    <w:p w:rsidR="00EE1719" w:rsidRDefault="000E39BA">
      <w:pPr>
        <w:spacing w:after="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On 30 June 2019, Albania held local elections in a strongly polarised political environment. Following its </w:t>
      </w:r>
      <w:r>
        <w:rPr>
          <w:rFonts w:ascii="Times New Roman" w:eastAsiaTheme="minorHAnsi" w:hAnsi="Times New Roman" w:cs="Times New Roman"/>
          <w:i/>
          <w:noProof/>
          <w:color w:val="000000" w:themeColor="text1"/>
          <w:sz w:val="24"/>
          <w:szCs w:val="24"/>
        </w:rPr>
        <w:t>en bloc</w:t>
      </w:r>
      <w:r>
        <w:rPr>
          <w:rFonts w:ascii="Times New Roman" w:eastAsiaTheme="minorHAnsi" w:hAnsi="Times New Roman" w:cs="Times New Roman"/>
          <w:noProof/>
          <w:color w:val="000000" w:themeColor="text1"/>
          <w:sz w:val="24"/>
          <w:szCs w:val="24"/>
        </w:rPr>
        <w:t xml:space="preserve"> relinquishing of parliamentary mandates in February 2019 and months of street protests, the opposition decided to boycott the elections. On 8 June, on the grounds of security threats, the President decreed the cancellation of his previous decree setting t</w:t>
      </w:r>
      <w:r>
        <w:rPr>
          <w:rFonts w:ascii="Times New Roman" w:eastAsiaTheme="minorHAnsi" w:hAnsi="Times New Roman" w:cs="Times New Roman"/>
          <w:noProof/>
          <w:color w:val="000000" w:themeColor="text1"/>
          <w:sz w:val="24"/>
          <w:szCs w:val="24"/>
        </w:rPr>
        <w:t>he election date and announced 13 October as the new date. The President's decree was ignored by the ruling majority and the election administration bodies. As the extra-parliamentary opposition sought to delegitimise the elections, the international commu</w:t>
      </w:r>
      <w:r>
        <w:rPr>
          <w:rFonts w:ascii="Times New Roman" w:eastAsiaTheme="minorHAnsi" w:hAnsi="Times New Roman" w:cs="Times New Roman"/>
          <w:noProof/>
          <w:color w:val="000000" w:themeColor="text1"/>
          <w:sz w:val="24"/>
          <w:szCs w:val="24"/>
        </w:rPr>
        <w:t>nity warned that violence during the electoral process would be considered unacceptable. Mayoral candidates from the ruling Socialist Party (SP) ran unopposed in 31 of the 61 municipalities, of which the SP won 60 (the remaining one was won by an SP-backed</w:t>
      </w:r>
      <w:r>
        <w:rPr>
          <w:rFonts w:ascii="Times New Roman" w:eastAsiaTheme="minorHAnsi" w:hAnsi="Times New Roman" w:cs="Times New Roman"/>
          <w:noProof/>
          <w:color w:val="000000" w:themeColor="text1"/>
          <w:sz w:val="24"/>
          <w:szCs w:val="24"/>
        </w:rPr>
        <w:t xml:space="preserve"> smaller party). Following the election, the Parliament initiated an impeachment procedure against the President on the grounds of the unconstitutionality of his decision to cancel the date of the elections. The </w:t>
      </w:r>
      <w:r>
        <w:rPr>
          <w:rFonts w:ascii="Times New Roman" w:eastAsiaTheme="minorHAnsi" w:hAnsi="Times New Roman" w:cs="Times New Roman"/>
          <w:i/>
          <w:noProof/>
          <w:color w:val="000000" w:themeColor="text1"/>
          <w:sz w:val="24"/>
          <w:szCs w:val="24"/>
        </w:rPr>
        <w:t>ad hoc</w:t>
      </w:r>
      <w:r>
        <w:rPr>
          <w:rFonts w:ascii="Times New Roman" w:eastAsiaTheme="minorHAnsi" w:hAnsi="Times New Roman" w:cs="Times New Roman"/>
          <w:noProof/>
          <w:color w:val="000000" w:themeColor="text1"/>
          <w:sz w:val="24"/>
          <w:szCs w:val="24"/>
        </w:rPr>
        <w:t xml:space="preserve"> inquiry committee of the Parliament c</w:t>
      </w:r>
      <w:r>
        <w:rPr>
          <w:rFonts w:ascii="Times New Roman" w:eastAsiaTheme="minorHAnsi" w:hAnsi="Times New Roman" w:cs="Times New Roman"/>
          <w:noProof/>
          <w:color w:val="000000" w:themeColor="text1"/>
          <w:sz w:val="24"/>
          <w:szCs w:val="24"/>
        </w:rPr>
        <w:t>oncluded that while the President had overstepped his constitutional competencies, the violation did not provide enough grounds for the President's impeachment. The Parliament endorsed the ad hoc inquiry committee's finding on 27 July 2020.</w:t>
      </w:r>
    </w:p>
    <w:p w:rsidR="00EE1719" w:rsidRDefault="000E39BA">
      <w:pPr>
        <w:spacing w:after="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relevant ad</w:t>
      </w:r>
      <w:r>
        <w:rPr>
          <w:rFonts w:ascii="Times New Roman" w:eastAsiaTheme="minorHAnsi" w:hAnsi="Times New Roman" w:cs="Times New Roman"/>
          <w:noProof/>
          <w:color w:val="000000" w:themeColor="text1"/>
          <w:sz w:val="24"/>
          <w:szCs w:val="24"/>
        </w:rPr>
        <w:t xml:space="preserve"> hoc parliamentary committee is still ongoing.</w:t>
      </w:r>
    </w:p>
    <w:p w:rsidR="00EE1719" w:rsidRDefault="000E39BA">
      <w:pPr>
        <w:spacing w:after="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In the final report from its election observation mission, the OSCE/ODIHR noted that, although the June elections had been organised without major problems, they had been held with little regard for voters’ in</w:t>
      </w:r>
      <w:r>
        <w:rPr>
          <w:rFonts w:ascii="Times New Roman" w:eastAsiaTheme="minorHAnsi" w:hAnsi="Times New Roman" w:cs="Times New Roman"/>
          <w:noProof/>
          <w:color w:val="000000" w:themeColor="text1"/>
          <w:sz w:val="24"/>
          <w:szCs w:val="24"/>
        </w:rPr>
        <w:t>terests, as voters did not have a full choice of political alternatives. It further recommended:</w:t>
      </w:r>
    </w:p>
    <w:p w:rsidR="00EE1719" w:rsidRDefault="000E39BA">
      <w:pPr>
        <w:numPr>
          <w:ilvl w:val="0"/>
          <w:numId w:val="35"/>
        </w:numPr>
        <w:spacing w:after="120" w:line="240" w:lineRule="auto"/>
        <w:ind w:left="681" w:hanging="397"/>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an inclusive dialogue among political parties to carry out electoral reform; </w:t>
      </w:r>
    </w:p>
    <w:p w:rsidR="00EE1719" w:rsidRDefault="000E39BA">
      <w:pPr>
        <w:numPr>
          <w:ilvl w:val="0"/>
          <w:numId w:val="35"/>
        </w:numPr>
        <w:spacing w:after="120" w:line="240" w:lineRule="auto"/>
        <w:ind w:left="681" w:hanging="397"/>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measures to eliminate the misuse of state resources; </w:t>
      </w:r>
    </w:p>
    <w:p w:rsidR="00EE1719" w:rsidRDefault="000E39BA">
      <w:pPr>
        <w:numPr>
          <w:ilvl w:val="0"/>
          <w:numId w:val="35"/>
        </w:numPr>
        <w:spacing w:after="120" w:line="240" w:lineRule="auto"/>
        <w:ind w:left="681" w:hanging="397"/>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de-politicisation of th</w:t>
      </w:r>
      <w:r>
        <w:rPr>
          <w:rFonts w:ascii="Times New Roman" w:eastAsiaTheme="minorHAnsi" w:hAnsi="Times New Roman" w:cs="Times New Roman"/>
          <w:noProof/>
          <w:color w:val="000000" w:themeColor="text1"/>
          <w:sz w:val="24"/>
          <w:szCs w:val="24"/>
        </w:rPr>
        <w:t xml:space="preserve">e civil service, including the establishment of independent election commissioners; </w:t>
      </w:r>
    </w:p>
    <w:p w:rsidR="00EE1719" w:rsidRDefault="000E39BA">
      <w:pPr>
        <w:numPr>
          <w:ilvl w:val="0"/>
          <w:numId w:val="35"/>
        </w:numPr>
        <w:spacing w:after="120" w:line="240" w:lineRule="auto"/>
        <w:ind w:left="681" w:hanging="397"/>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ensuring the independence and impartiality of the Central Election Commission and the judiciary; </w:t>
      </w:r>
    </w:p>
    <w:p w:rsidR="00EE1719" w:rsidRDefault="000E39BA">
      <w:pPr>
        <w:numPr>
          <w:ilvl w:val="0"/>
          <w:numId w:val="35"/>
        </w:numPr>
        <w:spacing w:after="120" w:line="240" w:lineRule="auto"/>
        <w:ind w:left="681" w:hanging="397"/>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swift and transparent investigation of alleged electoral violations.</w:t>
      </w:r>
    </w:p>
    <w:p w:rsidR="00EE1719" w:rsidRDefault="000E39BA">
      <w:pPr>
        <w:spacing w:after="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On 1</w:t>
      </w:r>
      <w:r>
        <w:rPr>
          <w:rFonts w:ascii="Times New Roman" w:eastAsiaTheme="minorHAnsi" w:hAnsi="Times New Roman" w:cs="Times New Roman"/>
          <w:noProof/>
          <w:color w:val="000000" w:themeColor="text1"/>
          <w:sz w:val="24"/>
          <w:szCs w:val="24"/>
        </w:rPr>
        <w:t>4 January 2020, the ruling majority and representatives of the parliamentary and extra-parliamentary opposition reached a breakthrough agreement to take forward the longstanding electoral reform. The agreement set up a Political Council, a cross-party plat</w:t>
      </w:r>
      <w:r>
        <w:rPr>
          <w:rFonts w:ascii="Times New Roman" w:eastAsiaTheme="minorHAnsi" w:hAnsi="Times New Roman" w:cs="Times New Roman"/>
          <w:noProof/>
          <w:color w:val="000000" w:themeColor="text1"/>
          <w:sz w:val="24"/>
          <w:szCs w:val="24"/>
        </w:rPr>
        <w:t xml:space="preserve">form composed of the two co-chairs of the </w:t>
      </w:r>
      <w:r>
        <w:rPr>
          <w:rFonts w:ascii="Times New Roman" w:eastAsiaTheme="minorHAnsi" w:hAnsi="Times New Roman" w:cs="Times New Roman"/>
          <w:i/>
          <w:noProof/>
          <w:color w:val="000000" w:themeColor="text1"/>
          <w:sz w:val="24"/>
          <w:szCs w:val="24"/>
        </w:rPr>
        <w:t>Ad Hoc</w:t>
      </w:r>
      <w:r>
        <w:rPr>
          <w:rFonts w:ascii="Times New Roman" w:eastAsiaTheme="minorHAnsi" w:hAnsi="Times New Roman" w:cs="Times New Roman"/>
          <w:noProof/>
          <w:color w:val="000000" w:themeColor="text1"/>
          <w:sz w:val="24"/>
          <w:szCs w:val="24"/>
        </w:rPr>
        <w:t xml:space="preserve"> Committee representing the parliamentary ruling majority and the opposition, and two representatives of the extra-parliamentary opposition, to steer the reform on a consensual basis with the implementation o</w:t>
      </w:r>
      <w:r>
        <w:rPr>
          <w:rFonts w:ascii="Times New Roman" w:eastAsiaTheme="minorHAnsi" w:hAnsi="Times New Roman" w:cs="Times New Roman"/>
          <w:noProof/>
          <w:color w:val="000000" w:themeColor="text1"/>
          <w:sz w:val="24"/>
          <w:szCs w:val="24"/>
        </w:rPr>
        <w:t>f outstanding OSCE/ODIHR recommendations, ensuring transparent financing of political parties and electoral campaigns. The target date to reach a consensus within this framework was set to 30 June 2020.</w:t>
      </w:r>
    </w:p>
    <w:p w:rsidR="00EE1719" w:rsidRDefault="000E39BA">
      <w:pPr>
        <w:spacing w:after="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lastRenderedPageBreak/>
        <w:t>After lengthy negotiations, on 5 June 2020, the Polit</w:t>
      </w:r>
      <w:r>
        <w:rPr>
          <w:rFonts w:ascii="Times New Roman" w:eastAsiaTheme="minorHAnsi" w:hAnsi="Times New Roman" w:cs="Times New Roman"/>
          <w:noProof/>
          <w:color w:val="000000" w:themeColor="text1"/>
          <w:sz w:val="24"/>
          <w:szCs w:val="24"/>
        </w:rPr>
        <w:t>ical Council reached a breakthrough agreement to gradually introduce a depoliticised electoral administration, in line with OSCE/ODIHR recommendations. The parties also agreed to introduce electronic identification of all the voters (where technically viab</w:t>
      </w:r>
      <w:r>
        <w:rPr>
          <w:rFonts w:ascii="Times New Roman" w:eastAsiaTheme="minorHAnsi" w:hAnsi="Times New Roman" w:cs="Times New Roman"/>
          <w:noProof/>
          <w:color w:val="000000" w:themeColor="text1"/>
          <w:sz w:val="24"/>
          <w:szCs w:val="24"/>
        </w:rPr>
        <w:t>le), to restructure the Central Election Commission, and for the Electoral College to be comprised of vetted judges. The amendments to the electoral code were adopted by the Parliament, in accordance with the 5 June 2020 agreement, on 23 July 2020. In addi</w:t>
      </w:r>
      <w:r>
        <w:rPr>
          <w:rFonts w:ascii="Times New Roman" w:eastAsiaTheme="minorHAnsi" w:hAnsi="Times New Roman" w:cs="Times New Roman"/>
          <w:noProof/>
          <w:color w:val="000000" w:themeColor="text1"/>
          <w:sz w:val="24"/>
          <w:szCs w:val="24"/>
        </w:rPr>
        <w:t>tion, on 30 July, the Parliament adopted some amendments to the Constitution, pertinent to the electoral system. The amendments introduce the possibility to amend the electoral code concerning open candidates lists, a national threshold and a ban on pre-el</w:t>
      </w:r>
      <w:r>
        <w:rPr>
          <w:rFonts w:ascii="Times New Roman" w:eastAsiaTheme="minorHAnsi" w:hAnsi="Times New Roman" w:cs="Times New Roman"/>
          <w:noProof/>
          <w:color w:val="000000" w:themeColor="text1"/>
          <w:sz w:val="24"/>
          <w:szCs w:val="24"/>
        </w:rPr>
        <w:t xml:space="preserve">ectoral coalitions. The constitutional amendments adopted with cross-party support in Parliament were met with criticism by the extra-parliamentary opposition. </w:t>
      </w:r>
      <w:r>
        <w:rPr>
          <w:rFonts w:ascii="Times New Roman" w:hAnsi="Times New Roman" w:cs="Times New Roman"/>
          <w:noProof/>
          <w:sz w:val="24"/>
          <w:szCs w:val="24"/>
        </w:rPr>
        <w:t>These amendments that are unrelated to the implementation of the OSCE/ODHIR recommendations</w:t>
      </w:r>
      <w:r>
        <w:rPr>
          <w:rFonts w:ascii="Times New Roman" w:eastAsia="Times New Roman" w:hAnsi="Times New Roman" w:cs="Times New Roman"/>
          <w:noProof/>
          <w:color w:val="000000" w:themeColor="text1"/>
          <w:sz w:val="24"/>
          <w:szCs w:val="24"/>
        </w:rPr>
        <w:t xml:space="preserve"> requ</w:t>
      </w:r>
      <w:r>
        <w:rPr>
          <w:rFonts w:ascii="Times New Roman" w:eastAsia="Times New Roman" w:hAnsi="Times New Roman" w:cs="Times New Roman"/>
          <w:noProof/>
          <w:color w:val="000000" w:themeColor="text1"/>
          <w:sz w:val="24"/>
          <w:szCs w:val="24"/>
        </w:rPr>
        <w:t xml:space="preserve">ired further amendments to the electoral code which were discussed among parties </w:t>
      </w:r>
      <w:r>
        <w:rPr>
          <w:rFonts w:ascii="Times New Roman" w:hAnsi="Times New Roman" w:cs="Times New Roman"/>
          <w:noProof/>
          <w:sz w:val="24"/>
          <w:szCs w:val="24"/>
        </w:rPr>
        <w:t>in the Political Council, but without reaching a compromise before the Parliament voted on them on 5 October. Despite the positive outcome of the agreement reached on 5 June 2</w:t>
      </w:r>
      <w:r>
        <w:rPr>
          <w:rFonts w:ascii="Times New Roman" w:hAnsi="Times New Roman" w:cs="Times New Roman"/>
          <w:noProof/>
          <w:sz w:val="24"/>
          <w:szCs w:val="24"/>
        </w:rPr>
        <w:t>020, the political dialogue in the country needs to be improved, in particular on electoral reform and its implementation.</w:t>
      </w:r>
      <w:r>
        <w:rPr>
          <w:rFonts w:ascii="Times New Roman" w:hAnsi="Times New Roman" w:cs="Times New Roman"/>
          <w:noProof/>
          <w:color w:val="000000"/>
          <w:sz w:val="24"/>
          <w:szCs w:val="24"/>
        </w:rPr>
        <w:t> </w:t>
      </w:r>
    </w:p>
    <w:p w:rsidR="00EE1719" w:rsidRDefault="000E39BA">
      <w:pPr>
        <w:spacing w:after="120" w:line="240" w:lineRule="auto"/>
        <w:jc w:val="both"/>
        <w:rPr>
          <w:rFonts w:ascii="Times New Roman" w:eastAsia="Times New Roman" w:hAnsi="Times New Roman" w:cs="Times New Roman"/>
          <w:b/>
          <w:noProof/>
          <w:color w:val="000000" w:themeColor="text1"/>
          <w:sz w:val="24"/>
          <w:szCs w:val="24"/>
        </w:rPr>
      </w:pPr>
      <w:r>
        <w:rPr>
          <w:rFonts w:ascii="Times New Roman" w:eastAsia="Times New Roman" w:hAnsi="Times New Roman" w:cs="Times New Roman"/>
          <w:b/>
          <w:noProof/>
          <w:color w:val="000000" w:themeColor="text1"/>
          <w:sz w:val="24"/>
          <w:szCs w:val="24"/>
        </w:rPr>
        <w:t>Parliament</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color w:val="000000" w:themeColor="text1"/>
          <w:spacing w:val="-6"/>
          <w:sz w:val="24"/>
          <w:szCs w:val="24"/>
          <w:lang w:eastAsia="de-AT"/>
        </w:rPr>
      </w:pPr>
      <w:r>
        <w:rPr>
          <w:rFonts w:ascii="Times New Roman" w:eastAsia="Times New Roman" w:hAnsi="Times New Roman" w:cs="Times New Roman"/>
          <w:noProof/>
          <w:color w:val="000000" w:themeColor="text1"/>
          <w:sz w:val="24"/>
          <w:szCs w:val="24"/>
        </w:rPr>
        <w:t>Parliamentary activities were affected by the opposition relinquishing their mandates. However, institutional continuity was ensured through gradual replacement of vacant parliamentary seats, resulting in a new parliamentary opposition working with the rul</w:t>
      </w:r>
      <w:r>
        <w:rPr>
          <w:rFonts w:ascii="Times New Roman" w:eastAsia="Times New Roman" w:hAnsi="Times New Roman" w:cs="Times New Roman"/>
          <w:noProof/>
          <w:color w:val="000000" w:themeColor="text1"/>
          <w:sz w:val="24"/>
          <w:szCs w:val="24"/>
        </w:rPr>
        <w:t xml:space="preserve">ing majority on a number of files. Although the situation </w:t>
      </w:r>
      <w:r>
        <w:rPr>
          <w:rFonts w:ascii="Times New Roman" w:eastAsia="Times New Roman" w:hAnsi="Times New Roman" w:cs="Times New Roman"/>
          <w:noProof/>
          <w:color w:val="000000" w:themeColor="text1"/>
          <w:spacing w:val="-6"/>
          <w:sz w:val="24"/>
          <w:szCs w:val="24"/>
          <w:lang w:eastAsia="de-AT"/>
        </w:rPr>
        <w:t>had an impact on the Parliament's oversight functions, the Parliament managed to adopt new Rules of Procedure and increase its transparency. I</w:t>
      </w:r>
      <w:r>
        <w:rPr>
          <w:rFonts w:ascii="Times New Roman" w:eastAsia="Times New Roman" w:hAnsi="Times New Roman" w:cs="Times New Roman"/>
          <w:noProof/>
          <w:color w:val="000000" w:themeColor="text1"/>
          <w:sz w:val="24"/>
          <w:szCs w:val="24"/>
        </w:rPr>
        <w:t>nvolvement of the Assembly in the EU integration process</w:t>
      </w:r>
      <w:r>
        <w:rPr>
          <w:rFonts w:ascii="Times New Roman" w:eastAsia="Times New Roman" w:hAnsi="Times New Roman" w:cs="Times New Roman"/>
          <w:noProof/>
          <w:color w:val="000000" w:themeColor="text1"/>
          <w:sz w:val="24"/>
          <w:szCs w:val="24"/>
        </w:rPr>
        <w:t xml:space="preserve"> remains to be strengthened. The control of political party financing needs to be improved. </w:t>
      </w:r>
      <w:r>
        <w:rPr>
          <w:rFonts w:ascii="Times New Roman" w:eastAsia="Times New Roman" w:hAnsi="Times New Roman" w:cs="Times New Roman"/>
          <w:noProof/>
          <w:color w:val="000000" w:themeColor="text1"/>
          <w:spacing w:val="-6"/>
          <w:sz w:val="24"/>
          <w:szCs w:val="24"/>
          <w:lang w:eastAsia="de-AT"/>
        </w:rPr>
        <w:t xml:space="preserve">Following the opposition’s </w:t>
      </w:r>
      <w:r>
        <w:rPr>
          <w:rFonts w:ascii="Times New Roman" w:eastAsia="Times New Roman" w:hAnsi="Times New Roman" w:cs="Times New Roman"/>
          <w:i/>
          <w:noProof/>
          <w:color w:val="000000" w:themeColor="text1"/>
          <w:spacing w:val="-6"/>
          <w:sz w:val="24"/>
          <w:szCs w:val="24"/>
          <w:lang w:eastAsia="de-AT"/>
        </w:rPr>
        <w:t>en bloc</w:t>
      </w:r>
      <w:r>
        <w:rPr>
          <w:rFonts w:ascii="Times New Roman" w:eastAsia="Times New Roman" w:hAnsi="Times New Roman" w:cs="Times New Roman"/>
          <w:noProof/>
          <w:color w:val="000000" w:themeColor="text1"/>
          <w:spacing w:val="-6"/>
          <w:sz w:val="24"/>
          <w:szCs w:val="24"/>
          <w:lang w:eastAsia="de-AT"/>
        </w:rPr>
        <w:t xml:space="preserve"> relinquishing of mandates in February 2019, the reporting period was marked by the gradual filling of the vacant parliamentary se</w:t>
      </w:r>
      <w:r>
        <w:rPr>
          <w:rFonts w:ascii="Times New Roman" w:eastAsia="Times New Roman" w:hAnsi="Times New Roman" w:cs="Times New Roman"/>
          <w:noProof/>
          <w:color w:val="000000" w:themeColor="text1"/>
          <w:spacing w:val="-6"/>
          <w:sz w:val="24"/>
          <w:szCs w:val="24"/>
          <w:lang w:eastAsia="de-AT"/>
        </w:rPr>
        <w:t>ats. The Central Election Commission issued mandates to 40 new Members of Parliament (MPs) from candidates remaining on the opposition parties’ proportional lists, bringing the total number of the MPs to 122 out of 140. Three new parliamentary opposition g</w:t>
      </w:r>
      <w:r>
        <w:rPr>
          <w:rFonts w:ascii="Times New Roman" w:eastAsia="Times New Roman" w:hAnsi="Times New Roman" w:cs="Times New Roman"/>
          <w:noProof/>
          <w:color w:val="000000" w:themeColor="text1"/>
          <w:spacing w:val="-6"/>
          <w:sz w:val="24"/>
          <w:szCs w:val="24"/>
          <w:lang w:eastAsia="de-AT"/>
        </w:rPr>
        <w:t xml:space="preserve">roups emerged from this process. The functioning of Parliament has therefore been ensured. </w:t>
      </w:r>
    </w:p>
    <w:p w:rsidR="00EE1719" w:rsidRDefault="000E39BA">
      <w:pPr>
        <w:autoSpaceDE w:val="0"/>
        <w:autoSpaceDN w:val="0"/>
        <w:adjustRightInd w:val="0"/>
        <w:spacing w:after="120" w:line="240" w:lineRule="auto"/>
        <w:jc w:val="both"/>
        <w:rPr>
          <w:rFonts w:ascii="Times New Roman" w:eastAsiaTheme="minorHAnsi" w:hAnsi="Times New Roman" w:cs="Times New Roman"/>
          <w:noProof/>
          <w:color w:val="000000" w:themeColor="text1"/>
          <w:sz w:val="24"/>
          <w:szCs w:val="24"/>
          <w:lang w:eastAsia="en-US"/>
        </w:rPr>
      </w:pPr>
      <w:r>
        <w:rPr>
          <w:rFonts w:ascii="Times New Roman" w:eastAsia="Times New Roman" w:hAnsi="Times New Roman" w:cs="Times New Roman"/>
          <w:noProof/>
          <w:color w:val="000000" w:themeColor="text1"/>
          <w:spacing w:val="-6"/>
          <w:sz w:val="24"/>
          <w:szCs w:val="24"/>
          <w:lang w:eastAsia="de-AT"/>
        </w:rPr>
        <w:t>The Parliament’s adoption of new</w:t>
      </w:r>
      <w:r>
        <w:rPr>
          <w:rFonts w:ascii="Times New Roman" w:eastAsia="Times New Roman" w:hAnsi="Times New Roman" w:cs="Times New Roman"/>
          <w:b/>
          <w:noProof/>
          <w:color w:val="000000" w:themeColor="text1"/>
          <w:spacing w:val="-6"/>
          <w:sz w:val="24"/>
          <w:szCs w:val="24"/>
          <w:lang w:eastAsia="de-AT"/>
        </w:rPr>
        <w:t xml:space="preserve"> rules of procedure</w:t>
      </w:r>
      <w:r>
        <w:rPr>
          <w:rFonts w:ascii="Times New Roman" w:eastAsia="Times New Roman" w:hAnsi="Times New Roman" w:cs="Times New Roman"/>
          <w:noProof/>
          <w:color w:val="000000" w:themeColor="text1"/>
          <w:spacing w:val="-6"/>
          <w:sz w:val="24"/>
          <w:szCs w:val="24"/>
          <w:lang w:eastAsia="de-AT"/>
        </w:rPr>
        <w:t xml:space="preserve"> in July 2019 was a positive development enhancing its functionality, transparency and accountability.</w:t>
      </w:r>
      <w:r>
        <w:rPr>
          <w:rFonts w:ascii="Times New Roman" w:eastAsiaTheme="minorHAnsi" w:hAnsi="Times New Roman" w:cs="Times New Roman"/>
          <w:noProof/>
          <w:color w:val="000000" w:themeColor="text1"/>
          <w:sz w:val="24"/>
          <w:szCs w:val="24"/>
          <w:lang w:eastAsia="en-US"/>
        </w:rPr>
        <w:t xml:space="preserve"> Amendments</w:t>
      </w:r>
      <w:r>
        <w:rPr>
          <w:rFonts w:ascii="Times New Roman" w:eastAsiaTheme="minorHAnsi" w:hAnsi="Times New Roman" w:cs="Times New Roman"/>
          <w:noProof/>
          <w:color w:val="000000" w:themeColor="text1"/>
          <w:sz w:val="24"/>
          <w:szCs w:val="24"/>
          <w:lang w:eastAsia="en-US"/>
        </w:rPr>
        <w:t xml:space="preserve"> to the Rules of Procedures have been adopted in April 2020, in order to enable the Parliament to operate remotely and to continue its activities in the course of the COVID-19 crisis. Parliament also made efforts to comply with the </w:t>
      </w:r>
      <w:r>
        <w:rPr>
          <w:rFonts w:ascii="Times New Roman" w:eastAsiaTheme="minorHAnsi" w:hAnsi="Times New Roman" w:cs="Times New Roman"/>
          <w:b/>
          <w:noProof/>
          <w:color w:val="000000" w:themeColor="text1"/>
          <w:sz w:val="24"/>
          <w:szCs w:val="24"/>
          <w:lang w:eastAsia="en-US"/>
        </w:rPr>
        <w:t>code of ethics</w:t>
      </w:r>
      <w:r>
        <w:rPr>
          <w:rFonts w:ascii="Times New Roman" w:eastAsiaTheme="minorHAnsi" w:hAnsi="Times New Roman" w:cs="Times New Roman"/>
          <w:noProof/>
          <w:color w:val="000000" w:themeColor="text1"/>
          <w:sz w:val="24"/>
          <w:szCs w:val="24"/>
          <w:lang w:eastAsia="en-US"/>
        </w:rPr>
        <w:t>, in parti</w:t>
      </w:r>
      <w:r>
        <w:rPr>
          <w:rFonts w:ascii="Times New Roman" w:eastAsiaTheme="minorHAnsi" w:hAnsi="Times New Roman" w:cs="Times New Roman"/>
          <w:noProof/>
          <w:color w:val="000000" w:themeColor="text1"/>
          <w:sz w:val="24"/>
          <w:szCs w:val="24"/>
          <w:lang w:eastAsia="en-US"/>
        </w:rPr>
        <w:t>cular by making entries in the conflicts of interest register.</w:t>
      </w:r>
    </w:p>
    <w:p w:rsidR="00EE1719" w:rsidRDefault="000E39BA">
      <w:pPr>
        <w:autoSpaceDE w:val="0"/>
        <w:autoSpaceDN w:val="0"/>
        <w:adjustRightInd w:val="0"/>
        <w:spacing w:after="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lang w:eastAsia="en-US"/>
        </w:rPr>
        <w:t xml:space="preserve">In July 2019, and </w:t>
      </w:r>
      <w:r>
        <w:rPr>
          <w:rFonts w:ascii="Times New Roman" w:eastAsiaTheme="minorHAnsi" w:hAnsi="Times New Roman" w:cs="Times New Roman"/>
          <w:i/>
          <w:noProof/>
          <w:color w:val="000000" w:themeColor="text1"/>
          <w:sz w:val="24"/>
          <w:szCs w:val="24"/>
          <w:lang w:eastAsia="en-US"/>
        </w:rPr>
        <w:t xml:space="preserve">ad hoc </w:t>
      </w:r>
      <w:r>
        <w:rPr>
          <w:rFonts w:ascii="Times New Roman" w:eastAsiaTheme="minorHAnsi" w:hAnsi="Times New Roman" w:cs="Times New Roman"/>
          <w:noProof/>
          <w:color w:val="000000" w:themeColor="text1"/>
          <w:sz w:val="24"/>
          <w:szCs w:val="24"/>
          <w:lang w:eastAsia="en-US"/>
        </w:rPr>
        <w:t xml:space="preserve">inquiry on the legality of the President’s actions was established. The committee also examined the procedures followed by the President to appoint one Member of the Constitutional Court, taking into account </w:t>
      </w:r>
      <w:r>
        <w:rPr>
          <w:rFonts w:ascii="Times New Roman" w:eastAsiaTheme="minorHAnsi" w:hAnsi="Times New Roman" w:cs="Times New Roman"/>
          <w:noProof/>
          <w:color w:val="000000" w:themeColor="text1"/>
          <w:sz w:val="24"/>
          <w:szCs w:val="24"/>
        </w:rPr>
        <w:t xml:space="preserve">the Venice Commission's opinion on the issue of </w:t>
      </w:r>
      <w:r>
        <w:rPr>
          <w:rFonts w:ascii="Times New Roman" w:eastAsiaTheme="minorHAnsi" w:hAnsi="Times New Roman" w:cs="Times New Roman"/>
          <w:noProof/>
          <w:color w:val="000000" w:themeColor="text1"/>
          <w:sz w:val="24"/>
          <w:szCs w:val="24"/>
        </w:rPr>
        <w:t xml:space="preserve">appointments to the Constitutional Court. The Venice Commission also issued an opinion in October 2019 on the scope of the power of the President to set the dates of elections. </w:t>
      </w:r>
    </w:p>
    <w:p w:rsidR="00EE1719" w:rsidRDefault="000E39BA">
      <w:pPr>
        <w:autoSpaceDE w:val="0"/>
        <w:autoSpaceDN w:val="0"/>
        <w:adjustRightInd w:val="0"/>
        <w:spacing w:after="120" w:line="240" w:lineRule="auto"/>
        <w:jc w:val="both"/>
        <w:rPr>
          <w:rFonts w:ascii="Times New Roman" w:eastAsiaTheme="minorHAnsi" w:hAnsi="Times New Roman" w:cs="Times New Roman"/>
          <w:noProof/>
          <w:color w:val="000000" w:themeColor="text1"/>
          <w:sz w:val="24"/>
          <w:szCs w:val="24"/>
          <w:lang w:eastAsia="en-US"/>
        </w:rPr>
      </w:pPr>
      <w:r>
        <w:rPr>
          <w:rFonts w:ascii="Times New Roman" w:eastAsiaTheme="minorHAnsi" w:hAnsi="Times New Roman" w:cs="Times New Roman"/>
          <w:noProof/>
          <w:color w:val="000000" w:themeColor="text1"/>
          <w:sz w:val="24"/>
          <w:szCs w:val="24"/>
          <w:lang w:eastAsia="en-US"/>
        </w:rPr>
        <w:t>The Parliament adopted more acts than in the previous reporting period. Of the</w:t>
      </w:r>
      <w:r>
        <w:rPr>
          <w:rFonts w:ascii="Times New Roman" w:eastAsiaTheme="minorHAnsi" w:hAnsi="Times New Roman" w:cs="Times New Roman"/>
          <w:noProof/>
          <w:color w:val="000000" w:themeColor="text1"/>
          <w:sz w:val="24"/>
          <w:szCs w:val="24"/>
          <w:lang w:eastAsia="en-US"/>
        </w:rPr>
        <w:t xml:space="preserve"> 91 laws approved, more than half were adopted by consensus between the ruling majority and the new parliamentary opposition. The reporting period was marked by the highest ever number of normative acts adopted, the majority of which related to the emergen</w:t>
      </w:r>
      <w:r>
        <w:rPr>
          <w:rFonts w:ascii="Times New Roman" w:eastAsiaTheme="minorHAnsi" w:hAnsi="Times New Roman" w:cs="Times New Roman"/>
          <w:noProof/>
          <w:color w:val="000000" w:themeColor="text1"/>
          <w:sz w:val="24"/>
          <w:szCs w:val="24"/>
          <w:lang w:eastAsia="en-US"/>
        </w:rPr>
        <w:t xml:space="preserve">cy situation following the earthquake and more recently due to the COVID-19 outbreak. Urgent legislative procedures were used in most cases, as a result of the pandemic situation. The Parliament reviewed 22 Presidential decrees, of which it rejected 5. In </w:t>
      </w:r>
      <w:r>
        <w:rPr>
          <w:rFonts w:ascii="Times New Roman" w:eastAsiaTheme="minorHAnsi" w:hAnsi="Times New Roman" w:cs="Times New Roman"/>
          <w:noProof/>
          <w:color w:val="000000" w:themeColor="text1"/>
          <w:sz w:val="24"/>
          <w:szCs w:val="24"/>
          <w:lang w:eastAsia="en-US"/>
        </w:rPr>
        <w:t xml:space="preserve">March 2020, the President questioned the constitutionality of amendments to the Law of Constitutional Court, related to </w:t>
      </w:r>
      <w:r>
        <w:rPr>
          <w:rFonts w:ascii="Times New Roman" w:eastAsiaTheme="minorHAnsi" w:hAnsi="Times New Roman" w:cs="Times New Roman"/>
          <w:noProof/>
          <w:color w:val="000000" w:themeColor="text1"/>
          <w:sz w:val="24"/>
          <w:szCs w:val="24"/>
          <w:lang w:eastAsia="en-US"/>
        </w:rPr>
        <w:lastRenderedPageBreak/>
        <w:t xml:space="preserve">appointments and swearing in procedure, and returned such legislative measure to the Parliament.  </w:t>
      </w:r>
    </w:p>
    <w:p w:rsidR="00EE1719" w:rsidRDefault="000E39BA">
      <w:pPr>
        <w:autoSpaceDE w:val="0"/>
        <w:autoSpaceDN w:val="0"/>
        <w:adjustRightInd w:val="0"/>
        <w:spacing w:after="120" w:line="240" w:lineRule="auto"/>
        <w:jc w:val="both"/>
        <w:rPr>
          <w:rFonts w:ascii="Times New Roman" w:eastAsiaTheme="minorHAnsi" w:hAnsi="Times New Roman" w:cs="Times New Roman"/>
          <w:bCs/>
          <w:iCs/>
          <w:noProof/>
          <w:color w:val="000000" w:themeColor="text1"/>
          <w:sz w:val="24"/>
          <w:szCs w:val="24"/>
          <w:lang w:eastAsia="en-US"/>
        </w:rPr>
      </w:pPr>
      <w:r>
        <w:rPr>
          <w:rFonts w:ascii="Times New Roman" w:eastAsiaTheme="minorHAnsi" w:hAnsi="Times New Roman" w:cs="Times New Roman"/>
          <w:bCs/>
          <w:iCs/>
          <w:noProof/>
          <w:color w:val="000000" w:themeColor="text1"/>
          <w:sz w:val="24"/>
          <w:szCs w:val="24"/>
          <w:lang w:eastAsia="en-US"/>
        </w:rPr>
        <w:t xml:space="preserve">As regards its </w:t>
      </w:r>
      <w:r>
        <w:rPr>
          <w:rFonts w:ascii="Times New Roman" w:eastAsiaTheme="minorHAnsi" w:hAnsi="Times New Roman" w:cs="Times New Roman"/>
          <w:b/>
          <w:bCs/>
          <w:iCs/>
          <w:noProof/>
          <w:color w:val="000000" w:themeColor="text1"/>
          <w:sz w:val="24"/>
          <w:szCs w:val="24"/>
          <w:lang w:eastAsia="en-US"/>
        </w:rPr>
        <w:t>role in EU integration</w:t>
      </w:r>
      <w:r>
        <w:rPr>
          <w:rFonts w:ascii="Times New Roman" w:eastAsiaTheme="minorHAnsi" w:hAnsi="Times New Roman" w:cs="Times New Roman"/>
          <w:bCs/>
          <w:iCs/>
          <w:noProof/>
          <w:color w:val="000000" w:themeColor="text1"/>
          <w:sz w:val="24"/>
          <w:szCs w:val="24"/>
          <w:lang w:eastAsia="en-US"/>
        </w:rPr>
        <w:t xml:space="preserve">, in October Parliament adopted a Resolution supporting the launch of accession negotiations and expressing its commitment to implementing the European Commission’s recommendations and European Council conclusions. Parliament needs to improve its capacity </w:t>
      </w:r>
      <w:r>
        <w:rPr>
          <w:rFonts w:ascii="Times New Roman" w:eastAsiaTheme="minorHAnsi" w:hAnsi="Times New Roman" w:cs="Times New Roman"/>
          <w:bCs/>
          <w:iCs/>
          <w:noProof/>
          <w:color w:val="000000" w:themeColor="text1"/>
          <w:sz w:val="24"/>
          <w:szCs w:val="24"/>
          <w:lang w:eastAsia="en-US"/>
        </w:rPr>
        <w:t xml:space="preserve">to monitor the compliance of new legislation with the EU </w:t>
      </w:r>
      <w:r>
        <w:rPr>
          <w:rFonts w:ascii="Times New Roman" w:eastAsiaTheme="minorHAnsi" w:hAnsi="Times New Roman" w:cs="Times New Roman"/>
          <w:bCs/>
          <w:i/>
          <w:iCs/>
          <w:noProof/>
          <w:color w:val="000000" w:themeColor="text1"/>
          <w:sz w:val="24"/>
          <w:szCs w:val="24"/>
          <w:lang w:eastAsia="en-US"/>
        </w:rPr>
        <w:t xml:space="preserve">acquis </w:t>
      </w:r>
      <w:r>
        <w:rPr>
          <w:rFonts w:ascii="Times New Roman" w:eastAsiaTheme="minorHAnsi" w:hAnsi="Times New Roman" w:cs="Times New Roman"/>
          <w:bCs/>
          <w:iCs/>
          <w:noProof/>
          <w:color w:val="000000" w:themeColor="text1"/>
          <w:sz w:val="24"/>
          <w:szCs w:val="24"/>
          <w:lang w:eastAsia="en-US"/>
        </w:rPr>
        <w:t xml:space="preserve">and ensure its implementation. Of 91 laws that were adopted, 15 were aimed at partial alignment with the EU </w:t>
      </w:r>
      <w:r>
        <w:rPr>
          <w:rFonts w:ascii="Times New Roman" w:eastAsiaTheme="minorHAnsi" w:hAnsi="Times New Roman" w:cs="Times New Roman"/>
          <w:bCs/>
          <w:i/>
          <w:iCs/>
          <w:noProof/>
          <w:color w:val="000000" w:themeColor="text1"/>
          <w:sz w:val="24"/>
          <w:szCs w:val="24"/>
          <w:lang w:eastAsia="en-US"/>
        </w:rPr>
        <w:t>acquis</w:t>
      </w:r>
      <w:r>
        <w:rPr>
          <w:rFonts w:ascii="Times New Roman" w:eastAsiaTheme="minorHAnsi" w:hAnsi="Times New Roman" w:cs="Times New Roman"/>
          <w:bCs/>
          <w:iCs/>
          <w:noProof/>
          <w:color w:val="000000" w:themeColor="text1"/>
          <w:sz w:val="24"/>
          <w:szCs w:val="24"/>
          <w:lang w:eastAsia="en-US"/>
        </w:rPr>
        <w:t>. The EU Integration Committee held only three hearings in the reporting period. The National Council for European Integration still has to consolidate its role and guarantee its broader involvement in EU integration issues. With regard to EU-driven reform</w:t>
      </w:r>
      <w:r>
        <w:rPr>
          <w:rFonts w:ascii="Times New Roman" w:eastAsiaTheme="minorHAnsi" w:hAnsi="Times New Roman" w:cs="Times New Roman"/>
          <w:bCs/>
          <w:iCs/>
          <w:noProof/>
          <w:color w:val="000000" w:themeColor="text1"/>
          <w:sz w:val="24"/>
          <w:szCs w:val="24"/>
          <w:lang w:eastAsia="en-US"/>
        </w:rPr>
        <w:t xml:space="preserve">s, Parliament adopted the final laws making up the justice reform package and enacted the Constitutional Court’s decisions on the Law on the governing bodies in the justice system and the Law on the status of judges and prosecutors. </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color w:val="000000" w:themeColor="text1"/>
          <w:spacing w:val="-6"/>
          <w:sz w:val="24"/>
          <w:szCs w:val="24"/>
          <w:lang w:eastAsia="de-AT"/>
        </w:rPr>
      </w:pPr>
      <w:r>
        <w:rPr>
          <w:rFonts w:ascii="Times New Roman" w:eastAsiaTheme="minorHAnsi" w:hAnsi="Times New Roman" w:cs="Times New Roman"/>
          <w:noProof/>
          <w:color w:val="000000" w:themeColor="text1"/>
          <w:sz w:val="24"/>
          <w:szCs w:val="24"/>
          <w:lang w:eastAsia="en-US"/>
        </w:rPr>
        <w:t xml:space="preserve">With regard to Parliament’s </w:t>
      </w:r>
      <w:r>
        <w:rPr>
          <w:rFonts w:ascii="Times New Roman" w:eastAsiaTheme="minorHAnsi" w:hAnsi="Times New Roman" w:cs="Times New Roman"/>
          <w:b/>
          <w:bCs/>
          <w:noProof/>
          <w:color w:val="000000" w:themeColor="text1"/>
          <w:sz w:val="24"/>
          <w:szCs w:val="24"/>
          <w:lang w:eastAsia="en-US"/>
        </w:rPr>
        <w:t>oversight function</w:t>
      </w:r>
      <w:r>
        <w:rPr>
          <w:rFonts w:ascii="Times New Roman" w:eastAsiaTheme="minorHAnsi" w:hAnsi="Times New Roman" w:cs="Times New Roman"/>
          <w:noProof/>
          <w:color w:val="000000" w:themeColor="text1"/>
          <w:sz w:val="24"/>
          <w:szCs w:val="24"/>
          <w:lang w:eastAsia="en-US"/>
        </w:rPr>
        <w:t xml:space="preserve">, </w:t>
      </w:r>
      <w:r>
        <w:rPr>
          <w:rFonts w:ascii="Times New Roman" w:eastAsia="Times New Roman" w:hAnsi="Times New Roman" w:cs="Times New Roman"/>
          <w:noProof/>
          <w:color w:val="000000" w:themeColor="text1"/>
          <w:spacing w:val="-6"/>
          <w:sz w:val="24"/>
          <w:szCs w:val="24"/>
          <w:lang w:eastAsia="de-AT"/>
        </w:rPr>
        <w:t>the new MPs made use of the instruments at the disposal of the opposition, tabling eleven ‘interpellations’ and one motion for debate. MPs addressed 96 requests for information to executive and constitutional</w:t>
      </w:r>
      <w:r>
        <w:rPr>
          <w:rFonts w:ascii="Times New Roman" w:eastAsia="Times New Roman" w:hAnsi="Times New Roman" w:cs="Times New Roman"/>
          <w:noProof/>
          <w:color w:val="000000" w:themeColor="text1"/>
          <w:spacing w:val="-6"/>
          <w:sz w:val="24"/>
          <w:szCs w:val="24"/>
          <w:lang w:eastAsia="de-AT"/>
        </w:rPr>
        <w:t xml:space="preserve"> institutions. Parliament appointed two new members of the Constitutional Court, the Prosecutor General and</w:t>
      </w:r>
      <w:r>
        <w:rPr>
          <w:rFonts w:ascii="Times New Roman" w:eastAsiaTheme="minorHAnsi" w:hAnsi="Times New Roman" w:cs="Times New Roman"/>
          <w:noProof/>
          <w:color w:val="000000" w:themeColor="text1"/>
          <w:sz w:val="24"/>
          <w:szCs w:val="24"/>
          <w:lang w:eastAsia="en-US"/>
        </w:rPr>
        <w:t xml:space="preserve"> the chair of the Energy Regulatory Authority. It failed to reach c</w:t>
      </w:r>
      <w:r>
        <w:rPr>
          <w:rFonts w:ascii="Times New Roman" w:eastAsia="Times New Roman" w:hAnsi="Times New Roman" w:cs="Times New Roman"/>
          <w:noProof/>
          <w:color w:val="000000" w:themeColor="text1"/>
          <w:spacing w:val="-6"/>
          <w:sz w:val="24"/>
          <w:szCs w:val="24"/>
          <w:lang w:eastAsia="de-AT"/>
        </w:rPr>
        <w:t>onsensus on some vacancies on the steering board of the public broadcaster. It rem</w:t>
      </w:r>
      <w:r>
        <w:rPr>
          <w:rFonts w:ascii="Times New Roman" w:eastAsia="Times New Roman" w:hAnsi="Times New Roman" w:cs="Times New Roman"/>
          <w:noProof/>
          <w:color w:val="000000" w:themeColor="text1"/>
          <w:spacing w:val="-6"/>
          <w:sz w:val="24"/>
          <w:szCs w:val="24"/>
          <w:lang w:eastAsia="de-AT"/>
        </w:rPr>
        <w:t>oved a member of the Bank of Albania’s Supervisory Council. During the reporting period, the Parliament appointed the new chair of the Financial Supervisory Authority. The new chair of the State Audit Institution was voted by the Parliament in June 2020.</w:t>
      </w:r>
    </w:p>
    <w:p w:rsidR="00EE1719" w:rsidRDefault="000E39BA">
      <w:pPr>
        <w:autoSpaceDE w:val="0"/>
        <w:autoSpaceDN w:val="0"/>
        <w:adjustRightInd w:val="0"/>
        <w:spacing w:after="120" w:line="240" w:lineRule="auto"/>
        <w:jc w:val="both"/>
        <w:rPr>
          <w:rFonts w:ascii="Times New Roman" w:eastAsiaTheme="minorHAnsi" w:hAnsi="Times New Roman" w:cs="Times New Roman"/>
          <w:noProof/>
          <w:color w:val="000000" w:themeColor="text1"/>
          <w:sz w:val="24"/>
          <w:szCs w:val="24"/>
          <w:lang w:eastAsia="en-US"/>
        </w:rPr>
      </w:pPr>
      <w:r>
        <w:rPr>
          <w:rFonts w:ascii="Times New Roman" w:eastAsiaTheme="minorHAnsi" w:hAnsi="Times New Roman" w:cs="Times New Roman"/>
          <w:noProof/>
          <w:color w:val="000000" w:themeColor="text1"/>
          <w:sz w:val="24"/>
          <w:szCs w:val="24"/>
          <w:lang w:eastAsia="en-US"/>
        </w:rPr>
        <w:t>O</w:t>
      </w:r>
      <w:r>
        <w:rPr>
          <w:rFonts w:ascii="Times New Roman" w:eastAsiaTheme="minorHAnsi" w:hAnsi="Times New Roman" w:cs="Times New Roman"/>
          <w:noProof/>
          <w:color w:val="000000" w:themeColor="text1"/>
          <w:sz w:val="24"/>
          <w:szCs w:val="24"/>
          <w:lang w:eastAsia="en-US"/>
        </w:rPr>
        <w:t xml:space="preserve">n </w:t>
      </w:r>
      <w:r>
        <w:rPr>
          <w:rFonts w:ascii="Times New Roman" w:eastAsiaTheme="minorHAnsi" w:hAnsi="Times New Roman" w:cs="Times New Roman"/>
          <w:b/>
          <w:bCs/>
          <w:noProof/>
          <w:color w:val="000000" w:themeColor="text1"/>
          <w:sz w:val="24"/>
          <w:szCs w:val="24"/>
          <w:lang w:eastAsia="en-US"/>
        </w:rPr>
        <w:t>transparency and accountability</w:t>
      </w:r>
      <w:r>
        <w:rPr>
          <w:rFonts w:ascii="Times New Roman" w:eastAsiaTheme="minorHAnsi" w:hAnsi="Times New Roman" w:cs="Times New Roman"/>
          <w:noProof/>
          <w:color w:val="000000" w:themeColor="text1"/>
          <w:sz w:val="24"/>
          <w:szCs w:val="24"/>
          <w:lang w:eastAsia="en-US"/>
        </w:rPr>
        <w:t xml:space="preserve">, Parliament made some positive steps in addressing, in a timely fashion, requests based on the right to information. However, parliamentary documentation, such as minutes of plenary sessions and committee meetings, should </w:t>
      </w:r>
      <w:r>
        <w:rPr>
          <w:rFonts w:ascii="Times New Roman" w:eastAsiaTheme="minorHAnsi" w:hAnsi="Times New Roman" w:cs="Times New Roman"/>
          <w:noProof/>
          <w:color w:val="000000" w:themeColor="text1"/>
          <w:sz w:val="24"/>
          <w:szCs w:val="24"/>
          <w:lang w:eastAsia="en-US"/>
        </w:rPr>
        <w:t>be subject to greater transparency. Parliament continued to publish regular online data on MPs’ financial benefits. Research staff and support for MPs and parliamentary groups need to be strengthened.</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 administration’s performance is still poor when it </w:t>
      </w:r>
      <w:r>
        <w:rPr>
          <w:rFonts w:ascii="Times New Roman" w:eastAsia="Times New Roman" w:hAnsi="Times New Roman" w:cs="Times New Roman"/>
          <w:noProof/>
          <w:color w:val="000000" w:themeColor="text1"/>
          <w:sz w:val="24"/>
          <w:szCs w:val="24"/>
        </w:rPr>
        <w:t xml:space="preserve">comes to implementing recommendations from the </w:t>
      </w:r>
      <w:r>
        <w:rPr>
          <w:rFonts w:ascii="Times New Roman" w:eastAsia="Times New Roman" w:hAnsi="Times New Roman" w:cs="Times New Roman"/>
          <w:b/>
          <w:noProof/>
          <w:color w:val="000000" w:themeColor="text1"/>
          <w:sz w:val="24"/>
          <w:szCs w:val="24"/>
        </w:rPr>
        <w:t>Ombudsman</w:t>
      </w:r>
      <w:r>
        <w:rPr>
          <w:rFonts w:ascii="Times New Roman" w:eastAsia="Times New Roman" w:hAnsi="Times New Roman" w:cs="Times New Roman"/>
          <w:noProof/>
          <w:color w:val="000000" w:themeColor="text1"/>
          <w:sz w:val="24"/>
          <w:szCs w:val="24"/>
        </w:rPr>
        <w:t>, the Commissioner for Protection against Discrimination and other independent institutions.</w:t>
      </w:r>
    </w:p>
    <w:p w:rsidR="00EE1719" w:rsidRDefault="000E39BA">
      <w:pPr>
        <w:autoSpaceDE w:val="0"/>
        <w:autoSpaceDN w:val="0"/>
        <w:adjustRightInd w:val="0"/>
        <w:spacing w:after="120" w:line="240" w:lineRule="auto"/>
        <w:jc w:val="both"/>
        <w:rPr>
          <w:rFonts w:ascii="Times New Roman" w:eastAsia="Calibri" w:hAnsi="Times New Roman" w:cs="Times New Roman"/>
          <w:b/>
          <w:bCs/>
          <w:noProof/>
          <w:color w:val="000000" w:themeColor="text1"/>
          <w:sz w:val="24"/>
          <w:szCs w:val="24"/>
          <w:lang w:eastAsia="en-US"/>
        </w:rPr>
      </w:pPr>
      <w:r>
        <w:rPr>
          <w:rFonts w:ascii="Times New Roman" w:eastAsia="Calibri" w:hAnsi="Times New Roman" w:cs="Times New Roman"/>
          <w:b/>
          <w:bCs/>
          <w:noProof/>
          <w:color w:val="000000" w:themeColor="text1"/>
          <w:sz w:val="24"/>
          <w:szCs w:val="24"/>
          <w:lang w:eastAsia="en-US"/>
        </w:rPr>
        <w:t>Governance</w:t>
      </w:r>
    </w:p>
    <w:p w:rsidR="00EE1719" w:rsidRDefault="000E39BA">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Times New Roman" w:hAnsi="Times New Roman" w:cs="Times New Roman"/>
          <w:noProof/>
          <w:snapToGrid w:val="0"/>
          <w:color w:val="000000" w:themeColor="text1"/>
          <w:sz w:val="24"/>
          <w:szCs w:val="24"/>
        </w:rPr>
      </w:pPr>
      <w:r>
        <w:rPr>
          <w:rFonts w:ascii="Times New Roman" w:eastAsia="Times New Roman" w:hAnsi="Times New Roman" w:cs="Times New Roman"/>
          <w:noProof/>
          <w:snapToGrid w:val="0"/>
          <w:color w:val="000000" w:themeColor="text1"/>
          <w:sz w:val="24"/>
          <w:szCs w:val="24"/>
        </w:rPr>
        <w:t>The government remained committed to the EU integration process and pursued good efforts to move essential reforms forward. The 26 November 2019 earthquake had a strong impact on the overall objectives of the executive’s action. The restructuring of minist</w:t>
      </w:r>
      <w:r>
        <w:rPr>
          <w:rFonts w:ascii="Times New Roman" w:eastAsia="Times New Roman" w:hAnsi="Times New Roman" w:cs="Times New Roman"/>
          <w:noProof/>
          <w:snapToGrid w:val="0"/>
          <w:color w:val="000000" w:themeColor="text1"/>
          <w:sz w:val="24"/>
          <w:szCs w:val="24"/>
        </w:rPr>
        <w:t>ries and agencies performed in 2017 has created some administrative gaps that persist to date. Coordination within the administration needs to be improved, especially regarding their involvement in EU integration processes. The territorial administrative r</w:t>
      </w:r>
      <w:r>
        <w:rPr>
          <w:rFonts w:ascii="Times New Roman" w:eastAsia="Times New Roman" w:hAnsi="Times New Roman" w:cs="Times New Roman"/>
          <w:noProof/>
          <w:snapToGrid w:val="0"/>
          <w:color w:val="000000" w:themeColor="text1"/>
          <w:sz w:val="24"/>
          <w:szCs w:val="24"/>
        </w:rPr>
        <w:t xml:space="preserve">eform continues to be implemented successfully and should be further consolidated as part of the wider decentralisation agenda. This is particularly necessary to guarantee local fiscal autonomy and empower municipalities to provide standard quality public </w:t>
      </w:r>
      <w:r>
        <w:rPr>
          <w:rFonts w:ascii="Times New Roman" w:eastAsia="Times New Roman" w:hAnsi="Times New Roman" w:cs="Times New Roman"/>
          <w:noProof/>
          <w:snapToGrid w:val="0"/>
          <w:color w:val="000000" w:themeColor="text1"/>
          <w:sz w:val="24"/>
          <w:szCs w:val="24"/>
        </w:rPr>
        <w:t xml:space="preserve">services.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Albania maintained its primary ambition opening accession talks by pursuing EU-driven reforms in key sectors such as justice and home affairs. However, extreme political polarisation has affected the administration’s performances. This has been</w:t>
      </w:r>
      <w:r>
        <w:rPr>
          <w:rFonts w:ascii="Times New Roman" w:eastAsia="Calibri" w:hAnsi="Times New Roman" w:cs="Times New Roman"/>
          <w:noProof/>
          <w:color w:val="000000" w:themeColor="text1"/>
          <w:sz w:val="24"/>
          <w:szCs w:val="24"/>
          <w:lang w:eastAsia="en-US"/>
        </w:rPr>
        <w:t xml:space="preserve"> particularly visible at local level, where the handover of municipalities to the ruling majority, following local elections without participation by the opposition, created some disruption. In the course of the COVID-19 crisis, all political actors demons</w:t>
      </w:r>
      <w:r>
        <w:rPr>
          <w:rFonts w:ascii="Times New Roman" w:eastAsia="Calibri" w:hAnsi="Times New Roman" w:cs="Times New Roman"/>
          <w:noProof/>
          <w:color w:val="000000" w:themeColor="text1"/>
          <w:sz w:val="24"/>
          <w:szCs w:val="24"/>
          <w:lang w:eastAsia="en-US"/>
        </w:rPr>
        <w:t xml:space="preserve">trated a certain degree of unity in supporting government initiatives to counter the emergency. </w:t>
      </w:r>
    </w:p>
    <w:p w:rsidR="00EE1719" w:rsidRDefault="000E39BA">
      <w:pPr>
        <w:autoSpaceDE w:val="0"/>
        <w:autoSpaceDN w:val="0"/>
        <w:adjustRightInd w:val="0"/>
        <w:spacing w:after="120" w:line="240" w:lineRule="auto"/>
        <w:jc w:val="both"/>
        <w:rPr>
          <w:rFonts w:ascii="Times New Roman" w:eastAsiaTheme="minorHAns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lastRenderedPageBreak/>
        <w:t>In April 2019, the government approved the 2019-2021 national plan for European integration</w:t>
      </w:r>
      <w:r>
        <w:rPr>
          <w:rFonts w:ascii="Times New Roman" w:eastAsiaTheme="minorHAnsi" w:hAnsi="Times New Roman" w:cs="Times New Roman"/>
          <w:noProof/>
          <w:color w:val="000000" w:themeColor="text1"/>
          <w:sz w:val="24"/>
          <w:szCs w:val="24"/>
          <w:lang w:eastAsia="en-US"/>
        </w:rPr>
        <w:t>. In July, it adopted a decision establishing the arrangements for c</w:t>
      </w:r>
      <w:r>
        <w:rPr>
          <w:rFonts w:ascii="Times New Roman" w:eastAsiaTheme="minorHAnsi" w:hAnsi="Times New Roman" w:cs="Times New Roman"/>
          <w:noProof/>
          <w:color w:val="000000" w:themeColor="text1"/>
          <w:sz w:val="24"/>
          <w:szCs w:val="24"/>
          <w:lang w:eastAsia="en-US"/>
        </w:rPr>
        <w:t>ooperation with local government in the EU integration process. Public administrations suffer from a general lack of capacity and resources, which has an impact on their capacity to plan, implement and monitor public policies. The government should allocat</w:t>
      </w:r>
      <w:r>
        <w:rPr>
          <w:rFonts w:ascii="Times New Roman" w:eastAsiaTheme="minorHAnsi" w:hAnsi="Times New Roman" w:cs="Times New Roman"/>
          <w:noProof/>
          <w:color w:val="000000" w:themeColor="text1"/>
          <w:sz w:val="24"/>
          <w:szCs w:val="24"/>
          <w:lang w:eastAsia="en-US"/>
        </w:rPr>
        <w:t>e more human and financial resources to EU accession work and put more emphasis on coherent and targeted domestic communication on EU matters.</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 xml:space="preserve">In November 2019, Albania was struck by an earthquake of 6.3 magnitude, which left 51 casualties, around 1,000 people injured and over 10,000 without a home. A Minister for Reconstruction was appointed in December to oversee the reconstruction process.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As</w:t>
      </w:r>
      <w:r>
        <w:rPr>
          <w:rFonts w:ascii="Times New Roman" w:eastAsia="Calibri" w:hAnsi="Times New Roman" w:cs="Times New Roman"/>
          <w:noProof/>
          <w:color w:val="000000" w:themeColor="text1"/>
          <w:sz w:val="24"/>
          <w:szCs w:val="24"/>
          <w:lang w:eastAsia="en-US"/>
        </w:rPr>
        <w:t xml:space="preserve"> of March 2020, the government reacted swiftly to the COVID-19 pandemic and took stringent measures thus managing the crisis with limited human and financial loss. It issued a series of decrees subsequently endorsed by the Parliament. The State of Emergenc</w:t>
      </w:r>
      <w:r>
        <w:rPr>
          <w:rFonts w:ascii="Times New Roman" w:eastAsia="Calibri" w:hAnsi="Times New Roman" w:cs="Times New Roman"/>
          <w:noProof/>
          <w:color w:val="000000" w:themeColor="text1"/>
          <w:sz w:val="24"/>
          <w:szCs w:val="24"/>
          <w:lang w:eastAsia="en-US"/>
        </w:rPr>
        <w:t xml:space="preserve">y for Natural Disaster was </w:t>
      </w:r>
      <w:r>
        <w:rPr>
          <w:rFonts w:ascii="Times New Roman" w:eastAsia="Calibri" w:hAnsi="Times New Roman" w:cs="Times New Roman"/>
          <w:noProof/>
          <w:color w:val="000000" w:themeColor="text1"/>
          <w:sz w:val="24"/>
          <w:szCs w:val="24"/>
        </w:rPr>
        <w:t xml:space="preserve">extended until June 2020. </w:t>
      </w:r>
      <w:r>
        <w:rPr>
          <w:rFonts w:ascii="Times New Roman" w:eastAsia="Calibri" w:hAnsi="Times New Roman" w:cs="Times New Roman"/>
          <w:noProof/>
          <w:color w:val="000000" w:themeColor="text1"/>
          <w:sz w:val="24"/>
          <w:szCs w:val="24"/>
          <w:lang w:eastAsia="en-US"/>
        </w:rPr>
        <w:t xml:space="preserve">The authorities notified a derogation from the obligations under certain articles of the Convention for the Protection of Human and Fundamental Freedoms. </w:t>
      </w:r>
    </w:p>
    <w:p w:rsidR="00EE1719" w:rsidRDefault="000E39BA">
      <w:pPr>
        <w:autoSpaceDE w:val="0"/>
        <w:autoSpaceDN w:val="0"/>
        <w:adjustRightInd w:val="0"/>
        <w:spacing w:after="120" w:line="240" w:lineRule="auto"/>
        <w:jc w:val="both"/>
        <w:rPr>
          <w:rFonts w:ascii="Times New Roman" w:eastAsiaTheme="minorHAns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On 9 June 2020, the Government presented to an e</w:t>
      </w:r>
      <w:r>
        <w:rPr>
          <w:rFonts w:ascii="Times New Roman" w:eastAsia="Calibri" w:hAnsi="Times New Roman" w:cs="Times New Roman"/>
          <w:noProof/>
          <w:color w:val="000000" w:themeColor="text1"/>
          <w:sz w:val="24"/>
          <w:szCs w:val="24"/>
          <w:lang w:eastAsia="en-US"/>
        </w:rPr>
        <w:t xml:space="preserve">xtended meeting of the National Council for European Integration an-action plan to address the conditions and priorities set by the March 2020 Council Conclusions on Albania. On 6 May 2020, the Government nominated the Chief Negotiator and the negotiating </w:t>
      </w:r>
      <w:r>
        <w:rPr>
          <w:rFonts w:ascii="Times New Roman" w:eastAsia="Calibri" w:hAnsi="Times New Roman" w:cs="Times New Roman"/>
          <w:noProof/>
          <w:color w:val="000000" w:themeColor="text1"/>
          <w:sz w:val="24"/>
          <w:szCs w:val="24"/>
          <w:lang w:eastAsia="en-US"/>
        </w:rPr>
        <w:t xml:space="preserve">team. Following the June 2019 mayoral elections, two mayors were dismissed based on the decriminalisation law.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lang w:eastAsia="en-US"/>
        </w:rPr>
        <w:t xml:space="preserve">The inability of the Constitutional Court to issue rulings due to lack of quorum had an impact on legal certainty during the reporting period </w:t>
      </w:r>
      <w:r>
        <w:rPr>
          <w:rFonts w:ascii="Times New Roman" w:eastAsiaTheme="minorHAnsi" w:hAnsi="Times New Roman" w:cs="Times New Roman"/>
          <w:noProof/>
          <w:color w:val="000000" w:themeColor="text1"/>
          <w:sz w:val="24"/>
          <w:szCs w:val="24"/>
          <w:lang w:eastAsia="en-US"/>
        </w:rPr>
        <w:t>an</w:t>
      </w:r>
      <w:r>
        <w:rPr>
          <w:rFonts w:ascii="Times New Roman" w:eastAsiaTheme="minorHAnsi" w:hAnsi="Times New Roman" w:cs="Times New Roman"/>
          <w:noProof/>
          <w:color w:val="000000" w:themeColor="text1"/>
          <w:sz w:val="24"/>
          <w:szCs w:val="24"/>
          <w:lang w:eastAsia="en-US"/>
        </w:rPr>
        <w:t>d exacerbated a number of constitutional disagreements between the government and the President of the Republic</w:t>
      </w:r>
      <w:r>
        <w:rPr>
          <w:rFonts w:ascii="Times New Roman" w:eastAsia="Calibri" w:hAnsi="Times New Roman" w:cs="Times New Roman"/>
          <w:noProof/>
          <w:color w:val="000000" w:themeColor="text1"/>
          <w:sz w:val="24"/>
          <w:szCs w:val="24"/>
          <w:lang w:eastAsia="en-US"/>
        </w:rPr>
        <w:t xml:space="preserve">. Albania made progress in reconstituting the Constitutional Court.  </w:t>
      </w:r>
      <w:r>
        <w:rPr>
          <w:rFonts w:ascii="Times New Roman" w:eastAsia="Calibri" w:hAnsi="Times New Roman" w:cs="Times New Roman"/>
          <w:i/>
          <w:noProof/>
          <w:color w:val="000000" w:themeColor="text1"/>
          <w:sz w:val="24"/>
          <w:szCs w:val="24"/>
          <w:lang w:eastAsia="en-US"/>
        </w:rPr>
        <w:t>(see section 2.2.1 Chapter 23: Judiciary and fundamental rights).</w:t>
      </w:r>
      <w:r>
        <w:rPr>
          <w:rFonts w:ascii="Times New Roman" w:eastAsia="Calibri" w:hAnsi="Times New Roman" w:cs="Times New Roman"/>
          <w:noProof/>
          <w:color w:val="000000" w:themeColor="text1"/>
          <w:sz w:val="24"/>
          <w:szCs w:val="24"/>
          <w:lang w:eastAsia="en-US"/>
        </w:rPr>
        <w:t xml:space="preserve"> </w:t>
      </w:r>
      <w:r>
        <w:rPr>
          <w:rFonts w:ascii="Times New Roman" w:eastAsia="Times New Roman" w:hAnsi="Times New Roman" w:cs="Times New Roman"/>
          <w:noProof/>
          <w:color w:val="000000" w:themeColor="text1"/>
          <w:sz w:val="24"/>
          <w:szCs w:val="24"/>
        </w:rPr>
        <w:t>The territ</w:t>
      </w:r>
      <w:r>
        <w:rPr>
          <w:rFonts w:ascii="Times New Roman" w:eastAsia="Times New Roman" w:hAnsi="Times New Roman" w:cs="Times New Roman"/>
          <w:noProof/>
          <w:color w:val="000000" w:themeColor="text1"/>
          <w:sz w:val="24"/>
          <w:szCs w:val="24"/>
        </w:rPr>
        <w:t xml:space="preserve">orial administrative reform needs to be further consolidated as part of the wider decentralisation agenda. </w:t>
      </w:r>
      <w:r>
        <w:rPr>
          <w:rFonts w:ascii="Times New Roman" w:eastAsiaTheme="minorHAnsi" w:hAnsi="Times New Roman" w:cs="Times New Roman"/>
          <w:noProof/>
          <w:color w:val="000000" w:themeColor="text1"/>
          <w:sz w:val="24"/>
          <w:szCs w:val="24"/>
          <w:lang w:eastAsia="en-US"/>
        </w:rPr>
        <w:t>The Ministry of Interior revised the national cross-cutting decentralisation and local governance action plan, extended to 2022. Full political suppo</w:t>
      </w:r>
      <w:r>
        <w:rPr>
          <w:rFonts w:ascii="Times New Roman" w:eastAsiaTheme="minorHAnsi" w:hAnsi="Times New Roman" w:cs="Times New Roman"/>
          <w:noProof/>
          <w:color w:val="000000" w:themeColor="text1"/>
          <w:sz w:val="24"/>
          <w:szCs w:val="24"/>
          <w:lang w:eastAsia="en-US"/>
        </w:rPr>
        <w:t>rt is needed to bring the decentralisation reform forward. </w:t>
      </w:r>
      <w:r>
        <w:rPr>
          <w:rFonts w:ascii="Times New Roman" w:eastAsia="Times New Roman" w:hAnsi="Times New Roman" w:cs="Times New Roman"/>
          <w:noProof/>
          <w:color w:val="000000" w:themeColor="text1"/>
          <w:sz w:val="24"/>
          <w:szCs w:val="24"/>
        </w:rPr>
        <w:t>The new legislation affecting local government is not fully harmonised and implemented. While municipalities have been given greater policymaking powers, local government units (LGUs) still lack su</w:t>
      </w:r>
      <w:r>
        <w:rPr>
          <w:rFonts w:ascii="Times New Roman" w:eastAsia="Times New Roman" w:hAnsi="Times New Roman" w:cs="Times New Roman"/>
          <w:noProof/>
          <w:color w:val="000000" w:themeColor="text1"/>
          <w:sz w:val="24"/>
          <w:szCs w:val="24"/>
        </w:rPr>
        <w:t>fficient financial resources and administrative capacity to exercise them effectively. LGUs’ fiscal autonomy is also at risk, as most of their budget is dependent on national transfers. As a result, although the municipalities are getting better at collect</w:t>
      </w:r>
      <w:r>
        <w:rPr>
          <w:rFonts w:ascii="Times New Roman" w:eastAsia="Times New Roman" w:hAnsi="Times New Roman" w:cs="Times New Roman"/>
          <w:noProof/>
          <w:color w:val="000000" w:themeColor="text1"/>
          <w:sz w:val="24"/>
          <w:szCs w:val="24"/>
        </w:rPr>
        <w:t xml:space="preserve">ing own revenues, the overall ability of local institutions to deliver quality public services remains limited. Implementation of the Civil Service Law (CSL) remains incomplete at local level.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Municipalities have made further progress on </w:t>
      </w:r>
      <w:r>
        <w:rPr>
          <w:rFonts w:ascii="Times New Roman" w:eastAsia="Times New Roman" w:hAnsi="Times New Roman" w:cs="Times New Roman"/>
          <w:b/>
          <w:noProof/>
          <w:color w:val="000000" w:themeColor="text1"/>
          <w:sz w:val="24"/>
          <w:szCs w:val="24"/>
        </w:rPr>
        <w:t>public participat</w:t>
      </w:r>
      <w:r>
        <w:rPr>
          <w:rFonts w:ascii="Times New Roman" w:eastAsia="Times New Roman" w:hAnsi="Times New Roman" w:cs="Times New Roman"/>
          <w:b/>
          <w:noProof/>
          <w:color w:val="000000" w:themeColor="text1"/>
          <w:sz w:val="24"/>
          <w:szCs w:val="24"/>
        </w:rPr>
        <w:t>ion in local decision</w:t>
      </w:r>
      <w:r>
        <w:rPr>
          <w:rFonts w:ascii="Times New Roman" w:eastAsia="Times New Roman" w:hAnsi="Times New Roman" w:cs="Times New Roman"/>
          <w:b/>
          <w:noProof/>
          <w:color w:val="000000" w:themeColor="text1"/>
          <w:sz w:val="24"/>
          <w:szCs w:val="24"/>
        </w:rPr>
        <w:noBreakHyphen/>
        <w:t>making</w:t>
      </w:r>
      <w:r>
        <w:rPr>
          <w:rFonts w:ascii="Times New Roman" w:eastAsia="Times New Roman" w:hAnsi="Times New Roman" w:cs="Times New Roman"/>
          <w:noProof/>
          <w:color w:val="000000" w:themeColor="text1"/>
          <w:sz w:val="24"/>
          <w:szCs w:val="24"/>
        </w:rPr>
        <w:t>, especially in the area of participatory budgeting. However, the institutional framework for effective and inclusive participation needs further strengthening. Local</w:t>
      </w:r>
      <w:r>
        <w:rPr>
          <w:rFonts w:ascii="Times New Roman" w:eastAsia="Times New Roman" w:hAnsi="Times New Roman" w:cs="Times New Roman"/>
          <w:noProof/>
          <w:color w:val="000000" w:themeColor="text1"/>
          <w:sz w:val="24"/>
          <w:szCs w:val="24"/>
        </w:rPr>
        <w:noBreakHyphen/>
      </w:r>
      <w:r>
        <w:rPr>
          <w:rFonts w:ascii="Times New Roman" w:eastAsia="Times New Roman" w:hAnsi="Times New Roman" w:cs="Times New Roman"/>
          <w:noProof/>
          <w:color w:val="000000" w:themeColor="text1"/>
          <w:sz w:val="24"/>
          <w:szCs w:val="24"/>
        </w:rPr>
        <w:t xml:space="preserve">level implementation of the Law on public consultation remains unsatisfactory. An increasing number of municipalities disclose public information, with all 61 having appointed a local coordinator for the right to information.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 Agency for the Delivery </w:t>
      </w:r>
      <w:r>
        <w:rPr>
          <w:rFonts w:ascii="Times New Roman" w:eastAsia="Times New Roman" w:hAnsi="Times New Roman" w:cs="Times New Roman"/>
          <w:noProof/>
          <w:color w:val="000000" w:themeColor="text1"/>
          <w:sz w:val="24"/>
          <w:szCs w:val="24"/>
        </w:rPr>
        <w:t>of Integrated Services (ADISA) expanded its presence, with more one</w:t>
      </w:r>
      <w:r>
        <w:rPr>
          <w:rFonts w:ascii="Times New Roman" w:eastAsia="Times New Roman" w:hAnsi="Times New Roman" w:cs="Times New Roman"/>
          <w:noProof/>
          <w:color w:val="000000" w:themeColor="text1"/>
          <w:sz w:val="24"/>
          <w:szCs w:val="24"/>
        </w:rPr>
        <w:noBreakHyphen/>
        <w:t>stop shops on the ground. A parallel roll</w:t>
      </w:r>
      <w:r>
        <w:rPr>
          <w:rFonts w:ascii="Times New Roman" w:eastAsia="Times New Roman" w:hAnsi="Times New Roman" w:cs="Times New Roman"/>
          <w:noProof/>
          <w:color w:val="000000" w:themeColor="text1"/>
          <w:sz w:val="24"/>
          <w:szCs w:val="24"/>
        </w:rPr>
        <w:noBreakHyphen/>
        <w:t>out of ‘front desks’ delivering administrative services at local level now covers 50 of the 61 municipalities. National minimum standards for serv</w:t>
      </w:r>
      <w:r>
        <w:rPr>
          <w:rFonts w:ascii="Times New Roman" w:eastAsia="Times New Roman" w:hAnsi="Times New Roman" w:cs="Times New Roman"/>
          <w:noProof/>
          <w:color w:val="000000" w:themeColor="text1"/>
          <w:sz w:val="24"/>
          <w:szCs w:val="24"/>
        </w:rPr>
        <w:t xml:space="preserve">ices have still to be established.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On </w:t>
      </w:r>
      <w:r>
        <w:rPr>
          <w:rFonts w:ascii="Times New Roman" w:eastAsia="Times New Roman" w:hAnsi="Times New Roman" w:cs="Times New Roman"/>
          <w:b/>
          <w:noProof/>
          <w:color w:val="000000" w:themeColor="text1"/>
          <w:sz w:val="24"/>
          <w:szCs w:val="24"/>
        </w:rPr>
        <w:t>territorial planning</w:t>
      </w:r>
      <w:r>
        <w:rPr>
          <w:rFonts w:ascii="Times New Roman" w:eastAsia="Times New Roman" w:hAnsi="Times New Roman" w:cs="Times New Roman"/>
          <w:noProof/>
          <w:color w:val="000000" w:themeColor="text1"/>
          <w:sz w:val="24"/>
          <w:szCs w:val="24"/>
        </w:rPr>
        <w:t xml:space="preserve">, general local plans for the remaining 16 municipalities are being drafted. Coordination of the national sectoral strategies with local plans is weak. On transparency, all municipalities publish </w:t>
      </w:r>
      <w:r>
        <w:rPr>
          <w:rFonts w:ascii="Times New Roman" w:eastAsia="Times New Roman" w:hAnsi="Times New Roman" w:cs="Times New Roman"/>
          <w:noProof/>
          <w:color w:val="000000" w:themeColor="text1"/>
          <w:sz w:val="24"/>
          <w:szCs w:val="24"/>
        </w:rPr>
        <w:t xml:space="preserve">regularly decisions of their municipal councils online. </w:t>
      </w:r>
      <w:r>
        <w:rPr>
          <w:rFonts w:ascii="Times New Roman" w:eastAsia="Times New Roman" w:hAnsi="Times New Roman" w:cs="Times New Roman"/>
          <w:noProof/>
          <w:color w:val="000000" w:themeColor="text1"/>
          <w:sz w:val="24"/>
          <w:szCs w:val="24"/>
        </w:rPr>
        <w:lastRenderedPageBreak/>
        <w:t xml:space="preserve">Five municipalities have piloted and adopted integrity plans with measures to combat corruption at local level.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Consultative Council operated as the main forum for institutional dialogue and coor</w:t>
      </w:r>
      <w:r>
        <w:rPr>
          <w:rFonts w:ascii="Times New Roman" w:eastAsia="Times New Roman" w:hAnsi="Times New Roman" w:cs="Times New Roman"/>
          <w:noProof/>
          <w:color w:val="000000" w:themeColor="text1"/>
          <w:sz w:val="24"/>
          <w:szCs w:val="24"/>
        </w:rPr>
        <w:t xml:space="preserve">dination between central and local governments. While policy and legal discussions would benefit from an earlier involvement of the local level, LGUs and their associations rarely manage to come to the table with consolidated positions.        </w:t>
      </w:r>
    </w:p>
    <w:p w:rsidR="00EE1719" w:rsidRDefault="000E39BA">
      <w:pPr>
        <w:spacing w:after="120" w:line="240" w:lineRule="auto"/>
        <w:jc w:val="both"/>
        <w:rPr>
          <w:rFonts w:ascii="Times New Roman" w:eastAsia="Times New Roman" w:hAnsi="Times New Roman" w:cs="Times New Roman"/>
          <w:b/>
          <w:noProof/>
          <w:color w:val="000000" w:themeColor="text1"/>
          <w:sz w:val="24"/>
          <w:szCs w:val="24"/>
        </w:rPr>
      </w:pPr>
      <w:r>
        <w:rPr>
          <w:rFonts w:ascii="Times New Roman" w:eastAsia="Times New Roman" w:hAnsi="Times New Roman" w:cs="Times New Roman"/>
          <w:noProof/>
          <w:color w:val="000000" w:themeColor="text1"/>
          <w:sz w:val="24"/>
          <w:szCs w:val="24"/>
        </w:rPr>
        <w:t>A 'matrix o</w:t>
      </w:r>
      <w:r>
        <w:rPr>
          <w:rFonts w:ascii="Times New Roman" w:eastAsia="Times New Roman" w:hAnsi="Times New Roman" w:cs="Times New Roman"/>
          <w:noProof/>
          <w:color w:val="000000" w:themeColor="text1"/>
          <w:sz w:val="24"/>
          <w:szCs w:val="24"/>
        </w:rPr>
        <w:t>f competences', dividing responsibilities between levels of governance and recommending measures when gaps or overlaps are identified, was presented in April 2019. In July 2019, these recommendations became the subject of a Prime Minister's order requestin</w:t>
      </w:r>
      <w:r>
        <w:rPr>
          <w:rFonts w:ascii="Times New Roman" w:eastAsia="Times New Roman" w:hAnsi="Times New Roman" w:cs="Times New Roman"/>
          <w:noProof/>
          <w:color w:val="000000" w:themeColor="text1"/>
          <w:sz w:val="24"/>
          <w:szCs w:val="24"/>
        </w:rPr>
        <w:t xml:space="preserve">g line Ministries to take the related actions; implementation is on-going. The network of EU local coordinators has strengthened the LGUs’ involvement in the EU accession process, raising awareness of EU policies, the EU </w:t>
      </w:r>
      <w:r>
        <w:rPr>
          <w:rFonts w:ascii="Times New Roman" w:eastAsia="Times New Roman" w:hAnsi="Times New Roman" w:cs="Times New Roman"/>
          <w:i/>
          <w:noProof/>
          <w:color w:val="000000" w:themeColor="text1"/>
          <w:sz w:val="24"/>
          <w:szCs w:val="24"/>
        </w:rPr>
        <w:t>acquis</w:t>
      </w:r>
      <w:r>
        <w:rPr>
          <w:rFonts w:ascii="Times New Roman" w:eastAsia="Times New Roman" w:hAnsi="Times New Roman" w:cs="Times New Roman"/>
          <w:noProof/>
          <w:color w:val="000000" w:themeColor="text1"/>
          <w:sz w:val="24"/>
          <w:szCs w:val="24"/>
        </w:rPr>
        <w:t>, funds and programmes. The i</w:t>
      </w:r>
      <w:r>
        <w:rPr>
          <w:rFonts w:ascii="Times New Roman" w:eastAsia="Times New Roman" w:hAnsi="Times New Roman" w:cs="Times New Roman"/>
          <w:noProof/>
          <w:color w:val="000000" w:themeColor="text1"/>
          <w:sz w:val="24"/>
          <w:szCs w:val="24"/>
        </w:rPr>
        <w:t>mplementation of the Decision of the Council of Ministers from July 2018 institutionalising and upgrading the so-called municipal "EU desks" into "EU Units" needs to be completed. A second report on the performance of municipalities on EU matters was launc</w:t>
      </w:r>
      <w:r>
        <w:rPr>
          <w:rFonts w:ascii="Times New Roman" w:eastAsia="Times New Roman" w:hAnsi="Times New Roman" w:cs="Times New Roman"/>
          <w:noProof/>
          <w:color w:val="000000" w:themeColor="text1"/>
          <w:sz w:val="24"/>
          <w:szCs w:val="24"/>
        </w:rPr>
        <w:t xml:space="preserve">hed in January 2020, with the Ministry of Interior committing to make this exercise a regular annual process under its own lead.   </w:t>
      </w:r>
    </w:p>
    <w:p w:rsidR="00EE1719" w:rsidRDefault="000E39BA">
      <w:pPr>
        <w:autoSpaceDE w:val="0"/>
        <w:autoSpaceDN w:val="0"/>
        <w:adjustRightInd w:val="0"/>
        <w:spacing w:after="120" w:line="240" w:lineRule="auto"/>
        <w:jc w:val="both"/>
        <w:rPr>
          <w:rFonts w:ascii="Times New Roman" w:eastAsia="Times New Roman" w:hAnsi="Times New Roman" w:cs="Times New Roman"/>
          <w:b/>
          <w:noProof/>
          <w:color w:val="000000" w:themeColor="text1"/>
          <w:sz w:val="24"/>
          <w:szCs w:val="24"/>
        </w:rPr>
      </w:pPr>
      <w:r>
        <w:rPr>
          <w:rFonts w:ascii="Times New Roman" w:eastAsia="Times New Roman" w:hAnsi="Times New Roman" w:cs="Times New Roman"/>
          <w:b/>
          <w:noProof/>
          <w:color w:val="000000" w:themeColor="text1"/>
          <w:sz w:val="24"/>
          <w:szCs w:val="24"/>
        </w:rPr>
        <w:t>Civil society</w:t>
      </w:r>
    </w:p>
    <w:p w:rsidR="00EE1719" w:rsidRDefault="000E39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Times New Roman" w:hAnsi="Times New Roman" w:cs="Times New Roman"/>
          <w:noProof/>
          <w:snapToGrid w:val="0"/>
          <w:color w:val="000000" w:themeColor="text1"/>
          <w:sz w:val="24"/>
          <w:szCs w:val="24"/>
        </w:rPr>
      </w:pPr>
      <w:r>
        <w:rPr>
          <w:rFonts w:ascii="Times New Roman" w:eastAsia="Times New Roman" w:hAnsi="Times New Roman" w:cs="Times New Roman"/>
          <w:noProof/>
          <w:snapToGrid w:val="0"/>
          <w:color w:val="000000" w:themeColor="text1"/>
          <w:sz w:val="24"/>
          <w:szCs w:val="24"/>
          <w:shd w:val="clear" w:color="auto" w:fill="D9D9D9" w:themeFill="background1" w:themeFillShade="D9"/>
        </w:rPr>
        <w:t xml:space="preserve">No progress has been made on the implementation of the roadmap on an enabling environment for civil society. </w:t>
      </w:r>
      <w:r>
        <w:rPr>
          <w:rFonts w:ascii="Times New Roman" w:eastAsia="Times New Roman" w:hAnsi="Times New Roman" w:cs="Times New Roman"/>
          <w:noProof/>
          <w:snapToGrid w:val="0"/>
          <w:color w:val="000000" w:themeColor="text1"/>
          <w:sz w:val="24"/>
          <w:szCs w:val="24"/>
          <w:shd w:val="clear" w:color="auto" w:fill="D9D9D9" w:themeFill="background1" w:themeFillShade="D9"/>
        </w:rPr>
        <w:t>The Law on the National Council for Civil Society needs to be amended to reflect changes in ministerial portfolios and provide for appropriate representation in the Council. Substantial efforts are needed to ensure meaningful and systematic consultations w</w:t>
      </w:r>
      <w:r>
        <w:rPr>
          <w:rFonts w:ascii="Times New Roman" w:eastAsia="Times New Roman" w:hAnsi="Times New Roman" w:cs="Times New Roman"/>
          <w:noProof/>
          <w:snapToGrid w:val="0"/>
          <w:color w:val="000000" w:themeColor="text1"/>
          <w:sz w:val="24"/>
          <w:szCs w:val="24"/>
          <w:shd w:val="clear" w:color="auto" w:fill="D9D9D9" w:themeFill="background1" w:themeFillShade="D9"/>
        </w:rPr>
        <w:t xml:space="preserve">ith civil society as part of an inclusive policy dialogue for reforms. These efforts should involve comprehensive feedback and follow up mechanisms. The financial sustainability of civil society organisations remains a challenge due to unfavourable fiscal </w:t>
      </w:r>
      <w:r>
        <w:rPr>
          <w:rFonts w:ascii="Times New Roman" w:eastAsia="Times New Roman" w:hAnsi="Times New Roman" w:cs="Times New Roman"/>
          <w:noProof/>
          <w:snapToGrid w:val="0"/>
          <w:color w:val="000000" w:themeColor="text1"/>
          <w:sz w:val="24"/>
          <w:szCs w:val="24"/>
          <w:shd w:val="clear" w:color="auto" w:fill="D9D9D9" w:themeFill="background1" w:themeFillShade="D9"/>
        </w:rPr>
        <w:t>and legal frameworks</w:t>
      </w:r>
      <w:r>
        <w:rPr>
          <w:rFonts w:ascii="Times New Roman" w:eastAsia="Times New Roman" w:hAnsi="Times New Roman" w:cs="Times New Roman"/>
          <w:noProof/>
          <w:snapToGrid w:val="0"/>
          <w:color w:val="000000" w:themeColor="text1"/>
          <w:sz w:val="24"/>
          <w:szCs w:val="24"/>
        </w:rPr>
        <w:t xml:space="preserve">. </w:t>
      </w:r>
    </w:p>
    <w:p w:rsidR="00EE1719" w:rsidRDefault="000E39BA">
      <w:pPr>
        <w:spacing w:after="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An empowered civil society is a crucial component of any democratic system and should be recognised and treated as such by state institutions.</w:t>
      </w:r>
    </w:p>
    <w:p w:rsidR="00EE1719" w:rsidRDefault="000E39BA">
      <w:pPr>
        <w:spacing w:after="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During the post-earthquake emergency in November 2019 and again in the course of the </w:t>
      </w:r>
      <w:r>
        <w:rPr>
          <w:rFonts w:ascii="Times New Roman" w:eastAsiaTheme="minorHAnsi" w:hAnsi="Times New Roman" w:cs="Times New Roman"/>
          <w:noProof/>
          <w:color w:val="000000" w:themeColor="text1"/>
          <w:sz w:val="24"/>
          <w:szCs w:val="24"/>
        </w:rPr>
        <w:t>outbreak of the COVID-19 pandemic, Albanian civil society provided rapid first response, reaching out to most vulnerable and remote citizens, supporting and complementing state interventions.</w:t>
      </w:r>
    </w:p>
    <w:p w:rsidR="00EE1719" w:rsidRDefault="000E39BA">
      <w:pPr>
        <w:spacing w:after="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Albania’s legal and regulatory framework on the right of freedom</w:t>
      </w:r>
      <w:r>
        <w:rPr>
          <w:rFonts w:ascii="Times New Roman" w:eastAsiaTheme="minorHAnsi" w:hAnsi="Times New Roman" w:cs="Times New Roman"/>
          <w:noProof/>
          <w:color w:val="000000" w:themeColor="text1"/>
          <w:sz w:val="24"/>
          <w:szCs w:val="24"/>
        </w:rPr>
        <w:t xml:space="preserve"> of association is generally in line with international standards. However, the registration process continues to be problematic, due to the high costs of registration, lengthy procedures and lack of specialised judges. The legal framework on freedom of pe</w:t>
      </w:r>
      <w:r>
        <w:rPr>
          <w:rFonts w:ascii="Times New Roman" w:eastAsiaTheme="minorHAnsi" w:hAnsi="Times New Roman" w:cs="Times New Roman"/>
          <w:noProof/>
          <w:color w:val="000000" w:themeColor="text1"/>
          <w:sz w:val="24"/>
          <w:szCs w:val="24"/>
        </w:rPr>
        <w:t>aceful assembly needs improvement to clarify when only ‘notification’ is required, as opposed to ‘permission’. The law should also address the right to spontaneous assembly and counter</w:t>
      </w:r>
      <w:r>
        <w:rPr>
          <w:rFonts w:ascii="Times New Roman" w:eastAsiaTheme="minorHAnsi" w:hAnsi="Times New Roman" w:cs="Times New Roman"/>
          <w:noProof/>
          <w:color w:val="000000" w:themeColor="text1"/>
          <w:sz w:val="24"/>
          <w:szCs w:val="24"/>
        </w:rPr>
        <w:noBreakHyphen/>
        <w:t xml:space="preserve">assembly, and make notification procedures easier to complete and more </w:t>
      </w:r>
      <w:r>
        <w:rPr>
          <w:rFonts w:ascii="Times New Roman" w:eastAsiaTheme="minorHAnsi" w:hAnsi="Times New Roman" w:cs="Times New Roman"/>
          <w:noProof/>
          <w:color w:val="000000" w:themeColor="text1"/>
          <w:sz w:val="24"/>
          <w:szCs w:val="24"/>
        </w:rPr>
        <w:t>accessible. A revised roadmap on an enabling environment for civil society was approved in July 2019, but its implementation depends to a large extent on donor funding.</w:t>
      </w:r>
    </w:p>
    <w:p w:rsidR="00EE1719" w:rsidRDefault="000E39BA">
      <w:pPr>
        <w:spacing w:after="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The 2014 Law on public consultation, laying down the procedural norms for transparency </w:t>
      </w:r>
      <w:r>
        <w:rPr>
          <w:rFonts w:ascii="Times New Roman" w:eastAsiaTheme="minorHAnsi" w:hAnsi="Times New Roman" w:cs="Times New Roman"/>
          <w:noProof/>
          <w:color w:val="000000" w:themeColor="text1"/>
          <w:sz w:val="24"/>
          <w:szCs w:val="24"/>
        </w:rPr>
        <w:t>and public participation in decision-making, is generally in line with European standards. However, its scope should be extended to government decisions. It requires reporting on how inputs from civil society organisations (CSOs) are taken into considerati</w:t>
      </w:r>
      <w:r>
        <w:rPr>
          <w:rFonts w:ascii="Times New Roman" w:eastAsiaTheme="minorHAnsi" w:hAnsi="Times New Roman" w:cs="Times New Roman"/>
          <w:noProof/>
          <w:color w:val="000000" w:themeColor="text1"/>
          <w:sz w:val="24"/>
          <w:szCs w:val="24"/>
        </w:rPr>
        <w:t>on, but there is little evidence of the use and effectiveness of the feedback mechanisms. No progress was made on public consultation in the adoption of sub-legal acts and the implementation of the Laws on volunteerism and social enterprises.</w:t>
      </w:r>
    </w:p>
    <w:p w:rsidR="00EE1719" w:rsidRDefault="000E39BA">
      <w:pPr>
        <w:spacing w:after="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The National </w:t>
      </w:r>
      <w:r>
        <w:rPr>
          <w:rFonts w:ascii="Times New Roman" w:eastAsiaTheme="minorHAnsi" w:hAnsi="Times New Roman" w:cs="Times New Roman"/>
          <w:noProof/>
          <w:color w:val="000000" w:themeColor="text1"/>
          <w:sz w:val="24"/>
          <w:szCs w:val="24"/>
        </w:rPr>
        <w:t xml:space="preserve">Council for Civil Society met only once in 2019 and the meeting was inconclusive, with no operational follow-up. The Law on the National Council has still not been amended to reflect changes in ministerial portfolios and representation in the Council, and </w:t>
      </w:r>
      <w:r>
        <w:rPr>
          <w:rFonts w:ascii="Times New Roman" w:eastAsiaTheme="minorHAnsi" w:hAnsi="Times New Roman" w:cs="Times New Roman"/>
          <w:noProof/>
          <w:color w:val="000000" w:themeColor="text1"/>
          <w:sz w:val="24"/>
          <w:szCs w:val="24"/>
        </w:rPr>
        <w:t>to improve its functioning. The Council should engage more with other civil society actors representing CSOs’ opinions in the policymaking processes.</w:t>
      </w:r>
    </w:p>
    <w:p w:rsidR="00EE1719" w:rsidRDefault="000E39BA">
      <w:pPr>
        <w:spacing w:after="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Agency for the Support of Civil Society remains the main public body providing financial support for c</w:t>
      </w:r>
      <w:r>
        <w:rPr>
          <w:rFonts w:ascii="Times New Roman" w:eastAsiaTheme="minorHAnsi" w:hAnsi="Times New Roman" w:cs="Times New Roman"/>
          <w:noProof/>
          <w:color w:val="000000" w:themeColor="text1"/>
          <w:sz w:val="24"/>
          <w:szCs w:val="24"/>
        </w:rPr>
        <w:t xml:space="preserve">ivil society. However, public funding remains insufficient to sustain CSOs’ activity, in particular in social services. Some changes were made to the tax arrangements applying to CSOs, e.g. a new instruction aims to improve the VAT reimbursement situation </w:t>
      </w:r>
      <w:r>
        <w:rPr>
          <w:rFonts w:ascii="Times New Roman" w:eastAsiaTheme="minorHAnsi" w:hAnsi="Times New Roman" w:cs="Times New Roman"/>
          <w:noProof/>
          <w:color w:val="000000" w:themeColor="text1"/>
          <w:sz w:val="24"/>
          <w:szCs w:val="24"/>
        </w:rPr>
        <w:t>for CSO beneficiaries of the Instrument for Pre</w:t>
      </w:r>
      <w:r>
        <w:rPr>
          <w:rFonts w:ascii="Times New Roman" w:eastAsiaTheme="minorHAnsi" w:hAnsi="Times New Roman" w:cs="Times New Roman"/>
          <w:noProof/>
          <w:color w:val="000000" w:themeColor="text1"/>
          <w:sz w:val="24"/>
          <w:szCs w:val="24"/>
        </w:rPr>
        <w:noBreakHyphen/>
        <w:t>Accession and other donor grants. Overall, the lack of favourable tax arrangements represents a significant financial burden for CSOs and the current legal environment does not support alternative funding sou</w:t>
      </w:r>
      <w:r>
        <w:rPr>
          <w:rFonts w:ascii="Times New Roman" w:eastAsiaTheme="minorHAnsi" w:hAnsi="Times New Roman" w:cs="Times New Roman"/>
          <w:noProof/>
          <w:color w:val="000000" w:themeColor="text1"/>
          <w:sz w:val="24"/>
          <w:szCs w:val="24"/>
        </w:rPr>
        <w:t>rces. Tax incentives for corporate donations do not promote donations to CSOs and there are no tax incentives for individual donations.</w:t>
      </w:r>
    </w:p>
    <w:p w:rsidR="00EE1719" w:rsidRDefault="000E39BA">
      <w:pPr>
        <w:pStyle w:val="Heading2"/>
        <w:rPr>
          <w:rFonts w:eastAsiaTheme="majorEastAsia"/>
        </w:rPr>
      </w:pPr>
      <w:bookmarkStart w:id="26" w:name="_Toc52745506"/>
      <w:r>
        <w:rPr>
          <w:rFonts w:eastAsiaTheme="majorEastAsia"/>
        </w:rPr>
        <w:t>2.1.2.</w:t>
      </w:r>
      <w:r>
        <w:rPr>
          <w:rFonts w:eastAsiaTheme="majorEastAsia"/>
        </w:rPr>
        <w:tab/>
        <w:t>Public administration reform</w:t>
      </w:r>
      <w:bookmarkEnd w:id="26"/>
    </w:p>
    <w:p w:rsidR="00EE1719" w:rsidRDefault="000E39BA">
      <w:pPr>
        <w:pBdr>
          <w:top w:val="single" w:sz="4" w:space="1" w:color="auto"/>
          <w:left w:val="single" w:sz="4" w:space="0"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Albania is </w:t>
      </w:r>
      <w:r>
        <w:rPr>
          <w:rFonts w:ascii="Times New Roman" w:eastAsia="Times New Roman" w:hAnsi="Times New Roman" w:cs="Times New Roman"/>
          <w:b/>
          <w:noProof/>
          <w:color w:val="000000" w:themeColor="text1"/>
          <w:sz w:val="24"/>
          <w:szCs w:val="24"/>
        </w:rPr>
        <w:t>moderately prepared</w:t>
      </w:r>
      <w:r>
        <w:rPr>
          <w:rFonts w:ascii="Times New Roman" w:eastAsia="Times New Roman" w:hAnsi="Times New Roman" w:cs="Times New Roman"/>
          <w:noProof/>
          <w:color w:val="000000" w:themeColor="text1"/>
          <w:sz w:val="24"/>
          <w:szCs w:val="24"/>
        </w:rPr>
        <w:t xml:space="preserve"> with the reform of its public administration. </w:t>
      </w:r>
      <w:r>
        <w:rPr>
          <w:rFonts w:ascii="Times New Roman" w:eastAsia="Times New Roman" w:hAnsi="Times New Roman" w:cs="Times New Roman"/>
          <w:b/>
          <w:noProof/>
          <w:color w:val="000000" w:themeColor="text1"/>
          <w:sz w:val="24"/>
          <w:szCs w:val="24"/>
        </w:rPr>
        <w:t>Some pr</w:t>
      </w:r>
      <w:r>
        <w:rPr>
          <w:rFonts w:ascii="Times New Roman" w:eastAsia="Times New Roman" w:hAnsi="Times New Roman" w:cs="Times New Roman"/>
          <w:b/>
          <w:noProof/>
          <w:color w:val="000000" w:themeColor="text1"/>
          <w:sz w:val="24"/>
          <w:szCs w:val="24"/>
        </w:rPr>
        <w:t>ogress</w:t>
      </w:r>
      <w:r>
        <w:rPr>
          <w:rFonts w:ascii="Times New Roman" w:eastAsia="Times New Roman" w:hAnsi="Times New Roman" w:cs="Times New Roman"/>
          <w:noProof/>
          <w:color w:val="000000" w:themeColor="text1"/>
          <w:sz w:val="24"/>
          <w:szCs w:val="24"/>
        </w:rPr>
        <w:t xml:space="preserve"> was made in enforcing the guidelines on RIAs across line ministries, in developing the legislative package related to policy planning, in increasing the number of e-services and improving transparency in data collection and human resources managemen</w:t>
      </w:r>
      <w:r>
        <w:rPr>
          <w:rFonts w:ascii="Times New Roman" w:eastAsia="Times New Roman" w:hAnsi="Times New Roman" w:cs="Times New Roman"/>
          <w:noProof/>
          <w:color w:val="000000" w:themeColor="text1"/>
          <w:sz w:val="24"/>
          <w:szCs w:val="24"/>
        </w:rPr>
        <w:t>t between central and local level. Implementation of the public administration reform and public financial management reform strategies has continued by extending the action plans until 2022. Some progress was made on the Commission’s 2019 recommendations,</w:t>
      </w:r>
      <w:r>
        <w:rPr>
          <w:rFonts w:ascii="Times New Roman" w:eastAsia="Times New Roman" w:hAnsi="Times New Roman" w:cs="Times New Roman"/>
          <w:noProof/>
          <w:color w:val="000000" w:themeColor="text1"/>
          <w:sz w:val="24"/>
          <w:szCs w:val="24"/>
        </w:rPr>
        <w:t xml:space="preserve"> which remain largely valid. </w:t>
      </w:r>
    </w:p>
    <w:p w:rsidR="00EE1719" w:rsidRDefault="000E39BA">
      <w:pPr>
        <w:pBdr>
          <w:top w:val="single" w:sz="4" w:space="1" w:color="auto"/>
          <w:left w:val="single" w:sz="4" w:space="0"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Cs/>
          <w:noProof/>
          <w:color w:val="000000" w:themeColor="text1"/>
          <w:sz w:val="24"/>
          <w:szCs w:val="24"/>
        </w:rPr>
        <w:t>In the coming year, Albania should in particular:</w:t>
      </w:r>
    </w:p>
    <w:p w:rsidR="00EE1719" w:rsidRDefault="000E39BA">
      <w:pPr>
        <w:numPr>
          <w:ilvl w:val="0"/>
          <w:numId w:val="1"/>
        </w:numPr>
        <w:pBdr>
          <w:top w:val="single" w:sz="4" w:space="1" w:color="auto"/>
          <w:left w:val="single" w:sz="4" w:space="0"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continue building capacity in line ministries to effectively implement regulatory and budgetary impact assessments for not only legislative but all policy proposals; </w:t>
      </w:r>
    </w:p>
    <w:p w:rsidR="00EE1719" w:rsidRDefault="000E39BA">
      <w:pPr>
        <w:numPr>
          <w:ilvl w:val="0"/>
          <w:numId w:val="1"/>
        </w:numPr>
        <w:pBdr>
          <w:top w:val="single" w:sz="4" w:space="1" w:color="auto"/>
          <w:left w:val="single" w:sz="4" w:space="0"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upgrade </w:t>
      </w:r>
      <w:r>
        <w:rPr>
          <w:rFonts w:ascii="Times New Roman" w:eastAsia="Times New Roman" w:hAnsi="Times New Roman" w:cs="Times New Roman"/>
          <w:noProof/>
          <w:color w:val="000000" w:themeColor="text1"/>
          <w:sz w:val="24"/>
          <w:szCs w:val="24"/>
        </w:rPr>
        <w:t>further the regulatory framework on policy planning and monitoring, and roll out the integrated policy-making system;</w:t>
      </w:r>
    </w:p>
    <w:p w:rsidR="00EE1719" w:rsidRDefault="000E39BA">
      <w:pPr>
        <w:numPr>
          <w:ilvl w:val="0"/>
          <w:numId w:val="1"/>
        </w:numPr>
        <w:pBdr>
          <w:top w:val="single" w:sz="4" w:space="1" w:color="auto"/>
          <w:left w:val="single" w:sz="4" w:space="0"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advance preparations to adopt a salary policy for civil servants and connect the human-resource-management information system with the tre</w:t>
      </w:r>
      <w:r>
        <w:rPr>
          <w:rFonts w:ascii="Times New Roman" w:eastAsia="Times New Roman" w:hAnsi="Times New Roman" w:cs="Times New Roman"/>
          <w:noProof/>
          <w:color w:val="000000" w:themeColor="text1"/>
          <w:sz w:val="24"/>
          <w:szCs w:val="24"/>
        </w:rPr>
        <w:t>asury to provide an automated payroll.</w:t>
      </w:r>
    </w:p>
    <w:p w:rsidR="00EE1719" w:rsidRDefault="000E39BA">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Policy development and coordination</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 legal basis and the institutional set-up are partially in place to ensure a consistent </w:t>
      </w:r>
      <w:r>
        <w:rPr>
          <w:rFonts w:ascii="Times New Roman" w:eastAsia="Times New Roman" w:hAnsi="Times New Roman" w:cs="Times New Roman"/>
          <w:b/>
          <w:noProof/>
          <w:color w:val="000000" w:themeColor="text1"/>
          <w:sz w:val="24"/>
          <w:szCs w:val="24"/>
        </w:rPr>
        <w:t>policy</w:t>
      </w:r>
      <w:r>
        <w:rPr>
          <w:rFonts w:ascii="Times New Roman" w:eastAsia="Times New Roman" w:hAnsi="Times New Roman" w:cs="Times New Roman"/>
          <w:b/>
          <w:noProof/>
          <w:color w:val="000000" w:themeColor="text1"/>
          <w:sz w:val="24"/>
          <w:szCs w:val="24"/>
        </w:rPr>
        <w:noBreakHyphen/>
        <w:t>making system</w:t>
      </w:r>
      <w:r>
        <w:rPr>
          <w:rFonts w:ascii="Times New Roman" w:eastAsia="Times New Roman" w:hAnsi="Times New Roman" w:cs="Times New Roman"/>
          <w:noProof/>
          <w:color w:val="000000" w:themeColor="text1"/>
          <w:sz w:val="24"/>
          <w:szCs w:val="24"/>
        </w:rPr>
        <w:t>. Some progress was made in preparing the rollout of the Integrated Planning Information System by setting the IT foundations. The system should help to automate strategic policy planning and budgeting, once data collection and processing is ensured. In re</w:t>
      </w:r>
      <w:r>
        <w:rPr>
          <w:rFonts w:ascii="Times New Roman" w:eastAsia="Times New Roman" w:hAnsi="Times New Roman" w:cs="Times New Roman"/>
          <w:noProof/>
          <w:color w:val="000000" w:themeColor="text1"/>
          <w:sz w:val="24"/>
          <w:szCs w:val="24"/>
        </w:rPr>
        <w:t xml:space="preserve">lation to this process, a Council of Ministers decision was adopted to guide ministries in data collection. Training modules were launched to support the administration in the usage of this IT system. The General Secretariat of the Prime Minister’s Office </w:t>
      </w:r>
      <w:r>
        <w:rPr>
          <w:rFonts w:ascii="Times New Roman" w:eastAsia="Times New Roman" w:hAnsi="Times New Roman" w:cs="Times New Roman"/>
          <w:noProof/>
          <w:color w:val="000000" w:themeColor="text1"/>
          <w:sz w:val="24"/>
          <w:szCs w:val="24"/>
        </w:rPr>
        <w:t>has issued further guidance to improve the quality of the Annual Legislative Plan and further harmonisation with the National Plan for European Integration (NPEI). To improve coherence of the strategic planning and monitoring system, the authorities should</w:t>
      </w:r>
      <w:r>
        <w:rPr>
          <w:rFonts w:ascii="Times New Roman" w:eastAsia="Times New Roman" w:hAnsi="Times New Roman" w:cs="Times New Roman"/>
          <w:noProof/>
          <w:color w:val="000000" w:themeColor="text1"/>
          <w:sz w:val="24"/>
          <w:szCs w:val="24"/>
        </w:rPr>
        <w:t xml:space="preserve"> upgrade the existing regulatory framework on medium-term policy planning, improve coherence between policy planning and the related budgeting, establish a dedicated central quality control function, and improve the effective internal control of the policy</w:t>
      </w:r>
      <w:r>
        <w:rPr>
          <w:rFonts w:ascii="Times New Roman" w:eastAsia="Times New Roman" w:hAnsi="Times New Roman" w:cs="Times New Roman"/>
          <w:noProof/>
          <w:color w:val="000000" w:themeColor="text1"/>
          <w:sz w:val="24"/>
          <w:szCs w:val="24"/>
        </w:rPr>
        <w:t xml:space="preserve"> implementation phase. </w:t>
      </w:r>
      <w:r>
        <w:rPr>
          <w:rFonts w:ascii="Times New Roman" w:eastAsiaTheme="minorHAnsi" w:hAnsi="Times New Roman" w:cs="Times New Roman"/>
          <w:noProof/>
          <w:color w:val="000000" w:themeColor="text1"/>
          <w:sz w:val="24"/>
          <w:szCs w:val="24"/>
          <w:lang w:eastAsia="en-US"/>
        </w:rPr>
        <w:t xml:space="preserve">The government needs to step up efforts to upgrade administrative capacity in both line ministries and the Prime Minister’s Office on data collection, as well as on defining better policy planning and monitoring functions. The Prime </w:t>
      </w:r>
      <w:r>
        <w:rPr>
          <w:rFonts w:ascii="Times New Roman" w:eastAsiaTheme="minorHAnsi" w:hAnsi="Times New Roman" w:cs="Times New Roman"/>
          <w:noProof/>
          <w:color w:val="000000" w:themeColor="text1"/>
          <w:sz w:val="24"/>
          <w:szCs w:val="24"/>
          <w:lang w:eastAsia="en-US"/>
        </w:rPr>
        <w:t>Minister’s Office needs to improve coordination with other centres of government institutions in policy processes, and promote managerial accountability effectively (</w:t>
      </w:r>
      <w:r>
        <w:rPr>
          <w:rFonts w:ascii="Times New Roman" w:eastAsiaTheme="minorHAnsi" w:hAnsi="Times New Roman" w:cs="Times New Roman"/>
          <w:i/>
          <w:noProof/>
          <w:color w:val="000000" w:themeColor="text1"/>
          <w:sz w:val="24"/>
          <w:szCs w:val="24"/>
          <w:lang w:eastAsia="en-US"/>
        </w:rPr>
        <w:t>see Chapter 32</w:t>
      </w:r>
      <w:r>
        <w:rPr>
          <w:rFonts w:ascii="Times New Roman" w:eastAsiaTheme="minorHAnsi" w:hAnsi="Times New Roman" w:cs="Times New Roman"/>
          <w:noProof/>
          <w:color w:val="000000" w:themeColor="text1"/>
          <w:sz w:val="24"/>
          <w:szCs w:val="24"/>
          <w:lang w:eastAsia="en-US"/>
        </w:rPr>
        <w:t>). In June 2020, a Prime minister’s order was adopted to establish a technic</w:t>
      </w:r>
      <w:r>
        <w:rPr>
          <w:rFonts w:ascii="Times New Roman" w:eastAsiaTheme="minorHAnsi" w:hAnsi="Times New Roman" w:cs="Times New Roman"/>
          <w:noProof/>
          <w:color w:val="000000" w:themeColor="text1"/>
          <w:sz w:val="24"/>
          <w:szCs w:val="24"/>
          <w:lang w:eastAsia="en-US"/>
        </w:rPr>
        <w:t>al level working Group to prepare a revised rulebook. The rulebook aims to improve the overall responsibilities of the Prime Minister’s Office to increase its steering role and quality control of policy making processes.</w:t>
      </w:r>
      <w:r>
        <w:rPr>
          <w:rFonts w:ascii="Times New Roman" w:eastAsia="Times New Roman" w:hAnsi="Times New Roman" w:cs="Times New Roman"/>
          <w:noProof/>
          <w:color w:val="000000" w:themeColor="text1"/>
          <w:sz w:val="24"/>
          <w:szCs w:val="24"/>
        </w:rPr>
        <w:t xml:space="preserve">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framework and guidelines for t</w:t>
      </w:r>
      <w:r>
        <w:rPr>
          <w:rFonts w:ascii="Times New Roman" w:eastAsia="Times New Roman" w:hAnsi="Times New Roman" w:cs="Times New Roman"/>
          <w:noProof/>
          <w:color w:val="000000" w:themeColor="text1"/>
          <w:sz w:val="24"/>
          <w:szCs w:val="24"/>
        </w:rPr>
        <w:t>he NPEI are in place. Some progress was made in developing a new planning methodology for the NPEI 2020-2022. An inter-institutional co-ordination structure for more effective implementation of the NPEI was established since 2018 at both political and tech</w:t>
      </w:r>
      <w:r>
        <w:rPr>
          <w:rFonts w:ascii="Times New Roman" w:eastAsia="Times New Roman" w:hAnsi="Times New Roman" w:cs="Times New Roman"/>
          <w:noProof/>
          <w:color w:val="000000" w:themeColor="text1"/>
          <w:sz w:val="24"/>
          <w:szCs w:val="24"/>
        </w:rPr>
        <w:t>nical level. Overall, NPEI implementation rate has improved up to 60%. A stronger coordination between the Prime Minister’s Office and MEFA would further support line ministries in the process of planning and implementation of the NPEI. The government need</w:t>
      </w:r>
      <w:r>
        <w:rPr>
          <w:rFonts w:ascii="Times New Roman" w:eastAsia="Times New Roman" w:hAnsi="Times New Roman" w:cs="Times New Roman"/>
          <w:noProof/>
          <w:color w:val="000000" w:themeColor="text1"/>
          <w:sz w:val="24"/>
          <w:szCs w:val="24"/>
        </w:rPr>
        <w:t xml:space="preserve">s to step up efforts in rendering the NPEI a more credible planning document for EU Integration and assign the right responsibilities at the </w:t>
      </w:r>
      <w:r>
        <w:rPr>
          <w:rFonts w:ascii="Times New Roman" w:eastAsiaTheme="minorHAnsi" w:hAnsi="Times New Roman" w:cs="Times New Roman"/>
          <w:noProof/>
          <w:color w:val="000000" w:themeColor="text1"/>
          <w:sz w:val="24"/>
          <w:szCs w:val="24"/>
          <w:lang w:eastAsia="en-US"/>
        </w:rPr>
        <w:t>Prime Minister’s Office</w:t>
      </w:r>
      <w:r>
        <w:rPr>
          <w:rFonts w:ascii="Times New Roman" w:eastAsia="Times New Roman" w:hAnsi="Times New Roman" w:cs="Times New Roman"/>
          <w:noProof/>
          <w:color w:val="000000" w:themeColor="text1"/>
          <w:sz w:val="24"/>
          <w:szCs w:val="24"/>
        </w:rPr>
        <w:t xml:space="preserve"> level to guide the process.</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On </w:t>
      </w:r>
      <w:r>
        <w:rPr>
          <w:rFonts w:ascii="Times New Roman" w:eastAsia="Times New Roman" w:hAnsi="Times New Roman" w:cs="Times New Roman"/>
          <w:b/>
          <w:noProof/>
          <w:color w:val="000000" w:themeColor="text1"/>
          <w:sz w:val="24"/>
          <w:szCs w:val="24"/>
        </w:rPr>
        <w:t>inclusive and evidence-based policy and legislative developm</w:t>
      </w:r>
      <w:r>
        <w:rPr>
          <w:rFonts w:ascii="Times New Roman" w:eastAsia="Times New Roman" w:hAnsi="Times New Roman" w:cs="Times New Roman"/>
          <w:b/>
          <w:noProof/>
          <w:color w:val="000000" w:themeColor="text1"/>
          <w:sz w:val="24"/>
          <w:szCs w:val="24"/>
        </w:rPr>
        <w:t xml:space="preserve">ent, </w:t>
      </w:r>
      <w:r>
        <w:rPr>
          <w:rFonts w:ascii="Times New Roman" w:eastAsia="Times New Roman" w:hAnsi="Times New Roman" w:cs="Times New Roman"/>
          <w:noProof/>
          <w:color w:val="000000" w:themeColor="text1"/>
          <w:sz w:val="24"/>
          <w:szCs w:val="24"/>
        </w:rPr>
        <w:t xml:space="preserve">the administration needs to strengthen its capacity, particularly to harmonise the legislation with the EU </w:t>
      </w:r>
      <w:r>
        <w:rPr>
          <w:rFonts w:ascii="Times New Roman" w:eastAsia="Times New Roman" w:hAnsi="Times New Roman" w:cs="Times New Roman"/>
          <w:i/>
          <w:noProof/>
          <w:color w:val="000000" w:themeColor="text1"/>
          <w:sz w:val="24"/>
          <w:szCs w:val="24"/>
        </w:rPr>
        <w:t xml:space="preserve">acquis. </w:t>
      </w:r>
      <w:r>
        <w:rPr>
          <w:rFonts w:ascii="Times New Roman" w:eastAsia="Calibri" w:hAnsi="Times New Roman" w:cs="Times New Roman"/>
          <w:noProof/>
          <w:color w:val="000000" w:themeColor="text1"/>
          <w:sz w:val="24"/>
          <w:szCs w:val="24"/>
        </w:rPr>
        <w:t>Administrative data collection and its systematic use for policy and law-making should be improved across the administration. The adopti</w:t>
      </w:r>
      <w:r>
        <w:rPr>
          <w:rFonts w:ascii="Times New Roman" w:eastAsia="Calibri" w:hAnsi="Times New Roman" w:cs="Times New Roman"/>
          <w:noProof/>
          <w:color w:val="000000" w:themeColor="text1"/>
          <w:sz w:val="24"/>
          <w:szCs w:val="24"/>
        </w:rPr>
        <w:t>on of the guidelines on regulatory impact assessment (RIA) has helped</w:t>
      </w:r>
      <w:r>
        <w:rPr>
          <w:rFonts w:ascii="Times New Roman" w:eastAsiaTheme="minorHAnsi" w:hAnsi="Times New Roman" w:cs="Times New Roman"/>
          <w:noProof/>
          <w:color w:val="000000" w:themeColor="text1"/>
          <w:sz w:val="24"/>
          <w:szCs w:val="24"/>
          <w:lang w:eastAsia="en-US"/>
        </w:rPr>
        <w:t xml:space="preserve"> line ministries to make more systematic impact assessments for legislative measures.</w:t>
      </w:r>
      <w:r>
        <w:rPr>
          <w:rFonts w:ascii="Times New Roman" w:eastAsia="Times New Roman" w:hAnsi="Times New Roman" w:cs="Times New Roman"/>
          <w:noProof/>
          <w:color w:val="000000" w:themeColor="text1"/>
          <w:sz w:val="24"/>
          <w:szCs w:val="24"/>
        </w:rPr>
        <w:t xml:space="preserve"> Some progress has been made in establishing quality criteria for RIAs and building capacity at the Pr</w:t>
      </w:r>
      <w:r>
        <w:rPr>
          <w:rFonts w:ascii="Times New Roman" w:eastAsia="Times New Roman" w:hAnsi="Times New Roman" w:cs="Times New Roman"/>
          <w:noProof/>
          <w:color w:val="000000" w:themeColor="text1"/>
          <w:sz w:val="24"/>
          <w:szCs w:val="24"/>
        </w:rPr>
        <w:t xml:space="preserve">ime Minister’s Office level to guide the process. The government needs to step up efforts in the institutionalisation of RIAs for all policy proposals and the consolidation of administrative capacities in line ministries.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
          <w:noProof/>
          <w:color w:val="000000" w:themeColor="text1"/>
          <w:sz w:val="24"/>
          <w:szCs w:val="24"/>
        </w:rPr>
        <w:t xml:space="preserve">Public consultations </w:t>
      </w:r>
      <w:r>
        <w:rPr>
          <w:rFonts w:ascii="Times New Roman" w:eastAsia="Times New Roman" w:hAnsi="Times New Roman" w:cs="Times New Roman"/>
          <w:noProof/>
          <w:color w:val="000000" w:themeColor="text1"/>
          <w:sz w:val="24"/>
          <w:szCs w:val="24"/>
        </w:rPr>
        <w:t>are required</w:t>
      </w:r>
      <w:r>
        <w:rPr>
          <w:rFonts w:ascii="Times New Roman" w:eastAsia="Times New Roman" w:hAnsi="Times New Roman" w:cs="Times New Roman"/>
          <w:noProof/>
          <w:color w:val="000000" w:themeColor="text1"/>
          <w:sz w:val="24"/>
          <w:szCs w:val="24"/>
        </w:rPr>
        <w:t xml:space="preserve"> for policy and legislative development. Some progress has been achieved to train line ministries to better use public consultations, although a methodology on public consultations has not been adopted. The electronic web-portal for public consultations is</w:t>
      </w:r>
      <w:r>
        <w:rPr>
          <w:rFonts w:ascii="Times New Roman" w:eastAsia="Times New Roman" w:hAnsi="Times New Roman" w:cs="Times New Roman"/>
          <w:noProof/>
          <w:color w:val="000000" w:themeColor="text1"/>
          <w:sz w:val="24"/>
          <w:szCs w:val="24"/>
        </w:rPr>
        <w:t xml:space="preserve"> operational, but its use by the public remains limited. The quality control function on public consultation remains weak and focuses mostly on the process rather than on content.</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
          <w:noProof/>
          <w:color w:val="000000" w:themeColor="text1"/>
          <w:sz w:val="24"/>
          <w:szCs w:val="24"/>
        </w:rPr>
        <w:t>Public scrutiny of government</w:t>
      </w:r>
      <w:r>
        <w:rPr>
          <w:rFonts w:ascii="Times New Roman" w:eastAsia="Times New Roman" w:hAnsi="Times New Roman" w:cs="Times New Roman"/>
          <w:noProof/>
          <w:color w:val="000000" w:themeColor="text1"/>
          <w:sz w:val="24"/>
          <w:szCs w:val="24"/>
        </w:rPr>
        <w:t xml:space="preserve"> work remains limited. The role of parliamentar</w:t>
      </w:r>
      <w:r>
        <w:rPr>
          <w:rFonts w:ascii="Times New Roman" w:eastAsia="Times New Roman" w:hAnsi="Times New Roman" w:cs="Times New Roman"/>
          <w:noProof/>
          <w:color w:val="000000" w:themeColor="text1"/>
          <w:sz w:val="24"/>
          <w:szCs w:val="24"/>
        </w:rPr>
        <w:t>y oversight on government performance needs to be increased. Most government reports on various policies continue to present implemented activities rather than explain the actual results of government policies. Coordination structures for monitoring policy</w:t>
      </w:r>
      <w:r>
        <w:rPr>
          <w:rFonts w:ascii="Times New Roman" w:eastAsia="Times New Roman" w:hAnsi="Times New Roman" w:cs="Times New Roman"/>
          <w:noProof/>
          <w:color w:val="000000" w:themeColor="text1"/>
          <w:sz w:val="24"/>
          <w:szCs w:val="24"/>
        </w:rPr>
        <w:t xml:space="preserve"> implementation need to become operational through IPMGs. Communication to the citizen of the ongoing reforms needs to be enhanced.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u w:val="single"/>
        </w:rPr>
      </w:pPr>
      <w:r>
        <w:rPr>
          <w:rFonts w:ascii="Times New Roman" w:eastAsia="Times New Roman" w:hAnsi="Times New Roman" w:cs="Times New Roman"/>
          <w:noProof/>
          <w:color w:val="000000" w:themeColor="text1"/>
          <w:sz w:val="24"/>
          <w:szCs w:val="24"/>
          <w:u w:val="single"/>
        </w:rPr>
        <w:t>Public financial management</w:t>
      </w:r>
    </w:p>
    <w:p w:rsidR="00EE1719" w:rsidRDefault="000E39BA">
      <w:pPr>
        <w:autoSpaceDE w:val="0"/>
        <w:autoSpaceDN w:val="0"/>
        <w:adjustRightInd w:val="0"/>
        <w:spacing w:after="120" w:line="240" w:lineRule="auto"/>
        <w:jc w:val="both"/>
        <w:rPr>
          <w:rFonts w:ascii="Times New Roman" w:eastAsiaTheme="minorHAnsi" w:hAnsi="Times New Roman" w:cs="Times New Roman"/>
          <w:noProof/>
          <w:color w:val="000000" w:themeColor="text1"/>
          <w:sz w:val="24"/>
          <w:szCs w:val="24"/>
          <w:lang w:eastAsia="en-US"/>
        </w:rPr>
      </w:pPr>
      <w:r>
        <w:rPr>
          <w:rFonts w:ascii="Times New Roman" w:eastAsia="Times New Roman" w:hAnsi="Times New Roman" w:cs="Times New Roman"/>
          <w:noProof/>
          <w:color w:val="000000" w:themeColor="text1"/>
          <w:sz w:val="24"/>
          <w:szCs w:val="24"/>
        </w:rPr>
        <w:t xml:space="preserve">The Ministry of Finance and Economy, which leads the </w:t>
      </w:r>
      <w:r>
        <w:rPr>
          <w:rFonts w:ascii="Times New Roman" w:eastAsia="Times New Roman" w:hAnsi="Times New Roman" w:cs="Times New Roman"/>
          <w:b/>
          <w:noProof/>
          <w:color w:val="000000" w:themeColor="text1"/>
          <w:sz w:val="24"/>
          <w:szCs w:val="24"/>
        </w:rPr>
        <w:t>public financial management reform</w:t>
      </w:r>
      <w:r>
        <w:rPr>
          <w:rFonts w:ascii="Times New Roman" w:eastAsia="Times New Roman" w:hAnsi="Times New Roman" w:cs="Times New Roman"/>
          <w:noProof/>
          <w:color w:val="000000" w:themeColor="text1"/>
          <w:sz w:val="24"/>
          <w:szCs w:val="24"/>
        </w:rPr>
        <w:t>, underwent further restructuring in 2019. There are still several posts unfilled in the Ministry at present. The mid-term review of the PFM strategy was completed in March 2019. Following consultations from July to September 2019, the revised and extended</w:t>
      </w:r>
      <w:r>
        <w:rPr>
          <w:rFonts w:ascii="Times New Roman" w:eastAsia="Times New Roman" w:hAnsi="Times New Roman" w:cs="Times New Roman"/>
          <w:noProof/>
          <w:color w:val="000000" w:themeColor="text1"/>
          <w:sz w:val="24"/>
          <w:szCs w:val="24"/>
        </w:rPr>
        <w:t xml:space="preserve"> PFM strategy for 2019-2022 was approved in December 2019. </w:t>
      </w:r>
      <w:r>
        <w:rPr>
          <w:rFonts w:ascii="Times New Roman" w:eastAsiaTheme="minorHAnsi" w:hAnsi="Times New Roman" w:cs="Times New Roman"/>
          <w:noProof/>
          <w:color w:val="000000" w:themeColor="text1"/>
          <w:sz w:val="24"/>
          <w:szCs w:val="24"/>
          <w:lang w:eastAsia="en-US"/>
        </w:rPr>
        <w:t>The strategy includes a new specific objective on domestic revenue mobilisation and dedicated chapters on the governance of the reform process and the rolling-out of the financial IT system as it r</w:t>
      </w:r>
      <w:r>
        <w:rPr>
          <w:rFonts w:ascii="Times New Roman" w:eastAsiaTheme="minorHAnsi" w:hAnsi="Times New Roman" w:cs="Times New Roman"/>
          <w:noProof/>
          <w:color w:val="000000" w:themeColor="text1"/>
          <w:sz w:val="24"/>
          <w:szCs w:val="24"/>
          <w:lang w:eastAsia="en-US"/>
        </w:rPr>
        <w:t>elates to the objectives. Increased attention is put on the r</w:t>
      </w:r>
      <w:r>
        <w:rPr>
          <w:rFonts w:ascii="Times New Roman" w:eastAsiaTheme="minorHAnsi" w:hAnsi="Times New Roman" w:cs="Times New Roman"/>
          <w:bCs/>
          <w:noProof/>
          <w:color w:val="000000" w:themeColor="text1"/>
          <w:sz w:val="24"/>
          <w:szCs w:val="24"/>
          <w:lang w:eastAsia="sq-AL"/>
        </w:rPr>
        <w:t xml:space="preserve">epayment and prevention of arrears, the reduction of the public debt, to </w:t>
      </w:r>
      <w:r>
        <w:rPr>
          <w:rFonts w:ascii="Times New Roman" w:eastAsiaTheme="minorHAnsi" w:hAnsi="Times New Roman" w:cs="Times New Roman"/>
          <w:noProof/>
          <w:color w:val="000000" w:themeColor="text1"/>
          <w:sz w:val="24"/>
          <w:szCs w:val="24"/>
          <w:lang w:eastAsia="en-US"/>
        </w:rPr>
        <w:t xml:space="preserve">extending fiscal risks management to include </w:t>
      </w:r>
      <w:r>
        <w:rPr>
          <w:rFonts w:ascii="Times New Roman" w:eastAsiaTheme="minorHAnsi" w:hAnsi="Times New Roman" w:cs="Times New Roman"/>
          <w:noProof/>
          <w:color w:val="000000" w:themeColor="text1"/>
          <w:sz w:val="24"/>
          <w:szCs w:val="24"/>
        </w:rPr>
        <w:t xml:space="preserve">SOEs, arrears and those risks embedded in </w:t>
      </w:r>
      <w:r>
        <w:rPr>
          <w:rFonts w:ascii="Times New Roman" w:eastAsiaTheme="minorHAnsi" w:hAnsi="Times New Roman" w:cs="Times New Roman"/>
          <w:bCs/>
          <w:noProof/>
          <w:color w:val="000000" w:themeColor="text1"/>
          <w:sz w:val="24"/>
          <w:szCs w:val="24"/>
          <w:lang w:eastAsia="sq-AL"/>
        </w:rPr>
        <w:t>Private Public Partnerships</w:t>
      </w:r>
      <w:r>
        <w:rPr>
          <w:rFonts w:ascii="Times New Roman" w:eastAsiaTheme="minorHAnsi" w:hAnsi="Times New Roman" w:cs="Times New Roman"/>
          <w:noProof/>
          <w:color w:val="000000" w:themeColor="text1"/>
          <w:sz w:val="24"/>
          <w:szCs w:val="24"/>
        </w:rPr>
        <w:t xml:space="preserve"> and con</w:t>
      </w:r>
      <w:r>
        <w:rPr>
          <w:rFonts w:ascii="Times New Roman" w:eastAsiaTheme="minorHAnsi" w:hAnsi="Times New Roman" w:cs="Times New Roman"/>
          <w:noProof/>
          <w:color w:val="000000" w:themeColor="text1"/>
          <w:sz w:val="24"/>
          <w:szCs w:val="24"/>
        </w:rPr>
        <w:t>cessions contracts</w:t>
      </w:r>
      <w:r>
        <w:rPr>
          <w:rFonts w:ascii="Times New Roman" w:eastAsiaTheme="minorHAnsi" w:hAnsi="Times New Roman" w:cs="Times New Roman"/>
          <w:noProof/>
          <w:color w:val="000000" w:themeColor="text1"/>
          <w:sz w:val="24"/>
          <w:szCs w:val="24"/>
          <w:lang w:eastAsia="en-US"/>
        </w:rPr>
        <w:t xml:space="preserve">. </w:t>
      </w:r>
    </w:p>
    <w:p w:rsidR="00EE1719" w:rsidRDefault="000E39BA">
      <w:pPr>
        <w:spacing w:after="120" w:line="240" w:lineRule="auto"/>
        <w:jc w:val="both"/>
        <w:rPr>
          <w:rFonts w:ascii="Times New Roman" w:eastAsia="Cambria"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rogress was achieved with the preparation of the 2019 and 2020 budgets and the execution of the 2018 and 2019 budget in line with the revised Organic Budget Law. A budget revision in March 2020 reflected COVID-19 expenditure measures. </w:t>
      </w:r>
      <w:r>
        <w:rPr>
          <w:rFonts w:ascii="Times New Roman" w:eastAsia="Times New Roman" w:hAnsi="Times New Roman" w:cs="Times New Roman"/>
          <w:noProof/>
          <w:color w:val="000000" w:themeColor="text1"/>
          <w:sz w:val="24"/>
          <w:szCs w:val="24"/>
        </w:rPr>
        <w:t xml:space="preserve">However, </w:t>
      </w:r>
      <w:r>
        <w:rPr>
          <w:rFonts w:ascii="Times New Roman" w:eastAsia="Calibri" w:hAnsi="Times New Roman" w:cs="Times New Roman"/>
          <w:noProof/>
          <w:color w:val="000000" w:themeColor="text1"/>
          <w:sz w:val="24"/>
          <w:szCs w:val="24"/>
          <w:lang w:eastAsia="en-US"/>
        </w:rPr>
        <w:t>revenue and growth figures still need to be revised.</w:t>
      </w:r>
      <w:r>
        <w:rPr>
          <w:rFonts w:ascii="Times New Roman" w:eastAsia="Times New Roman" w:hAnsi="Times New Roman" w:cs="Times New Roman"/>
          <w:noProof/>
          <w:color w:val="000000" w:themeColor="text1"/>
          <w:sz w:val="24"/>
          <w:szCs w:val="24"/>
        </w:rPr>
        <w:t xml:space="preserve"> The law on concessions and  public-private-partnerships (PPPs) was amended, including to reduce scope for unsolicited offers and to strengthen the role of the Ministry of Finance and Economy in </w:t>
      </w:r>
      <w:r>
        <w:rPr>
          <w:rFonts w:ascii="Times New Roman" w:eastAsia="Times New Roman" w:hAnsi="Times New Roman" w:cs="Times New Roman"/>
          <w:noProof/>
          <w:color w:val="000000" w:themeColor="text1"/>
          <w:sz w:val="24"/>
          <w:szCs w:val="24"/>
        </w:rPr>
        <w:t xml:space="preserve">the assessment and approval of PPP contracts and addenda. Data collection for and preparation of a medium term revenue strategy are ongoing, in view of changed assumptions due to COVID-19. </w:t>
      </w:r>
      <w:r>
        <w:rPr>
          <w:rFonts w:ascii="Times New Roman" w:eastAsia="Cambria" w:hAnsi="Times New Roman" w:cs="Times New Roman"/>
          <w:noProof/>
          <w:color w:val="000000" w:themeColor="text1"/>
          <w:sz w:val="24"/>
          <w:szCs w:val="24"/>
        </w:rPr>
        <w:t>(</w:t>
      </w:r>
      <w:r>
        <w:rPr>
          <w:rFonts w:ascii="Times New Roman" w:eastAsia="Cambria" w:hAnsi="Times New Roman" w:cs="Times New Roman"/>
          <w:i/>
          <w:noProof/>
          <w:color w:val="000000" w:themeColor="text1"/>
          <w:sz w:val="24"/>
          <w:szCs w:val="24"/>
        </w:rPr>
        <w:t>See also Chapters 5, 16, 29 and 32</w:t>
      </w:r>
      <w:r>
        <w:rPr>
          <w:rFonts w:ascii="Times New Roman" w:eastAsia="Cambria" w:hAnsi="Times New Roman" w:cs="Times New Roman"/>
          <w:noProof/>
          <w:color w:val="000000" w:themeColor="text1"/>
          <w:sz w:val="24"/>
          <w:szCs w:val="24"/>
        </w:rPr>
        <w:t xml:space="preserve">).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
          <w:noProof/>
          <w:color w:val="000000" w:themeColor="text1"/>
          <w:sz w:val="24"/>
          <w:szCs w:val="24"/>
        </w:rPr>
        <w:t>Budget transparency</w:t>
      </w:r>
      <w:r>
        <w:rPr>
          <w:rFonts w:ascii="Times New Roman" w:eastAsia="Times New Roman" w:hAnsi="Times New Roman" w:cs="Times New Roman"/>
          <w:noProof/>
          <w:color w:val="000000" w:themeColor="text1"/>
          <w:sz w:val="24"/>
          <w:szCs w:val="24"/>
        </w:rPr>
        <w:t xml:space="preserve"> remains satisfactory with the publication of all key budget documents. The annual budget, the citizens’ budget, and the list of public investments (including PPPs under the medium-term budget programme) have been published. However, the timeliness of budg</w:t>
      </w:r>
      <w:r>
        <w:rPr>
          <w:rFonts w:ascii="Times New Roman" w:eastAsia="Times New Roman" w:hAnsi="Times New Roman" w:cs="Times New Roman"/>
          <w:noProof/>
          <w:color w:val="000000" w:themeColor="text1"/>
          <w:sz w:val="24"/>
          <w:szCs w:val="24"/>
        </w:rPr>
        <w:t>et execution reports, in particular reporting on arrears, need to be improved.</w:t>
      </w:r>
      <w:r>
        <w:rPr>
          <w:rFonts w:ascii="Times New Roman" w:eastAsiaTheme="minorHAnsi" w:hAnsi="Times New Roman" w:cs="Times New Roman"/>
          <w:bCs/>
          <w:iCs/>
          <w:noProof/>
          <w:color w:val="000000" w:themeColor="text1"/>
          <w:sz w:val="24"/>
          <w:szCs w:val="24"/>
          <w:lang w:eastAsia="en-US"/>
        </w:rPr>
        <w:t xml:space="preserve"> </w:t>
      </w:r>
      <w:r>
        <w:rPr>
          <w:rFonts w:ascii="Times New Roman" w:eastAsia="Times New Roman" w:hAnsi="Times New Roman" w:cs="Times New Roman"/>
          <w:noProof/>
          <w:color w:val="000000" w:themeColor="text1"/>
          <w:sz w:val="24"/>
          <w:szCs w:val="24"/>
        </w:rPr>
        <w:t xml:space="preserve">Also, information on state assets contained in this report does not allow for a full comparison with the original budget. Public participation in the budget process needs to be </w:t>
      </w:r>
      <w:r>
        <w:rPr>
          <w:rFonts w:ascii="Times New Roman" w:eastAsia="Times New Roman" w:hAnsi="Times New Roman" w:cs="Times New Roman"/>
          <w:noProof/>
          <w:color w:val="000000" w:themeColor="text1"/>
          <w:sz w:val="24"/>
          <w:szCs w:val="24"/>
        </w:rPr>
        <w:t>further strengthened.</w:t>
      </w:r>
    </w:p>
    <w:p w:rsidR="00EE1719" w:rsidRDefault="000E39BA">
      <w:pPr>
        <w:spacing w:after="120" w:line="240" w:lineRule="auto"/>
        <w:jc w:val="both"/>
        <w:rPr>
          <w:rFonts w:ascii="Times New Roman" w:eastAsia="Times New Roman" w:hAnsi="Times New Roman" w:cs="Times New Roman"/>
          <w:i/>
          <w:noProof/>
          <w:color w:val="000000" w:themeColor="text1"/>
          <w:sz w:val="24"/>
          <w:szCs w:val="24"/>
          <w:u w:val="single"/>
        </w:rPr>
      </w:pPr>
      <w:r>
        <w:rPr>
          <w:rFonts w:ascii="Times New Roman" w:eastAsia="Times New Roman" w:hAnsi="Times New Roman" w:cs="Times New Roman"/>
          <w:noProof/>
          <w:color w:val="000000" w:themeColor="text1"/>
          <w:sz w:val="24"/>
          <w:szCs w:val="24"/>
          <w:u w:val="single"/>
        </w:rPr>
        <w:t>Public service and human resources management</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Due to a fragmented legislative framework, there are not yet uniform standards on </w:t>
      </w:r>
      <w:r>
        <w:rPr>
          <w:rFonts w:ascii="Times New Roman" w:eastAsia="Times New Roman" w:hAnsi="Times New Roman" w:cs="Times New Roman"/>
          <w:b/>
          <w:noProof/>
          <w:color w:val="000000" w:themeColor="text1"/>
          <w:sz w:val="24"/>
          <w:szCs w:val="24"/>
        </w:rPr>
        <w:t>merit-based recruitment, promotion and dismissal</w:t>
      </w:r>
      <w:r>
        <w:rPr>
          <w:rFonts w:ascii="Times New Roman" w:eastAsia="Times New Roman" w:hAnsi="Times New Roman" w:cs="Times New Roman"/>
          <w:noProof/>
          <w:color w:val="000000" w:themeColor="text1"/>
          <w:sz w:val="24"/>
          <w:szCs w:val="24"/>
        </w:rPr>
        <w:t xml:space="preserve"> across the whole public administration. The Civil Service</w:t>
      </w:r>
      <w:r>
        <w:rPr>
          <w:rFonts w:ascii="Times New Roman" w:eastAsia="Times New Roman" w:hAnsi="Times New Roman" w:cs="Times New Roman"/>
          <w:noProof/>
          <w:color w:val="000000" w:themeColor="text1"/>
          <w:sz w:val="24"/>
          <w:szCs w:val="24"/>
        </w:rPr>
        <w:t xml:space="preserve"> Law (CSL) provides a solid basis for merit-based recruitment and promotion. Mostly all of the planned vacancies in 2019, amounting to 95%, were filled, compared to 92% in 2018. Overall transparency and fairness of recruitment at the central level has impr</w:t>
      </w:r>
      <w:r>
        <w:rPr>
          <w:rFonts w:ascii="Times New Roman" w:eastAsia="Times New Roman" w:hAnsi="Times New Roman" w:cs="Times New Roman"/>
          <w:noProof/>
          <w:color w:val="000000" w:themeColor="text1"/>
          <w:sz w:val="24"/>
          <w:szCs w:val="24"/>
        </w:rPr>
        <w:t xml:space="preserve">oved thanks to  introduction of a full digitalised recruitment and selection process for the civil service, further harmonisation of job descriptions, improved quality of examinations and organisation of recruitments. More needs to be done in these areas. </w:t>
      </w:r>
      <w:r>
        <w:rPr>
          <w:rFonts w:ascii="Times New Roman" w:eastAsia="Times New Roman" w:hAnsi="Times New Roman" w:cs="Times New Roman"/>
          <w:noProof/>
          <w:color w:val="000000" w:themeColor="text1"/>
          <w:sz w:val="24"/>
          <w:szCs w:val="24"/>
        </w:rPr>
        <w:t>Better compliance with the legal provisions regulating merit-based recruitment for senior ranks needs to be ensured. An ad-hoc selection procedure was used for the integration of highly qualified young graduates in the public administration. The initial Co</w:t>
      </w:r>
      <w:r>
        <w:rPr>
          <w:rFonts w:ascii="Times New Roman" w:eastAsia="Times New Roman" w:hAnsi="Times New Roman" w:cs="Times New Roman"/>
          <w:noProof/>
          <w:color w:val="000000" w:themeColor="text1"/>
          <w:sz w:val="24"/>
          <w:szCs w:val="24"/>
        </w:rPr>
        <w:t xml:space="preserve">uncil of Minsters Decision was brought into line with the principle of merit-based recruitment enshrined in the CSL. Proper implementation of the CSL requires more efforts at the local level. There were </w:t>
      </w:r>
      <w:r>
        <w:rPr>
          <w:rFonts w:ascii="Times New Roman" w:eastAsiaTheme="minorHAnsi" w:hAnsi="Times New Roman" w:cs="Times New Roman"/>
          <w:noProof/>
          <w:color w:val="000000" w:themeColor="text1"/>
          <w:sz w:val="24"/>
          <w:szCs w:val="24"/>
          <w:lang w:eastAsia="en-US"/>
        </w:rPr>
        <w:t>896</w:t>
      </w:r>
      <w:r>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b/>
          <w:noProof/>
          <w:color w:val="000000" w:themeColor="text1"/>
          <w:sz w:val="24"/>
          <w:szCs w:val="24"/>
        </w:rPr>
        <w:t>dismissals</w:t>
      </w:r>
      <w:r>
        <w:rPr>
          <w:rFonts w:ascii="Times New Roman" w:eastAsia="Times New Roman" w:hAnsi="Times New Roman" w:cs="Times New Roman"/>
          <w:noProof/>
          <w:color w:val="000000" w:themeColor="text1"/>
          <w:sz w:val="24"/>
          <w:szCs w:val="24"/>
        </w:rPr>
        <w:t xml:space="preserve"> of civil servants in 2019, a substanti</w:t>
      </w:r>
      <w:r>
        <w:rPr>
          <w:rFonts w:ascii="Times New Roman" w:eastAsia="Times New Roman" w:hAnsi="Times New Roman" w:cs="Times New Roman"/>
          <w:noProof/>
          <w:color w:val="000000" w:themeColor="text1"/>
          <w:sz w:val="24"/>
          <w:szCs w:val="24"/>
        </w:rPr>
        <w:t xml:space="preserve">al increase compared to the 568 dismissals in 2018. </w:t>
      </w:r>
      <w:r>
        <w:rPr>
          <w:rFonts w:ascii="Times New Roman" w:eastAsiaTheme="minorHAnsi" w:hAnsi="Times New Roman" w:cs="Times New Roman"/>
          <w:noProof/>
          <w:color w:val="000000" w:themeColor="text1"/>
          <w:sz w:val="24"/>
          <w:szCs w:val="24"/>
          <w:lang w:eastAsia="en-US"/>
        </w:rPr>
        <w:t xml:space="preserve">This was mainly due to restructuring of some institutions and resulting redefinition of their personnel as not part of the civil service. </w:t>
      </w:r>
      <w:r>
        <w:rPr>
          <w:rFonts w:ascii="Times New Roman" w:eastAsia="Times New Roman" w:hAnsi="Times New Roman" w:cs="Times New Roman"/>
          <w:noProof/>
          <w:color w:val="000000" w:themeColor="text1"/>
          <w:sz w:val="24"/>
          <w:szCs w:val="24"/>
        </w:rPr>
        <w:t>The backlog of court decisions confirming unlawful dismissal of ci</w:t>
      </w:r>
      <w:r>
        <w:rPr>
          <w:rFonts w:ascii="Times New Roman" w:eastAsia="Times New Roman" w:hAnsi="Times New Roman" w:cs="Times New Roman"/>
          <w:noProof/>
          <w:color w:val="000000" w:themeColor="text1"/>
          <w:sz w:val="24"/>
          <w:szCs w:val="24"/>
        </w:rPr>
        <w:t>vil servants was reduced.</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 </w:t>
      </w:r>
      <w:r>
        <w:rPr>
          <w:rFonts w:ascii="Times New Roman" w:eastAsia="Times New Roman" w:hAnsi="Times New Roman" w:cs="Times New Roman"/>
          <w:b/>
          <w:noProof/>
          <w:color w:val="000000" w:themeColor="text1"/>
          <w:sz w:val="24"/>
          <w:szCs w:val="24"/>
        </w:rPr>
        <w:t>human resources management</w:t>
      </w:r>
      <w:r>
        <w:rPr>
          <w:rFonts w:ascii="Times New Roman" w:eastAsia="Times New Roman" w:hAnsi="Times New Roman" w:cs="Times New Roman"/>
          <w:noProof/>
          <w:color w:val="000000" w:themeColor="text1"/>
          <w:sz w:val="24"/>
          <w:szCs w:val="24"/>
        </w:rPr>
        <w:t xml:space="preserve"> information system (HRMIS) is not fully functional and remains to be extended to the local level. It now has more data on public-service organisations and employees, but does not cover the whole civil service yet. The Commissioner for Oversight of the Civ</w:t>
      </w:r>
      <w:r>
        <w:rPr>
          <w:rFonts w:ascii="Times New Roman" w:eastAsia="Times New Roman" w:hAnsi="Times New Roman" w:cs="Times New Roman"/>
          <w:noProof/>
          <w:color w:val="000000" w:themeColor="text1"/>
          <w:sz w:val="24"/>
          <w:szCs w:val="24"/>
        </w:rPr>
        <w:t>il Service needs more staff and financial resources to better fulfil its oversight responsibilities. The government is stepping up efforts to establish a coordination mechanism on human resource management between central and local level, in particular thr</w:t>
      </w:r>
      <w:r>
        <w:rPr>
          <w:rFonts w:ascii="Times New Roman" w:eastAsia="Times New Roman" w:hAnsi="Times New Roman" w:cs="Times New Roman"/>
          <w:noProof/>
          <w:color w:val="000000" w:themeColor="text1"/>
          <w:sz w:val="24"/>
          <w:szCs w:val="24"/>
        </w:rPr>
        <w:t>ough the administrata.al porta, whichincreases transparency in data collection.</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 </w:t>
      </w:r>
      <w:r>
        <w:rPr>
          <w:rFonts w:ascii="Times New Roman" w:eastAsia="Times New Roman" w:hAnsi="Times New Roman" w:cs="Times New Roman"/>
          <w:b/>
          <w:noProof/>
          <w:color w:val="000000" w:themeColor="text1"/>
          <w:sz w:val="24"/>
          <w:szCs w:val="24"/>
        </w:rPr>
        <w:t>remuneration system</w:t>
      </w:r>
      <w:r>
        <w:rPr>
          <w:rFonts w:ascii="Times New Roman" w:eastAsia="Times New Roman" w:hAnsi="Times New Roman" w:cs="Times New Roman"/>
          <w:noProof/>
          <w:color w:val="000000" w:themeColor="text1"/>
          <w:sz w:val="24"/>
          <w:szCs w:val="24"/>
        </w:rPr>
        <w:t xml:space="preserve"> is based on a job classification system, that requires further reform. The fairness and coherence of the system are impaired by the ongoing lack of a sa</w:t>
      </w:r>
      <w:r>
        <w:rPr>
          <w:rFonts w:ascii="Times New Roman" w:eastAsia="Times New Roman" w:hAnsi="Times New Roman" w:cs="Times New Roman"/>
          <w:noProof/>
          <w:color w:val="000000" w:themeColor="text1"/>
          <w:sz w:val="24"/>
          <w:szCs w:val="24"/>
        </w:rPr>
        <w:t xml:space="preserve">lary policy that would establish clear criteria for pay supplements and salary increases is still not adopted. The awarding of salary supplements is not consistent across institutions. Inter-operability of HRMIS and payroll systems needs to be ensured for </w:t>
      </w:r>
      <w:r>
        <w:rPr>
          <w:rFonts w:ascii="Times New Roman" w:eastAsia="Times New Roman" w:hAnsi="Times New Roman" w:cs="Times New Roman"/>
          <w:noProof/>
          <w:color w:val="000000" w:themeColor="text1"/>
          <w:sz w:val="24"/>
          <w:szCs w:val="24"/>
        </w:rPr>
        <w:t>both automating payroll and improving the quality of data in the public service.</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 Albanian School of Public Administration training programmes contribute to the </w:t>
      </w:r>
      <w:r>
        <w:rPr>
          <w:rFonts w:ascii="Times New Roman" w:eastAsia="Times New Roman" w:hAnsi="Times New Roman" w:cs="Times New Roman"/>
          <w:b/>
          <w:noProof/>
          <w:color w:val="000000" w:themeColor="text1"/>
          <w:sz w:val="24"/>
          <w:szCs w:val="24"/>
        </w:rPr>
        <w:t>professional development</w:t>
      </w:r>
      <w:r>
        <w:rPr>
          <w:rFonts w:ascii="Times New Roman" w:eastAsia="Times New Roman" w:hAnsi="Times New Roman" w:cs="Times New Roman"/>
          <w:noProof/>
          <w:color w:val="000000" w:themeColor="text1"/>
          <w:sz w:val="24"/>
          <w:szCs w:val="24"/>
        </w:rPr>
        <w:t xml:space="preserve"> of civil servants. However, an integrated training management cycle</w:t>
      </w:r>
      <w:r>
        <w:rPr>
          <w:rFonts w:ascii="Times New Roman" w:eastAsia="Times New Roman" w:hAnsi="Times New Roman" w:cs="Times New Roman"/>
          <w:noProof/>
          <w:color w:val="000000" w:themeColor="text1"/>
          <w:sz w:val="24"/>
          <w:szCs w:val="24"/>
        </w:rPr>
        <w:t xml:space="preserve"> remains to be established. The School’s budget remained at mantained the same level as in 2018.The number of training courses has increased. Although local-level civil servants received more training, the professional administrative capacity at this level</w:t>
      </w:r>
      <w:r>
        <w:rPr>
          <w:rFonts w:ascii="Times New Roman" w:eastAsia="Times New Roman" w:hAnsi="Times New Roman" w:cs="Times New Roman"/>
          <w:noProof/>
          <w:color w:val="000000" w:themeColor="text1"/>
          <w:sz w:val="24"/>
          <w:szCs w:val="24"/>
        </w:rPr>
        <w:t xml:space="preserve"> needs to be strengthened. A law is in place to prevent corruption and to ensure the </w:t>
      </w:r>
      <w:r>
        <w:rPr>
          <w:rFonts w:ascii="Times New Roman" w:eastAsia="Times New Roman" w:hAnsi="Times New Roman" w:cs="Times New Roman"/>
          <w:b/>
          <w:noProof/>
          <w:color w:val="000000" w:themeColor="text1"/>
          <w:sz w:val="24"/>
          <w:szCs w:val="24"/>
        </w:rPr>
        <w:t>integrity</w:t>
      </w:r>
      <w:r>
        <w:rPr>
          <w:rFonts w:ascii="Times New Roman" w:eastAsia="Times New Roman" w:hAnsi="Times New Roman" w:cs="Times New Roman"/>
          <w:noProof/>
          <w:color w:val="000000" w:themeColor="text1"/>
          <w:sz w:val="24"/>
          <w:szCs w:val="24"/>
        </w:rPr>
        <w:t xml:space="preserve"> of public officials and civil servants, but institutional capacity for verifying assets and assessing conflict-of-interest declarations should be reinforced.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u w:val="single"/>
        </w:rPr>
      </w:pPr>
      <w:r>
        <w:rPr>
          <w:rFonts w:ascii="Times New Roman" w:eastAsia="Times New Roman" w:hAnsi="Times New Roman" w:cs="Times New Roman"/>
          <w:noProof/>
          <w:color w:val="000000" w:themeColor="text1"/>
          <w:sz w:val="24"/>
          <w:szCs w:val="24"/>
          <w:u w:val="single"/>
        </w:rPr>
        <w:t>Ac</w:t>
      </w:r>
      <w:r>
        <w:rPr>
          <w:rFonts w:ascii="Times New Roman" w:eastAsia="Times New Roman" w:hAnsi="Times New Roman" w:cs="Times New Roman"/>
          <w:noProof/>
          <w:color w:val="000000" w:themeColor="text1"/>
          <w:sz w:val="24"/>
          <w:szCs w:val="24"/>
          <w:u w:val="single"/>
        </w:rPr>
        <w:t>countability of the administration</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 legal framework for the organisation of the central administration establishes </w:t>
      </w:r>
      <w:r>
        <w:rPr>
          <w:rFonts w:ascii="Times New Roman" w:eastAsia="Times New Roman" w:hAnsi="Times New Roman" w:cs="Times New Roman"/>
          <w:b/>
          <w:noProof/>
          <w:color w:val="000000" w:themeColor="text1"/>
          <w:sz w:val="24"/>
          <w:szCs w:val="24"/>
        </w:rPr>
        <w:t xml:space="preserve">accountability lines </w:t>
      </w:r>
      <w:r>
        <w:rPr>
          <w:rFonts w:ascii="Times New Roman" w:eastAsia="Times New Roman" w:hAnsi="Times New Roman" w:cs="Times New Roman"/>
          <w:noProof/>
          <w:color w:val="000000" w:themeColor="text1"/>
          <w:sz w:val="24"/>
          <w:szCs w:val="24"/>
        </w:rPr>
        <w:t>between institutions. The restructuring of the central government in 2017 has created the need to better optimise the</w:t>
      </w:r>
      <w:r>
        <w:rPr>
          <w:rFonts w:ascii="Times New Roman" w:eastAsia="Times New Roman" w:hAnsi="Times New Roman" w:cs="Times New Roman"/>
          <w:noProof/>
          <w:color w:val="000000" w:themeColor="text1"/>
          <w:sz w:val="24"/>
          <w:szCs w:val="24"/>
        </w:rPr>
        <w:t xml:space="preserve"> workflow and decision making processes. Further restructuring of subordinated agencies have led to the transfer of personnel from the civil service into employment regulated by the labour code. Such human resource decisions are not consistent with institu</w:t>
      </w:r>
      <w:r>
        <w:rPr>
          <w:rFonts w:ascii="Times New Roman" w:eastAsia="Times New Roman" w:hAnsi="Times New Roman" w:cs="Times New Roman"/>
          <w:noProof/>
          <w:color w:val="000000" w:themeColor="text1"/>
          <w:sz w:val="24"/>
          <w:szCs w:val="24"/>
        </w:rPr>
        <w:t>tional development plans and create different professional human resource management standards. Administrative bodies subordinated to ministries, parliament and prime minister have been created in the last years without strategic planning. Policy making in</w:t>
      </w:r>
      <w:r>
        <w:rPr>
          <w:rFonts w:ascii="Times New Roman" w:eastAsia="Times New Roman" w:hAnsi="Times New Roman" w:cs="Times New Roman"/>
          <w:noProof/>
          <w:color w:val="000000" w:themeColor="text1"/>
          <w:sz w:val="24"/>
          <w:szCs w:val="24"/>
        </w:rPr>
        <w:t>stitutions do not always monitor policy implementation of the subordinated agencies. A lack of strategic plans and a monitoring framework with performance indicators, hinders the functioning of internal control process. Managerial accountability within ins</w:t>
      </w:r>
      <w:r>
        <w:rPr>
          <w:rFonts w:ascii="Times New Roman" w:eastAsia="Times New Roman" w:hAnsi="Times New Roman" w:cs="Times New Roman"/>
          <w:noProof/>
          <w:color w:val="000000" w:themeColor="text1"/>
          <w:sz w:val="24"/>
          <w:szCs w:val="24"/>
        </w:rPr>
        <w:t>titutions is still focused on processes rather than the achievement of results, and not much decision</w:t>
      </w:r>
      <w:r>
        <w:rPr>
          <w:rFonts w:ascii="Times New Roman" w:eastAsia="Times New Roman" w:hAnsi="Times New Roman" w:cs="Times New Roman"/>
          <w:noProof/>
          <w:color w:val="000000" w:themeColor="text1"/>
          <w:sz w:val="24"/>
          <w:szCs w:val="24"/>
        </w:rPr>
        <w:noBreakHyphen/>
        <w:t>making is delegated from top to middle management. However, an instruction, defining the process of delegation of tasks within government units was issued</w:t>
      </w:r>
      <w:r>
        <w:rPr>
          <w:rFonts w:ascii="Times New Roman" w:eastAsia="Times New Roman" w:hAnsi="Times New Roman" w:cs="Times New Roman"/>
          <w:noProof/>
          <w:color w:val="000000" w:themeColor="text1"/>
          <w:sz w:val="24"/>
          <w:szCs w:val="24"/>
        </w:rPr>
        <w:t xml:space="preserve">  by the Ministry of Finance and Economy (</w:t>
      </w:r>
      <w:r>
        <w:rPr>
          <w:rFonts w:ascii="Times New Roman" w:eastAsia="Times New Roman" w:hAnsi="Times New Roman" w:cs="Times New Roman"/>
          <w:i/>
          <w:noProof/>
          <w:color w:val="000000" w:themeColor="text1"/>
          <w:sz w:val="24"/>
          <w:szCs w:val="24"/>
        </w:rPr>
        <w:t>See Chapter 32</w:t>
      </w:r>
      <w:r>
        <w:rPr>
          <w:rFonts w:ascii="Times New Roman" w:eastAsia="Times New Roman" w:hAnsi="Times New Roman" w:cs="Times New Roman"/>
          <w:noProof/>
          <w:color w:val="000000" w:themeColor="text1"/>
          <w:sz w:val="24"/>
          <w:szCs w:val="24"/>
        </w:rPr>
        <w:t xml:space="preserve">).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
          <w:noProof/>
          <w:color w:val="000000" w:themeColor="text1"/>
          <w:sz w:val="24"/>
          <w:szCs w:val="24"/>
        </w:rPr>
        <w:t>Citizens’ right to good administration</w:t>
      </w:r>
      <w:r>
        <w:rPr>
          <w:rFonts w:ascii="Times New Roman" w:eastAsia="Times New Roman" w:hAnsi="Times New Roman" w:cs="Times New Roman"/>
          <w:noProof/>
          <w:color w:val="000000" w:themeColor="text1"/>
          <w:sz w:val="24"/>
          <w:szCs w:val="24"/>
        </w:rPr>
        <w:t xml:space="preserve"> is </w:t>
      </w:r>
      <w:r>
        <w:rPr>
          <w:rFonts w:ascii="Times New Roman" w:eastAsia="Times New Roman" w:hAnsi="Times New Roman" w:cs="Times New Roman"/>
          <w:noProof/>
          <w:color w:val="000000" w:themeColor="text1"/>
          <w:sz w:val="24"/>
          <w:szCs w:val="24"/>
          <w:shd w:val="clear" w:color="auto" w:fill="FFFFFF" w:themeFill="background1"/>
        </w:rPr>
        <w:t xml:space="preserve">limited. Public institutions do not systematically implement the recommendations of oversight bodies. The number of Ombudsman recommendations that are implemented remains low. The Law on the Right to Information regulates </w:t>
      </w:r>
      <w:r>
        <w:rPr>
          <w:rFonts w:ascii="Times New Roman" w:eastAsia="Times New Roman" w:hAnsi="Times New Roman" w:cs="Times New Roman"/>
          <w:b/>
          <w:noProof/>
          <w:color w:val="000000" w:themeColor="text1"/>
          <w:sz w:val="24"/>
          <w:szCs w:val="24"/>
          <w:shd w:val="clear" w:color="auto" w:fill="FFFFFF" w:themeFill="background1"/>
        </w:rPr>
        <w:t>citizens’ right to access public i</w:t>
      </w:r>
      <w:r>
        <w:rPr>
          <w:rFonts w:ascii="Times New Roman" w:eastAsia="Times New Roman" w:hAnsi="Times New Roman" w:cs="Times New Roman"/>
          <w:b/>
          <w:noProof/>
          <w:color w:val="000000" w:themeColor="text1"/>
          <w:sz w:val="24"/>
          <w:szCs w:val="24"/>
          <w:shd w:val="clear" w:color="auto" w:fill="FFFFFF" w:themeFill="background1"/>
        </w:rPr>
        <w:t>nformation</w:t>
      </w:r>
      <w:r>
        <w:rPr>
          <w:rFonts w:ascii="Times New Roman" w:eastAsia="Times New Roman" w:hAnsi="Times New Roman" w:cs="Times New Roman"/>
          <w:noProof/>
          <w:color w:val="000000" w:themeColor="text1"/>
          <w:sz w:val="24"/>
          <w:szCs w:val="24"/>
          <w:shd w:val="clear" w:color="auto" w:fill="FFFFFF" w:themeFill="background1"/>
        </w:rPr>
        <w:t>. An increasing number of public authorities</w:t>
      </w:r>
      <w:r>
        <w:rPr>
          <w:rFonts w:ascii="Times New Roman" w:eastAsia="Times New Roman" w:hAnsi="Times New Roman" w:cs="Times New Roman"/>
          <w:noProof/>
          <w:color w:val="000000" w:themeColor="text1"/>
          <w:sz w:val="24"/>
          <w:szCs w:val="24"/>
        </w:rPr>
        <w:t xml:space="preserve"> have adopted transparency programmes. The Commissioner for the Right to Information and the Protection of Personal Data should be given greater powers of oversight. There is a central registry for info</w:t>
      </w:r>
      <w:r>
        <w:rPr>
          <w:rFonts w:ascii="Times New Roman" w:eastAsia="Times New Roman" w:hAnsi="Times New Roman" w:cs="Times New Roman"/>
          <w:noProof/>
          <w:color w:val="000000" w:themeColor="text1"/>
          <w:sz w:val="24"/>
          <w:szCs w:val="24"/>
        </w:rPr>
        <w:t>rmation requests, but its coverage should be expanded.</w:t>
      </w:r>
    </w:p>
    <w:p w:rsidR="00EE1719" w:rsidRDefault="000E39BA">
      <w:pPr>
        <w:widowControl w:val="0"/>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A legislative framework is in place for the </w:t>
      </w:r>
      <w:r>
        <w:rPr>
          <w:rFonts w:ascii="Times New Roman" w:eastAsia="Times New Roman" w:hAnsi="Times New Roman" w:cs="Times New Roman"/>
          <w:b/>
          <w:noProof/>
          <w:color w:val="000000" w:themeColor="text1"/>
          <w:sz w:val="24"/>
          <w:szCs w:val="24"/>
        </w:rPr>
        <w:t>right to administrative justice</w:t>
      </w:r>
      <w:r>
        <w:rPr>
          <w:rFonts w:ascii="Times New Roman" w:eastAsia="Times New Roman" w:hAnsi="Times New Roman" w:cs="Times New Roman"/>
          <w:noProof/>
          <w:color w:val="000000" w:themeColor="text1"/>
          <w:sz w:val="24"/>
          <w:szCs w:val="24"/>
        </w:rPr>
        <w:t>. The capacity of the administrative court system to deal with the backlog of cases remains weak. There is a backlog at appeal-court level since Albania has only one administrative court of appeal. The capacity of appeal boards to process cases remains wea</w:t>
      </w:r>
      <w:r>
        <w:rPr>
          <w:rFonts w:ascii="Times New Roman" w:eastAsia="Times New Roman" w:hAnsi="Times New Roman" w:cs="Times New Roman"/>
          <w:noProof/>
          <w:color w:val="000000" w:themeColor="text1"/>
          <w:sz w:val="24"/>
          <w:szCs w:val="24"/>
        </w:rPr>
        <w:t xml:space="preserve">k. Legislation is in place for protecting the </w:t>
      </w:r>
      <w:r>
        <w:rPr>
          <w:rFonts w:ascii="Times New Roman" w:eastAsia="Times New Roman" w:hAnsi="Times New Roman" w:cs="Times New Roman"/>
          <w:b/>
          <w:noProof/>
          <w:color w:val="000000" w:themeColor="text1"/>
          <w:sz w:val="24"/>
          <w:szCs w:val="24"/>
        </w:rPr>
        <w:t>right of citizens to seek compensation</w:t>
      </w:r>
      <w:r>
        <w:rPr>
          <w:rFonts w:ascii="Times New Roman" w:eastAsia="Times New Roman" w:hAnsi="Times New Roman" w:cs="Times New Roman"/>
          <w:noProof/>
          <w:color w:val="000000" w:themeColor="text1"/>
          <w:sz w:val="24"/>
          <w:szCs w:val="24"/>
        </w:rPr>
        <w:t>, but court cases remain rare due to the public’s limited awareness of their rights. A lack of data collection makes it impossible to assess the effectiveness of the liabil</w:t>
      </w:r>
      <w:r>
        <w:rPr>
          <w:rFonts w:ascii="Times New Roman" w:eastAsia="Times New Roman" w:hAnsi="Times New Roman" w:cs="Times New Roman"/>
          <w:noProof/>
          <w:color w:val="000000" w:themeColor="text1"/>
          <w:sz w:val="24"/>
          <w:szCs w:val="24"/>
        </w:rPr>
        <w:t>ity regime.</w:t>
      </w:r>
    </w:p>
    <w:p w:rsidR="00EE1719" w:rsidRDefault="000E39BA">
      <w:pPr>
        <w:widowControl w:val="0"/>
        <w:spacing w:after="120" w:line="240" w:lineRule="auto"/>
        <w:jc w:val="both"/>
        <w:rPr>
          <w:rFonts w:ascii="Times New Roman" w:eastAsia="Times New Roman" w:hAnsi="Times New Roman" w:cs="Times New Roman"/>
          <w:noProof/>
          <w:color w:val="000000" w:themeColor="text1"/>
          <w:sz w:val="24"/>
          <w:szCs w:val="24"/>
          <w:u w:val="single"/>
        </w:rPr>
      </w:pPr>
      <w:r>
        <w:rPr>
          <w:rFonts w:ascii="Times New Roman" w:eastAsia="Times New Roman" w:hAnsi="Times New Roman" w:cs="Times New Roman"/>
          <w:noProof/>
          <w:color w:val="000000" w:themeColor="text1"/>
          <w:sz w:val="24"/>
          <w:szCs w:val="24"/>
          <w:u w:val="single"/>
        </w:rPr>
        <w:t>Service delivery to citizens and businesses</w:t>
      </w:r>
    </w:p>
    <w:p w:rsidR="00EE1719" w:rsidRDefault="000E39BA">
      <w:pPr>
        <w:widowControl w:val="0"/>
        <w:spacing w:after="120" w:line="240" w:lineRule="auto"/>
        <w:jc w:val="both"/>
        <w:rPr>
          <w:rFonts w:ascii="Times New Roman" w:eastAsiaTheme="minorHAnsi"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Institutions and laws on public-service delivery are in place to ensure </w:t>
      </w:r>
      <w:r>
        <w:rPr>
          <w:rFonts w:ascii="Times New Roman" w:eastAsia="Times New Roman" w:hAnsi="Times New Roman" w:cs="Times New Roman"/>
          <w:b/>
          <w:noProof/>
          <w:color w:val="000000" w:themeColor="text1"/>
          <w:sz w:val="24"/>
          <w:szCs w:val="24"/>
        </w:rPr>
        <w:t>user-oriented administration</w:t>
      </w:r>
      <w:r>
        <w:rPr>
          <w:rFonts w:ascii="Times New Roman" w:eastAsia="Times New Roman" w:hAnsi="Times New Roman" w:cs="Times New Roman"/>
          <w:noProof/>
          <w:color w:val="000000" w:themeColor="text1"/>
          <w:sz w:val="24"/>
          <w:szCs w:val="24"/>
        </w:rPr>
        <w:t>. The Agency for the Delivery of Integrated Services continued to set up one-stop-shops across the c</w:t>
      </w:r>
      <w:r>
        <w:rPr>
          <w:rFonts w:ascii="Times New Roman" w:eastAsia="Times New Roman" w:hAnsi="Times New Roman" w:cs="Times New Roman"/>
          <w:noProof/>
          <w:color w:val="000000" w:themeColor="text1"/>
          <w:sz w:val="24"/>
          <w:szCs w:val="24"/>
        </w:rPr>
        <w:t xml:space="preserve">ountry. E-services were developed further and the level of automation increased. Public information on public services has been made more accessible to citizens. However, there is no overall plan for the extension of services.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Code of Administrative P</w:t>
      </w:r>
      <w:r>
        <w:rPr>
          <w:rFonts w:ascii="Times New Roman" w:eastAsia="Times New Roman" w:hAnsi="Times New Roman" w:cs="Times New Roman"/>
          <w:noProof/>
          <w:color w:val="000000" w:themeColor="text1"/>
          <w:sz w:val="24"/>
          <w:szCs w:val="24"/>
        </w:rPr>
        <w:t xml:space="preserve">rocedures provides the legislative framework for </w:t>
      </w:r>
      <w:r>
        <w:rPr>
          <w:rFonts w:ascii="Times New Roman" w:eastAsia="Times New Roman" w:hAnsi="Times New Roman" w:cs="Times New Roman"/>
          <w:b/>
          <w:noProof/>
          <w:color w:val="000000" w:themeColor="text1"/>
          <w:sz w:val="24"/>
          <w:szCs w:val="24"/>
        </w:rPr>
        <w:t>simplifying administrative procedures</w:t>
      </w:r>
      <w:r>
        <w:rPr>
          <w:rFonts w:ascii="Times New Roman" w:eastAsia="Times New Roman" w:hAnsi="Times New Roman" w:cs="Times New Roman"/>
          <w:noProof/>
          <w:color w:val="000000" w:themeColor="text1"/>
          <w:sz w:val="24"/>
          <w:szCs w:val="24"/>
        </w:rPr>
        <w:t>. However, legal uncertainty for citizens and businesses persists, as there have been delays in adopting the implementing legislation and amending sectoral legislation. G</w:t>
      </w:r>
      <w:r>
        <w:rPr>
          <w:rFonts w:ascii="Times New Roman" w:eastAsia="Times New Roman" w:hAnsi="Times New Roman" w:cs="Times New Roman"/>
          <w:noProof/>
          <w:color w:val="000000" w:themeColor="text1"/>
          <w:sz w:val="24"/>
          <w:szCs w:val="24"/>
        </w:rPr>
        <w:t>reater coordination and training are needed to upgrade the administration’s capacities to harmonise and effectively implement the legislation.</w:t>
      </w:r>
    </w:p>
    <w:p w:rsidR="00EE1719" w:rsidRDefault="000E39BA">
      <w:pPr>
        <w:keepNext/>
        <w:spacing w:after="120" w:line="240" w:lineRule="auto"/>
        <w:jc w:val="both"/>
        <w:rPr>
          <w:rFonts w:ascii="Times New Roman" w:eastAsia="Times New Roman" w:hAnsi="Times New Roman" w:cs="Times New Roman"/>
          <w:noProof/>
          <w:color w:val="000000" w:themeColor="text1"/>
          <w:sz w:val="24"/>
          <w:szCs w:val="24"/>
          <w:u w:val="single"/>
        </w:rPr>
      </w:pPr>
      <w:r>
        <w:rPr>
          <w:rFonts w:ascii="Times New Roman" w:eastAsia="Times New Roman" w:hAnsi="Times New Roman" w:cs="Times New Roman"/>
          <w:noProof/>
          <w:color w:val="000000" w:themeColor="text1"/>
          <w:sz w:val="24"/>
          <w:szCs w:val="24"/>
          <w:u w:val="single"/>
        </w:rPr>
        <w:t>Strategic framework for public administration reform</w:t>
      </w:r>
    </w:p>
    <w:p w:rsidR="00EE1719" w:rsidRDefault="000E39BA">
      <w:pPr>
        <w:keepNext/>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Throughout 2019, the Government continued to monitor impleme</w:t>
      </w:r>
      <w:r>
        <w:rPr>
          <w:rFonts w:ascii="Times New Roman" w:eastAsia="Times New Roman" w:hAnsi="Times New Roman" w:cs="Times New Roman"/>
          <w:noProof/>
          <w:color w:val="000000" w:themeColor="text1"/>
          <w:sz w:val="24"/>
          <w:szCs w:val="24"/>
        </w:rPr>
        <w:t xml:space="preserve">ntation of the 2015-2020 </w:t>
      </w:r>
      <w:r>
        <w:rPr>
          <w:rFonts w:ascii="Times New Roman" w:eastAsia="Times New Roman" w:hAnsi="Times New Roman" w:cs="Times New Roman"/>
          <w:b/>
          <w:noProof/>
          <w:color w:val="000000" w:themeColor="text1"/>
          <w:sz w:val="24"/>
          <w:szCs w:val="24"/>
        </w:rPr>
        <w:t>public administration reform strategy</w:t>
      </w:r>
      <w:r>
        <w:rPr>
          <w:rFonts w:ascii="Times New Roman" w:eastAsia="Times New Roman" w:hAnsi="Times New Roman" w:cs="Times New Roman"/>
          <w:noProof/>
          <w:color w:val="000000" w:themeColor="text1"/>
          <w:sz w:val="24"/>
          <w:szCs w:val="24"/>
        </w:rPr>
        <w:t xml:space="preserve"> (PAR) and the 2014-2020 </w:t>
      </w:r>
      <w:r>
        <w:rPr>
          <w:rFonts w:ascii="Times New Roman" w:eastAsia="Times New Roman" w:hAnsi="Times New Roman" w:cs="Times New Roman"/>
          <w:b/>
          <w:noProof/>
          <w:color w:val="000000" w:themeColor="text1"/>
          <w:sz w:val="24"/>
          <w:szCs w:val="24"/>
        </w:rPr>
        <w:t>public financial management (PFM) reform</w:t>
      </w:r>
      <w:r>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b/>
          <w:noProof/>
          <w:color w:val="000000" w:themeColor="text1"/>
          <w:sz w:val="24"/>
          <w:szCs w:val="24"/>
        </w:rPr>
        <w:t>strategy</w:t>
      </w:r>
      <w:r>
        <w:rPr>
          <w:rFonts w:ascii="Times New Roman" w:eastAsia="Times New Roman" w:hAnsi="Times New Roman" w:cs="Times New Roman"/>
          <w:noProof/>
          <w:color w:val="000000" w:themeColor="text1"/>
          <w:sz w:val="24"/>
          <w:szCs w:val="24"/>
        </w:rPr>
        <w:t>. Despite the COVID-19 crisis, a modest implementation record of the public administration reform strategy has been main</w:t>
      </w:r>
      <w:r>
        <w:rPr>
          <w:rFonts w:ascii="Times New Roman" w:eastAsia="Times New Roman" w:hAnsi="Times New Roman" w:cs="Times New Roman"/>
          <w:noProof/>
          <w:color w:val="000000" w:themeColor="text1"/>
          <w:sz w:val="24"/>
          <w:szCs w:val="24"/>
        </w:rPr>
        <w:t xml:space="preserve">tained and more needs to be done to achieve results-oriented monitoring. A new action plan on PAR and PFM covering the period 2018-22 was approved. The passport of indicators of the PAR strategy should be accordingly updated. </w:t>
      </w:r>
    </w:p>
    <w:p w:rsidR="00EE1719" w:rsidRDefault="000E39BA">
      <w:pPr>
        <w:keepNext/>
        <w:spacing w:after="120" w:line="240" w:lineRule="auto"/>
        <w:jc w:val="both"/>
        <w:rPr>
          <w:rFonts w:ascii="Times New Roman" w:eastAsiaTheme="minorHAnsi" w:hAnsi="Times New Roman" w:cs="Times New Roman"/>
          <w:iCs/>
          <w:noProof/>
          <w:color w:val="000000" w:themeColor="text1"/>
          <w:sz w:val="24"/>
          <w:szCs w:val="24"/>
          <w:u w:val="single"/>
        </w:rPr>
      </w:pPr>
      <w:r>
        <w:rPr>
          <w:rFonts w:ascii="Times New Roman" w:eastAsia="Times New Roman" w:hAnsi="Times New Roman" w:cs="Times New Roman"/>
          <w:noProof/>
          <w:color w:val="000000" w:themeColor="text1"/>
          <w:sz w:val="24"/>
          <w:szCs w:val="24"/>
        </w:rPr>
        <w:t xml:space="preserve">Political responsibility for </w:t>
      </w:r>
      <w:r>
        <w:rPr>
          <w:rFonts w:ascii="Times New Roman" w:eastAsia="Times New Roman" w:hAnsi="Times New Roman" w:cs="Times New Roman"/>
          <w:noProof/>
          <w:color w:val="000000" w:themeColor="text1"/>
          <w:sz w:val="24"/>
          <w:szCs w:val="24"/>
        </w:rPr>
        <w:t>PAR is assigned to the Deputy Prime Minister and technical support continues to be provided by the Department of Public Administration and the Department on Good Governance. However, the link between technical and political support for PAR needs to be stre</w:t>
      </w:r>
      <w:r>
        <w:rPr>
          <w:rFonts w:ascii="Times New Roman" w:eastAsia="Times New Roman" w:hAnsi="Times New Roman" w:cs="Times New Roman"/>
          <w:noProof/>
          <w:color w:val="000000" w:themeColor="text1"/>
          <w:sz w:val="24"/>
          <w:szCs w:val="24"/>
        </w:rPr>
        <w:t xml:space="preserve">ngthened. </w:t>
      </w:r>
      <w:r>
        <w:rPr>
          <w:rFonts w:ascii="Times New Roman" w:eastAsia="Times New Roman" w:hAnsi="Times New Roman" w:cs="Times New Roman"/>
          <w:b/>
          <w:noProof/>
          <w:color w:val="000000" w:themeColor="text1"/>
          <w:sz w:val="24"/>
          <w:szCs w:val="24"/>
        </w:rPr>
        <w:t xml:space="preserve">Financial sustainability </w:t>
      </w:r>
      <w:r>
        <w:rPr>
          <w:rFonts w:ascii="Times New Roman" w:eastAsia="Times New Roman" w:hAnsi="Times New Roman" w:cs="Times New Roman"/>
          <w:noProof/>
          <w:color w:val="000000" w:themeColor="text1"/>
          <w:sz w:val="24"/>
          <w:szCs w:val="24"/>
        </w:rPr>
        <w:t xml:space="preserve">needs to be improved, as the overall </w:t>
      </w:r>
      <w:r>
        <w:rPr>
          <w:rFonts w:ascii="Times New Roman" w:eastAsiaTheme="minorHAnsi" w:hAnsi="Times New Roman" w:cs="Times New Roman"/>
          <w:iCs/>
          <w:noProof/>
          <w:color w:val="000000" w:themeColor="text1"/>
          <w:sz w:val="24"/>
          <w:szCs w:val="24"/>
        </w:rPr>
        <w:t xml:space="preserve">reform of public administration is still dependent on external donor funding. </w:t>
      </w:r>
    </w:p>
    <w:p w:rsidR="00EE1719" w:rsidRDefault="000E39BA">
      <w:pPr>
        <w:pStyle w:val="Heading2"/>
        <w:rPr>
          <w:rFonts w:eastAsiaTheme="majorEastAsia"/>
        </w:rPr>
      </w:pPr>
      <w:bookmarkStart w:id="27" w:name="_Toc510686847"/>
      <w:bookmarkStart w:id="28" w:name="_Toc530733563"/>
      <w:bookmarkStart w:id="29" w:name="_Toc9328480"/>
      <w:bookmarkStart w:id="30" w:name="_Toc9331914"/>
      <w:bookmarkStart w:id="31" w:name="_Toc9430004"/>
      <w:bookmarkStart w:id="32" w:name="_Toc29803504"/>
      <w:bookmarkStart w:id="33" w:name="_Toc52745507"/>
      <w:r>
        <w:rPr>
          <w:rFonts w:eastAsiaTheme="majorEastAsia"/>
        </w:rPr>
        <w:t>2.2.1.</w:t>
      </w:r>
      <w:r>
        <w:rPr>
          <w:rFonts w:eastAsiaTheme="majorEastAsia"/>
        </w:rPr>
        <w:tab/>
        <w:t>Chapter 23: Judiciary and fundamental rights</w:t>
      </w:r>
      <w:bookmarkEnd w:id="27"/>
      <w:bookmarkEnd w:id="28"/>
      <w:bookmarkEnd w:id="29"/>
      <w:bookmarkEnd w:id="30"/>
      <w:bookmarkEnd w:id="31"/>
      <w:bookmarkEnd w:id="32"/>
      <w:bookmarkEnd w:id="33"/>
    </w:p>
    <w:p w:rsidR="00EE1719" w:rsidRDefault="000E39BA">
      <w:pPr>
        <w:spacing w:after="120" w:line="240" w:lineRule="auto"/>
        <w:jc w:val="both"/>
        <w:rPr>
          <w:rFonts w:ascii="Times New Roman" w:eastAsia="Times New Roman" w:hAnsi="Times New Roman" w:cs="Times New Roman"/>
          <w:i/>
          <w:noProof/>
          <w:color w:val="000000" w:themeColor="text1"/>
          <w:sz w:val="24"/>
          <w:szCs w:val="24"/>
        </w:rPr>
      </w:pPr>
      <w:r>
        <w:rPr>
          <w:rFonts w:ascii="Times New Roman" w:eastAsia="Times New Roman" w:hAnsi="Times New Roman" w:cs="Times New Roman"/>
          <w:i/>
          <w:noProof/>
          <w:color w:val="000000" w:themeColor="text1"/>
          <w:sz w:val="24"/>
          <w:szCs w:val="24"/>
        </w:rPr>
        <w:t xml:space="preserve">The EU’s founding values include the rule of law and respect for human rights. An n effective  (independent, quality and efficient) judicial system and an effective fight against corruption are of paramount importance, as is respect for fundamental rights </w:t>
      </w:r>
      <w:r>
        <w:rPr>
          <w:rFonts w:ascii="Times New Roman" w:eastAsia="Times New Roman" w:hAnsi="Times New Roman" w:cs="Times New Roman"/>
          <w:i/>
          <w:noProof/>
          <w:color w:val="000000" w:themeColor="text1"/>
          <w:sz w:val="24"/>
          <w:szCs w:val="24"/>
        </w:rPr>
        <w:t xml:space="preserve">in law and in practice. </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color w:val="000000" w:themeColor="text1"/>
          <w:sz w:val="24"/>
          <w:szCs w:val="24"/>
          <w:highlight w:val="yellow"/>
        </w:rPr>
      </w:pPr>
      <w:r>
        <w:rPr>
          <w:rFonts w:ascii="Times New Roman" w:eastAsia="Times New Roman" w:hAnsi="Times New Roman" w:cs="Times New Roman"/>
          <w:noProof/>
          <w:color w:val="000000" w:themeColor="text1"/>
          <w:sz w:val="24"/>
          <w:szCs w:val="24"/>
        </w:rPr>
        <w:t xml:space="preserve">Albania has </w:t>
      </w:r>
      <w:r>
        <w:rPr>
          <w:rFonts w:ascii="Times New Roman" w:eastAsia="Times New Roman" w:hAnsi="Times New Roman" w:cs="Times New Roman"/>
          <w:b/>
          <w:noProof/>
          <w:color w:val="000000" w:themeColor="text1"/>
          <w:sz w:val="24"/>
          <w:szCs w:val="24"/>
        </w:rPr>
        <w:t>some level of preparation/</w:t>
      </w:r>
      <w:r>
        <w:rPr>
          <w:rFonts w:ascii="Times New Roman" w:eastAsia="Times New Roman" w:hAnsi="Times New Roman" w:cs="Times New Roman"/>
          <w:noProof/>
          <w:color w:val="000000" w:themeColor="text1"/>
          <w:sz w:val="24"/>
          <w:szCs w:val="24"/>
        </w:rPr>
        <w:t xml:space="preserve">is </w:t>
      </w:r>
      <w:r>
        <w:rPr>
          <w:rFonts w:ascii="Times New Roman" w:eastAsia="Times New Roman" w:hAnsi="Times New Roman" w:cs="Times New Roman"/>
          <w:b/>
          <w:noProof/>
          <w:color w:val="000000" w:themeColor="text1"/>
          <w:sz w:val="24"/>
          <w:szCs w:val="24"/>
        </w:rPr>
        <w:t>moderately prepared</w:t>
      </w:r>
      <w:r>
        <w:rPr>
          <w:rFonts w:ascii="Times New Roman" w:eastAsia="Times New Roman" w:hAnsi="Times New Roman" w:cs="Times New Roman"/>
          <w:noProof/>
          <w:color w:val="000000" w:themeColor="text1"/>
          <w:sz w:val="24"/>
          <w:szCs w:val="24"/>
        </w:rPr>
        <w:t xml:space="preserve"> in implementing the EU </w:t>
      </w:r>
      <w:r>
        <w:rPr>
          <w:rFonts w:ascii="Times New Roman" w:eastAsia="Times New Roman" w:hAnsi="Times New Roman" w:cs="Times New Roman"/>
          <w:i/>
          <w:noProof/>
          <w:color w:val="000000" w:themeColor="text1"/>
          <w:sz w:val="24"/>
          <w:szCs w:val="24"/>
        </w:rPr>
        <w:t>acquis</w:t>
      </w:r>
      <w:r>
        <w:rPr>
          <w:rFonts w:ascii="Times New Roman" w:eastAsia="Times New Roman" w:hAnsi="Times New Roman" w:cs="Times New Roman"/>
          <w:noProof/>
          <w:color w:val="000000" w:themeColor="text1"/>
          <w:sz w:val="24"/>
          <w:szCs w:val="24"/>
        </w:rPr>
        <w:t xml:space="preserve"> and European standards in this area. </w:t>
      </w:r>
      <w:r>
        <w:rPr>
          <w:rFonts w:ascii="Times New Roman" w:eastAsia="Times New Roman" w:hAnsi="Times New Roman" w:cs="Times New Roman"/>
          <w:b/>
          <w:noProof/>
          <w:color w:val="000000" w:themeColor="text1"/>
          <w:sz w:val="24"/>
          <w:szCs w:val="24"/>
        </w:rPr>
        <w:t>Good progress</w:t>
      </w:r>
      <w:r>
        <w:rPr>
          <w:rFonts w:ascii="Times New Roman" w:eastAsia="Times New Roman" w:hAnsi="Times New Roman" w:cs="Times New Roman"/>
          <w:noProof/>
          <w:color w:val="000000" w:themeColor="text1"/>
          <w:sz w:val="24"/>
          <w:szCs w:val="24"/>
        </w:rPr>
        <w:t xml:space="preserve"> was made, in particular through </w:t>
      </w:r>
      <w:r>
        <w:rPr>
          <w:rFonts w:ascii="Times New Roman" w:eastAsia="Calibri" w:hAnsi="Times New Roman" w:cs="Times New Roman"/>
          <w:noProof/>
          <w:color w:val="000000" w:themeColor="text1"/>
          <w:sz w:val="24"/>
          <w:szCs w:val="24"/>
          <w:lang w:eastAsia="en-US"/>
        </w:rPr>
        <w:t xml:space="preserve">continued implementation of the comprehensive </w:t>
      </w:r>
      <w:r>
        <w:rPr>
          <w:rFonts w:ascii="Times New Roman" w:eastAsia="Times New Roman" w:hAnsi="Times New Roman" w:cs="Times New Roman"/>
          <w:noProof/>
          <w:color w:val="000000" w:themeColor="text1"/>
          <w:sz w:val="24"/>
          <w:szCs w:val="24"/>
        </w:rPr>
        <w:t>justice ref</w:t>
      </w:r>
      <w:r>
        <w:rPr>
          <w:rFonts w:ascii="Times New Roman" w:eastAsia="Times New Roman" w:hAnsi="Times New Roman" w:cs="Times New Roman"/>
          <w:noProof/>
          <w:color w:val="000000" w:themeColor="text1"/>
          <w:sz w:val="24"/>
          <w:szCs w:val="24"/>
        </w:rPr>
        <w:t>orm. This included the establishment of the Special Anti-Corruption and Organised Crime Structure (SPAK), composed of a Special Prosecution Office (SPO) and the National Bureau of Investigations (NBI). The Director of the NBI has been appointed and started</w:t>
      </w:r>
      <w:r>
        <w:rPr>
          <w:rFonts w:ascii="Times New Roman" w:eastAsia="Times New Roman" w:hAnsi="Times New Roman" w:cs="Times New Roman"/>
          <w:noProof/>
          <w:color w:val="000000" w:themeColor="text1"/>
          <w:sz w:val="24"/>
          <w:szCs w:val="24"/>
        </w:rPr>
        <w:t xml:space="preserve"> performing his functions. The Anti-Corruption and Organised Crime Courts have also been established. Furthermore, a new General Prosecutor and the new High Justice Inspector were appointed. The vetting process continued to deliver tangible results. The le</w:t>
      </w:r>
      <w:r>
        <w:rPr>
          <w:rFonts w:ascii="Times New Roman" w:eastAsia="Times New Roman" w:hAnsi="Times New Roman" w:cs="Times New Roman"/>
          <w:noProof/>
          <w:color w:val="000000" w:themeColor="text1"/>
          <w:sz w:val="24"/>
          <w:szCs w:val="24"/>
        </w:rPr>
        <w:t xml:space="preserve">gislative framework has been further strengthened to fight corruption more effectively. Operational efforts against corruption are bringing results. Due judicial follow up must be ensured to increase the number of final convictions in high-level cases. On </w:t>
      </w:r>
      <w:r>
        <w:rPr>
          <w:rFonts w:ascii="Times New Roman" w:eastAsia="Times New Roman" w:hAnsi="Times New Roman" w:cs="Times New Roman"/>
          <w:noProof/>
          <w:color w:val="000000" w:themeColor="text1"/>
          <w:sz w:val="24"/>
          <w:szCs w:val="24"/>
        </w:rPr>
        <w:t xml:space="preserve">human rights, new legislation package on anti-defamation raised concerns as to its potential negative impact on freedom of expression. The Albanian authorities have committed to follow upon the guidance of the Venice Commission on this matter. On property </w:t>
      </w:r>
      <w:r>
        <w:rPr>
          <w:rFonts w:ascii="Times New Roman" w:eastAsia="Times New Roman" w:hAnsi="Times New Roman" w:cs="Times New Roman"/>
          <w:noProof/>
          <w:color w:val="000000" w:themeColor="text1"/>
          <w:sz w:val="24"/>
          <w:szCs w:val="24"/>
        </w:rPr>
        <w:t xml:space="preserve">rights, efforts should continue to bring tangible results on registration and compensation. As regards the protection of national minorities, Albania needs to swiftly adopt the remaining implementing legislation related to the 2017 Framework Law. </w:t>
      </w:r>
    </w:p>
    <w:p w:rsidR="00EE1719" w:rsidRDefault="000E39BA">
      <w:pPr>
        <w:spacing w:after="120" w:line="240" w:lineRule="auto"/>
        <w:jc w:val="both"/>
        <w:rPr>
          <w:rFonts w:ascii="Times New Roman" w:eastAsia="Times New Roman" w:hAnsi="Times New Roman" w:cs="Times New Roman"/>
          <w:b/>
          <w:noProof/>
          <w:color w:val="000000" w:themeColor="text1"/>
          <w:sz w:val="24"/>
          <w:szCs w:val="24"/>
        </w:rPr>
      </w:pPr>
      <w:r>
        <w:rPr>
          <w:rFonts w:ascii="Times New Roman" w:eastAsia="Times New Roman" w:hAnsi="Times New Roman" w:cs="Times New Roman"/>
          <w:b/>
          <w:noProof/>
          <w:color w:val="000000" w:themeColor="text1"/>
          <w:sz w:val="24"/>
          <w:szCs w:val="24"/>
        </w:rPr>
        <w:t>Function</w:t>
      </w:r>
      <w:r>
        <w:rPr>
          <w:rFonts w:ascii="Times New Roman" w:eastAsia="Times New Roman" w:hAnsi="Times New Roman" w:cs="Times New Roman"/>
          <w:b/>
          <w:noProof/>
          <w:color w:val="000000" w:themeColor="text1"/>
          <w:sz w:val="24"/>
          <w:szCs w:val="24"/>
        </w:rPr>
        <w:t>ing of the judiciary</w:t>
      </w:r>
    </w:p>
    <w:p w:rsidR="00EE1719" w:rsidRDefault="000E39B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
          <w:noProof/>
          <w:color w:val="000000" w:themeColor="text1"/>
          <w:sz w:val="24"/>
          <w:szCs w:val="24"/>
        </w:rPr>
      </w:pPr>
      <w:r>
        <w:rPr>
          <w:rFonts w:ascii="Times New Roman" w:eastAsia="Times New Roman" w:hAnsi="Times New Roman" w:cs="Times New Roman"/>
          <w:noProof/>
          <w:color w:val="000000" w:themeColor="text1"/>
          <w:sz w:val="24"/>
          <w:szCs w:val="24"/>
        </w:rPr>
        <w:t xml:space="preserve">Albania has </w:t>
      </w:r>
      <w:r>
        <w:rPr>
          <w:rFonts w:ascii="Times New Roman" w:eastAsia="Times New Roman" w:hAnsi="Times New Roman" w:cs="Times New Roman"/>
          <w:b/>
          <w:noProof/>
          <w:color w:val="000000" w:themeColor="text1"/>
          <w:sz w:val="24"/>
          <w:szCs w:val="24"/>
        </w:rPr>
        <w:t>some level of preparation/</w:t>
      </w:r>
      <w:r>
        <w:rPr>
          <w:rFonts w:ascii="Times New Roman" w:eastAsia="Times New Roman" w:hAnsi="Times New Roman" w:cs="Times New Roman"/>
          <w:noProof/>
          <w:color w:val="000000" w:themeColor="text1"/>
          <w:sz w:val="24"/>
          <w:szCs w:val="24"/>
        </w:rPr>
        <w:t xml:space="preserve">is </w:t>
      </w:r>
      <w:r>
        <w:rPr>
          <w:rFonts w:ascii="Times New Roman" w:eastAsia="Times New Roman" w:hAnsi="Times New Roman" w:cs="Times New Roman"/>
          <w:b/>
          <w:noProof/>
          <w:color w:val="000000" w:themeColor="text1"/>
          <w:sz w:val="24"/>
          <w:szCs w:val="24"/>
        </w:rPr>
        <w:t xml:space="preserve">moderately prepared </w:t>
      </w:r>
      <w:r>
        <w:rPr>
          <w:rFonts w:ascii="Times New Roman" w:eastAsia="Times New Roman" w:hAnsi="Times New Roman" w:cs="Times New Roman"/>
          <w:noProof/>
          <w:color w:val="000000" w:themeColor="text1"/>
          <w:sz w:val="24"/>
          <w:szCs w:val="24"/>
        </w:rPr>
        <w:t xml:space="preserve">on the functioning of the judiciary. </w:t>
      </w:r>
      <w:r>
        <w:rPr>
          <w:rFonts w:ascii="Times New Roman" w:eastAsia="Times New Roman" w:hAnsi="Times New Roman" w:cs="Times New Roman"/>
          <w:b/>
          <w:noProof/>
          <w:color w:val="000000" w:themeColor="text1"/>
          <w:sz w:val="24"/>
          <w:szCs w:val="24"/>
        </w:rPr>
        <w:t>Good progress</w:t>
      </w:r>
      <w:r>
        <w:rPr>
          <w:rFonts w:ascii="Times New Roman" w:eastAsia="Times New Roman" w:hAnsi="Times New Roman" w:cs="Times New Roman"/>
          <w:noProof/>
          <w:color w:val="000000" w:themeColor="text1"/>
          <w:sz w:val="24"/>
          <w:szCs w:val="24"/>
        </w:rPr>
        <w:t xml:space="preserve"> was made, significantly advancing the conditions set by the Council Conclusions of 25 of March 2019, despite the impact of the COVID-19 pandemic. The vetting process has continued to render concrete and tangible results, under the thorough supervision of </w:t>
      </w:r>
      <w:r>
        <w:rPr>
          <w:rFonts w:ascii="Times New Roman" w:eastAsia="Times New Roman" w:hAnsi="Times New Roman" w:cs="Times New Roman"/>
          <w:noProof/>
          <w:color w:val="000000" w:themeColor="text1"/>
          <w:sz w:val="24"/>
          <w:szCs w:val="24"/>
        </w:rPr>
        <w:t xml:space="preserve">the International Monitoring Operation (IMO). To date, more than 62% of the vetting dossiers processed have resulted in dismissals or resignations. An important milestone was reached on 11 March with the appointment of three new members to the High Court, </w:t>
      </w:r>
      <w:r>
        <w:rPr>
          <w:rFonts w:ascii="Times New Roman" w:eastAsia="Times New Roman" w:hAnsi="Times New Roman" w:cs="Times New Roman"/>
          <w:noProof/>
          <w:color w:val="000000" w:themeColor="text1"/>
          <w:sz w:val="24"/>
          <w:szCs w:val="24"/>
        </w:rPr>
        <w:t>which has regained its quorum to adjudicate on cases. Albania is making progress to reconstitute the Constitutional Court and has appointed three new members. This has set the basis for the Constitutional Court to regain functionality and increase public t</w:t>
      </w:r>
      <w:r>
        <w:rPr>
          <w:rFonts w:ascii="Times New Roman" w:eastAsia="Times New Roman" w:hAnsi="Times New Roman" w:cs="Times New Roman"/>
          <w:noProof/>
          <w:color w:val="000000" w:themeColor="text1"/>
          <w:sz w:val="24"/>
          <w:szCs w:val="24"/>
        </w:rPr>
        <w:t>rust. Appointments to the Constitutional Court are ongoing. With four out of nine members in office, the Constitutional Court regained the quorum to review the admissibility of cases. The General Prosecutor has been appointed by the Parliament. The new spe</w:t>
      </w:r>
      <w:r>
        <w:rPr>
          <w:rFonts w:ascii="Times New Roman" w:eastAsia="Times New Roman" w:hAnsi="Times New Roman" w:cs="Times New Roman"/>
          <w:noProof/>
          <w:color w:val="000000" w:themeColor="text1"/>
          <w:sz w:val="24"/>
          <w:szCs w:val="24"/>
        </w:rPr>
        <w:t>cialised bodies in the area of anti-corruption and organised crime (SPAK) have been established.</w:t>
      </w:r>
      <w:r>
        <w:rPr>
          <w:rFonts w:ascii="Times New Roman" w:eastAsia="Times New Roman" w:hAnsi="Times New Roman" w:cs="Times New Roman"/>
          <w:b/>
          <w:noProof/>
          <w:color w:val="000000" w:themeColor="text1"/>
          <w:sz w:val="24"/>
          <w:szCs w:val="24"/>
        </w:rPr>
        <w:t xml:space="preserve"> </w:t>
      </w:r>
      <w:r>
        <w:rPr>
          <w:rFonts w:ascii="Times New Roman" w:eastAsia="Arial Unicode MS" w:hAnsi="Times New Roman" w:cs="Times New Roman"/>
          <w:noProof/>
          <w:color w:val="000000" w:themeColor="text1"/>
          <w:sz w:val="24"/>
          <w:szCs w:val="24"/>
          <w:lang w:eastAsia="ar-SA"/>
        </w:rPr>
        <w:t>The new bodies for the self-governance of the judiciary have been operating effectively. The 2018 recommendation on the need to m</w:t>
      </w:r>
      <w:r>
        <w:rPr>
          <w:rFonts w:ascii="Times New Roman" w:eastAsia="Times New Roman" w:hAnsi="Times New Roman" w:cs="Times New Roman"/>
          <w:noProof/>
          <w:color w:val="000000" w:themeColor="text1"/>
          <w:sz w:val="24"/>
          <w:szCs w:val="24"/>
        </w:rPr>
        <w:t>ake more effective use of an i</w:t>
      </w:r>
      <w:r>
        <w:rPr>
          <w:rFonts w:ascii="Times New Roman" w:eastAsia="Times New Roman" w:hAnsi="Times New Roman" w:cs="Times New Roman"/>
          <w:noProof/>
          <w:color w:val="000000" w:themeColor="text1"/>
          <w:sz w:val="24"/>
          <w:szCs w:val="24"/>
        </w:rPr>
        <w:t xml:space="preserve">mproved case management system remains outstanding. </w:t>
      </w:r>
    </w:p>
    <w:p w:rsidR="00EE1719" w:rsidRDefault="000E39B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In the coming year, Albania should in particular:</w:t>
      </w:r>
    </w:p>
    <w:p w:rsidR="00EE1719" w:rsidRDefault="000E39BA">
      <w:pPr>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further advance the process of re-evaluating judges and prosecutors;</w:t>
      </w:r>
    </w:p>
    <w:p w:rsidR="00EE1719" w:rsidRDefault="000E39BA">
      <w:pPr>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ensure the full functioning of the Constitutional Court and the High Court; </w:t>
      </w:r>
    </w:p>
    <w:p w:rsidR="00EE1719" w:rsidRDefault="000E39BA">
      <w:pPr>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adopt </w:t>
      </w:r>
      <w:r>
        <w:rPr>
          <w:rFonts w:ascii="Times New Roman" w:eastAsia="Times New Roman" w:hAnsi="Times New Roman" w:cs="Times New Roman"/>
          <w:noProof/>
          <w:color w:val="000000" w:themeColor="text1"/>
          <w:sz w:val="24"/>
          <w:szCs w:val="24"/>
        </w:rPr>
        <w:t>effective measures to fill  the priority judicial vacancies and continue the progress in the recruitment of new magistrates;</w:t>
      </w:r>
    </w:p>
    <w:p w:rsidR="00EE1719" w:rsidRDefault="000E39BA">
      <w:pPr>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continue efforts to strengthen the effective use of an improved case management system, </w:t>
      </w:r>
      <w:r>
        <w:rPr>
          <w:rFonts w:ascii="Times New Roman" w:hAnsi="Times New Roman" w:cs="Times New Roman"/>
          <w:noProof/>
          <w:color w:val="000000" w:themeColor="text1"/>
          <w:sz w:val="24"/>
          <w:szCs w:val="24"/>
        </w:rPr>
        <w:t>with sound statistical capacity based on CE</w:t>
      </w:r>
      <w:r>
        <w:rPr>
          <w:rFonts w:ascii="Times New Roman" w:hAnsi="Times New Roman" w:cs="Times New Roman"/>
          <w:noProof/>
          <w:color w:val="000000" w:themeColor="text1"/>
          <w:sz w:val="24"/>
          <w:szCs w:val="24"/>
        </w:rPr>
        <w:t>PEJ methodology, which ensures the random allocation of cases</w:t>
      </w:r>
      <w:r>
        <w:rPr>
          <w:rFonts w:ascii="Times New Roman" w:eastAsia="Times New Roman" w:hAnsi="Times New Roman" w:cs="Times New Roman"/>
          <w:noProof/>
          <w:color w:val="000000" w:themeColor="text1"/>
          <w:sz w:val="24"/>
          <w:szCs w:val="24"/>
        </w:rPr>
        <w:t>.</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comprehensive transitional re-evaluation of all judges and prosecutors (vetting) advanced steadily and delivered tangible results. The International Monitoring Operation (IMO), deployed und</w:t>
      </w:r>
      <w:r>
        <w:rPr>
          <w:rFonts w:ascii="Times New Roman" w:eastAsia="Times New Roman" w:hAnsi="Times New Roman" w:cs="Times New Roman"/>
          <w:noProof/>
          <w:color w:val="000000" w:themeColor="text1"/>
          <w:sz w:val="24"/>
          <w:szCs w:val="24"/>
        </w:rPr>
        <w:t>er the aegis of the European Commission, continued to exercise independent oversight.</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Until the end of the reporting period, of the total 805 magistrates that have to undergo vetting, the vetting institutions have completed 286 vetting cases at first insta</w:t>
      </w:r>
      <w:r>
        <w:rPr>
          <w:rFonts w:ascii="Times New Roman" w:eastAsia="Times New Roman" w:hAnsi="Times New Roman" w:cs="Times New Roman"/>
          <w:noProof/>
          <w:color w:val="000000" w:themeColor="text1"/>
          <w:sz w:val="24"/>
          <w:szCs w:val="24"/>
        </w:rPr>
        <w:t xml:space="preserve">nce, including all priority dossiers. Of the 286 decisions, over </w:t>
      </w:r>
      <w:r>
        <w:rPr>
          <w:rFonts w:ascii="Times New Roman" w:eastAsia="Calibri" w:hAnsi="Times New Roman" w:cs="Times New Roman"/>
          <w:noProof/>
          <w:color w:val="000000" w:themeColor="text1"/>
          <w:sz w:val="24"/>
          <w:szCs w:val="24"/>
        </w:rPr>
        <w:t xml:space="preserve">186 vetting decisions are final </w:t>
      </w:r>
      <w:r>
        <w:rPr>
          <w:rFonts w:ascii="Times New Roman" w:eastAsia="Times New Roman" w:hAnsi="Times New Roman" w:cs="Times New Roman"/>
          <w:noProof/>
          <w:color w:val="000000" w:themeColor="text1"/>
          <w:sz w:val="24"/>
          <w:szCs w:val="24"/>
        </w:rPr>
        <w:t>(i.e. after appeal). Overall, 62% of the vetting dossiers processed so far have resulted in dismissals or resignations by the assessees. The breakdown of first</w:t>
      </w:r>
      <w:r>
        <w:rPr>
          <w:rFonts w:ascii="Times New Roman" w:eastAsia="Times New Roman" w:hAnsi="Times New Roman" w:cs="Times New Roman"/>
          <w:noProof/>
          <w:color w:val="000000" w:themeColor="text1"/>
          <w:sz w:val="24"/>
          <w:szCs w:val="24"/>
        </w:rPr>
        <w:t xml:space="preserve"> instance decisions is as follows:</w:t>
      </w:r>
    </w:p>
    <w:p w:rsidR="00EE1719" w:rsidRDefault="000E39BA">
      <w:pPr>
        <w:numPr>
          <w:ilvl w:val="0"/>
          <w:numId w:val="36"/>
        </w:numPr>
        <w:spacing w:after="120" w:line="240" w:lineRule="auto"/>
        <w:ind w:left="681" w:hanging="397"/>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117 dismissals, mostly for issues relating to unjustified assets; </w:t>
      </w:r>
    </w:p>
    <w:p w:rsidR="00EE1719" w:rsidRDefault="000E39BA">
      <w:pPr>
        <w:numPr>
          <w:ilvl w:val="0"/>
          <w:numId w:val="36"/>
        </w:numPr>
        <w:spacing w:after="120" w:line="240" w:lineRule="auto"/>
        <w:ind w:left="681" w:hanging="397"/>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105 confirmations in office; </w:t>
      </w:r>
    </w:p>
    <w:p w:rsidR="00EE1719" w:rsidRDefault="000E39BA">
      <w:pPr>
        <w:numPr>
          <w:ilvl w:val="0"/>
          <w:numId w:val="36"/>
        </w:numPr>
        <w:spacing w:after="120" w:line="240" w:lineRule="auto"/>
        <w:ind w:left="681" w:hanging="397"/>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62 decisions on termination of the vetting proceedings; </w:t>
      </w:r>
    </w:p>
    <w:p w:rsidR="00EE1719" w:rsidRDefault="000E39BA">
      <w:pPr>
        <w:numPr>
          <w:ilvl w:val="0"/>
          <w:numId w:val="36"/>
        </w:numPr>
        <w:spacing w:after="120" w:line="240" w:lineRule="auto"/>
        <w:ind w:left="681" w:hanging="397"/>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2 decisions to suspend the assessees, with an obligation to attend training.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first</w:t>
      </w:r>
      <w:r>
        <w:rPr>
          <w:rFonts w:ascii="Times New Roman" w:eastAsia="Times New Roman" w:hAnsi="Times New Roman" w:cs="Times New Roman"/>
          <w:noProof/>
          <w:color w:val="000000" w:themeColor="text1"/>
          <w:sz w:val="24"/>
          <w:szCs w:val="24"/>
        </w:rPr>
        <w:noBreakHyphen/>
        <w:t>instance vetting body (IQC) has formally initiated investigations regarding over 603 assessees.</w:t>
      </w:r>
      <w:r>
        <w:rPr>
          <w:rFonts w:ascii="Times New Roman" w:eastAsia="Calibri" w:hAnsi="Times New Roman" w:cs="Times New Roman"/>
          <w:noProof/>
          <w:color w:val="000000" w:themeColor="text1"/>
          <w:sz w:val="24"/>
          <w:szCs w:val="24"/>
          <w:lang w:eastAsia="en-US"/>
        </w:rPr>
        <w:t xml:space="preserve"> </w:t>
      </w:r>
      <w:r>
        <w:rPr>
          <w:rFonts w:ascii="Times New Roman" w:eastAsia="Times New Roman" w:hAnsi="Times New Roman" w:cs="Times New Roman"/>
          <w:noProof/>
          <w:color w:val="000000" w:themeColor="text1"/>
          <w:sz w:val="24"/>
          <w:szCs w:val="24"/>
        </w:rPr>
        <w:t>The IMO has consistently performed its oversight role in the vetting pro</w:t>
      </w:r>
      <w:r>
        <w:rPr>
          <w:rFonts w:ascii="Times New Roman" w:eastAsia="Times New Roman" w:hAnsi="Times New Roman" w:cs="Times New Roman"/>
          <w:noProof/>
          <w:color w:val="000000" w:themeColor="text1"/>
          <w:sz w:val="24"/>
          <w:szCs w:val="24"/>
        </w:rPr>
        <w:t>cess and issued opinions on first-instance assessments, including 12 recommendations for appeal and two dissenting opinions. The vetting institutions followed all recommendations for appeal.</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Due to the restrictions linked to the COVID-19 pandemic, during t</w:t>
      </w:r>
      <w:r>
        <w:rPr>
          <w:rFonts w:ascii="Times New Roman" w:eastAsia="Times New Roman" w:hAnsi="Times New Roman" w:cs="Times New Roman"/>
          <w:noProof/>
          <w:color w:val="000000" w:themeColor="text1"/>
          <w:sz w:val="24"/>
          <w:szCs w:val="24"/>
        </w:rPr>
        <w:t>he lockdown period, all vetting public hearings have been temporarily suspended. However, the vetting institutions and the IMO managed to pursue investigations on dossiers based on agreed contingency measures.</w:t>
      </w:r>
      <w:r>
        <w:rPr>
          <w:rFonts w:ascii="Times New Roman" w:eastAsia="Calibri" w:hAnsi="Times New Roman" w:cs="Times New Roman"/>
          <w:noProof/>
          <w:color w:val="000000" w:themeColor="text1"/>
          <w:sz w:val="24"/>
          <w:szCs w:val="24"/>
          <w:lang w:eastAsia="en-US"/>
        </w:rPr>
        <w:t xml:space="preserve"> </w:t>
      </w:r>
      <w:r>
        <w:rPr>
          <w:rFonts w:ascii="Times New Roman" w:eastAsia="Times New Roman" w:hAnsi="Times New Roman" w:cs="Times New Roman"/>
          <w:noProof/>
          <w:color w:val="000000" w:themeColor="text1"/>
          <w:sz w:val="24"/>
          <w:szCs w:val="24"/>
        </w:rPr>
        <w:t>The vetting institutions resumed hearings on 3</w:t>
      </w:r>
      <w:r>
        <w:rPr>
          <w:rFonts w:ascii="Times New Roman" w:eastAsia="Times New Roman" w:hAnsi="Times New Roman" w:cs="Times New Roman"/>
          <w:noProof/>
          <w:color w:val="000000" w:themeColor="text1"/>
          <w:sz w:val="24"/>
          <w:szCs w:val="24"/>
        </w:rPr>
        <w:t xml:space="preserve"> June 2020. The vetting institutions are expected to continue to systematically transmit to prosecution services all dossiers in which the suspicion of commission of a crime has emerged. Due investigation and judicial follow up, where necessary, shall be g</w:t>
      </w:r>
      <w:r>
        <w:rPr>
          <w:rFonts w:ascii="Times New Roman" w:eastAsia="Times New Roman" w:hAnsi="Times New Roman" w:cs="Times New Roman"/>
          <w:noProof/>
          <w:color w:val="000000" w:themeColor="text1"/>
          <w:sz w:val="24"/>
          <w:szCs w:val="24"/>
        </w:rPr>
        <w:t xml:space="preserve">uaranteed. </w:t>
      </w:r>
      <w:r>
        <w:rPr>
          <w:rFonts w:ascii="Times New Roman" w:eastAsia="Calibri" w:hAnsi="Times New Roman" w:cs="Times New Roman"/>
          <w:noProof/>
          <w:color w:val="000000" w:themeColor="text1"/>
          <w:sz w:val="24"/>
          <w:szCs w:val="24"/>
          <w:lang w:eastAsia="en-US"/>
        </w:rPr>
        <w:t>To date, 23 subjects have been submitted to prosecution, including 10 former high-level judges of the High Court and Constitutional Court, dismissed following vetting procedures. Out of 23 cases, 21 investigations are still ongoing, one investig</w:t>
      </w:r>
      <w:r>
        <w:rPr>
          <w:rFonts w:ascii="Times New Roman" w:eastAsia="Calibri" w:hAnsi="Times New Roman" w:cs="Times New Roman"/>
          <w:noProof/>
          <w:color w:val="000000" w:themeColor="text1"/>
          <w:sz w:val="24"/>
          <w:szCs w:val="24"/>
          <w:lang w:eastAsia="en-US"/>
        </w:rPr>
        <w:t>ation was dismissed, one resulted in a conviction. 10 additional subjects have been referred by SPO to the competent district prosecutors’ offices for evaluation. Asset investigations are underway in the ongoing cases.</w:t>
      </w:r>
    </w:p>
    <w:p w:rsidR="00EE1719" w:rsidRDefault="000E39BA">
      <w:pPr>
        <w:spacing w:after="120" w:line="240" w:lineRule="auto"/>
        <w:jc w:val="both"/>
        <w:rPr>
          <w:rFonts w:ascii="Times New Roman" w:eastAsia="Times New Roman" w:hAnsi="Times New Roman" w:cs="Times New Roman"/>
          <w:noProof/>
          <w:color w:val="000000" w:themeColor="text1"/>
          <w:sz w:val="24"/>
          <w:szCs w:val="24"/>
          <w:u w:val="single"/>
        </w:rPr>
      </w:pPr>
      <w:r>
        <w:rPr>
          <w:rFonts w:ascii="Times New Roman" w:eastAsia="Times New Roman" w:hAnsi="Times New Roman" w:cs="Times New Roman"/>
          <w:noProof/>
          <w:color w:val="000000" w:themeColor="text1"/>
          <w:sz w:val="24"/>
          <w:szCs w:val="24"/>
          <w:u w:val="single"/>
        </w:rPr>
        <w:t>Strategic documents</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 cross-sectoral </w:t>
      </w:r>
      <w:r>
        <w:rPr>
          <w:rFonts w:ascii="Times New Roman" w:eastAsia="Times New Roman" w:hAnsi="Times New Roman" w:cs="Times New Roman"/>
          <w:b/>
          <w:noProof/>
          <w:color w:val="000000" w:themeColor="text1"/>
          <w:sz w:val="24"/>
          <w:szCs w:val="24"/>
        </w:rPr>
        <w:t>2017-2020</w:t>
      </w:r>
      <w:r>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b/>
          <w:noProof/>
          <w:color w:val="000000" w:themeColor="text1"/>
          <w:sz w:val="24"/>
          <w:szCs w:val="24"/>
        </w:rPr>
        <w:t xml:space="preserve">justice strategy </w:t>
      </w:r>
      <w:r>
        <w:rPr>
          <w:rFonts w:ascii="Times New Roman" w:eastAsia="Times New Roman" w:hAnsi="Times New Roman" w:cs="Times New Roman"/>
          <w:noProof/>
          <w:color w:val="000000" w:themeColor="text1"/>
          <w:sz w:val="24"/>
          <w:szCs w:val="24"/>
        </w:rPr>
        <w:t xml:space="preserve">and action plan were updated in 2019. The Ministry of Justice has established the necessary inter-institutional coordination structures to support the implementation of the reform. </w:t>
      </w:r>
    </w:p>
    <w:p w:rsidR="00EE1719" w:rsidRDefault="000E39BA">
      <w:pPr>
        <w:spacing w:after="120" w:line="240" w:lineRule="auto"/>
        <w:jc w:val="both"/>
        <w:rPr>
          <w:rFonts w:ascii="Times New Roman" w:eastAsia="Times New Roman" w:hAnsi="Times New Roman" w:cs="Times New Roman"/>
          <w:i/>
          <w:noProof/>
          <w:color w:val="000000" w:themeColor="text1"/>
          <w:sz w:val="24"/>
          <w:szCs w:val="24"/>
        </w:rPr>
      </w:pPr>
      <w:r>
        <w:rPr>
          <w:rFonts w:ascii="Times New Roman" w:eastAsia="Times New Roman" w:hAnsi="Times New Roman" w:cs="Times New Roman"/>
          <w:noProof/>
          <w:color w:val="000000" w:themeColor="text1"/>
          <w:sz w:val="24"/>
          <w:szCs w:val="24"/>
        </w:rPr>
        <w:t>The estimated budget for the</w:t>
      </w:r>
      <w:r>
        <w:rPr>
          <w:rFonts w:ascii="Times New Roman" w:eastAsia="Times New Roman" w:hAnsi="Times New Roman" w:cs="Times New Roman"/>
          <w:noProof/>
          <w:color w:val="000000" w:themeColor="text1"/>
          <w:sz w:val="24"/>
          <w:szCs w:val="24"/>
        </w:rPr>
        <w:t xml:space="preserve"> implementation of the strategy is EUR 98 million, 35% of which is provided by international donors. Monitoring, evaluation and reporting mechanisms are weak. The independent commission for the coordination, monitoring, and enforcement of the Law on the Go</w:t>
      </w:r>
      <w:r>
        <w:rPr>
          <w:rFonts w:ascii="Times New Roman" w:eastAsia="Times New Roman" w:hAnsi="Times New Roman" w:cs="Times New Roman"/>
          <w:noProof/>
          <w:color w:val="000000" w:themeColor="text1"/>
          <w:sz w:val="24"/>
          <w:szCs w:val="24"/>
        </w:rPr>
        <w:t>vernance of the Judiciary has closed its mandate with the creation of the High Justice Inspector. It has issued 17 reports and held a final parliamentary hearings in February 2020.</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u w:val="single"/>
        </w:rPr>
        <w:t>New specialised bodies</w:t>
      </w:r>
    </w:p>
    <w:p w:rsidR="00EE1719" w:rsidRDefault="000E39BA">
      <w:pPr>
        <w:pStyle w:val="CommentText"/>
        <w:spacing w:after="120"/>
        <w:jc w:val="both"/>
        <w:rPr>
          <w:rFonts w:ascii="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new Specialised Structure for Anti-Corruption an</w:t>
      </w:r>
      <w:r>
        <w:rPr>
          <w:rFonts w:ascii="Times New Roman" w:eastAsia="Times New Roman" w:hAnsi="Times New Roman" w:cs="Times New Roman"/>
          <w:noProof/>
          <w:color w:val="000000" w:themeColor="text1"/>
          <w:sz w:val="24"/>
          <w:szCs w:val="24"/>
        </w:rPr>
        <w:t>d Organised Crime (SPAK), comprising the Special Prosecution Office (SPO) and the National Bureau of Investigation (NBI), has been established. With 13 out of 15 prosecutors appointed, including the Chief Special Prosecutor, the SPO is fully functional. Th</w:t>
      </w:r>
      <w:r>
        <w:rPr>
          <w:rFonts w:ascii="Times New Roman" w:eastAsia="Times New Roman" w:hAnsi="Times New Roman" w:cs="Times New Roman"/>
          <w:noProof/>
          <w:color w:val="000000" w:themeColor="text1"/>
          <w:sz w:val="24"/>
          <w:szCs w:val="24"/>
        </w:rPr>
        <w:t>e selection procedures for the remaining two SPO vacancies are well advanced. On 30 July, the Director of the NBI was appointed and started performing his functions. The EU has appointed two criminal justice experts to advise the NBI. The special anti-corr</w:t>
      </w:r>
      <w:r>
        <w:rPr>
          <w:rFonts w:ascii="Times New Roman" w:eastAsia="Times New Roman" w:hAnsi="Times New Roman" w:cs="Times New Roman"/>
          <w:noProof/>
          <w:color w:val="000000" w:themeColor="text1"/>
          <w:sz w:val="24"/>
          <w:szCs w:val="24"/>
        </w:rPr>
        <w:t xml:space="preserve">uption and organised crime Courts, of first and second instance, with competence to hear cases referred by the SPO,  have also been established and are operational. </w:t>
      </w:r>
      <w:r>
        <w:rPr>
          <w:rFonts w:ascii="Times New Roman" w:eastAsia="Calibri" w:hAnsi="Times New Roman" w:cs="Times New Roman"/>
          <w:bCs/>
          <w:iCs/>
          <w:noProof/>
          <w:color w:val="000000" w:themeColor="text1"/>
          <w:sz w:val="24"/>
          <w:szCs w:val="24"/>
        </w:rPr>
        <w:t xml:space="preserve">Upon the proposal of the </w:t>
      </w:r>
      <w:r>
        <w:rPr>
          <w:rFonts w:ascii="Times New Roman" w:eastAsia="Times New Roman" w:hAnsi="Times New Roman" w:cs="Times New Roman"/>
          <w:bCs/>
          <w:noProof/>
          <w:color w:val="000000" w:themeColor="text1"/>
          <w:sz w:val="24"/>
          <w:szCs w:val="24"/>
        </w:rPr>
        <w:t>High Judicial Council (HJC)</w:t>
      </w:r>
      <w:r>
        <w:rPr>
          <w:rFonts w:ascii="Times New Roman" w:eastAsia="Calibri" w:hAnsi="Times New Roman" w:cs="Times New Roman"/>
          <w:bCs/>
          <w:iCs/>
          <w:noProof/>
          <w:color w:val="000000" w:themeColor="text1"/>
          <w:sz w:val="24"/>
          <w:szCs w:val="24"/>
        </w:rPr>
        <w:t>, on 24 July 2020 the Assembly has adop</w:t>
      </w:r>
      <w:r>
        <w:rPr>
          <w:rFonts w:ascii="Times New Roman" w:eastAsia="Calibri" w:hAnsi="Times New Roman" w:cs="Times New Roman"/>
          <w:bCs/>
          <w:iCs/>
          <w:noProof/>
          <w:color w:val="000000" w:themeColor="text1"/>
          <w:sz w:val="24"/>
          <w:szCs w:val="24"/>
        </w:rPr>
        <w:t xml:space="preserve">ted amendments to the law on the status of judges and prosecutors regarding a 60% increase in the gross salaries of magistrates within the SPO and the </w:t>
      </w:r>
      <w:r>
        <w:rPr>
          <w:rFonts w:ascii="Times New Roman" w:eastAsia="Times New Roman" w:hAnsi="Times New Roman" w:cs="Times New Roman"/>
          <w:noProof/>
          <w:color w:val="000000" w:themeColor="text1"/>
          <w:sz w:val="24"/>
          <w:szCs w:val="24"/>
        </w:rPr>
        <w:t>special anti-corruption and organised crime Courts</w:t>
      </w:r>
      <w:r>
        <w:rPr>
          <w:rFonts w:ascii="Times New Roman" w:eastAsia="Calibri" w:hAnsi="Times New Roman" w:cs="Times New Roman"/>
          <w:bCs/>
          <w:iCs/>
          <w:noProof/>
          <w:color w:val="000000" w:themeColor="text1"/>
          <w:sz w:val="24"/>
          <w:szCs w:val="24"/>
        </w:rPr>
        <w:t>. This measure is expected to further strengthen the in</w:t>
      </w:r>
      <w:r>
        <w:rPr>
          <w:rFonts w:ascii="Times New Roman" w:eastAsia="Calibri" w:hAnsi="Times New Roman" w:cs="Times New Roman"/>
          <w:bCs/>
          <w:iCs/>
          <w:noProof/>
          <w:color w:val="000000" w:themeColor="text1"/>
          <w:sz w:val="24"/>
          <w:szCs w:val="24"/>
        </w:rPr>
        <w:t>dependence, competence and professionalism of the new specialised bodies.</w:t>
      </w:r>
    </w:p>
    <w:p w:rsidR="00EE1719" w:rsidRDefault="000E39BA">
      <w:pPr>
        <w:keepNext/>
        <w:spacing w:after="120" w:line="240" w:lineRule="auto"/>
        <w:jc w:val="both"/>
        <w:rPr>
          <w:rFonts w:ascii="Times New Roman" w:eastAsia="Times New Roman" w:hAnsi="Times New Roman" w:cs="Times New Roman"/>
          <w:noProof/>
          <w:color w:val="000000" w:themeColor="text1"/>
          <w:sz w:val="24"/>
          <w:szCs w:val="24"/>
          <w:u w:val="single"/>
        </w:rPr>
      </w:pPr>
      <w:r>
        <w:rPr>
          <w:rFonts w:ascii="Times New Roman" w:eastAsia="Times New Roman" w:hAnsi="Times New Roman" w:cs="Times New Roman"/>
          <w:noProof/>
          <w:color w:val="000000" w:themeColor="text1"/>
          <w:sz w:val="24"/>
          <w:szCs w:val="24"/>
          <w:u w:val="single"/>
        </w:rPr>
        <w:t>New judicial governance bodies</w:t>
      </w:r>
    </w:p>
    <w:p w:rsidR="00EE1719" w:rsidRDefault="000E39BA">
      <w:pPr>
        <w:spacing w:after="120" w:line="240" w:lineRule="auto"/>
        <w:jc w:val="both"/>
        <w:rPr>
          <w:rFonts w:ascii="Times New Roman" w:eastAsia="Arial Unicode MS" w:hAnsi="Times New Roman" w:cs="Times New Roman"/>
          <w:bCs/>
          <w:noProof/>
          <w:color w:val="000000" w:themeColor="text1"/>
          <w:sz w:val="24"/>
          <w:szCs w:val="24"/>
          <w:lang w:eastAsia="ar-SA"/>
        </w:rPr>
      </w:pPr>
      <w:r>
        <w:rPr>
          <w:rFonts w:ascii="Times New Roman" w:eastAsia="Times New Roman" w:hAnsi="Times New Roman" w:cs="Times New Roman"/>
          <w:bCs/>
          <w:noProof/>
          <w:color w:val="000000" w:themeColor="text1"/>
          <w:sz w:val="24"/>
          <w:szCs w:val="24"/>
        </w:rPr>
        <w:t>The new institutions for the self-governance of the judiciary</w:t>
      </w:r>
      <w:r>
        <w:rPr>
          <w:rFonts w:ascii="Times New Roman" w:eastAsia="Calibri" w:hAnsi="Times New Roman" w:cs="Times New Roman"/>
          <w:bCs/>
          <w:noProof/>
          <w:color w:val="000000" w:themeColor="text1"/>
          <w:sz w:val="24"/>
          <w:szCs w:val="24"/>
        </w:rPr>
        <w:t>, as</w:t>
      </w:r>
      <w:r>
        <w:rPr>
          <w:rFonts w:ascii="Times New Roman" w:eastAsia="Times New Roman" w:hAnsi="Times New Roman" w:cs="Times New Roman"/>
          <w:bCs/>
          <w:noProof/>
          <w:color w:val="000000" w:themeColor="text1"/>
          <w:sz w:val="24"/>
          <w:szCs w:val="24"/>
        </w:rPr>
        <w:t xml:space="preserve"> established </w:t>
      </w:r>
      <w:r>
        <w:rPr>
          <w:rFonts w:ascii="Times New Roman" w:eastAsia="Calibri" w:hAnsi="Times New Roman" w:cs="Times New Roman"/>
          <w:bCs/>
          <w:noProof/>
          <w:color w:val="000000" w:themeColor="text1"/>
          <w:sz w:val="24"/>
          <w:szCs w:val="24"/>
        </w:rPr>
        <w:t xml:space="preserve">in 2018, </w:t>
      </w:r>
      <w:r>
        <w:rPr>
          <w:rFonts w:ascii="Times New Roman" w:eastAsia="Times New Roman" w:hAnsi="Times New Roman" w:cs="Times New Roman"/>
          <w:bCs/>
          <w:noProof/>
          <w:color w:val="000000" w:themeColor="text1"/>
          <w:sz w:val="24"/>
          <w:szCs w:val="24"/>
        </w:rPr>
        <w:t xml:space="preserve">include the new High Judicial Council (HJC), High Prosecutorial </w:t>
      </w:r>
      <w:r>
        <w:rPr>
          <w:rFonts w:ascii="Times New Roman" w:eastAsia="Times New Roman" w:hAnsi="Times New Roman" w:cs="Times New Roman"/>
          <w:bCs/>
          <w:noProof/>
          <w:color w:val="000000" w:themeColor="text1"/>
          <w:sz w:val="24"/>
          <w:szCs w:val="24"/>
        </w:rPr>
        <w:t>Council (HPC) and the Justice Appointment Council (JAC).</w:t>
      </w:r>
      <w:r>
        <w:rPr>
          <w:rFonts w:ascii="Times New Roman" w:eastAsia="Calibri" w:hAnsi="Times New Roman" w:cs="Times New Roman"/>
          <w:bCs/>
          <w:noProof/>
          <w:color w:val="000000" w:themeColor="text1"/>
          <w:sz w:val="24"/>
          <w:szCs w:val="24"/>
        </w:rPr>
        <w:t xml:space="preserve"> These </w:t>
      </w:r>
      <w:r>
        <w:rPr>
          <w:rFonts w:ascii="Times New Roman" w:eastAsia="Arial Unicode MS" w:hAnsi="Times New Roman" w:cs="Times New Roman"/>
          <w:noProof/>
          <w:color w:val="000000" w:themeColor="text1"/>
          <w:sz w:val="24"/>
          <w:szCs w:val="24"/>
          <w:lang w:eastAsia="ar-SA"/>
        </w:rPr>
        <w:t>are fully functional and operated effectively throughout the reporting period</w:t>
      </w:r>
      <w:r>
        <w:rPr>
          <w:rFonts w:ascii="Times New Roman" w:eastAsia="Times New Roman" w:hAnsi="Times New Roman" w:cs="Times New Roman"/>
          <w:bCs/>
          <w:noProof/>
          <w:color w:val="000000" w:themeColor="text1"/>
          <w:sz w:val="24"/>
          <w:szCs w:val="24"/>
        </w:rPr>
        <w:t xml:space="preserve">. The new High Justice Inspector </w:t>
      </w:r>
      <w:r>
        <w:rPr>
          <w:rFonts w:ascii="Times New Roman" w:eastAsia="Calibri" w:hAnsi="Times New Roman" w:cs="Times New Roman"/>
          <w:bCs/>
          <w:noProof/>
          <w:color w:val="000000" w:themeColor="text1"/>
          <w:sz w:val="24"/>
          <w:szCs w:val="24"/>
        </w:rPr>
        <w:t xml:space="preserve">(HJI) </w:t>
      </w:r>
      <w:r>
        <w:rPr>
          <w:rFonts w:ascii="Times New Roman" w:eastAsia="Times New Roman" w:hAnsi="Times New Roman" w:cs="Times New Roman"/>
          <w:bCs/>
          <w:noProof/>
          <w:color w:val="000000" w:themeColor="text1"/>
          <w:sz w:val="24"/>
          <w:szCs w:val="24"/>
        </w:rPr>
        <w:t xml:space="preserve">has also been appointed.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u w:val="single"/>
        </w:rPr>
      </w:pPr>
      <w:r>
        <w:rPr>
          <w:rFonts w:ascii="Times New Roman" w:eastAsia="Times New Roman" w:hAnsi="Times New Roman" w:cs="Times New Roman"/>
          <w:noProof/>
          <w:color w:val="000000" w:themeColor="text1"/>
          <w:sz w:val="24"/>
          <w:szCs w:val="24"/>
          <w:u w:val="single"/>
        </w:rPr>
        <w:t>Independence and impartiality</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comprehensive ju</w:t>
      </w:r>
      <w:r>
        <w:rPr>
          <w:rFonts w:ascii="Times New Roman" w:eastAsia="Times New Roman" w:hAnsi="Times New Roman" w:cs="Times New Roman"/>
          <w:noProof/>
          <w:color w:val="000000" w:themeColor="text1"/>
          <w:sz w:val="24"/>
          <w:szCs w:val="24"/>
        </w:rPr>
        <w:t>stice reform has significantly improved the independence and impartiality of magistrates. Appointments of judges and prosecutors are exclusively managed by the new self-governing institutions of the judiciary, subject to completion of compulsory initial tr</w:t>
      </w:r>
      <w:r>
        <w:rPr>
          <w:rFonts w:ascii="Times New Roman" w:eastAsia="Times New Roman" w:hAnsi="Times New Roman" w:cs="Times New Roman"/>
          <w:noProof/>
          <w:color w:val="000000" w:themeColor="text1"/>
          <w:sz w:val="24"/>
          <w:szCs w:val="24"/>
        </w:rPr>
        <w:t>aining at the School of Magistrates, which is a significant additional guarantee of magistrates’ independence. The recruitment process for the School of Magistrates has improved. The HJC and HPC check candidates’ merits and assets prior to their admission.</w:t>
      </w:r>
      <w:r>
        <w:rPr>
          <w:rFonts w:ascii="Times New Roman" w:eastAsia="Times New Roman" w:hAnsi="Times New Roman" w:cs="Times New Roman"/>
          <w:noProof/>
          <w:color w:val="000000" w:themeColor="text1"/>
          <w:sz w:val="24"/>
          <w:szCs w:val="24"/>
        </w:rPr>
        <w:t xml:space="preserve"> The reform has in addition strengthened the guarantees of independence as regards career advancement and promotions, which are managed by the new self-governance institutions with reinforced independence safeguards in place. Judges and prosecutors cannot </w:t>
      </w:r>
      <w:r>
        <w:rPr>
          <w:rFonts w:ascii="Times New Roman" w:eastAsia="Times New Roman" w:hAnsi="Times New Roman" w:cs="Times New Roman"/>
          <w:noProof/>
          <w:color w:val="000000" w:themeColor="text1"/>
          <w:sz w:val="24"/>
          <w:szCs w:val="24"/>
        </w:rPr>
        <w:t>be transferred without their consent, except in the event of disciplinary measures, structurally justified changes or temporary need. Appeal procedures are available against disciplinary measures concerning the magistrates. Judges can be dismissed only for</w:t>
      </w:r>
      <w:r>
        <w:rPr>
          <w:rFonts w:ascii="Times New Roman" w:eastAsia="Times New Roman" w:hAnsi="Times New Roman" w:cs="Times New Roman"/>
          <w:noProof/>
          <w:color w:val="000000" w:themeColor="text1"/>
          <w:sz w:val="24"/>
          <w:szCs w:val="24"/>
        </w:rPr>
        <w:t xml:space="preserve"> serious misconduct or if sentenced for a criminal offence. They can also lodge appeals against dismissal decisions at the Constitutional Court. The reform has given prosecutors greater autonomy and has reduced the centralisation of the system around the P</w:t>
      </w:r>
      <w:r>
        <w:rPr>
          <w:rFonts w:ascii="Times New Roman" w:eastAsia="Times New Roman" w:hAnsi="Times New Roman" w:cs="Times New Roman"/>
          <w:noProof/>
          <w:color w:val="000000" w:themeColor="text1"/>
          <w:sz w:val="24"/>
          <w:szCs w:val="24"/>
        </w:rPr>
        <w:t>rosecutor General.</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Attempted interference with the judiciary, including by authorities within the judiciary, and internal and external pressure on prosecutors remain an issue. Many shortcomings have become apparent in the courts’ electronic case</w:t>
      </w:r>
      <w:r>
        <w:rPr>
          <w:rFonts w:ascii="Times New Roman" w:eastAsia="Times New Roman" w:hAnsi="Times New Roman" w:cs="Times New Roman"/>
          <w:noProof/>
          <w:color w:val="000000" w:themeColor="text1"/>
          <w:sz w:val="24"/>
          <w:szCs w:val="24"/>
        </w:rPr>
        <w:noBreakHyphen/>
        <w:t>management</w:t>
      </w:r>
      <w:r>
        <w:rPr>
          <w:rFonts w:ascii="Times New Roman" w:eastAsia="Times New Roman" w:hAnsi="Times New Roman" w:cs="Times New Roman"/>
          <w:noProof/>
          <w:color w:val="000000" w:themeColor="text1"/>
          <w:sz w:val="24"/>
          <w:szCs w:val="24"/>
        </w:rPr>
        <w:t xml:space="preserve"> system. The latter should be significantly strengthened and effectively used, notably to ensure random allocation of cases. Cases are allocated to prosecutors randomly, but prosecution offices often fail to make full use of the system to produce reliable </w:t>
      </w:r>
      <w:r>
        <w:rPr>
          <w:rFonts w:ascii="Times New Roman" w:eastAsia="Times New Roman" w:hAnsi="Times New Roman" w:cs="Times New Roman"/>
          <w:noProof/>
          <w:color w:val="000000" w:themeColor="text1"/>
          <w:sz w:val="24"/>
          <w:szCs w:val="24"/>
        </w:rPr>
        <w:t>data. The laws provide for administrative and criminal sanctions in cases of undue influence over a court case or when magistrates consider their independence to be jeopardised, falling under the jurisdiction of the SPO.</w:t>
      </w:r>
    </w:p>
    <w:p w:rsidR="00EE1719" w:rsidRDefault="000E39BA">
      <w:pPr>
        <w:spacing w:after="120" w:line="240" w:lineRule="auto"/>
        <w:jc w:val="both"/>
        <w:rPr>
          <w:rFonts w:ascii="Times New Roman" w:eastAsia="Times New Roman" w:hAnsi="Times New Roman" w:cs="Times New Roman"/>
          <w:noProof/>
          <w:color w:val="000000" w:themeColor="text1"/>
          <w:sz w:val="24"/>
          <w:szCs w:val="24"/>
          <w:u w:val="single"/>
        </w:rPr>
      </w:pPr>
      <w:r>
        <w:rPr>
          <w:rFonts w:ascii="Times New Roman" w:eastAsia="Times New Roman" w:hAnsi="Times New Roman" w:cs="Times New Roman"/>
          <w:noProof/>
          <w:color w:val="000000" w:themeColor="text1"/>
          <w:sz w:val="24"/>
          <w:szCs w:val="24"/>
          <w:u w:val="single"/>
        </w:rPr>
        <w:t>Accountability</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 HJC and the HPC </w:t>
      </w:r>
      <w:r>
        <w:rPr>
          <w:rFonts w:ascii="Times New Roman" w:eastAsia="Times New Roman" w:hAnsi="Times New Roman" w:cs="Times New Roman"/>
          <w:noProof/>
          <w:color w:val="000000" w:themeColor="text1"/>
          <w:sz w:val="24"/>
          <w:szCs w:val="24"/>
        </w:rPr>
        <w:t xml:space="preserve">are responsible for approving and monitoring the ethics rules and code of conduct. The HJC has improved evaluation forms and adapted them to the new legal standards. However, regular evaluation of judges’ performance remains to be implemented. The Code of </w:t>
      </w:r>
      <w:r>
        <w:rPr>
          <w:rFonts w:ascii="Times New Roman" w:eastAsia="Times New Roman" w:hAnsi="Times New Roman" w:cs="Times New Roman"/>
          <w:noProof/>
          <w:color w:val="000000" w:themeColor="text1"/>
          <w:sz w:val="24"/>
          <w:szCs w:val="24"/>
        </w:rPr>
        <w:t xml:space="preserve">Ethics for judges and prosecutors is now regulated by law. Despite the overall strengthening of independence across the sector through the comprehensive justice reform, the Minister of Justice still retains the right to submit complaints asking the HJI to </w:t>
      </w:r>
      <w:r>
        <w:rPr>
          <w:rFonts w:ascii="Times New Roman" w:eastAsia="Times New Roman" w:hAnsi="Times New Roman" w:cs="Times New Roman"/>
          <w:noProof/>
          <w:color w:val="000000" w:themeColor="text1"/>
          <w:sz w:val="24"/>
          <w:szCs w:val="24"/>
        </w:rPr>
        <w:t>investigate on magistrates. This prerogative of the Minister has continued to be used during the reporting period. The legal definitions for the list of misconduct for judges and prosecutors, as a basis for disciplinary proceedings, have been now regulated</w:t>
      </w:r>
      <w:r>
        <w:rPr>
          <w:rFonts w:ascii="Times New Roman" w:eastAsia="Times New Roman" w:hAnsi="Times New Roman" w:cs="Times New Roman"/>
          <w:noProof/>
          <w:color w:val="000000" w:themeColor="text1"/>
          <w:sz w:val="24"/>
          <w:szCs w:val="24"/>
        </w:rPr>
        <w:t xml:space="preserve"> by law. Previous definitions were repealed by the Constitutional Court decision on the Law on the status of judges and prosecutors.</w:t>
      </w:r>
    </w:p>
    <w:p w:rsidR="00EE1719" w:rsidRDefault="000E39BA">
      <w:pPr>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Times New Roman" w:hAnsi="Times New Roman" w:cs="Times New Roman"/>
          <w:noProof/>
          <w:color w:val="000000" w:themeColor="text1"/>
          <w:sz w:val="24"/>
          <w:szCs w:val="24"/>
        </w:rPr>
        <w:t>Under the latest reform, disciplinary proceedings have to be conducted by the HJI. The HJI has inherited a considerable backlog of complaints, of approximatively above 300 cases. The HJI has completed the verification of 50 other cases and started investig</w:t>
      </w:r>
      <w:r>
        <w:rPr>
          <w:rFonts w:ascii="Times New Roman" w:eastAsia="Times New Roman" w:hAnsi="Times New Roman" w:cs="Times New Roman"/>
          <w:noProof/>
          <w:color w:val="000000" w:themeColor="text1"/>
          <w:sz w:val="24"/>
          <w:szCs w:val="24"/>
        </w:rPr>
        <w:t xml:space="preserve">ations in 35 cases. The capacity of HJI should be significantly reinforced to effectively verify and process the high backlog of complaints.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HJC has adopted rules and procedures for the regular evaluation of judges. Similar regulations have been adopt</w:t>
      </w:r>
      <w:r>
        <w:rPr>
          <w:rFonts w:ascii="Times New Roman" w:eastAsia="Times New Roman" w:hAnsi="Times New Roman" w:cs="Times New Roman"/>
          <w:noProof/>
          <w:color w:val="000000" w:themeColor="text1"/>
          <w:sz w:val="24"/>
          <w:szCs w:val="24"/>
        </w:rPr>
        <w:t>ed by the HPC. The HJC continues to suffer from an evaluation backlog inherited from the High Council of Justice, with the latest evaluation dating back to 2012. The HJC and HPC should advance further the implementation of the new methodology for evaluatio</w:t>
      </w:r>
      <w:r>
        <w:rPr>
          <w:rFonts w:ascii="Times New Roman" w:eastAsia="Times New Roman" w:hAnsi="Times New Roman" w:cs="Times New Roman"/>
          <w:noProof/>
          <w:color w:val="000000" w:themeColor="text1"/>
          <w:sz w:val="24"/>
          <w:szCs w:val="24"/>
        </w:rPr>
        <w:t xml:space="preserve">n of judges and prosecutors, also in view of reducing the accumulated evaluation backlog.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Plenary sessions of the councils have been open to the public and recorded. The minutes are publically available, thus increasing their accountability and transp</w:t>
      </w:r>
      <w:r>
        <w:rPr>
          <w:rFonts w:ascii="Times New Roman" w:eastAsia="Times New Roman" w:hAnsi="Times New Roman" w:cs="Times New Roman"/>
          <w:noProof/>
          <w:color w:val="000000" w:themeColor="text1"/>
          <w:sz w:val="24"/>
          <w:szCs w:val="24"/>
        </w:rPr>
        <w:t xml:space="preserve">arency. This practice needs to be continued and further consolidated.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u w:val="single"/>
        </w:rPr>
      </w:pPr>
      <w:r>
        <w:rPr>
          <w:rFonts w:ascii="Times New Roman" w:eastAsia="Times New Roman" w:hAnsi="Times New Roman" w:cs="Times New Roman"/>
          <w:noProof/>
          <w:color w:val="000000" w:themeColor="text1"/>
          <w:sz w:val="24"/>
          <w:szCs w:val="24"/>
          <w:u w:val="single"/>
        </w:rPr>
        <w:t>Professionalism and competence</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system for recruiting, selecting, appointing, transferring and dismissing judges and prosecutors has improved. Constitutional and legal changes have r</w:t>
      </w:r>
      <w:r>
        <w:rPr>
          <w:rFonts w:ascii="Times New Roman" w:eastAsia="Times New Roman" w:hAnsi="Times New Roman" w:cs="Times New Roman"/>
          <w:noProof/>
          <w:color w:val="000000" w:themeColor="text1"/>
          <w:sz w:val="24"/>
          <w:szCs w:val="24"/>
        </w:rPr>
        <w:t>educed political influence during the appointment process, ensuring a merit-based career system exclusively managed by the self-governing institutions of the judiciary.</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Justice Appointment Council adopted two detailed regulations for the evaluation and</w:t>
      </w:r>
      <w:r>
        <w:rPr>
          <w:rFonts w:ascii="Times New Roman" w:eastAsia="Times New Roman" w:hAnsi="Times New Roman" w:cs="Times New Roman"/>
          <w:noProof/>
          <w:color w:val="000000" w:themeColor="text1"/>
          <w:sz w:val="24"/>
          <w:szCs w:val="24"/>
        </w:rPr>
        <w:t xml:space="preserve"> ranking of the candidates for the Constitutional Court and HJI. The HPC adopted similar regulations for the appointment of the Prosecutor General.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 quality of first year initial training programme of the School of Magistrates was considerably </w:t>
      </w:r>
      <w:r>
        <w:rPr>
          <w:rFonts w:ascii="Times New Roman" w:eastAsia="Times New Roman" w:hAnsi="Times New Roman" w:cs="Times New Roman"/>
          <w:noProof/>
          <w:color w:val="000000" w:themeColor="text1"/>
          <w:sz w:val="24"/>
          <w:szCs w:val="24"/>
        </w:rPr>
        <w:t>improved. Continuous training requires further improvements, notably regarding the quality of curriculum and trainers. During the academic year 2018-2019, 134 judges and 138 prosecutors fully attended the continuous training programme, which represents the</w:t>
      </w:r>
      <w:r>
        <w:rPr>
          <w:rFonts w:ascii="Times New Roman" w:eastAsia="Times New Roman" w:hAnsi="Times New Roman" w:cs="Times New Roman"/>
          <w:noProof/>
          <w:color w:val="000000" w:themeColor="text1"/>
          <w:sz w:val="24"/>
          <w:szCs w:val="24"/>
        </w:rPr>
        <w:t xml:space="preserve"> maximum number registered yet. The School of Magistrates is an observer of the European Judicial Training Network (EJTN). It should benefit more proactively of the EJTNs activities and from the expertise within the network.</w:t>
      </w:r>
    </w:p>
    <w:p w:rsidR="00EE1719" w:rsidRDefault="000E39BA">
      <w:pPr>
        <w:spacing w:after="120" w:line="240" w:lineRule="auto"/>
        <w:jc w:val="both"/>
        <w:rPr>
          <w:rFonts w:ascii="Times New Roman" w:eastAsia="Arial Unicode MS" w:hAnsi="Times New Roman" w:cs="Times New Roman"/>
          <w:bCs/>
          <w:noProof/>
          <w:color w:val="000000" w:themeColor="text1"/>
          <w:sz w:val="24"/>
          <w:szCs w:val="24"/>
          <w:lang w:eastAsia="ar-SA"/>
        </w:rPr>
      </w:pPr>
      <w:r>
        <w:rPr>
          <w:rFonts w:ascii="Times New Roman" w:eastAsia="Times New Roman" w:hAnsi="Times New Roman" w:cs="Times New Roman"/>
          <w:bCs/>
          <w:noProof/>
          <w:color w:val="000000" w:themeColor="text1"/>
          <w:sz w:val="24"/>
          <w:szCs w:val="24"/>
        </w:rPr>
        <w:t>An important milestone was reac</w:t>
      </w:r>
      <w:r>
        <w:rPr>
          <w:rFonts w:ascii="Times New Roman" w:eastAsia="Times New Roman" w:hAnsi="Times New Roman" w:cs="Times New Roman"/>
          <w:bCs/>
          <w:noProof/>
          <w:color w:val="000000" w:themeColor="text1"/>
          <w:sz w:val="24"/>
          <w:szCs w:val="24"/>
        </w:rPr>
        <w:t>hed on 11 March 2020 with the appointment of three new non-magistrate members to the High Court. This membership allows the Court to function. The nomination of the candidate for the remaining non-magistrate position is pending final evaluation by the HJC.</w:t>
      </w:r>
      <w:r>
        <w:rPr>
          <w:rFonts w:ascii="Times New Roman" w:eastAsia="Times New Roman" w:hAnsi="Times New Roman" w:cs="Times New Roman"/>
          <w:b/>
          <w:bCs/>
          <w:noProof/>
          <w:color w:val="000000" w:themeColor="text1"/>
          <w:sz w:val="24"/>
          <w:szCs w:val="24"/>
        </w:rPr>
        <w:t xml:space="preserve"> </w:t>
      </w:r>
      <w:r>
        <w:rPr>
          <w:rFonts w:ascii="Times New Roman" w:eastAsia="Times New Roman" w:hAnsi="Times New Roman" w:cs="Times New Roman"/>
          <w:bCs/>
          <w:noProof/>
          <w:color w:val="000000" w:themeColor="text1"/>
          <w:sz w:val="24"/>
          <w:szCs w:val="24"/>
        </w:rPr>
        <w:t>The other magistrate candidates are in the process of being promoted from within the court system.</w:t>
      </w:r>
      <w:r>
        <w:rPr>
          <w:rFonts w:ascii="Times New Roman" w:eastAsia="Times New Roman" w:hAnsi="Times New Roman" w:cs="Times New Roman"/>
          <w:b/>
          <w:bCs/>
          <w:noProof/>
          <w:color w:val="000000" w:themeColor="text1"/>
          <w:sz w:val="24"/>
          <w:szCs w:val="24"/>
        </w:rPr>
        <w:t xml:space="preserve"> </w:t>
      </w:r>
      <w:r>
        <w:rPr>
          <w:rFonts w:ascii="Times New Roman" w:eastAsia="Arial Unicode MS" w:hAnsi="Times New Roman" w:cs="Times New Roman"/>
          <w:bCs/>
          <w:noProof/>
          <w:color w:val="000000" w:themeColor="text1"/>
          <w:sz w:val="24"/>
          <w:szCs w:val="24"/>
          <w:lang w:eastAsia="ar-SA"/>
        </w:rPr>
        <w:t>The HJC is currently reviewing the first applications for the appointment of 11 magistrate candidates and is expected to open subsequent calls for the remai</w:t>
      </w:r>
      <w:r>
        <w:rPr>
          <w:rFonts w:ascii="Times New Roman" w:eastAsia="Arial Unicode MS" w:hAnsi="Times New Roman" w:cs="Times New Roman"/>
          <w:bCs/>
          <w:noProof/>
          <w:color w:val="000000" w:themeColor="text1"/>
          <w:sz w:val="24"/>
          <w:szCs w:val="24"/>
          <w:lang w:eastAsia="ar-SA"/>
        </w:rPr>
        <w:t xml:space="preserve">ning vacancies in a gradual manner. </w:t>
      </w:r>
      <w:r>
        <w:rPr>
          <w:rFonts w:ascii="Times New Roman" w:eastAsia="Times New Roman" w:hAnsi="Times New Roman" w:cs="Times New Roman"/>
          <w:bCs/>
          <w:noProof/>
          <w:color w:val="000000" w:themeColor="text1"/>
          <w:sz w:val="24"/>
          <w:szCs w:val="24"/>
        </w:rPr>
        <w:t xml:space="preserve">In June 2020, the High Judicial Council has terminated the mandate of the fourth non-magistrate member, whose mandate had expired. </w:t>
      </w:r>
      <w:r>
        <w:rPr>
          <w:rFonts w:ascii="Times New Roman" w:eastAsia="Arial Unicode MS" w:hAnsi="Times New Roman" w:cs="Times New Roman"/>
          <w:bCs/>
          <w:noProof/>
          <w:color w:val="000000" w:themeColor="text1"/>
          <w:sz w:val="24"/>
          <w:szCs w:val="24"/>
          <w:lang w:eastAsia="ar-SA"/>
        </w:rPr>
        <w:t xml:space="preserve">In July 2019, the HJC also took the decision to temporarily appoint judges to the High Court for the adjudication of the most urgent cases related to the extradition of persons, in line with obligations deriving from international conventions.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Albania mad</w:t>
      </w:r>
      <w:r>
        <w:rPr>
          <w:rFonts w:ascii="Times New Roman" w:eastAsia="Times New Roman" w:hAnsi="Times New Roman" w:cs="Times New Roman"/>
          <w:noProof/>
          <w:color w:val="000000" w:themeColor="text1"/>
          <w:sz w:val="24"/>
          <w:szCs w:val="24"/>
        </w:rPr>
        <w:t>e progress to reconstitute the Constitutional Court. Due to the outcome of the vetting and early retirements, up until December 2019, there was only one sitting judge. Four new members were appointed at the end of last year. Although one did not eventually</w:t>
      </w:r>
      <w:r>
        <w:rPr>
          <w:rFonts w:ascii="Times New Roman" w:eastAsia="Times New Roman" w:hAnsi="Times New Roman" w:cs="Times New Roman"/>
          <w:noProof/>
          <w:color w:val="000000" w:themeColor="text1"/>
          <w:sz w:val="24"/>
          <w:szCs w:val="24"/>
        </w:rPr>
        <w:t xml:space="preserve"> pass the vetting process, with four members in office, the Constitutional Court regained basic functionality and the quorum to review admissibility of cases. There has been a dispute about one of the judges nominated by the President of the Republic, due </w:t>
      </w:r>
      <w:r>
        <w:rPr>
          <w:rFonts w:ascii="Times New Roman" w:eastAsia="Times New Roman" w:hAnsi="Times New Roman" w:cs="Times New Roman"/>
          <w:noProof/>
          <w:color w:val="000000" w:themeColor="text1"/>
          <w:sz w:val="24"/>
          <w:szCs w:val="24"/>
        </w:rPr>
        <w:t>to differing interpretations of the appointment procedure. The Venice Commission has issued an opinion on the matter, providing the necessary guidance to the Albanian authorities to complete the outstanding appointments to the Constitutional Court. The Jus</w:t>
      </w:r>
      <w:r>
        <w:rPr>
          <w:rFonts w:ascii="Times New Roman" w:eastAsia="Times New Roman" w:hAnsi="Times New Roman" w:cs="Times New Roman"/>
          <w:noProof/>
          <w:color w:val="000000" w:themeColor="text1"/>
          <w:sz w:val="24"/>
          <w:szCs w:val="24"/>
        </w:rPr>
        <w:t>tice Appointment Council is managing the assessment of candidates for three vacant posts. The process has been slightly affected by the COVID-19 crisis, but is expected to be finalised as a priority. Completion of appointments at the Constitutional Court w</w:t>
      </w:r>
      <w:r>
        <w:rPr>
          <w:rFonts w:ascii="Times New Roman" w:eastAsia="Times New Roman" w:hAnsi="Times New Roman" w:cs="Times New Roman"/>
          <w:noProof/>
          <w:color w:val="000000" w:themeColor="text1"/>
          <w:sz w:val="24"/>
          <w:szCs w:val="24"/>
        </w:rPr>
        <w:t>ill proceed once the High Court reaches the required quorum of three fifths of members in office, as the latter is the third appointing authority other than the Assembly and the President of the Republic.</w:t>
      </w:r>
    </w:p>
    <w:p w:rsidR="00EE1719" w:rsidRDefault="000E39BA">
      <w:pPr>
        <w:autoSpaceDE w:val="0"/>
        <w:autoSpaceDN w:val="0"/>
        <w:adjustRightInd w:val="0"/>
        <w:spacing w:after="120" w:line="240" w:lineRule="auto"/>
        <w:jc w:val="both"/>
        <w:rPr>
          <w:rFonts w:ascii="Times New Roman" w:eastAsia="Calibri" w:hAnsi="Times New Roman" w:cs="Times New Roman"/>
          <w:b/>
          <w:bCs/>
          <w:noProof/>
          <w:color w:val="000000" w:themeColor="text1"/>
          <w:sz w:val="24"/>
          <w:szCs w:val="24"/>
        </w:rPr>
      </w:pPr>
      <w:r>
        <w:rPr>
          <w:rFonts w:ascii="Times New Roman" w:eastAsia="Calibri" w:hAnsi="Times New Roman" w:cs="Times New Roman"/>
          <w:bCs/>
          <w:noProof/>
          <w:color w:val="000000" w:themeColor="text1"/>
          <w:sz w:val="24"/>
          <w:szCs w:val="24"/>
        </w:rPr>
        <w:t xml:space="preserve">The new General Prosecutor has been appointed, for </w:t>
      </w:r>
      <w:r>
        <w:rPr>
          <w:rFonts w:ascii="Times New Roman" w:eastAsia="Calibri" w:hAnsi="Times New Roman" w:cs="Times New Roman"/>
          <w:bCs/>
          <w:noProof/>
          <w:color w:val="000000" w:themeColor="text1"/>
          <w:sz w:val="24"/>
          <w:szCs w:val="24"/>
        </w:rPr>
        <w:t xml:space="preserve">the first time based on the procedures established in the latest justice reform. </w:t>
      </w:r>
    </w:p>
    <w:p w:rsidR="00EE1719" w:rsidRDefault="000E39BA">
      <w:pPr>
        <w:keepNext/>
        <w:spacing w:after="120" w:line="240" w:lineRule="auto"/>
        <w:jc w:val="both"/>
        <w:rPr>
          <w:rFonts w:ascii="Times New Roman" w:eastAsia="Times New Roman" w:hAnsi="Times New Roman" w:cs="Times New Roman"/>
          <w:noProof/>
          <w:color w:val="000000" w:themeColor="text1"/>
          <w:sz w:val="24"/>
          <w:szCs w:val="24"/>
          <w:u w:val="single"/>
        </w:rPr>
      </w:pPr>
      <w:r>
        <w:rPr>
          <w:rFonts w:ascii="Times New Roman" w:eastAsia="Times New Roman" w:hAnsi="Times New Roman" w:cs="Times New Roman"/>
          <w:noProof/>
          <w:color w:val="000000" w:themeColor="text1"/>
          <w:sz w:val="24"/>
          <w:szCs w:val="24"/>
          <w:u w:val="single"/>
        </w:rPr>
        <w:t>Quality of justice</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Calibri" w:hAnsi="Times New Roman" w:cs="Times New Roman"/>
          <w:bCs/>
          <w:noProof/>
          <w:color w:val="000000" w:themeColor="text1"/>
          <w:sz w:val="24"/>
          <w:szCs w:val="24"/>
        </w:rPr>
        <w:t>Albania had 329 full-time judges (12 per 100 000 inhabitants) and 299 full-time prosecutors (11 per 100 000 inhabitants) in 2019. According to the European</w:t>
      </w:r>
      <w:r>
        <w:rPr>
          <w:rFonts w:ascii="Times New Roman" w:eastAsia="Calibri" w:hAnsi="Times New Roman" w:cs="Times New Roman"/>
          <w:bCs/>
          <w:noProof/>
          <w:color w:val="000000" w:themeColor="text1"/>
          <w:sz w:val="24"/>
          <w:szCs w:val="24"/>
        </w:rPr>
        <w:t xml:space="preserve"> Commission for the Efficiency of Justice (CEPEJ), the European averages are 21 judges/11 prosecutors per 100 000 inhabitants. The 2018 budgetary allocation for the justice sector was EUR 98 million, while in 2019 it was raised to about EUR 100 million. Th</w:t>
      </w:r>
      <w:r>
        <w:rPr>
          <w:rFonts w:ascii="Times New Roman" w:eastAsia="Calibri" w:hAnsi="Times New Roman" w:cs="Times New Roman"/>
          <w:bCs/>
          <w:noProof/>
          <w:color w:val="000000" w:themeColor="text1"/>
          <w:sz w:val="24"/>
          <w:szCs w:val="24"/>
        </w:rPr>
        <w:t xml:space="preserve">is amounts to around EUR 5.3 per inhabitant. The new justice institutions and the vetting process are supported by a EUR 12 million budgetary plan. Court infrastructure remains poor overall and future budget allocations should take this into account. </w:t>
      </w:r>
      <w:r>
        <w:rPr>
          <w:rFonts w:ascii="Times New Roman" w:eastAsia="Times New Roman" w:hAnsi="Times New Roman" w:cs="Times New Roman"/>
          <w:noProof/>
          <w:color w:val="000000" w:themeColor="text1"/>
          <w:sz w:val="24"/>
          <w:szCs w:val="24"/>
        </w:rPr>
        <w:t>In Ju</w:t>
      </w:r>
      <w:r>
        <w:rPr>
          <w:rFonts w:ascii="Times New Roman" w:eastAsia="Times New Roman" w:hAnsi="Times New Roman" w:cs="Times New Roman"/>
          <w:noProof/>
          <w:color w:val="000000" w:themeColor="text1"/>
          <w:sz w:val="24"/>
          <w:szCs w:val="24"/>
        </w:rPr>
        <w:t>ly 2019, the School of Magistrates has been moved to significantly better premises in a new Justice Centre, along with the HPC, HJC and HJI. It continues to rely heavily on donors’ support and has limited capacity in terms of academic staff and qualified s</w:t>
      </w:r>
      <w:r>
        <w:rPr>
          <w:rFonts w:ascii="Times New Roman" w:eastAsia="Times New Roman" w:hAnsi="Times New Roman" w:cs="Times New Roman"/>
          <w:noProof/>
          <w:color w:val="000000" w:themeColor="text1"/>
          <w:sz w:val="24"/>
          <w:szCs w:val="24"/>
        </w:rPr>
        <w:t xml:space="preserve">pecialised trainers.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HJC and HPC set the number of candidates to be admitted in the 2020/21 academic year at 75 for judges and prosecutors and 25 legal advisors. The admission examination was held in June 2020, being slightly postponed due to COVID-20</w:t>
      </w:r>
      <w:r>
        <w:rPr>
          <w:rFonts w:ascii="Times New Roman" w:eastAsia="Times New Roman" w:hAnsi="Times New Roman" w:cs="Times New Roman"/>
          <w:noProof/>
          <w:color w:val="000000" w:themeColor="text1"/>
          <w:sz w:val="24"/>
          <w:szCs w:val="24"/>
        </w:rPr>
        <w:t>19 restriction measures. At the final exam, 68 judges and prosecutors and 12 legal advisors and assistants have been admitted. In 2019, only 24 magistrates were appointed and 21 are expected to be appointed in 2020. There will be no magistrate graduates fr</w:t>
      </w:r>
      <w:r>
        <w:rPr>
          <w:rFonts w:ascii="Times New Roman" w:eastAsia="Times New Roman" w:hAnsi="Times New Roman" w:cs="Times New Roman"/>
          <w:noProof/>
          <w:color w:val="000000" w:themeColor="text1"/>
          <w:sz w:val="24"/>
          <w:szCs w:val="24"/>
        </w:rPr>
        <w:t>om the School for the year 2021 as the Parliament failed to adopt the transitory legal changes necessary to increase the intake. A significant increase in graduates of the School of Magistrates is expected in 2022 and 2023, with 46 and respectively 70 cand</w:t>
      </w:r>
      <w:r>
        <w:rPr>
          <w:rFonts w:ascii="Times New Roman" w:eastAsia="Times New Roman" w:hAnsi="Times New Roman" w:cs="Times New Roman"/>
          <w:noProof/>
          <w:color w:val="000000" w:themeColor="text1"/>
          <w:sz w:val="24"/>
          <w:szCs w:val="24"/>
        </w:rPr>
        <w:t xml:space="preserve">idate magistrates admitted, as </w:t>
      </w:r>
      <w:r>
        <w:rPr>
          <w:rFonts w:ascii="Times New Roman" w:eastAsia="Calibri" w:hAnsi="Times New Roman" w:cs="Times New Roman"/>
          <w:noProof/>
          <w:color w:val="000000" w:themeColor="text1"/>
          <w:sz w:val="24"/>
          <w:szCs w:val="24"/>
          <w:lang w:eastAsia="en-US"/>
        </w:rPr>
        <w:t>defined by the HPC and HJC</w:t>
      </w:r>
      <w:r>
        <w:rPr>
          <w:rFonts w:ascii="Times New Roman" w:eastAsia="Times New Roman" w:hAnsi="Times New Roman" w:cs="Times New Roman"/>
          <w:noProof/>
          <w:color w:val="000000" w:themeColor="text1"/>
          <w:sz w:val="24"/>
          <w:szCs w:val="24"/>
        </w:rPr>
        <w:t>. The HJC has been transferring judges to fill in most urgent vacancies for relevant positions. Decisive progress in the recruitment of new magistrates to fill in the positions made vacant by the vet</w:t>
      </w:r>
      <w:r>
        <w:rPr>
          <w:rFonts w:ascii="Times New Roman" w:eastAsia="Times New Roman" w:hAnsi="Times New Roman" w:cs="Times New Roman"/>
          <w:noProof/>
          <w:color w:val="000000" w:themeColor="text1"/>
          <w:sz w:val="24"/>
          <w:szCs w:val="24"/>
        </w:rPr>
        <w:t>ting remains essential in the current stage of implementation of the justice reform.</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HJC monitors and evaluates court activities on a monthly basis. All courts are required to send a monthly report to the HJC and produce annual activity reports. All co</w:t>
      </w:r>
      <w:r>
        <w:rPr>
          <w:rFonts w:ascii="Times New Roman" w:eastAsia="Times New Roman" w:hAnsi="Times New Roman" w:cs="Times New Roman"/>
          <w:noProof/>
          <w:color w:val="000000" w:themeColor="text1"/>
          <w:sz w:val="24"/>
          <w:szCs w:val="24"/>
        </w:rPr>
        <w:t>urts have websites that are publicly accessible, but these are not standardised. The electronic case management system is still unable to produced reliable and coherent statistical information. The current budgetary and human resources allocated to the Cou</w:t>
      </w:r>
      <w:r>
        <w:rPr>
          <w:rFonts w:ascii="Times New Roman" w:eastAsia="Times New Roman" w:hAnsi="Times New Roman" w:cs="Times New Roman"/>
          <w:noProof/>
          <w:color w:val="000000" w:themeColor="text1"/>
          <w:sz w:val="24"/>
          <w:szCs w:val="24"/>
        </w:rPr>
        <w:t xml:space="preserve">ncils remain insufficient to establish and maintain an adequate case management system.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Court decisions are reasoned and hearings are audio-recorded. Publication in due time of courts’ decisions has slightly improved, but should still be addressed with pr</w:t>
      </w:r>
      <w:r>
        <w:rPr>
          <w:rFonts w:ascii="Times New Roman" w:eastAsia="Times New Roman" w:hAnsi="Times New Roman" w:cs="Times New Roman"/>
          <w:noProof/>
          <w:color w:val="000000" w:themeColor="text1"/>
          <w:sz w:val="24"/>
          <w:szCs w:val="24"/>
        </w:rPr>
        <w:t xml:space="preserve">iority.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u w:val="single"/>
        </w:rPr>
      </w:pPr>
      <w:r>
        <w:rPr>
          <w:rFonts w:ascii="Times New Roman" w:eastAsia="Times New Roman" w:hAnsi="Times New Roman" w:cs="Times New Roman"/>
          <w:noProof/>
          <w:color w:val="000000" w:themeColor="text1"/>
          <w:sz w:val="24"/>
          <w:szCs w:val="24"/>
          <w:u w:val="single"/>
        </w:rPr>
        <w:t>Efficiency</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There is still a lack of consolidated reporting on the efficiency of the justice system. Decisive effort is required to ensure an effective and reliable case-management system able to produce automatically reliable statistical data in </w:t>
      </w:r>
      <w:r>
        <w:rPr>
          <w:rFonts w:ascii="Times New Roman" w:eastAsia="Times New Roman" w:hAnsi="Times New Roman" w:cs="Times New Roman"/>
          <w:noProof/>
          <w:color w:val="000000" w:themeColor="text1"/>
          <w:sz w:val="24"/>
          <w:szCs w:val="24"/>
        </w:rPr>
        <w:t>line with the recommendations and methodology of the CEPEJ about the performance of both judiciary and prosecution. To this end, it is necessary to adopt the legal basis, ensure appropriate budgetary allocation and human resources, as well as adopt a clear</w:t>
      </w:r>
      <w:r>
        <w:rPr>
          <w:rFonts w:ascii="Times New Roman" w:eastAsia="Times New Roman" w:hAnsi="Times New Roman" w:cs="Times New Roman"/>
          <w:noProof/>
          <w:color w:val="000000" w:themeColor="text1"/>
          <w:sz w:val="24"/>
          <w:szCs w:val="24"/>
        </w:rPr>
        <w:t xml:space="preserve"> roadmap laying out concrete steps towards the effective functioning of the case management system.</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Efficiency of the justice system is affected by issues such as the length of proceedings, the clearance rate and the backlog of cases at all court levels in</w:t>
      </w:r>
      <w:r>
        <w:rPr>
          <w:rFonts w:ascii="Times New Roman" w:eastAsia="Times New Roman" w:hAnsi="Times New Roman" w:cs="Times New Roman"/>
          <w:noProof/>
          <w:color w:val="000000" w:themeColor="text1"/>
          <w:sz w:val="24"/>
          <w:szCs w:val="24"/>
        </w:rPr>
        <w:t>cluding the Constitutional Court. The clearance rate is lowest in the appeal courts and in particular at the Administrative Appeal Court (backlog of 12 798 cases in June 2019 compared to 11 401 in December 2018). This is due to a high number of appeals and</w:t>
      </w:r>
      <w:r>
        <w:rPr>
          <w:rFonts w:ascii="Times New Roman" w:eastAsia="Times New Roman" w:hAnsi="Times New Roman" w:cs="Times New Roman"/>
          <w:noProof/>
          <w:color w:val="000000" w:themeColor="text1"/>
          <w:sz w:val="24"/>
          <w:szCs w:val="24"/>
        </w:rPr>
        <w:t xml:space="preserve"> the low number of judges allocated to the Administrative Appeal Court. </w:t>
      </w:r>
    </w:p>
    <w:p w:rsidR="00EE1719" w:rsidRDefault="000E39BA">
      <w:pPr>
        <w:widowControl w:val="0"/>
        <w:spacing w:after="120" w:line="240" w:lineRule="auto"/>
        <w:jc w:val="both"/>
        <w:rPr>
          <w:rFonts w:ascii="Times New Roman" w:eastAsia="Arial Unicode MS" w:hAnsi="Times New Roman" w:cs="Times New Roman"/>
          <w:noProof/>
          <w:color w:val="000000" w:themeColor="text1"/>
          <w:sz w:val="24"/>
          <w:szCs w:val="24"/>
          <w:lang w:eastAsia="ar-SA"/>
        </w:rPr>
      </w:pPr>
      <w:r>
        <w:rPr>
          <w:rFonts w:ascii="Times New Roman" w:eastAsia="Arial Unicode MS" w:hAnsi="Times New Roman" w:cs="Times New Roman"/>
          <w:noProof/>
          <w:color w:val="000000" w:themeColor="text1"/>
          <w:sz w:val="24"/>
          <w:szCs w:val="24"/>
          <w:lang w:eastAsia="ar-SA"/>
        </w:rPr>
        <w:t>Vacancies in the judiciary have contributed to an increased backlog of cases. The High Court has made some progress with the processing of pending cases after resuming its judicial fu</w:t>
      </w:r>
      <w:r>
        <w:rPr>
          <w:rFonts w:ascii="Times New Roman" w:eastAsia="Arial Unicode MS" w:hAnsi="Times New Roman" w:cs="Times New Roman"/>
          <w:noProof/>
          <w:color w:val="000000" w:themeColor="text1"/>
          <w:sz w:val="24"/>
          <w:szCs w:val="24"/>
          <w:lang w:eastAsia="ar-SA"/>
        </w:rPr>
        <w:t xml:space="preserve">nctions in March 2019, however its backlog remains particularly high, with over 35 000 pending cases. A comprehensive strategy is necessary to address this backlog, including effective measures to continue </w:t>
      </w:r>
      <w:r>
        <w:rPr>
          <w:rFonts w:ascii="Times New Roman" w:eastAsia="Times New Roman" w:hAnsi="Times New Roman" w:cs="Times New Roman"/>
          <w:noProof/>
          <w:color w:val="000000" w:themeColor="text1"/>
          <w:sz w:val="24"/>
          <w:szCs w:val="24"/>
        </w:rPr>
        <w:t>the progress in the recruitment of new magistrates</w:t>
      </w:r>
      <w:r>
        <w:rPr>
          <w:rFonts w:ascii="Times New Roman" w:eastAsia="Arial Unicode MS" w:hAnsi="Times New Roman" w:cs="Times New Roman"/>
          <w:noProof/>
          <w:color w:val="000000" w:themeColor="text1"/>
          <w:sz w:val="24"/>
          <w:szCs w:val="24"/>
          <w:lang w:eastAsia="ar-SA"/>
        </w:rPr>
        <w:t>. Measures for re-distribution and transfer of judges and prosecutors to priority vacancies have had limited impact. Further efficiency measures should be implemented with priority, including a new judicial map and measures to address the backlog of cases.</w:t>
      </w:r>
      <w:r>
        <w:rPr>
          <w:rFonts w:ascii="Times New Roman" w:eastAsia="Arial Unicode MS" w:hAnsi="Times New Roman" w:cs="Times New Roman"/>
          <w:noProof/>
          <w:color w:val="000000" w:themeColor="text1"/>
          <w:sz w:val="24"/>
          <w:szCs w:val="24"/>
          <w:lang w:eastAsia="ar-SA"/>
        </w:rPr>
        <w:t xml:space="preserve"> </w:t>
      </w:r>
    </w:p>
    <w:p w:rsidR="00EE1719" w:rsidRDefault="000E39BA">
      <w:pPr>
        <w:widowControl w:val="0"/>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There are 36 cases pending before the Council of Europe Committee of Ministers for supervision of execution of final judgements of the European Court of Human Rights.</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Changes in the procedural codes under the reform have provided for improved legal provi</w:t>
      </w:r>
      <w:r>
        <w:rPr>
          <w:rFonts w:ascii="Times New Roman" w:eastAsia="Times New Roman" w:hAnsi="Times New Roman" w:cs="Times New Roman"/>
          <w:noProof/>
          <w:color w:val="000000" w:themeColor="text1"/>
          <w:sz w:val="24"/>
          <w:szCs w:val="24"/>
        </w:rPr>
        <w:t xml:space="preserve">sions on the length of proceedings. However, correct implementation of these improved legal provisions requires more training for judges and lawyers. </w:t>
      </w:r>
    </w:p>
    <w:p w:rsidR="00EE1719" w:rsidRDefault="000E39BA">
      <w:pPr>
        <w:widowControl w:val="0"/>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 use of </w:t>
      </w:r>
      <w:r>
        <w:rPr>
          <w:rFonts w:ascii="Times New Roman" w:eastAsia="Times New Roman" w:hAnsi="Times New Roman" w:cs="Times New Roman"/>
          <w:b/>
          <w:noProof/>
          <w:color w:val="000000" w:themeColor="text1"/>
          <w:sz w:val="24"/>
          <w:szCs w:val="24"/>
        </w:rPr>
        <w:t>alternative dispute resolution</w:t>
      </w:r>
      <w:r>
        <w:rPr>
          <w:rFonts w:ascii="Times New Roman" w:eastAsia="Times New Roman" w:hAnsi="Times New Roman" w:cs="Times New Roman"/>
          <w:noProof/>
          <w:color w:val="000000" w:themeColor="text1"/>
          <w:sz w:val="24"/>
          <w:szCs w:val="24"/>
        </w:rPr>
        <w:t xml:space="preserve"> continues to be limited and needs to be further strengthened. </w:t>
      </w:r>
    </w:p>
    <w:p w:rsidR="00EE1719" w:rsidRDefault="000E39BA">
      <w:pPr>
        <w:widowControl w:val="0"/>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In addition to the overall length of court proceedings, the execution of court decisions remains a cause of concern. Since the introduction of the private offices’ service, enforcement of court decisions has improved, but is should still be addressed as a </w:t>
      </w:r>
      <w:r>
        <w:rPr>
          <w:rFonts w:ascii="Times New Roman" w:eastAsia="Times New Roman" w:hAnsi="Times New Roman" w:cs="Times New Roman"/>
          <w:noProof/>
          <w:color w:val="000000" w:themeColor="text1"/>
          <w:sz w:val="24"/>
          <w:szCs w:val="24"/>
        </w:rPr>
        <w:t xml:space="preserve">priority. </w:t>
      </w:r>
    </w:p>
    <w:p w:rsidR="00EE1719" w:rsidRDefault="000E39BA">
      <w:pPr>
        <w:autoSpaceDE w:val="0"/>
        <w:autoSpaceDN w:val="0"/>
        <w:adjustRightInd w:val="0"/>
        <w:spacing w:after="120" w:line="240" w:lineRule="auto"/>
        <w:jc w:val="both"/>
        <w:rPr>
          <w:rFonts w:ascii="Times New Roman" w:eastAsia="Times New Roman" w:hAnsi="Times New Roman" w:cs="Times New Roman"/>
          <w:b/>
          <w:noProof/>
          <w:color w:val="000000" w:themeColor="text1"/>
          <w:sz w:val="24"/>
          <w:szCs w:val="24"/>
        </w:rPr>
      </w:pPr>
      <w:r>
        <w:rPr>
          <w:rFonts w:ascii="Times New Roman" w:eastAsia="Times New Roman" w:hAnsi="Times New Roman" w:cs="Times New Roman"/>
          <w:b/>
          <w:noProof/>
          <w:color w:val="000000" w:themeColor="text1"/>
          <w:sz w:val="24"/>
          <w:szCs w:val="24"/>
        </w:rPr>
        <w:t>Fight against corruption</w:t>
      </w:r>
    </w:p>
    <w:p w:rsidR="00EE1719" w:rsidRDefault="000E39B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Times New Roman" w:hAnsi="Times New Roman" w:cs="Times New Roman"/>
          <w:noProof/>
          <w:color w:val="000000" w:themeColor="text1"/>
          <w:sz w:val="24"/>
          <w:szCs w:val="24"/>
        </w:rPr>
        <w:t>Albania has</w:t>
      </w:r>
      <w:r>
        <w:rPr>
          <w:rFonts w:ascii="Times New Roman" w:eastAsia="Times New Roman" w:hAnsi="Times New Roman" w:cs="Times New Roman"/>
          <w:b/>
          <w:noProof/>
          <w:color w:val="000000" w:themeColor="text1"/>
          <w:sz w:val="24"/>
          <w:szCs w:val="24"/>
        </w:rPr>
        <w:t xml:space="preserve"> some level of preparation</w:t>
      </w:r>
      <w:r>
        <w:rPr>
          <w:rFonts w:ascii="Times New Roman" w:eastAsia="Times New Roman" w:hAnsi="Times New Roman" w:cs="Times New Roman"/>
          <w:noProof/>
          <w:color w:val="000000" w:themeColor="text1"/>
          <w:sz w:val="24"/>
          <w:szCs w:val="24"/>
        </w:rPr>
        <w:t xml:space="preserve"> in the fight against corruption. </w:t>
      </w:r>
      <w:r>
        <w:rPr>
          <w:rFonts w:ascii="Times New Roman" w:eastAsia="Times New Roman" w:hAnsi="Times New Roman" w:cs="Times New Roman"/>
          <w:b/>
          <w:noProof/>
          <w:color w:val="000000" w:themeColor="text1"/>
          <w:sz w:val="24"/>
          <w:szCs w:val="24"/>
        </w:rPr>
        <w:t>Good progress</w:t>
      </w:r>
      <w:r>
        <w:rPr>
          <w:rFonts w:ascii="Times New Roman" w:eastAsia="Times New Roman" w:hAnsi="Times New Roman" w:cs="Times New Roman"/>
          <w:noProof/>
          <w:color w:val="000000" w:themeColor="text1"/>
          <w:sz w:val="24"/>
          <w:szCs w:val="24"/>
        </w:rPr>
        <w:t xml:space="preserve"> was made in strengthening the fight against corruption</w:t>
      </w:r>
      <w:r>
        <w:rPr>
          <w:rFonts w:ascii="Times New Roman" w:eastAsia="Times New Roman" w:hAnsi="Times New Roman" w:cs="Times New Roman"/>
          <w:i/>
          <w:noProof/>
          <w:color w:val="000000" w:themeColor="text1"/>
          <w:sz w:val="24"/>
          <w:szCs w:val="24"/>
        </w:rPr>
        <w:t>.</w:t>
      </w:r>
      <w:r>
        <w:rPr>
          <w:rFonts w:ascii="Times New Roman" w:eastAsia="Times New Roman" w:hAnsi="Times New Roman" w:cs="Times New Roman"/>
          <w:noProof/>
          <w:color w:val="000000" w:themeColor="text1"/>
          <w:sz w:val="24"/>
          <w:szCs w:val="24"/>
        </w:rPr>
        <w:t xml:space="preserve"> Progress was achieved with the adoption of the new action plan 2020-2023 for the implementation of the Inter-sectoral Strategy against Corruption; the amendments to the Law on Political Party Financing and Electoral Code as well as the adoption of a new L</w:t>
      </w:r>
      <w:r>
        <w:rPr>
          <w:rFonts w:ascii="Times New Roman" w:eastAsia="Times New Roman" w:hAnsi="Times New Roman" w:cs="Times New Roman"/>
          <w:noProof/>
          <w:color w:val="000000" w:themeColor="text1"/>
          <w:sz w:val="24"/>
          <w:szCs w:val="24"/>
        </w:rPr>
        <w:t>aw on the Administration of seized and confiscated assets. The ongoing</w:t>
      </w:r>
      <w:r>
        <w:rPr>
          <w:rFonts w:ascii="Times New Roman" w:eastAsia="Calibri" w:hAnsi="Times New Roman" w:cs="Times New Roman"/>
          <w:bCs/>
          <w:noProof/>
          <w:color w:val="000000" w:themeColor="text1"/>
          <w:sz w:val="24"/>
          <w:szCs w:val="24"/>
        </w:rPr>
        <w:t xml:space="preserve"> vetting of members of the judiciary as well as of the police </w:t>
      </w:r>
      <w:r>
        <w:rPr>
          <w:rFonts w:ascii="Times New Roman" w:eastAsia="Calibri" w:hAnsi="Times New Roman" w:cs="Times New Roman"/>
          <w:bCs/>
          <w:noProof/>
          <w:color w:val="000000" w:themeColor="text1"/>
          <w:sz w:val="24"/>
          <w:szCs w:val="24"/>
          <w:lang w:eastAsia="en-US"/>
        </w:rPr>
        <w:t>are also bringing r</w:t>
      </w:r>
      <w:r>
        <w:rPr>
          <w:rFonts w:ascii="Times New Roman" w:eastAsia="Calibri" w:hAnsi="Times New Roman" w:cs="Times New Roman"/>
          <w:bCs/>
          <w:noProof/>
          <w:color w:val="000000" w:themeColor="text1"/>
          <w:sz w:val="24"/>
          <w:szCs w:val="24"/>
        </w:rPr>
        <w:t xml:space="preserve">esults in the fight against corruption. </w:t>
      </w:r>
      <w:r>
        <w:rPr>
          <w:rFonts w:ascii="Times New Roman" w:eastAsia="Calibri" w:hAnsi="Times New Roman" w:cs="Times New Roman"/>
          <w:noProof/>
          <w:color w:val="000000" w:themeColor="text1"/>
          <w:sz w:val="24"/>
          <w:szCs w:val="24"/>
          <w:lang w:eastAsia="en-US"/>
        </w:rPr>
        <w:t>The operational capacity for dealing with corruption cases is ove</w:t>
      </w:r>
      <w:r>
        <w:rPr>
          <w:rFonts w:ascii="Times New Roman" w:eastAsia="Calibri" w:hAnsi="Times New Roman" w:cs="Times New Roman"/>
          <w:noProof/>
          <w:color w:val="000000" w:themeColor="text1"/>
          <w:sz w:val="24"/>
          <w:szCs w:val="24"/>
          <w:lang w:eastAsia="en-US"/>
        </w:rPr>
        <w:t xml:space="preserve">rall sufficient and institutional coordination and monitoring structures are being strengthened. </w:t>
      </w:r>
      <w:r>
        <w:rPr>
          <w:rFonts w:ascii="Times New Roman" w:eastAsia="Times New Roman" w:hAnsi="Times New Roman" w:cs="Times New Roman"/>
          <w:noProof/>
          <w:color w:val="000000" w:themeColor="text1"/>
          <w:sz w:val="24"/>
          <w:szCs w:val="24"/>
        </w:rPr>
        <w:t>The establishment of an Anti-corruption Task Force has increased the proactivity of administrative investigations and the creation of a dedicated Anti-corrupti</w:t>
      </w:r>
      <w:r>
        <w:rPr>
          <w:rFonts w:ascii="Times New Roman" w:eastAsia="Times New Roman" w:hAnsi="Times New Roman" w:cs="Times New Roman"/>
          <w:noProof/>
          <w:color w:val="000000" w:themeColor="text1"/>
          <w:sz w:val="24"/>
          <w:szCs w:val="24"/>
        </w:rPr>
        <w:t xml:space="preserve">on Directorate </w:t>
      </w:r>
      <w:r>
        <w:rPr>
          <w:rFonts w:ascii="Times New Roman" w:eastAsia="Calibri" w:hAnsi="Times New Roman" w:cs="Times New Roman"/>
          <w:bCs/>
          <w:noProof/>
          <w:color w:val="000000" w:themeColor="text1"/>
          <w:sz w:val="24"/>
          <w:szCs w:val="24"/>
          <w:lang w:eastAsia="en-US"/>
        </w:rPr>
        <w:t xml:space="preserve">contributes to better performance on </w:t>
      </w:r>
      <w:r>
        <w:rPr>
          <w:rFonts w:ascii="Times New Roman" w:eastAsia="Calibri" w:hAnsi="Times New Roman" w:cs="Times New Roman"/>
          <w:noProof/>
          <w:color w:val="000000" w:themeColor="text1"/>
          <w:sz w:val="24"/>
          <w:szCs w:val="24"/>
          <w:lang w:eastAsia="en-US"/>
        </w:rPr>
        <w:t>investigating, prosecuting and trying high-level corruption cases. The creation of a network of anti-corruption coordinators in 16 agencies in 2019 has also contributed to improving the effectiveness in t</w:t>
      </w:r>
      <w:r>
        <w:rPr>
          <w:rFonts w:ascii="Times New Roman" w:eastAsia="Calibri" w:hAnsi="Times New Roman" w:cs="Times New Roman"/>
          <w:noProof/>
          <w:color w:val="000000" w:themeColor="text1"/>
          <w:sz w:val="24"/>
          <w:szCs w:val="24"/>
          <w:lang w:eastAsia="en-US"/>
        </w:rPr>
        <w:t>he fight against corruption. An Asset Recovery Office still needs to be set up.</w:t>
      </w:r>
      <w:r>
        <w:rPr>
          <w:rFonts w:ascii="Times New Roman" w:eastAsia="Times New Roman" w:hAnsi="Times New Roman" w:cs="Times New Roman"/>
          <w:noProof/>
          <w:color w:val="000000" w:themeColor="text1"/>
          <w:sz w:val="24"/>
          <w:szCs w:val="24"/>
        </w:rPr>
        <w:t xml:space="preserve"> The recommendations of the last annual report were partially implemented. Efforts should continue towards consolidating a track record of seizure and confiscation/recovery of c</w:t>
      </w:r>
      <w:r>
        <w:rPr>
          <w:rFonts w:ascii="Times New Roman" w:eastAsia="Times New Roman" w:hAnsi="Times New Roman" w:cs="Times New Roman"/>
          <w:noProof/>
          <w:color w:val="000000" w:themeColor="text1"/>
          <w:sz w:val="24"/>
          <w:szCs w:val="24"/>
        </w:rPr>
        <w:t>riminal assets resulting from corruption-related offences. Direct access to databases for prosecutors and the police continued to improve.</w:t>
      </w:r>
      <w:r>
        <w:rPr>
          <w:rFonts w:ascii="Times New Roman" w:eastAsia="Calibri" w:hAnsi="Times New Roman" w:cs="Times New Roman"/>
          <w:noProof/>
          <w:color w:val="000000" w:themeColor="text1"/>
          <w:sz w:val="24"/>
          <w:szCs w:val="24"/>
          <w:lang w:eastAsia="en-US"/>
        </w:rPr>
        <w:t xml:space="preserve"> Further efforts towards establishing a solid track record in the fight against corruption have been made. This remain</w:t>
      </w:r>
      <w:r>
        <w:rPr>
          <w:rFonts w:ascii="Times New Roman" w:eastAsia="Calibri" w:hAnsi="Times New Roman" w:cs="Times New Roman"/>
          <w:noProof/>
          <w:color w:val="000000" w:themeColor="text1"/>
          <w:sz w:val="24"/>
          <w:szCs w:val="24"/>
          <w:lang w:eastAsia="en-US"/>
        </w:rPr>
        <w:t>s a long-term objective</w:t>
      </w:r>
      <w:r>
        <w:rPr>
          <w:rFonts w:ascii="Times New Roman" w:eastAsia="Times New Roman" w:hAnsi="Times New Roman" w:cs="Times New Roman"/>
          <w:noProof/>
          <w:color w:val="000000" w:themeColor="text1"/>
          <w:sz w:val="24"/>
          <w:szCs w:val="24"/>
        </w:rPr>
        <w:t>. Overall, corruption is prevalent in many areas and remains an issue of concern.</w:t>
      </w:r>
      <w:r>
        <w:rPr>
          <w:rFonts w:ascii="Times New Roman" w:eastAsia="Calibri" w:hAnsi="Times New Roman" w:cs="Times New Roman"/>
          <w:noProof/>
          <w:color w:val="000000" w:themeColor="text1"/>
          <w:sz w:val="24"/>
          <w:szCs w:val="24"/>
          <w:lang w:eastAsia="en-US"/>
        </w:rPr>
        <w:t xml:space="preserve"> The justice response against high-level corruption has started to generate results, although convictions in cases involving high-level officials remain</w:t>
      </w:r>
      <w:r>
        <w:rPr>
          <w:rFonts w:ascii="Times New Roman" w:eastAsia="Calibri" w:hAnsi="Times New Roman" w:cs="Times New Roman"/>
          <w:noProof/>
          <w:color w:val="000000" w:themeColor="text1"/>
          <w:sz w:val="24"/>
          <w:szCs w:val="24"/>
          <w:lang w:eastAsia="en-US"/>
        </w:rPr>
        <w:t xml:space="preserve"> limited. </w:t>
      </w:r>
    </w:p>
    <w:p w:rsidR="00EE1719" w:rsidRDefault="000E39B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In the coming year, Albania should therefore:</w:t>
      </w:r>
    </w:p>
    <w:p w:rsidR="00EE1719" w:rsidRDefault="000E39BA">
      <w:pPr>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keep strengthening the fight against corruption; further progress towards establishing a solid track record of corruption cases, seizure and confiscation/recovery of criminal assets resulting from co</w:t>
      </w:r>
      <w:r>
        <w:rPr>
          <w:rFonts w:ascii="Times New Roman" w:eastAsia="Calibri" w:hAnsi="Times New Roman" w:cs="Times New Roman"/>
          <w:noProof/>
          <w:color w:val="000000" w:themeColor="text1"/>
          <w:sz w:val="24"/>
          <w:szCs w:val="24"/>
          <w:lang w:eastAsia="en-US"/>
        </w:rPr>
        <w:t>rruption-related offences; further increase the use of financial investigations;</w:t>
      </w:r>
    </w:p>
    <w:p w:rsidR="00EE1719" w:rsidRDefault="000E39BA">
      <w:pPr>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ensure that recently established specialised anti-corruption bodies of the Special Anti-Corruption and Organised Crime Structure (SPAK), i.e. the Special Prosecutor's Office (</w:t>
      </w:r>
      <w:r>
        <w:rPr>
          <w:rFonts w:ascii="Times New Roman" w:eastAsia="Calibri" w:hAnsi="Times New Roman" w:cs="Times New Roman"/>
          <w:noProof/>
          <w:color w:val="000000" w:themeColor="text1"/>
          <w:sz w:val="24"/>
          <w:szCs w:val="24"/>
          <w:lang w:eastAsia="en-US"/>
        </w:rPr>
        <w:t>SPO) and the National Bureau of Investigation (NBI), as well as the Anti-Corruption and Organised Crime courts are operational and effectively address high-level corruption; ensure adequate resources and cooperation between these new structures and with ot</w:t>
      </w:r>
      <w:r>
        <w:rPr>
          <w:rFonts w:ascii="Times New Roman" w:eastAsia="Calibri" w:hAnsi="Times New Roman" w:cs="Times New Roman"/>
          <w:noProof/>
          <w:color w:val="000000" w:themeColor="text1"/>
          <w:sz w:val="24"/>
          <w:szCs w:val="24"/>
          <w:lang w:eastAsia="en-US"/>
        </w:rPr>
        <w:t>her prosecution and judicial entities;</w:t>
      </w:r>
    </w:p>
    <w:p w:rsidR="00EE1719" w:rsidRDefault="000E39BA">
      <w:pPr>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bCs/>
          <w:noProof/>
          <w:color w:val="000000" w:themeColor="text1"/>
          <w:sz w:val="24"/>
          <w:szCs w:val="24"/>
          <w:lang w:eastAsia="en-US"/>
        </w:rPr>
        <w:t xml:space="preserve">continue to improve access to national electronic registries for law enforcement authorities. </w:t>
      </w:r>
    </w:p>
    <w:p w:rsidR="00EE1719" w:rsidRDefault="000E39BA">
      <w:pPr>
        <w:spacing w:after="120" w:line="240" w:lineRule="auto"/>
        <w:jc w:val="both"/>
        <w:rPr>
          <w:rFonts w:ascii="Times New Roman" w:eastAsia="Times New Roman" w:hAnsi="Times New Roman" w:cs="Times New Roman"/>
          <w:bCs/>
          <w:noProof/>
          <w:color w:val="000000" w:themeColor="text1"/>
          <w:sz w:val="24"/>
          <w:szCs w:val="24"/>
          <w:u w:val="single"/>
        </w:rPr>
      </w:pPr>
      <w:r>
        <w:rPr>
          <w:rFonts w:ascii="Times New Roman" w:eastAsia="Times New Roman" w:hAnsi="Times New Roman" w:cs="Times New Roman"/>
          <w:bCs/>
          <w:noProof/>
          <w:color w:val="000000" w:themeColor="text1"/>
          <w:sz w:val="24"/>
          <w:szCs w:val="24"/>
          <w:u w:val="single"/>
        </w:rPr>
        <w:t>Track record</w:t>
      </w:r>
    </w:p>
    <w:p w:rsidR="00EE1719" w:rsidRDefault="000E39BA">
      <w:pPr>
        <w:spacing w:after="120" w:line="240" w:lineRule="auto"/>
        <w:jc w:val="both"/>
        <w:rPr>
          <w:rFonts w:ascii="Times New Roman" w:eastAsia="Times New Roman" w:hAnsi="Times New Roman" w:cs="Times New Roman"/>
          <w:noProof/>
          <w:color w:val="000000" w:themeColor="text1"/>
          <w:sz w:val="24"/>
          <w:szCs w:val="24"/>
          <w:lang w:eastAsia="ar-SA"/>
        </w:rPr>
      </w:pPr>
      <w:r>
        <w:rPr>
          <w:rFonts w:ascii="Times New Roman" w:eastAsia="Times New Roman" w:hAnsi="Times New Roman" w:cs="Times New Roman"/>
          <w:noProof/>
          <w:color w:val="000000" w:themeColor="text1"/>
          <w:sz w:val="24"/>
          <w:szCs w:val="24"/>
          <w:lang w:eastAsia="ar-SA"/>
        </w:rPr>
        <w:t xml:space="preserve">Further efforts were made as regards the </w:t>
      </w:r>
      <w:r>
        <w:rPr>
          <w:rFonts w:ascii="Times New Roman" w:eastAsia="Times New Roman" w:hAnsi="Times New Roman" w:cs="Times New Roman"/>
          <w:iCs/>
          <w:noProof/>
          <w:color w:val="000000" w:themeColor="text1"/>
          <w:sz w:val="24"/>
          <w:szCs w:val="24"/>
          <w:lang w:eastAsia="ar-SA"/>
        </w:rPr>
        <w:t>track record</w:t>
      </w:r>
      <w:r>
        <w:rPr>
          <w:rFonts w:ascii="Times New Roman" w:eastAsia="Times New Roman" w:hAnsi="Times New Roman" w:cs="Times New Roman"/>
          <w:noProof/>
          <w:color w:val="000000" w:themeColor="text1"/>
          <w:sz w:val="24"/>
          <w:szCs w:val="24"/>
          <w:lang w:eastAsia="ar-SA"/>
        </w:rPr>
        <w:t xml:space="preserve"> of </w:t>
      </w:r>
      <w:r>
        <w:rPr>
          <w:rFonts w:ascii="Times New Roman" w:eastAsia="Times New Roman" w:hAnsi="Times New Roman" w:cs="Times New Roman"/>
          <w:b/>
          <w:noProof/>
          <w:color w:val="000000" w:themeColor="text1"/>
          <w:sz w:val="24"/>
          <w:szCs w:val="24"/>
          <w:lang w:eastAsia="ar-SA"/>
        </w:rPr>
        <w:t>investigations, prosecutions and convictions</w:t>
      </w:r>
      <w:r>
        <w:rPr>
          <w:rFonts w:ascii="Times New Roman" w:eastAsia="Times New Roman" w:hAnsi="Times New Roman" w:cs="Times New Roman"/>
          <w:noProof/>
          <w:color w:val="000000" w:themeColor="text1"/>
          <w:sz w:val="24"/>
          <w:szCs w:val="24"/>
          <w:lang w:eastAsia="ar-SA"/>
        </w:rPr>
        <w:t xml:space="preserve"> in the fight against corruption, although it remains a long-term objective that requires further structured and consistent actions. There were 246 final convictions involving junior or middle-ranking officials </w:t>
      </w:r>
      <w:r>
        <w:rPr>
          <w:rFonts w:ascii="Times New Roman" w:eastAsia="Times New Roman" w:hAnsi="Times New Roman" w:cs="Times New Roman"/>
          <w:noProof/>
          <w:color w:val="000000" w:themeColor="text1"/>
          <w:sz w:val="24"/>
          <w:szCs w:val="24"/>
        </w:rPr>
        <w:t>in 2019 (289 in 2018)</w:t>
      </w:r>
      <w:r>
        <w:rPr>
          <w:rFonts w:ascii="Times New Roman" w:eastAsia="Times New Roman" w:hAnsi="Times New Roman" w:cs="Times New Roman"/>
          <w:noProof/>
          <w:color w:val="000000" w:themeColor="text1"/>
          <w:sz w:val="24"/>
          <w:szCs w:val="24"/>
          <w:lang w:eastAsia="ar-SA"/>
        </w:rPr>
        <w:t xml:space="preserve">. The overall number of </w:t>
      </w:r>
      <w:r>
        <w:rPr>
          <w:rFonts w:ascii="Times New Roman" w:eastAsia="Times New Roman" w:hAnsi="Times New Roman" w:cs="Times New Roman"/>
          <w:noProof/>
          <w:color w:val="000000" w:themeColor="text1"/>
          <w:sz w:val="24"/>
          <w:szCs w:val="24"/>
          <w:lang w:eastAsia="ar-SA"/>
        </w:rPr>
        <w:t>referrals to the prosecution increased to 2,257 in 2019 (</w:t>
      </w:r>
      <w:r>
        <w:rPr>
          <w:rFonts w:ascii="Times New Roman" w:eastAsia="SymbolMT" w:hAnsi="Times New Roman" w:cs="Times New Roman"/>
          <w:noProof/>
          <w:color w:val="000000" w:themeColor="text1"/>
          <w:sz w:val="24"/>
          <w:szCs w:val="24"/>
        </w:rPr>
        <w:t>2,126 in 2018).</w:t>
      </w:r>
    </w:p>
    <w:p w:rsidR="00EE1719" w:rsidRDefault="000E39BA">
      <w:pPr>
        <w:spacing w:after="120" w:line="240" w:lineRule="auto"/>
        <w:jc w:val="both"/>
        <w:rPr>
          <w:rFonts w:ascii="Times New Roman" w:eastAsia="Times New Roman" w:hAnsi="Times New Roman" w:cs="Times New Roman"/>
          <w:noProof/>
          <w:color w:val="000000" w:themeColor="text1"/>
          <w:sz w:val="24"/>
          <w:szCs w:val="24"/>
          <w:lang w:eastAsia="en-US"/>
        </w:rPr>
      </w:pPr>
      <w:r>
        <w:rPr>
          <w:rFonts w:ascii="Times New Roman" w:eastAsia="Times New Roman" w:hAnsi="Times New Roman" w:cs="Times New Roman"/>
          <w:noProof/>
          <w:color w:val="000000" w:themeColor="text1"/>
          <w:sz w:val="24"/>
          <w:szCs w:val="24"/>
          <w:lang w:eastAsia="ar-SA"/>
        </w:rPr>
        <w:t xml:space="preserve">On convictions of </w:t>
      </w:r>
      <w:r>
        <w:rPr>
          <w:rFonts w:ascii="Times New Roman" w:eastAsia="Times New Roman" w:hAnsi="Times New Roman" w:cs="Times New Roman"/>
          <w:b/>
          <w:noProof/>
          <w:color w:val="000000" w:themeColor="text1"/>
          <w:sz w:val="24"/>
          <w:szCs w:val="24"/>
          <w:lang w:eastAsia="ar-SA"/>
        </w:rPr>
        <w:t>high-level state officials</w:t>
      </w:r>
      <w:r>
        <w:rPr>
          <w:rFonts w:ascii="Times New Roman" w:eastAsia="Times New Roman" w:hAnsi="Times New Roman" w:cs="Times New Roman"/>
          <w:noProof/>
          <w:color w:val="000000" w:themeColor="text1"/>
          <w:sz w:val="24"/>
          <w:szCs w:val="24"/>
          <w:lang w:eastAsia="ar-SA"/>
        </w:rPr>
        <w:t>, the judiciary has achieved some results. In 2019, three Judges of the Serious Crimes Court of Appeals were found guilty of passive corrup</w:t>
      </w:r>
      <w:r>
        <w:rPr>
          <w:rFonts w:ascii="Times New Roman" w:eastAsia="Times New Roman" w:hAnsi="Times New Roman" w:cs="Times New Roman"/>
          <w:noProof/>
          <w:color w:val="000000" w:themeColor="text1"/>
          <w:sz w:val="24"/>
          <w:szCs w:val="24"/>
          <w:lang w:eastAsia="ar-SA"/>
        </w:rPr>
        <w:t xml:space="preserve">tion and a High Court Judge was sentenced to prison for falsification of documents. There were 98 new cases opened at prosecution level against high-level state officials in 2019 (10 persons indicted) against 102 cases in 2018 (7 persons indicted). </w:t>
      </w:r>
      <w:r>
        <w:rPr>
          <w:rFonts w:ascii="Times New Roman" w:eastAsia="Times New Roman" w:hAnsi="Times New Roman" w:cs="Times New Roman"/>
          <w:noProof/>
          <w:color w:val="000000" w:themeColor="text1"/>
          <w:sz w:val="24"/>
          <w:szCs w:val="24"/>
          <w:lang w:eastAsia="en-US"/>
        </w:rPr>
        <w:t>Investi</w:t>
      </w:r>
      <w:r>
        <w:rPr>
          <w:rFonts w:ascii="Times New Roman" w:eastAsia="Times New Roman" w:hAnsi="Times New Roman" w:cs="Times New Roman"/>
          <w:noProof/>
          <w:color w:val="000000" w:themeColor="text1"/>
          <w:sz w:val="24"/>
          <w:szCs w:val="24"/>
          <w:lang w:eastAsia="en-US"/>
        </w:rPr>
        <w:t>gations have so far not resulted in a substantial number of final convictions of high-ranking state officials. This fosters a culture of impunity within the higher levels of the State.</w:t>
      </w:r>
    </w:p>
    <w:p w:rsidR="00EE1719" w:rsidRDefault="000E39BA">
      <w:pPr>
        <w:spacing w:after="120" w:line="240" w:lineRule="auto"/>
        <w:jc w:val="both"/>
        <w:rPr>
          <w:rFonts w:ascii="Times New Roman" w:eastAsia="Calibri" w:hAnsi="Times New Roman" w:cs="Times New Roman"/>
          <w:bCs/>
          <w:noProof/>
          <w:color w:val="000000" w:themeColor="text1"/>
          <w:sz w:val="24"/>
          <w:szCs w:val="24"/>
        </w:rPr>
      </w:pPr>
      <w:r>
        <w:rPr>
          <w:rFonts w:ascii="Times New Roman" w:eastAsia="Calibri" w:hAnsi="Times New Roman" w:cs="Times New Roman"/>
          <w:bCs/>
          <w:noProof/>
          <w:color w:val="000000" w:themeColor="text1"/>
          <w:sz w:val="24"/>
          <w:szCs w:val="24"/>
        </w:rPr>
        <w:t xml:space="preserve">The vetting of members of the judiciary has had an impact on the fight </w:t>
      </w:r>
      <w:r>
        <w:rPr>
          <w:rFonts w:ascii="Times New Roman" w:eastAsia="Calibri" w:hAnsi="Times New Roman" w:cs="Times New Roman"/>
          <w:bCs/>
          <w:noProof/>
          <w:color w:val="000000" w:themeColor="text1"/>
          <w:sz w:val="24"/>
          <w:szCs w:val="24"/>
        </w:rPr>
        <w:t>against corruption.</w:t>
      </w:r>
      <w:r>
        <w:rPr>
          <w:rFonts w:ascii="Times New Roman" w:eastAsia="Calibri" w:hAnsi="Times New Roman" w:cs="Times New Roman"/>
          <w:bCs/>
          <w:noProof/>
          <w:color w:val="000000" w:themeColor="text1"/>
          <w:sz w:val="24"/>
          <w:szCs w:val="24"/>
          <w:lang w:eastAsia="en-US"/>
        </w:rPr>
        <w:t xml:space="preserve"> </w:t>
      </w:r>
      <w:r>
        <w:rPr>
          <w:rFonts w:ascii="Times New Roman" w:eastAsia="Calibri" w:hAnsi="Times New Roman" w:cs="Times New Roman"/>
          <w:bCs/>
          <w:noProof/>
          <w:color w:val="000000" w:themeColor="text1"/>
          <w:sz w:val="24"/>
          <w:szCs w:val="24"/>
        </w:rPr>
        <w:t>Of the more than 286 magistrates that underwent vetting, so far 62% have been dismissed from office, mostly for issues related to unjustified assets, or resigned. Among the high-ranking magistrates, eight out of nine Constitutional Cour</w:t>
      </w:r>
      <w:r>
        <w:rPr>
          <w:rFonts w:ascii="Times New Roman" w:eastAsia="Calibri" w:hAnsi="Times New Roman" w:cs="Times New Roman"/>
          <w:bCs/>
          <w:noProof/>
          <w:color w:val="000000" w:themeColor="text1"/>
          <w:sz w:val="24"/>
          <w:szCs w:val="24"/>
        </w:rPr>
        <w:t xml:space="preserve">t judges and 15 out of 18 High Court judges have been dismissed through the vetting or have resigned. </w:t>
      </w:r>
      <w:r>
        <w:rPr>
          <w:rStyle w:val="bumpedfont15"/>
          <w:rFonts w:ascii="Times New Roman" w:hAnsi="Times New Roman" w:cs="Times New Roman"/>
          <w:noProof/>
          <w:color w:val="000000" w:themeColor="text1"/>
          <w:sz w:val="24"/>
          <w:szCs w:val="24"/>
        </w:rPr>
        <w:t>The SPO has started criminal proceedings against 23 former magistrates, including 9 cases concerning High Court and Constitutional Court judges. Asset inv</w:t>
      </w:r>
      <w:r>
        <w:rPr>
          <w:rStyle w:val="bumpedfont15"/>
          <w:rFonts w:ascii="Times New Roman" w:hAnsi="Times New Roman" w:cs="Times New Roman"/>
          <w:noProof/>
          <w:color w:val="000000" w:themeColor="text1"/>
          <w:sz w:val="24"/>
          <w:szCs w:val="24"/>
        </w:rPr>
        <w:t xml:space="preserve">estigations are underway in all cases. </w:t>
      </w:r>
      <w:r>
        <w:rPr>
          <w:rFonts w:ascii="Times New Roman" w:eastAsia="Calibri" w:hAnsi="Times New Roman" w:cs="Times New Roman"/>
          <w:bCs/>
          <w:noProof/>
          <w:color w:val="000000" w:themeColor="text1"/>
          <w:sz w:val="24"/>
          <w:szCs w:val="24"/>
        </w:rPr>
        <w:t>The vetting of the State Police, Guard of the Republic and Service for Internal Affairs and Complaints (SIAC) has begun with the first 45 out of 300 high level officials vetted, leading so far to one dismissal and one</w:t>
      </w:r>
      <w:r>
        <w:rPr>
          <w:rFonts w:ascii="Times New Roman" w:eastAsia="Calibri" w:hAnsi="Times New Roman" w:cs="Times New Roman"/>
          <w:bCs/>
          <w:noProof/>
          <w:color w:val="000000" w:themeColor="text1"/>
          <w:sz w:val="24"/>
          <w:szCs w:val="24"/>
        </w:rPr>
        <w:t xml:space="preserve"> resignation. The vetting process and its results remain crucial to restore public trust in the judiciary and law enforcement bodies of the State. </w:t>
      </w:r>
    </w:p>
    <w:p w:rsidR="00EE1719" w:rsidRDefault="000E39BA">
      <w:pPr>
        <w:spacing w:after="120" w:line="240" w:lineRule="auto"/>
        <w:jc w:val="both"/>
        <w:rPr>
          <w:rFonts w:ascii="Times New Roman" w:eastAsia="Calibri" w:hAnsi="Times New Roman" w:cs="Times New Roman"/>
          <w:bCs/>
          <w:noProof/>
          <w:color w:val="000000" w:themeColor="text1"/>
          <w:sz w:val="24"/>
          <w:szCs w:val="24"/>
        </w:rPr>
      </w:pPr>
      <w:r>
        <w:rPr>
          <w:rFonts w:ascii="Times New Roman" w:eastAsia="Arial Unicode MS" w:hAnsi="Times New Roman" w:cs="Times New Roman"/>
          <w:noProof/>
          <w:color w:val="000000" w:themeColor="text1"/>
          <w:sz w:val="24"/>
          <w:szCs w:val="24"/>
          <w:lang w:eastAsia="ar-SA"/>
        </w:rPr>
        <w:t xml:space="preserve">Reaching final convictions in high-level corruption cases remains an important priority and data collection </w:t>
      </w:r>
      <w:r>
        <w:rPr>
          <w:rFonts w:ascii="Times New Roman" w:eastAsia="Arial Unicode MS" w:hAnsi="Times New Roman" w:cs="Times New Roman"/>
          <w:noProof/>
          <w:color w:val="000000" w:themeColor="text1"/>
          <w:sz w:val="24"/>
          <w:szCs w:val="24"/>
          <w:lang w:eastAsia="ar-SA"/>
        </w:rPr>
        <w:t>methodology for both corruption and organised crime cases is yet to be further improved. Ensuring efficient operation of SPAK and NBI work will be of key importance in the upcoming months in order to minimise the backlog of sensitive/high-level cases. Dist</w:t>
      </w:r>
      <w:r>
        <w:rPr>
          <w:rFonts w:ascii="Times New Roman" w:eastAsia="Arial Unicode MS" w:hAnsi="Times New Roman" w:cs="Times New Roman"/>
          <w:noProof/>
          <w:color w:val="000000" w:themeColor="text1"/>
          <w:sz w:val="24"/>
          <w:szCs w:val="24"/>
          <w:lang w:eastAsia="ar-SA"/>
        </w:rPr>
        <w:t>rict law enforcement authorities will have to be strengthened in order to efficiently deal with special cases not covered by the SPAK and NBI mandate. Cooperation between these different instances must be effective. The newly created special Anti-corruptio</w:t>
      </w:r>
      <w:r>
        <w:rPr>
          <w:rFonts w:ascii="Times New Roman" w:eastAsia="Arial Unicode MS" w:hAnsi="Times New Roman" w:cs="Times New Roman"/>
          <w:noProof/>
          <w:color w:val="000000" w:themeColor="text1"/>
          <w:sz w:val="24"/>
          <w:szCs w:val="24"/>
          <w:lang w:eastAsia="ar-SA"/>
        </w:rPr>
        <w:t xml:space="preserve">n Directorate in the Ministry of Justice should reinforce internal coordination structures. Inter-institutional coordination against corruption will be streamlined, following the establishment of an anti-corruption and anti-evasion special unit within the </w:t>
      </w:r>
      <w:r>
        <w:rPr>
          <w:rFonts w:ascii="Times New Roman" w:eastAsia="Arial Unicode MS" w:hAnsi="Times New Roman" w:cs="Times New Roman"/>
          <w:noProof/>
          <w:color w:val="000000" w:themeColor="text1"/>
          <w:sz w:val="24"/>
          <w:szCs w:val="24"/>
          <w:lang w:eastAsia="ar-SA"/>
        </w:rPr>
        <w:t xml:space="preserve">Prime Minister’s office.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lang w:eastAsia="ar-SA"/>
        </w:rPr>
      </w:pPr>
      <w:r>
        <w:rPr>
          <w:rFonts w:ascii="Times New Roman" w:eastAsia="Times New Roman" w:hAnsi="Times New Roman" w:cs="Times New Roman"/>
          <w:noProof/>
          <w:color w:val="000000" w:themeColor="text1"/>
          <w:sz w:val="24"/>
          <w:szCs w:val="24"/>
          <w:lang w:eastAsia="en-US"/>
        </w:rPr>
        <w:t xml:space="preserve">On </w:t>
      </w:r>
      <w:r>
        <w:rPr>
          <w:rFonts w:ascii="Times New Roman" w:eastAsia="Times New Roman" w:hAnsi="Times New Roman" w:cs="Times New Roman"/>
          <w:b/>
          <w:iCs/>
          <w:noProof/>
          <w:color w:val="000000" w:themeColor="text1"/>
          <w:sz w:val="24"/>
          <w:szCs w:val="24"/>
          <w:lang w:eastAsia="en-US"/>
        </w:rPr>
        <w:t>asset declarations by high-level state officials</w:t>
      </w:r>
      <w:r>
        <w:rPr>
          <w:rFonts w:ascii="Times New Roman" w:eastAsia="Times New Roman" w:hAnsi="Times New Roman" w:cs="Times New Roman"/>
          <w:noProof/>
          <w:color w:val="000000" w:themeColor="text1"/>
          <w:sz w:val="24"/>
          <w:szCs w:val="24"/>
          <w:lang w:eastAsia="en-US"/>
        </w:rPr>
        <w:t>, in 2019 there were 7 cases referred by the High Inspectorate for the Declaration and Audit of Assets and Conflicts of Interest (HIDAACI) to the prosecution, one of which result</w:t>
      </w:r>
      <w:r>
        <w:rPr>
          <w:rFonts w:ascii="Times New Roman" w:eastAsia="Times New Roman" w:hAnsi="Times New Roman" w:cs="Times New Roman"/>
          <w:noProof/>
          <w:color w:val="000000" w:themeColor="text1"/>
          <w:sz w:val="24"/>
          <w:szCs w:val="24"/>
          <w:lang w:eastAsia="en-US"/>
        </w:rPr>
        <w:t>ed in a conviction and a dismissal. In 2018 there were 27 cases referred to prosecution that resulted in 6 convictions and 7 dismissals. In total, HIDAACI referred 12 low- and mid-ranking officials to prosecution services in 2019. In the same year, 12 fina</w:t>
      </w:r>
      <w:r>
        <w:rPr>
          <w:rFonts w:ascii="Times New Roman" w:eastAsia="Times New Roman" w:hAnsi="Times New Roman" w:cs="Times New Roman"/>
          <w:noProof/>
          <w:color w:val="000000" w:themeColor="text1"/>
          <w:sz w:val="24"/>
          <w:szCs w:val="24"/>
          <w:lang w:eastAsia="en-US"/>
        </w:rPr>
        <w:t>l convictions occurred. In 2018, there were</w:t>
      </w:r>
      <w:r>
        <w:rPr>
          <w:rFonts w:ascii="Times New Roman" w:eastAsia="Times New Roman" w:hAnsi="Times New Roman" w:cs="Times New Roman"/>
          <w:noProof/>
          <w:color w:val="000000" w:themeColor="text1"/>
          <w:sz w:val="24"/>
          <w:szCs w:val="24"/>
          <w:lang w:eastAsia="ar-SA"/>
        </w:rPr>
        <w:t xml:space="preserve"> 43 referrals and 17 final convictions.</w:t>
      </w:r>
    </w:p>
    <w:p w:rsidR="00EE1719" w:rsidRDefault="000E39BA">
      <w:pPr>
        <w:spacing w:after="120" w:line="240" w:lineRule="auto"/>
        <w:jc w:val="both"/>
        <w:rPr>
          <w:rFonts w:ascii="Times New Roman" w:eastAsia="Times New Roman" w:hAnsi="Times New Roman" w:cs="Times New Roman"/>
          <w:noProof/>
          <w:color w:val="000000" w:themeColor="text1"/>
          <w:sz w:val="24"/>
          <w:szCs w:val="24"/>
          <w:lang w:eastAsia="ar-SA"/>
        </w:rPr>
      </w:pPr>
      <w:r>
        <w:rPr>
          <w:rFonts w:ascii="Times New Roman" w:eastAsia="Calibri" w:hAnsi="Times New Roman" w:cs="Times New Roman"/>
          <w:noProof/>
          <w:color w:val="000000" w:themeColor="text1"/>
          <w:sz w:val="24"/>
          <w:szCs w:val="24"/>
          <w:lang w:eastAsia="ar-SA"/>
        </w:rPr>
        <w:t>Seizure and confiscation of criminal assets are not systematically ordered and carried out in corruption-related cases. Risk assessments have been piloted in some sectors</w:t>
      </w:r>
      <w:r>
        <w:rPr>
          <w:rFonts w:ascii="Times New Roman" w:eastAsia="Calibri" w:hAnsi="Times New Roman" w:cs="Times New Roman"/>
          <w:noProof/>
          <w:color w:val="000000" w:themeColor="text1"/>
          <w:sz w:val="24"/>
          <w:szCs w:val="24"/>
          <w:vertAlign w:val="superscript"/>
          <w:lang w:eastAsia="ar-SA"/>
        </w:rPr>
        <w:t xml:space="preserve"> </w:t>
      </w:r>
      <w:r>
        <w:rPr>
          <w:rFonts w:ascii="Times New Roman" w:eastAsia="Calibri" w:hAnsi="Times New Roman" w:cs="Times New Roman"/>
          <w:noProof/>
          <w:color w:val="000000" w:themeColor="text1"/>
          <w:sz w:val="24"/>
          <w:szCs w:val="24"/>
          <w:lang w:eastAsia="ar-SA"/>
        </w:rPr>
        <w:t xml:space="preserve">(Customs Administration, General Inspectorate) and should be further expanded. </w:t>
      </w:r>
      <w:r>
        <w:rPr>
          <w:rFonts w:ascii="Times New Roman" w:eastAsia="Times New Roman" w:hAnsi="Times New Roman" w:cs="Times New Roman"/>
          <w:noProof/>
          <w:color w:val="000000" w:themeColor="text1"/>
          <w:sz w:val="24"/>
          <w:szCs w:val="24"/>
          <w:lang w:eastAsia="ar-SA"/>
        </w:rPr>
        <w:t xml:space="preserve"> </w:t>
      </w:r>
    </w:p>
    <w:p w:rsidR="00EE1719" w:rsidRDefault="000E39BA">
      <w:pPr>
        <w:spacing w:after="120" w:line="240" w:lineRule="auto"/>
        <w:jc w:val="both"/>
        <w:rPr>
          <w:rFonts w:ascii="Times New Roman" w:eastAsia="Calibri" w:hAnsi="Times New Roman" w:cs="Times New Roman"/>
          <w:bCs/>
          <w:noProof/>
          <w:color w:val="000000" w:themeColor="text1"/>
          <w:sz w:val="24"/>
          <w:szCs w:val="24"/>
        </w:rPr>
      </w:pPr>
      <w:r>
        <w:rPr>
          <w:rFonts w:ascii="Times New Roman" w:eastAsia="Calibri" w:hAnsi="Times New Roman" w:cs="Times New Roman"/>
          <w:bCs/>
          <w:noProof/>
          <w:color w:val="000000" w:themeColor="text1"/>
          <w:sz w:val="24"/>
          <w:szCs w:val="24"/>
        </w:rPr>
        <w:t>Some progress was made in setting up an interface between the different electronic case</w:t>
      </w:r>
      <w:r>
        <w:rPr>
          <w:rFonts w:ascii="Times New Roman" w:eastAsia="Calibri" w:hAnsi="Times New Roman" w:cs="Times New Roman"/>
          <w:bCs/>
          <w:noProof/>
          <w:color w:val="000000" w:themeColor="text1"/>
          <w:sz w:val="24"/>
          <w:szCs w:val="24"/>
        </w:rPr>
        <w:noBreakHyphen/>
        <w:t>management systems of the police, prosecution and courts. A system to manage the follow</w:t>
      </w:r>
      <w:r>
        <w:rPr>
          <w:rFonts w:ascii="Times New Roman" w:eastAsia="Calibri" w:hAnsi="Times New Roman" w:cs="Times New Roman"/>
          <w:bCs/>
          <w:noProof/>
          <w:color w:val="000000" w:themeColor="text1"/>
          <w:sz w:val="24"/>
          <w:szCs w:val="24"/>
        </w:rPr>
        <w:t xml:space="preserve">-up of denounciations of corruption is being set-up by the Ministry of Justice </w:t>
      </w:r>
    </w:p>
    <w:p w:rsidR="00EE1719" w:rsidRDefault="000E39BA">
      <w:pPr>
        <w:spacing w:after="120" w:line="240" w:lineRule="auto"/>
        <w:jc w:val="both"/>
        <w:rPr>
          <w:rFonts w:ascii="Times New Roman" w:eastAsia="Calibri" w:hAnsi="Times New Roman" w:cs="Times New Roman"/>
          <w:bCs/>
          <w:noProof/>
          <w:color w:val="000000" w:themeColor="text1"/>
          <w:sz w:val="24"/>
          <w:szCs w:val="24"/>
        </w:rPr>
      </w:pPr>
      <w:r>
        <w:rPr>
          <w:rFonts w:ascii="Times New Roman" w:eastAsia="Calibri" w:hAnsi="Times New Roman" w:cs="Times New Roman"/>
          <w:bCs/>
          <w:noProof/>
          <w:color w:val="000000" w:themeColor="text1"/>
          <w:sz w:val="24"/>
          <w:szCs w:val="24"/>
        </w:rPr>
        <w:t xml:space="preserve">Implementation of the Law on </w:t>
      </w:r>
      <w:r>
        <w:rPr>
          <w:rFonts w:ascii="Times New Roman" w:eastAsia="Calibri" w:hAnsi="Times New Roman" w:cs="Times New Roman"/>
          <w:b/>
          <w:bCs/>
          <w:noProof/>
          <w:color w:val="000000" w:themeColor="text1"/>
          <w:sz w:val="24"/>
          <w:szCs w:val="24"/>
        </w:rPr>
        <w:t>whistle-blowing</w:t>
      </w:r>
      <w:r>
        <w:rPr>
          <w:rFonts w:ascii="Times New Roman" w:eastAsia="Calibri" w:hAnsi="Times New Roman" w:cs="Times New Roman"/>
          <w:bCs/>
          <w:noProof/>
          <w:color w:val="000000" w:themeColor="text1"/>
          <w:sz w:val="24"/>
          <w:szCs w:val="24"/>
        </w:rPr>
        <w:t xml:space="preserve"> and whistle-blower protection continued and an evaluation on its implemenation is ongoing. At both central and local level, 166 uni</w:t>
      </w:r>
      <w:r>
        <w:rPr>
          <w:rFonts w:ascii="Times New Roman" w:eastAsia="Calibri" w:hAnsi="Times New Roman" w:cs="Times New Roman"/>
          <w:bCs/>
          <w:noProof/>
          <w:color w:val="000000" w:themeColor="text1"/>
          <w:sz w:val="24"/>
          <w:szCs w:val="24"/>
        </w:rPr>
        <w:t>ts responsible for protecting whistle</w:t>
      </w:r>
      <w:r>
        <w:rPr>
          <w:rFonts w:ascii="Times New Roman" w:eastAsia="Calibri" w:hAnsi="Times New Roman" w:cs="Times New Roman"/>
          <w:bCs/>
          <w:noProof/>
          <w:color w:val="000000" w:themeColor="text1"/>
          <w:sz w:val="24"/>
          <w:szCs w:val="24"/>
        </w:rPr>
        <w:noBreakHyphen/>
        <w:t>blowers and for reporting cases to HIDAACI have been established while 446 units responsible for the protection of whistle-blowers were established across private companies. In 2019, 14 external reporting cases were re</w:t>
      </w:r>
      <w:r>
        <w:rPr>
          <w:rFonts w:ascii="Times New Roman" w:eastAsia="Calibri" w:hAnsi="Times New Roman" w:cs="Times New Roman"/>
          <w:bCs/>
          <w:noProof/>
          <w:color w:val="000000" w:themeColor="text1"/>
          <w:sz w:val="24"/>
          <w:szCs w:val="24"/>
        </w:rPr>
        <w:t xml:space="preserve">gistered and investigated by HIDAACI, compared to 16 in 2018. </w:t>
      </w:r>
    </w:p>
    <w:p w:rsidR="00EE1719" w:rsidRDefault="000E39BA">
      <w:pPr>
        <w:spacing w:after="120" w:line="240" w:lineRule="auto"/>
        <w:jc w:val="both"/>
        <w:rPr>
          <w:rFonts w:ascii="Times New Roman" w:eastAsia="Calibri" w:hAnsi="Times New Roman" w:cs="Times New Roman"/>
          <w:bCs/>
          <w:noProof/>
          <w:color w:val="000000" w:themeColor="text1"/>
          <w:sz w:val="24"/>
          <w:szCs w:val="24"/>
        </w:rPr>
      </w:pPr>
      <w:r>
        <w:rPr>
          <w:rFonts w:ascii="Times New Roman" w:eastAsia="Calibri" w:hAnsi="Times New Roman" w:cs="Times New Roman"/>
          <w:bCs/>
          <w:noProof/>
          <w:color w:val="000000" w:themeColor="text1"/>
          <w:sz w:val="24"/>
          <w:szCs w:val="24"/>
        </w:rPr>
        <w:t xml:space="preserve">On </w:t>
      </w:r>
      <w:r>
        <w:rPr>
          <w:rFonts w:ascii="Times New Roman" w:eastAsia="Calibri" w:hAnsi="Times New Roman" w:cs="Times New Roman"/>
          <w:b/>
          <w:bCs/>
          <w:noProof/>
          <w:color w:val="000000" w:themeColor="text1"/>
          <w:sz w:val="24"/>
          <w:szCs w:val="24"/>
        </w:rPr>
        <w:t>internal control mechanisms</w:t>
      </w:r>
      <w:r>
        <w:rPr>
          <w:rFonts w:ascii="Times New Roman" w:eastAsia="Calibri" w:hAnsi="Times New Roman" w:cs="Times New Roman"/>
          <w:bCs/>
          <w:noProof/>
          <w:color w:val="000000" w:themeColor="text1"/>
          <w:sz w:val="24"/>
          <w:szCs w:val="24"/>
        </w:rPr>
        <w:t>, the Anti-corruption Task Force carried out 26 inspections in 2019 leading to 91 administrative measures, 105 disciplinary measures and no criminal referrals, com</w:t>
      </w:r>
      <w:r>
        <w:rPr>
          <w:rFonts w:ascii="Times New Roman" w:eastAsia="Calibri" w:hAnsi="Times New Roman" w:cs="Times New Roman"/>
          <w:bCs/>
          <w:noProof/>
          <w:color w:val="000000" w:themeColor="text1"/>
          <w:sz w:val="24"/>
          <w:szCs w:val="24"/>
        </w:rPr>
        <w:t>pared to 36 criminal referrals in 2018. The implementation rate of the proposed measures is low. In 2019, SIAC has referred 250 cases involving 474 officials to the prosecution which resulted in 501 disciplinary proceedings. In 2018, 201 cases involving 26</w:t>
      </w:r>
      <w:r>
        <w:rPr>
          <w:rFonts w:ascii="Times New Roman" w:eastAsia="Calibri" w:hAnsi="Times New Roman" w:cs="Times New Roman"/>
          <w:bCs/>
          <w:noProof/>
          <w:color w:val="000000" w:themeColor="text1"/>
          <w:sz w:val="24"/>
          <w:szCs w:val="24"/>
        </w:rPr>
        <w:t>5 officials were referred to the prosecution resulting in 752 discliplinary proceedings.  The State Supreme Audit Institution referred 28 cases in 2019involving 40 executives to the prosecution. The rate of implementation of the State Supreme Audit Institu</w:t>
      </w:r>
      <w:r>
        <w:rPr>
          <w:rFonts w:ascii="Times New Roman" w:eastAsia="Calibri" w:hAnsi="Times New Roman" w:cs="Times New Roman"/>
          <w:bCs/>
          <w:noProof/>
          <w:color w:val="000000" w:themeColor="text1"/>
          <w:sz w:val="24"/>
          <w:szCs w:val="24"/>
        </w:rPr>
        <w:t>tion’s general recommendations by public institutions remains low.</w:t>
      </w:r>
    </w:p>
    <w:p w:rsidR="00EE1719" w:rsidRDefault="000E39BA">
      <w:pPr>
        <w:spacing w:after="120" w:line="240" w:lineRule="auto"/>
        <w:jc w:val="both"/>
        <w:rPr>
          <w:rFonts w:ascii="Times New Roman" w:eastAsia="Calibri" w:hAnsi="Times New Roman" w:cs="Times New Roman"/>
          <w:bCs/>
          <w:noProof/>
          <w:color w:val="000000" w:themeColor="text1"/>
          <w:sz w:val="24"/>
          <w:szCs w:val="24"/>
        </w:rPr>
      </w:pPr>
      <w:r>
        <w:rPr>
          <w:rFonts w:ascii="Times New Roman" w:eastAsia="Calibri" w:hAnsi="Times New Roman" w:cs="Times New Roman"/>
          <w:bCs/>
          <w:noProof/>
          <w:color w:val="000000" w:themeColor="text1"/>
          <w:sz w:val="24"/>
          <w:szCs w:val="24"/>
        </w:rPr>
        <w:t xml:space="preserve">On </w:t>
      </w:r>
      <w:r>
        <w:rPr>
          <w:rFonts w:ascii="Times New Roman" w:eastAsia="Calibri" w:hAnsi="Times New Roman" w:cs="Times New Roman"/>
          <w:b/>
          <w:bCs/>
          <w:noProof/>
          <w:color w:val="000000" w:themeColor="text1"/>
          <w:sz w:val="24"/>
          <w:szCs w:val="24"/>
        </w:rPr>
        <w:t>access to information</w:t>
      </w:r>
      <w:r>
        <w:rPr>
          <w:rFonts w:ascii="Times New Roman" w:eastAsia="Calibri" w:hAnsi="Times New Roman" w:cs="Times New Roman"/>
          <w:bCs/>
          <w:noProof/>
          <w:color w:val="000000" w:themeColor="text1"/>
          <w:sz w:val="24"/>
          <w:szCs w:val="24"/>
        </w:rPr>
        <w:t xml:space="preserve">, in 2019, </w:t>
      </w:r>
      <w:r>
        <w:rPr>
          <w:rFonts w:ascii="Times New Roman" w:eastAsia="Calibri" w:hAnsi="Times New Roman" w:cs="Times New Roman"/>
          <w:noProof/>
          <w:color w:val="000000" w:themeColor="text1"/>
          <w:sz w:val="24"/>
          <w:szCs w:val="24"/>
          <w:lang w:eastAsia="en-US"/>
        </w:rPr>
        <w:t>the Commissioner for Information and Data Protection received 786 complaints and issued 18 decisions, while 820 complaints were received in 2018. A system</w:t>
      </w:r>
      <w:r>
        <w:rPr>
          <w:rFonts w:ascii="Times New Roman" w:eastAsia="Calibri" w:hAnsi="Times New Roman" w:cs="Times New Roman"/>
          <w:noProof/>
          <w:color w:val="000000" w:themeColor="text1"/>
          <w:sz w:val="24"/>
          <w:szCs w:val="24"/>
          <w:lang w:eastAsia="en-US"/>
        </w:rPr>
        <w:t xml:space="preserve"> was established and installed in 31 public institutions to record the overall number of requests made and to enable citizens to submit online requests for public information.</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 xml:space="preserve">The impact of anti-corruption measures in </w:t>
      </w:r>
      <w:r>
        <w:rPr>
          <w:rFonts w:ascii="Times New Roman" w:eastAsia="Calibri" w:hAnsi="Times New Roman" w:cs="Times New Roman"/>
          <w:b/>
          <w:noProof/>
          <w:color w:val="000000" w:themeColor="text1"/>
          <w:sz w:val="24"/>
          <w:szCs w:val="24"/>
          <w:lang w:eastAsia="en-US"/>
        </w:rPr>
        <w:t>particularly vulnerable areas</w:t>
      </w:r>
      <w:r>
        <w:rPr>
          <w:rFonts w:ascii="Times New Roman" w:eastAsia="Calibri" w:hAnsi="Times New Roman" w:cs="Times New Roman"/>
          <w:i/>
          <w:noProof/>
          <w:color w:val="000000" w:themeColor="text1"/>
          <w:sz w:val="24"/>
          <w:szCs w:val="24"/>
          <w:lang w:eastAsia="en-US"/>
        </w:rPr>
        <w:t xml:space="preserve"> </w:t>
      </w:r>
      <w:r>
        <w:rPr>
          <w:rFonts w:ascii="Times New Roman" w:eastAsia="Calibri" w:hAnsi="Times New Roman" w:cs="Times New Roman"/>
          <w:noProof/>
          <w:color w:val="000000" w:themeColor="text1"/>
          <w:sz w:val="24"/>
          <w:szCs w:val="24"/>
          <w:lang w:eastAsia="en-US"/>
        </w:rPr>
        <w:t>(customs, tax administration, education, health, public procurement, PPP contracts etc.)</w:t>
      </w:r>
      <w:r>
        <w:rPr>
          <w:rFonts w:ascii="Times New Roman" w:eastAsia="Calibri" w:hAnsi="Times New Roman" w:cs="Times New Roman"/>
          <w:i/>
          <w:noProof/>
          <w:color w:val="000000" w:themeColor="text1"/>
          <w:sz w:val="24"/>
          <w:szCs w:val="24"/>
          <w:lang w:eastAsia="en-US"/>
        </w:rPr>
        <w:t xml:space="preserve"> </w:t>
      </w:r>
      <w:r>
        <w:rPr>
          <w:rFonts w:ascii="Times New Roman" w:eastAsia="Calibri" w:hAnsi="Times New Roman" w:cs="Times New Roman"/>
          <w:noProof/>
          <w:color w:val="000000" w:themeColor="text1"/>
          <w:sz w:val="24"/>
          <w:szCs w:val="24"/>
          <w:lang w:eastAsia="en-US"/>
        </w:rPr>
        <w:t xml:space="preserve">remains limited. Internal checks and inspection mechanisms within the public administration remain weak and ineffective. </w:t>
      </w:r>
    </w:p>
    <w:p w:rsidR="00EE1719" w:rsidRDefault="000E39BA">
      <w:pPr>
        <w:keepNext/>
        <w:keepLines/>
        <w:spacing w:after="120" w:line="240" w:lineRule="auto"/>
        <w:jc w:val="both"/>
        <w:rPr>
          <w:rFonts w:ascii="Times New Roman" w:eastAsia="Times New Roman" w:hAnsi="Times New Roman" w:cs="Times New Roman"/>
          <w:bCs/>
          <w:noProof/>
          <w:color w:val="000000" w:themeColor="text1"/>
          <w:sz w:val="24"/>
          <w:szCs w:val="24"/>
          <w:u w:val="single"/>
        </w:rPr>
      </w:pPr>
      <w:r>
        <w:rPr>
          <w:rFonts w:ascii="Times New Roman" w:eastAsia="Times New Roman" w:hAnsi="Times New Roman" w:cs="Times New Roman"/>
          <w:bCs/>
          <w:noProof/>
          <w:color w:val="000000" w:themeColor="text1"/>
          <w:sz w:val="24"/>
          <w:szCs w:val="24"/>
          <w:u w:val="single"/>
        </w:rPr>
        <w:t>Institutional framework</w:t>
      </w:r>
    </w:p>
    <w:p w:rsidR="00EE1719" w:rsidRDefault="000E39BA">
      <w:pPr>
        <w:keepNext/>
        <w:keepLines/>
        <w:spacing w:after="120" w:line="240" w:lineRule="auto"/>
        <w:jc w:val="both"/>
        <w:rPr>
          <w:rFonts w:ascii="Times New Roman" w:eastAsia="Calibri" w:hAnsi="Times New Roman" w:cs="Times New Roman"/>
          <w:bCs/>
          <w:i/>
          <w:noProof/>
          <w:color w:val="000000" w:themeColor="text1"/>
          <w:sz w:val="24"/>
          <w:szCs w:val="24"/>
        </w:rPr>
      </w:pPr>
      <w:r>
        <w:rPr>
          <w:rFonts w:ascii="Times New Roman" w:eastAsia="Calibri" w:hAnsi="Times New Roman" w:cs="Times New Roman"/>
          <w:bCs/>
          <w:i/>
          <w:noProof/>
          <w:color w:val="000000" w:themeColor="text1"/>
          <w:sz w:val="24"/>
          <w:szCs w:val="24"/>
        </w:rPr>
        <w:t>Prevention of corrupt</w:t>
      </w:r>
      <w:r>
        <w:rPr>
          <w:rFonts w:ascii="Times New Roman" w:eastAsia="Calibri" w:hAnsi="Times New Roman" w:cs="Times New Roman"/>
          <w:bCs/>
          <w:i/>
          <w:noProof/>
          <w:color w:val="000000" w:themeColor="text1"/>
          <w:sz w:val="24"/>
          <w:szCs w:val="24"/>
        </w:rPr>
        <w:t>ion</w:t>
      </w:r>
    </w:p>
    <w:p w:rsidR="00EE1719" w:rsidRDefault="000E39BA">
      <w:pPr>
        <w:spacing w:after="120" w:line="240" w:lineRule="auto"/>
        <w:jc w:val="both"/>
        <w:rPr>
          <w:rFonts w:ascii="Times New Roman" w:eastAsia="Calibri" w:hAnsi="Times New Roman" w:cs="Times New Roman"/>
          <w:bCs/>
          <w:noProof/>
          <w:color w:val="000000" w:themeColor="text1"/>
          <w:sz w:val="24"/>
          <w:szCs w:val="24"/>
        </w:rPr>
      </w:pPr>
      <w:r>
        <w:rPr>
          <w:rFonts w:ascii="Times New Roman" w:eastAsia="Calibri" w:hAnsi="Times New Roman" w:cs="Times New Roman"/>
          <w:bCs/>
          <w:noProof/>
          <w:color w:val="000000" w:themeColor="text1"/>
          <w:sz w:val="24"/>
          <w:szCs w:val="24"/>
        </w:rPr>
        <w:t>The capacity of the anti-corruption network in line ministries, at local level and in the Office of the National Coordinator against Corruption (NCAC) is weak. The Ministry of Justice, which serves as the NCAC also</w:t>
      </w:r>
      <w:r>
        <w:rPr>
          <w:rFonts w:ascii="Times New Roman" w:eastAsia="Calibri" w:hAnsi="Times New Roman" w:cs="Times New Roman"/>
          <w:noProof/>
          <w:color w:val="000000" w:themeColor="text1"/>
          <w:sz w:val="24"/>
          <w:szCs w:val="24"/>
          <w:lang w:eastAsia="en-US"/>
        </w:rPr>
        <w:t xml:space="preserve"> </w:t>
      </w:r>
      <w:r>
        <w:rPr>
          <w:rFonts w:ascii="Times New Roman" w:eastAsia="Calibri" w:hAnsi="Times New Roman" w:cs="Times New Roman"/>
          <w:bCs/>
          <w:noProof/>
          <w:color w:val="000000" w:themeColor="text1"/>
          <w:sz w:val="24"/>
          <w:szCs w:val="24"/>
        </w:rPr>
        <w:t>chairs the Inter-ministerial Coordina</w:t>
      </w:r>
      <w:r>
        <w:rPr>
          <w:rFonts w:ascii="Times New Roman" w:eastAsia="Calibri" w:hAnsi="Times New Roman" w:cs="Times New Roman"/>
          <w:bCs/>
          <w:noProof/>
          <w:color w:val="000000" w:themeColor="text1"/>
          <w:sz w:val="24"/>
          <w:szCs w:val="24"/>
        </w:rPr>
        <w:t>ting Committee for the Implementation of the Strategy, which monitors the progress of the Strategy and is responsible for the enforcement of administrative sanctions taken by the Anti-corruption Task Force. In 2019, a separate Directorate for Anti-corrupti</w:t>
      </w:r>
      <w:r>
        <w:rPr>
          <w:rFonts w:ascii="Times New Roman" w:eastAsia="Calibri" w:hAnsi="Times New Roman" w:cs="Times New Roman"/>
          <w:bCs/>
          <w:noProof/>
          <w:color w:val="000000" w:themeColor="text1"/>
          <w:sz w:val="24"/>
          <w:szCs w:val="24"/>
        </w:rPr>
        <w:t>on was established within the Ministry of Justice, together with a network of Anti-corruption coordinators in 16 agencies, with the aim of preventing and attacking corruption in state administration institutions and its structures. Effective coordination s</w:t>
      </w:r>
      <w:r>
        <w:rPr>
          <w:rFonts w:ascii="Times New Roman" w:eastAsia="Calibri" w:hAnsi="Times New Roman" w:cs="Times New Roman"/>
          <w:bCs/>
          <w:noProof/>
          <w:color w:val="000000" w:themeColor="text1"/>
          <w:sz w:val="24"/>
          <w:szCs w:val="24"/>
        </w:rPr>
        <w:t>hould be ensured between the new structures at the Ministry of Justice, the Unit for Transparency and Anti</w:t>
      </w:r>
      <w:r>
        <w:rPr>
          <w:rFonts w:ascii="Times New Roman" w:eastAsia="Calibri" w:hAnsi="Times New Roman" w:cs="Times New Roman"/>
          <w:bCs/>
          <w:noProof/>
          <w:color w:val="000000" w:themeColor="text1"/>
          <w:sz w:val="24"/>
          <w:szCs w:val="24"/>
        </w:rPr>
        <w:noBreakHyphen/>
        <w:t>Corruption at the Prime Minister’s office, the Special Unit for Anti-Corruption and Anti-Evasion recently established also at the Prime Minister’s of</w:t>
      </w:r>
      <w:r>
        <w:rPr>
          <w:rFonts w:ascii="Times New Roman" w:eastAsia="Calibri" w:hAnsi="Times New Roman" w:cs="Times New Roman"/>
          <w:bCs/>
          <w:noProof/>
          <w:color w:val="000000" w:themeColor="text1"/>
          <w:sz w:val="24"/>
          <w:szCs w:val="24"/>
        </w:rPr>
        <w:t>fice, as well as the Integrated Policy Management Group for PAR and Good Governance. The impact of the anti-corruption structures on preventing public sector corruption remains unclear.</w:t>
      </w:r>
    </w:p>
    <w:p w:rsidR="00EE1719" w:rsidRDefault="000E39BA">
      <w:pPr>
        <w:spacing w:after="120" w:line="240" w:lineRule="auto"/>
        <w:jc w:val="both"/>
        <w:rPr>
          <w:rFonts w:ascii="Times New Roman" w:eastAsia="Calibri" w:hAnsi="Times New Roman" w:cs="Times New Roman"/>
          <w:bCs/>
          <w:noProof/>
          <w:color w:val="000000" w:themeColor="text1"/>
          <w:sz w:val="24"/>
          <w:szCs w:val="24"/>
        </w:rPr>
      </w:pPr>
      <w:r>
        <w:rPr>
          <w:rFonts w:ascii="Times New Roman" w:eastAsia="Calibri" w:hAnsi="Times New Roman" w:cs="Times New Roman"/>
          <w:bCs/>
          <w:noProof/>
          <w:color w:val="000000" w:themeColor="text1"/>
          <w:sz w:val="24"/>
          <w:szCs w:val="24"/>
        </w:rPr>
        <w:t xml:space="preserve">The role of HIDAACI in detecting </w:t>
      </w:r>
      <w:r>
        <w:rPr>
          <w:rFonts w:ascii="Times New Roman" w:eastAsia="Calibri" w:hAnsi="Times New Roman" w:cs="Times New Roman"/>
          <w:b/>
          <w:bCs/>
          <w:noProof/>
          <w:color w:val="000000" w:themeColor="text1"/>
          <w:sz w:val="24"/>
          <w:szCs w:val="24"/>
        </w:rPr>
        <w:t>conflicts of interest and checking as</w:t>
      </w:r>
      <w:r>
        <w:rPr>
          <w:rFonts w:ascii="Times New Roman" w:eastAsia="Calibri" w:hAnsi="Times New Roman" w:cs="Times New Roman"/>
          <w:b/>
          <w:bCs/>
          <w:noProof/>
          <w:color w:val="000000" w:themeColor="text1"/>
          <w:sz w:val="24"/>
          <w:szCs w:val="24"/>
        </w:rPr>
        <w:t>set declarations</w:t>
      </w:r>
      <w:r>
        <w:rPr>
          <w:rFonts w:ascii="Times New Roman" w:eastAsia="Calibri" w:hAnsi="Times New Roman" w:cs="Times New Roman"/>
          <w:bCs/>
          <w:noProof/>
          <w:color w:val="000000" w:themeColor="text1"/>
          <w:sz w:val="24"/>
          <w:szCs w:val="24"/>
        </w:rPr>
        <w:t xml:space="preserve"> was strengthened by the adoption of the Law on whistle-blowing and whistle-blower protection and the implementation of the vetting process.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bCs/>
          <w:noProof/>
          <w:color w:val="000000" w:themeColor="text1"/>
          <w:sz w:val="24"/>
          <w:szCs w:val="24"/>
          <w:lang w:eastAsia="en-US"/>
        </w:rPr>
        <w:t xml:space="preserve">The role of the </w:t>
      </w:r>
      <w:r>
        <w:rPr>
          <w:rFonts w:ascii="Times New Roman" w:eastAsia="Calibri" w:hAnsi="Times New Roman" w:cs="Times New Roman"/>
          <w:bCs/>
          <w:noProof/>
          <w:color w:val="000000" w:themeColor="text1"/>
          <w:sz w:val="24"/>
          <w:szCs w:val="24"/>
        </w:rPr>
        <w:t xml:space="preserve">State Supreme Audit Institution </w:t>
      </w:r>
      <w:r>
        <w:rPr>
          <w:rFonts w:ascii="Times New Roman" w:eastAsia="Calibri" w:hAnsi="Times New Roman" w:cs="Times New Roman"/>
          <w:bCs/>
          <w:noProof/>
          <w:color w:val="000000" w:themeColor="text1"/>
          <w:sz w:val="24"/>
          <w:szCs w:val="24"/>
          <w:lang w:eastAsia="en-US"/>
        </w:rPr>
        <w:t xml:space="preserve">in the overall anti-corruption framework is to </w:t>
      </w:r>
      <w:r>
        <w:rPr>
          <w:rFonts w:ascii="Times New Roman" w:eastAsia="Calibri" w:hAnsi="Times New Roman" w:cs="Times New Roman"/>
          <w:bCs/>
          <w:noProof/>
          <w:color w:val="000000" w:themeColor="text1"/>
          <w:sz w:val="24"/>
          <w:szCs w:val="24"/>
          <w:lang w:eastAsia="en-US"/>
        </w:rPr>
        <w:t>identify and effectively address systematic weaknesses.</w:t>
      </w:r>
      <w:r>
        <w:rPr>
          <w:rFonts w:ascii="Times New Roman" w:eastAsia="Calibri" w:hAnsi="Times New Roman" w:cs="Times New Roman"/>
          <w:noProof/>
          <w:color w:val="000000" w:themeColor="text1"/>
          <w:sz w:val="24"/>
          <w:szCs w:val="24"/>
          <w:lang w:eastAsia="en-US"/>
        </w:rPr>
        <w:t xml:space="preserve"> The inspection capacity in public procurement needs to be further improved. E-procurement is expected to achieve more transparency and reduce opportunities for abuse.</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Cs/>
          <w:noProof/>
          <w:color w:val="000000" w:themeColor="text1"/>
          <w:sz w:val="24"/>
          <w:szCs w:val="24"/>
        </w:rPr>
        <w:t xml:space="preserve">The Council of Europe’s Group of </w:t>
      </w:r>
      <w:r>
        <w:rPr>
          <w:rFonts w:ascii="Times New Roman" w:eastAsia="Times New Roman" w:hAnsi="Times New Roman" w:cs="Times New Roman"/>
          <w:bCs/>
          <w:noProof/>
          <w:color w:val="000000" w:themeColor="text1"/>
          <w:sz w:val="24"/>
          <w:szCs w:val="24"/>
        </w:rPr>
        <w:t>States against Corruption</w:t>
      </w:r>
      <w:r>
        <w:rPr>
          <w:rFonts w:ascii="Times New Roman" w:eastAsia="Times New Roman" w:hAnsi="Times New Roman" w:cs="Times New Roman"/>
          <w:noProof/>
          <w:color w:val="000000" w:themeColor="text1"/>
          <w:sz w:val="24"/>
          <w:szCs w:val="24"/>
        </w:rPr>
        <w:t xml:space="preserve"> (GRECO) has published its Second Compliance Report (fourth round) on Albania in July 2018, and concluded that Albania had dealt satisfactorily with only four of the 10 recommendations. GRECO undertook the first visit of the fifth </w:t>
      </w:r>
      <w:r>
        <w:rPr>
          <w:rFonts w:ascii="Times New Roman" w:eastAsia="Times New Roman" w:hAnsi="Times New Roman" w:cs="Times New Roman"/>
          <w:noProof/>
          <w:color w:val="000000" w:themeColor="text1"/>
          <w:sz w:val="24"/>
          <w:szCs w:val="24"/>
        </w:rPr>
        <w:t xml:space="preserve">round dealing with the prevention of corruption and promoting integrity in central governments (top executive functions) and law enforcement agencies in November 2019. </w:t>
      </w:r>
    </w:p>
    <w:p w:rsidR="00EE1719" w:rsidRDefault="000E39BA">
      <w:pPr>
        <w:spacing w:after="120" w:line="240" w:lineRule="auto"/>
        <w:jc w:val="both"/>
        <w:rPr>
          <w:rFonts w:ascii="Times New Roman" w:eastAsia="Calibri" w:hAnsi="Times New Roman" w:cs="Times New Roman"/>
          <w:bCs/>
          <w:noProof/>
          <w:color w:val="000000" w:themeColor="text1"/>
          <w:sz w:val="24"/>
          <w:szCs w:val="24"/>
        </w:rPr>
      </w:pPr>
      <w:r>
        <w:rPr>
          <w:rFonts w:ascii="Times New Roman" w:eastAsia="Times New Roman" w:hAnsi="Times New Roman" w:cs="Times New Roman"/>
          <w:noProof/>
          <w:color w:val="000000" w:themeColor="text1"/>
          <w:sz w:val="24"/>
          <w:szCs w:val="24"/>
        </w:rPr>
        <w:t xml:space="preserve">Integrity-related secondary legislation is in place but </w:t>
      </w:r>
      <w:r>
        <w:rPr>
          <w:rFonts w:ascii="Times New Roman" w:eastAsia="Calibri" w:hAnsi="Times New Roman" w:cs="Times New Roman"/>
          <w:bCs/>
          <w:noProof/>
          <w:color w:val="000000" w:themeColor="text1"/>
          <w:sz w:val="24"/>
          <w:szCs w:val="24"/>
        </w:rPr>
        <w:t>an overall integrity risk-manag</w:t>
      </w:r>
      <w:r>
        <w:rPr>
          <w:rFonts w:ascii="Times New Roman" w:eastAsia="Calibri" w:hAnsi="Times New Roman" w:cs="Times New Roman"/>
          <w:bCs/>
          <w:noProof/>
          <w:color w:val="000000" w:themeColor="text1"/>
          <w:sz w:val="24"/>
          <w:szCs w:val="24"/>
        </w:rPr>
        <w:t>ement system has yet to be established.</w:t>
      </w:r>
      <w:r>
        <w:rPr>
          <w:rFonts w:ascii="Times New Roman" w:eastAsia="Times New Roman" w:hAnsi="Times New Roman" w:cs="Times New Roman"/>
          <w:noProof/>
          <w:color w:val="000000" w:themeColor="text1"/>
          <w:sz w:val="24"/>
          <w:szCs w:val="24"/>
        </w:rPr>
        <w:t xml:space="preserve"> No integrity plans have been developed for ministries. A ‘</w:t>
      </w:r>
      <w:r>
        <w:rPr>
          <w:rFonts w:ascii="Times New Roman" w:eastAsia="Calibri" w:hAnsi="Times New Roman" w:cs="Times New Roman"/>
          <w:noProof/>
          <w:color w:val="000000" w:themeColor="text1"/>
          <w:sz w:val="24"/>
          <w:szCs w:val="24"/>
          <w:lang w:eastAsia="en-US"/>
        </w:rPr>
        <w:t>Manual of Ethics on Public Service Delivery’ has been adopted.</w:t>
      </w:r>
    </w:p>
    <w:p w:rsidR="00EE1719" w:rsidRDefault="000E39BA">
      <w:pPr>
        <w:spacing w:after="120" w:line="240" w:lineRule="auto"/>
        <w:jc w:val="both"/>
        <w:rPr>
          <w:rFonts w:ascii="Times New Roman" w:eastAsia="Calibri" w:hAnsi="Times New Roman" w:cs="Times New Roman"/>
          <w:bCs/>
          <w:i/>
          <w:noProof/>
          <w:color w:val="000000" w:themeColor="text1"/>
          <w:sz w:val="24"/>
          <w:szCs w:val="24"/>
        </w:rPr>
      </w:pPr>
      <w:r>
        <w:rPr>
          <w:rFonts w:ascii="Times New Roman" w:eastAsia="Calibri" w:hAnsi="Times New Roman" w:cs="Times New Roman"/>
          <w:bCs/>
          <w:noProof/>
          <w:color w:val="000000" w:themeColor="text1"/>
          <w:sz w:val="24"/>
          <w:szCs w:val="24"/>
        </w:rPr>
        <w:t>In 2019, the online portal to promote ‘co-governance’ with citizens has received a total of 23 605 complaints related to public administration of which 22 423 were addressed leading to 171 administrative measures and 20 cases to Anti-Corruption Task Forces</w:t>
      </w:r>
      <w:r>
        <w:rPr>
          <w:rFonts w:ascii="Times New Roman" w:eastAsia="Calibri" w:hAnsi="Times New Roman" w:cs="Times New Roman"/>
          <w:bCs/>
          <w:noProof/>
          <w:color w:val="000000" w:themeColor="text1"/>
          <w:sz w:val="24"/>
          <w:szCs w:val="24"/>
        </w:rPr>
        <w:t xml:space="preserve">. There were 28 such cases reported in 2018 out of the 26 936 overall registered complaints. </w:t>
      </w:r>
    </w:p>
    <w:p w:rsidR="00EE1719" w:rsidRDefault="000E39BA">
      <w:pPr>
        <w:spacing w:after="120" w:line="240" w:lineRule="auto"/>
        <w:jc w:val="both"/>
        <w:rPr>
          <w:rFonts w:ascii="Times New Roman" w:eastAsia="Calibri" w:hAnsi="Times New Roman" w:cs="Times New Roman"/>
          <w:bCs/>
          <w:i/>
          <w:noProof/>
          <w:color w:val="000000" w:themeColor="text1"/>
          <w:sz w:val="24"/>
          <w:szCs w:val="24"/>
        </w:rPr>
      </w:pPr>
      <w:r>
        <w:rPr>
          <w:rFonts w:ascii="Times New Roman" w:eastAsia="Calibri" w:hAnsi="Times New Roman" w:cs="Times New Roman"/>
          <w:bCs/>
          <w:i/>
          <w:noProof/>
          <w:color w:val="000000" w:themeColor="text1"/>
          <w:sz w:val="24"/>
          <w:szCs w:val="24"/>
        </w:rPr>
        <w:t>Law enforcement</w:t>
      </w:r>
    </w:p>
    <w:p w:rsidR="00EE1719" w:rsidRDefault="000E39BA">
      <w:pPr>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bCs/>
          <w:noProof/>
          <w:color w:val="000000" w:themeColor="text1"/>
          <w:sz w:val="24"/>
          <w:szCs w:val="24"/>
        </w:rPr>
        <w:t>Specialised bodies in charge of investigating, prosecuting and adjudicating complex corruption cases have been established, such as the Anti-Corru</w:t>
      </w:r>
      <w:r>
        <w:rPr>
          <w:rFonts w:ascii="Times New Roman" w:eastAsia="Calibri" w:hAnsi="Times New Roman" w:cs="Times New Roman"/>
          <w:bCs/>
          <w:noProof/>
          <w:color w:val="000000" w:themeColor="text1"/>
          <w:sz w:val="24"/>
          <w:szCs w:val="24"/>
        </w:rPr>
        <w:t xml:space="preserve">ption and Organised Crime courts and the SPAK, comprising the </w:t>
      </w:r>
      <w:r>
        <w:rPr>
          <w:rFonts w:ascii="Times New Roman" w:eastAsia="Calibri" w:hAnsi="Times New Roman" w:cs="Times New Roman"/>
          <w:noProof/>
          <w:color w:val="000000" w:themeColor="text1"/>
          <w:sz w:val="24"/>
          <w:szCs w:val="24"/>
          <w:lang w:eastAsia="en-US"/>
        </w:rPr>
        <w:t>Special Prosecution Office (SPO) and the National Bureau of Investigation (NBI)</w:t>
      </w:r>
      <w:r>
        <w:rPr>
          <w:rFonts w:ascii="Times New Roman" w:eastAsia="Calibri" w:hAnsi="Times New Roman" w:cs="Times New Roman"/>
          <w:bCs/>
          <w:noProof/>
          <w:color w:val="000000" w:themeColor="text1"/>
          <w:sz w:val="24"/>
          <w:szCs w:val="24"/>
        </w:rPr>
        <w:t xml:space="preserve">. </w:t>
      </w:r>
      <w:r>
        <w:rPr>
          <w:rFonts w:ascii="Times New Roman" w:eastAsia="Calibri" w:hAnsi="Times New Roman" w:cs="Times New Roman"/>
          <w:noProof/>
          <w:color w:val="000000" w:themeColor="text1"/>
          <w:sz w:val="24"/>
          <w:szCs w:val="24"/>
          <w:lang w:eastAsia="en-US"/>
        </w:rPr>
        <w:t>A Chief Special Prosecutor and thirteen Special Prosecutors have been appointed after passing the vetting. The SP</w:t>
      </w:r>
      <w:r>
        <w:rPr>
          <w:rFonts w:ascii="Times New Roman" w:eastAsia="Calibri" w:hAnsi="Times New Roman" w:cs="Times New Roman"/>
          <w:noProof/>
          <w:color w:val="000000" w:themeColor="text1"/>
          <w:sz w:val="24"/>
          <w:szCs w:val="24"/>
          <w:lang w:eastAsia="en-US"/>
        </w:rPr>
        <w:t xml:space="preserve">O lacks guidelines and best practices to tackle complex high-level corruption cases. There is a lack of specialist knowledge necessary to ensure the quality of the investigation and prosecution work. </w:t>
      </w:r>
    </w:p>
    <w:p w:rsidR="00EE1719" w:rsidRDefault="000E39BA">
      <w:pPr>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The transfer of 16 Judges to the first and second insta</w:t>
      </w:r>
      <w:r>
        <w:rPr>
          <w:rFonts w:ascii="Times New Roman" w:eastAsia="Calibri" w:hAnsi="Times New Roman" w:cs="Times New Roman"/>
          <w:noProof/>
          <w:color w:val="000000" w:themeColor="text1"/>
          <w:sz w:val="24"/>
          <w:szCs w:val="24"/>
          <w:lang w:eastAsia="en-US"/>
        </w:rPr>
        <w:t xml:space="preserve">nce special Anti-corruption and Organised Crime courts that mirror the jurisdiction of the SPO has been completed. </w:t>
      </w:r>
    </w:p>
    <w:p w:rsidR="00EE1719" w:rsidRDefault="000E39BA">
      <w:pPr>
        <w:spacing w:after="120" w:line="240" w:lineRule="auto"/>
        <w:jc w:val="both"/>
        <w:rPr>
          <w:rFonts w:ascii="Times New Roman" w:eastAsia="Calibri" w:hAnsi="Times New Roman" w:cs="Times New Roman"/>
          <w:bCs/>
          <w:noProof/>
          <w:color w:val="000000" w:themeColor="text1"/>
          <w:sz w:val="24"/>
          <w:szCs w:val="24"/>
        </w:rPr>
      </w:pPr>
      <w:r>
        <w:rPr>
          <w:rFonts w:ascii="Times New Roman" w:eastAsia="Calibri" w:hAnsi="Times New Roman" w:cs="Times New Roman"/>
          <w:bCs/>
          <w:noProof/>
          <w:color w:val="000000" w:themeColor="text1"/>
          <w:sz w:val="24"/>
          <w:szCs w:val="24"/>
        </w:rPr>
        <w:t>P</w:t>
      </w:r>
      <w:r>
        <w:rPr>
          <w:rFonts w:ascii="Times New Roman" w:eastAsia="Times New Roman" w:hAnsi="Times New Roman" w:cs="Times New Roman"/>
          <w:noProof/>
          <w:color w:val="000000" w:themeColor="text1"/>
          <w:sz w:val="24"/>
          <w:szCs w:val="24"/>
        </w:rPr>
        <w:t>olice and prosecution have been granted direct access to additional private and public national registries. This has improved</w:t>
      </w:r>
      <w:r>
        <w:rPr>
          <w:rFonts w:ascii="Times New Roman" w:eastAsia="Times New Roman" w:hAnsi="Times New Roman" w:cs="Times New Roman"/>
          <w:noProof/>
          <w:color w:val="000000" w:themeColor="text1"/>
          <w:sz w:val="24"/>
          <w:szCs w:val="24"/>
          <w:lang w:eastAsia="en-US"/>
        </w:rPr>
        <w:t xml:space="preserve"> the capacity </w:t>
      </w:r>
      <w:r>
        <w:rPr>
          <w:rFonts w:ascii="Times New Roman" w:eastAsia="Times New Roman" w:hAnsi="Times New Roman" w:cs="Times New Roman"/>
          <w:noProof/>
          <w:color w:val="000000" w:themeColor="text1"/>
          <w:sz w:val="24"/>
          <w:szCs w:val="24"/>
          <w:lang w:eastAsia="en-US"/>
        </w:rPr>
        <w:t xml:space="preserve">of law enforcement authorities to operate, and has also made investigations more efficient. </w:t>
      </w:r>
      <w:r>
        <w:rPr>
          <w:rFonts w:ascii="Times New Roman" w:eastAsia="Calibri" w:hAnsi="Times New Roman" w:cs="Times New Roman"/>
          <w:bCs/>
          <w:noProof/>
          <w:color w:val="000000" w:themeColor="text1"/>
          <w:sz w:val="24"/>
          <w:szCs w:val="24"/>
        </w:rPr>
        <w:t>Concerns remain over high staff turnover and insufficient inter institutional cooperation. The overall resources of law enforcement authorities are insufficient.</w:t>
      </w:r>
    </w:p>
    <w:p w:rsidR="00EE1719" w:rsidRDefault="000E39BA">
      <w:pPr>
        <w:spacing w:after="120" w:line="240" w:lineRule="auto"/>
        <w:jc w:val="both"/>
        <w:rPr>
          <w:rFonts w:ascii="Times New Roman" w:eastAsia="Times New Roman" w:hAnsi="Times New Roman" w:cs="Times New Roman"/>
          <w:bCs/>
          <w:noProof/>
          <w:color w:val="000000" w:themeColor="text1"/>
          <w:sz w:val="24"/>
          <w:szCs w:val="24"/>
          <w:u w:val="single"/>
        </w:rPr>
      </w:pPr>
      <w:r>
        <w:rPr>
          <w:rFonts w:ascii="Times New Roman" w:eastAsia="Times New Roman" w:hAnsi="Times New Roman" w:cs="Times New Roman"/>
          <w:bCs/>
          <w:noProof/>
          <w:color w:val="000000" w:themeColor="text1"/>
          <w:sz w:val="24"/>
          <w:szCs w:val="24"/>
          <w:u w:val="single"/>
        </w:rPr>
        <w:t>Legal framework</w:t>
      </w:r>
    </w:p>
    <w:p w:rsidR="00EE1719" w:rsidRDefault="000E39BA">
      <w:pPr>
        <w:spacing w:after="120" w:line="240" w:lineRule="auto"/>
        <w:jc w:val="both"/>
        <w:rPr>
          <w:rFonts w:ascii="Times New Roman" w:eastAsia="Times New Roman" w:hAnsi="Times New Roman" w:cs="Times New Roman"/>
          <w:bCs/>
          <w:noProof/>
          <w:color w:val="000000" w:themeColor="text1"/>
          <w:sz w:val="24"/>
          <w:szCs w:val="24"/>
        </w:rPr>
      </w:pPr>
      <w:r>
        <w:rPr>
          <w:rFonts w:ascii="Times New Roman" w:eastAsia="Times New Roman" w:hAnsi="Times New Roman" w:cs="Times New Roman"/>
          <w:noProof/>
          <w:color w:val="000000" w:themeColor="text1"/>
          <w:sz w:val="24"/>
          <w:szCs w:val="24"/>
        </w:rPr>
        <w:t>Albania is a party to all international anti-corruption conventions, including the United Nations Convention Against corruption. It has continued to improve its legal framework on the prevention and combatting of corruption.</w:t>
      </w:r>
      <w:r>
        <w:rPr>
          <w:rFonts w:ascii="Times New Roman" w:eastAsia="Times New Roman" w:hAnsi="Times New Roman" w:cs="Times New Roman"/>
          <w:bCs/>
          <w:noProof/>
          <w:color w:val="000000" w:themeColor="text1"/>
          <w:sz w:val="24"/>
          <w:szCs w:val="24"/>
        </w:rPr>
        <w:t xml:space="preserve"> </w:t>
      </w:r>
    </w:p>
    <w:p w:rsidR="00EE1719" w:rsidRDefault="000E39BA">
      <w:pPr>
        <w:spacing w:after="120" w:line="240" w:lineRule="auto"/>
        <w:jc w:val="both"/>
        <w:rPr>
          <w:rFonts w:ascii="Times New Roman" w:eastAsia="Times New Roman" w:hAnsi="Times New Roman" w:cs="Times New Roman"/>
          <w:bCs/>
          <w:noProof/>
          <w:color w:val="000000" w:themeColor="text1"/>
          <w:sz w:val="24"/>
          <w:szCs w:val="24"/>
        </w:rPr>
      </w:pPr>
      <w:r>
        <w:rPr>
          <w:rFonts w:ascii="Times New Roman" w:eastAsia="Times New Roman" w:hAnsi="Times New Roman" w:cs="Times New Roman"/>
          <w:bCs/>
          <w:noProof/>
          <w:color w:val="000000" w:themeColor="text1"/>
          <w:sz w:val="24"/>
          <w:szCs w:val="24"/>
        </w:rPr>
        <w:t xml:space="preserve">In June 2019, </w:t>
      </w:r>
      <w:r>
        <w:rPr>
          <w:rFonts w:ascii="Times New Roman" w:eastAsia="Times New Roman" w:hAnsi="Times New Roman" w:cs="Times New Roman"/>
          <w:bCs/>
          <w:noProof/>
          <w:color w:val="000000" w:themeColor="text1"/>
          <w:sz w:val="24"/>
          <w:szCs w:val="24"/>
        </w:rPr>
        <w:t>the Parliament adopted a new law on the administration of confiscated assets as part of the "</w:t>
      </w:r>
      <w:r>
        <w:rPr>
          <w:rFonts w:ascii="Times New Roman" w:eastAsia="Times New Roman" w:hAnsi="Times New Roman" w:cs="Times New Roman"/>
          <w:b/>
          <w:bCs/>
          <w:noProof/>
          <w:color w:val="000000" w:themeColor="text1"/>
          <w:sz w:val="24"/>
          <w:szCs w:val="24"/>
        </w:rPr>
        <w:t>Moneyval package</w:t>
      </w:r>
      <w:r>
        <w:rPr>
          <w:rFonts w:ascii="Times New Roman" w:eastAsia="Times New Roman" w:hAnsi="Times New Roman" w:cs="Times New Roman"/>
          <w:bCs/>
          <w:noProof/>
          <w:color w:val="000000" w:themeColor="text1"/>
          <w:sz w:val="24"/>
          <w:szCs w:val="24"/>
        </w:rPr>
        <w:t>" which foresees the establishment of an Asset Recovery Office. Proposed amendments to the criminal code related to the criminal reliability of ent</w:t>
      </w:r>
      <w:r>
        <w:rPr>
          <w:rFonts w:ascii="Times New Roman" w:eastAsia="Times New Roman" w:hAnsi="Times New Roman" w:cs="Times New Roman"/>
          <w:bCs/>
          <w:noProof/>
          <w:color w:val="000000" w:themeColor="text1"/>
          <w:sz w:val="24"/>
          <w:szCs w:val="24"/>
        </w:rPr>
        <w:t xml:space="preserve">ities involved in the construction sector need to be adopted. </w:t>
      </w:r>
    </w:p>
    <w:p w:rsidR="00EE1719" w:rsidRDefault="000E39BA">
      <w:pPr>
        <w:spacing w:after="120" w:line="240" w:lineRule="auto"/>
        <w:jc w:val="both"/>
        <w:rPr>
          <w:rFonts w:ascii="Times New Roman" w:eastAsia="Times New Roman" w:hAnsi="Times New Roman" w:cs="Times New Roman"/>
          <w:bCs/>
          <w:noProof/>
          <w:color w:val="000000" w:themeColor="text1"/>
          <w:sz w:val="24"/>
          <w:szCs w:val="24"/>
        </w:rPr>
      </w:pPr>
      <w:r>
        <w:rPr>
          <w:rFonts w:ascii="Times New Roman" w:eastAsia="Calibri" w:hAnsi="Times New Roman" w:cs="Times New Roman"/>
          <w:bCs/>
          <w:noProof/>
          <w:color w:val="000000" w:themeColor="text1"/>
          <w:sz w:val="24"/>
          <w:szCs w:val="24"/>
        </w:rPr>
        <w:t xml:space="preserve">Amendments to the Law on </w:t>
      </w:r>
      <w:r>
        <w:rPr>
          <w:rFonts w:ascii="Times New Roman" w:eastAsia="Calibri" w:hAnsi="Times New Roman" w:cs="Times New Roman"/>
          <w:b/>
          <w:bCs/>
          <w:noProof/>
          <w:color w:val="000000" w:themeColor="text1"/>
          <w:sz w:val="24"/>
          <w:szCs w:val="24"/>
        </w:rPr>
        <w:t>political party financing</w:t>
      </w:r>
      <w:r>
        <w:rPr>
          <w:rFonts w:ascii="Times New Roman" w:eastAsia="Calibri" w:hAnsi="Times New Roman" w:cs="Times New Roman"/>
          <w:bCs/>
          <w:noProof/>
          <w:color w:val="000000" w:themeColor="text1"/>
          <w:sz w:val="24"/>
          <w:szCs w:val="24"/>
        </w:rPr>
        <w:t xml:space="preserve"> and the Electoral Code were thoroughly discussed at the </w:t>
      </w:r>
      <w:r>
        <w:rPr>
          <w:rFonts w:ascii="Times New Roman" w:eastAsia="Calibri" w:hAnsi="Times New Roman" w:cs="Times New Roman"/>
          <w:bCs/>
          <w:i/>
          <w:noProof/>
          <w:color w:val="000000" w:themeColor="text1"/>
          <w:sz w:val="24"/>
          <w:szCs w:val="24"/>
        </w:rPr>
        <w:t>ad hoc</w:t>
      </w:r>
      <w:r>
        <w:rPr>
          <w:rFonts w:ascii="Times New Roman" w:eastAsia="Calibri" w:hAnsi="Times New Roman" w:cs="Times New Roman"/>
          <w:bCs/>
          <w:noProof/>
          <w:color w:val="000000" w:themeColor="text1"/>
          <w:sz w:val="24"/>
          <w:szCs w:val="24"/>
        </w:rPr>
        <w:t xml:space="preserve"> electoral committee within the Assembly, as well as in the context of the polit</w:t>
      </w:r>
      <w:r>
        <w:rPr>
          <w:rFonts w:ascii="Times New Roman" w:eastAsia="Calibri" w:hAnsi="Times New Roman" w:cs="Times New Roman"/>
          <w:bCs/>
          <w:noProof/>
          <w:color w:val="000000" w:themeColor="text1"/>
          <w:sz w:val="24"/>
          <w:szCs w:val="24"/>
        </w:rPr>
        <w:t xml:space="preserve">ical platform for electoral reform gathering representatives from the majority, the parliamentary and the extra parliamentary opposition. The amendments to the electoral code were adopted by the Parliament on 23 July 2020 </w:t>
      </w:r>
      <w:r>
        <w:rPr>
          <w:rFonts w:ascii="Times New Roman" w:eastAsia="Calibri" w:hAnsi="Times New Roman" w:cs="Times New Roman"/>
          <w:bCs/>
          <w:i/>
          <w:noProof/>
          <w:color w:val="000000" w:themeColor="text1"/>
          <w:sz w:val="24"/>
          <w:szCs w:val="24"/>
        </w:rPr>
        <w:t>(see also section 2.1.1 Democracy)</w:t>
      </w:r>
      <w:r>
        <w:rPr>
          <w:rFonts w:ascii="Times New Roman" w:eastAsia="Times New Roman" w:hAnsi="Times New Roman" w:cs="Times New Roman"/>
          <w:bCs/>
          <w:noProof/>
          <w:color w:val="000000" w:themeColor="text1"/>
          <w:sz w:val="24"/>
          <w:szCs w:val="24"/>
        </w:rPr>
        <w:t>. All the secondary legislation for the legal framework on integrity is in place but it remains highly complex and fragmented. While Albania has an increasingly comprehensive legal framework, effective and high-quality implementation is lacking.</w:t>
      </w:r>
    </w:p>
    <w:p w:rsidR="00EE1719" w:rsidRDefault="000E39BA">
      <w:pPr>
        <w:spacing w:after="120" w:line="240" w:lineRule="auto"/>
        <w:jc w:val="both"/>
        <w:rPr>
          <w:rFonts w:ascii="Times New Roman" w:eastAsia="Calibri" w:hAnsi="Times New Roman" w:cs="Times New Roman"/>
          <w:noProof/>
          <w:color w:val="000000" w:themeColor="text1"/>
          <w:sz w:val="24"/>
          <w:szCs w:val="24"/>
          <w:u w:val="single"/>
          <w:lang w:eastAsia="en-US"/>
        </w:rPr>
      </w:pPr>
      <w:r>
        <w:rPr>
          <w:rFonts w:ascii="Times New Roman" w:eastAsia="Times New Roman" w:hAnsi="Times New Roman" w:cs="Times New Roman"/>
          <w:bCs/>
          <w:noProof/>
          <w:color w:val="000000" w:themeColor="text1"/>
          <w:sz w:val="24"/>
          <w:szCs w:val="24"/>
          <w:u w:val="single"/>
        </w:rPr>
        <w:t xml:space="preserve">Strategic </w:t>
      </w:r>
      <w:r>
        <w:rPr>
          <w:rFonts w:ascii="Times New Roman" w:eastAsia="Times New Roman" w:hAnsi="Times New Roman" w:cs="Times New Roman"/>
          <w:bCs/>
          <w:noProof/>
          <w:color w:val="000000" w:themeColor="text1"/>
          <w:sz w:val="24"/>
          <w:szCs w:val="24"/>
          <w:u w:val="single"/>
        </w:rPr>
        <w:t>framework</w:t>
      </w:r>
    </w:p>
    <w:p w:rsidR="00EE1719" w:rsidRDefault="000E39BA">
      <w:pPr>
        <w:spacing w:after="120" w:line="240" w:lineRule="auto"/>
        <w:jc w:val="both"/>
        <w:rPr>
          <w:rFonts w:ascii="Times New Roman" w:eastAsia="Times New Roman" w:hAnsi="Times New Roman" w:cs="Times New Roman"/>
          <w:noProof/>
          <w:color w:val="000000" w:themeColor="text1"/>
          <w:sz w:val="24"/>
          <w:szCs w:val="24"/>
          <w:lang w:eastAsia="nl-NL"/>
        </w:rPr>
      </w:pPr>
      <w:r>
        <w:rPr>
          <w:rFonts w:ascii="Times New Roman" w:eastAsia="Times New Roman" w:hAnsi="Times New Roman" w:cs="Times New Roman"/>
          <w:noProof/>
          <w:color w:val="000000" w:themeColor="text1"/>
          <w:sz w:val="24"/>
          <w:szCs w:val="24"/>
          <w:lang w:eastAsia="nl-NL"/>
        </w:rPr>
        <w:t>The implementation of the Inter-sectoral Strategy against Corruption is overall on track, although weaknesses remain. These weaknesses include the need to strengthen ownership, strengthen institutional capacities, ensure proper costing and budget</w:t>
      </w:r>
      <w:r>
        <w:rPr>
          <w:rFonts w:ascii="Times New Roman" w:eastAsia="Times New Roman" w:hAnsi="Times New Roman" w:cs="Times New Roman"/>
          <w:noProof/>
          <w:color w:val="000000" w:themeColor="text1"/>
          <w:sz w:val="24"/>
          <w:szCs w:val="24"/>
          <w:lang w:eastAsia="nl-NL"/>
        </w:rPr>
        <w:t>ing of the strategy’s activities. A new action plan for 2020-2023 for the implementation of the extended strategy was adopted in July 2020. A mid-term review of the Strategy has been undertaken. According to the 2019 draft annual monitoring report, 59 acti</w:t>
      </w:r>
      <w:r>
        <w:rPr>
          <w:rFonts w:ascii="Times New Roman" w:eastAsia="Times New Roman" w:hAnsi="Times New Roman" w:cs="Times New Roman"/>
          <w:noProof/>
          <w:color w:val="000000" w:themeColor="text1"/>
          <w:sz w:val="24"/>
          <w:szCs w:val="24"/>
          <w:lang w:eastAsia="nl-NL"/>
        </w:rPr>
        <w:t>vities out of 97 planned have been realised (61%) while 12 are ongoing. In 2018, out of 97 planned activities, 55% were fully implemented. The monitoring mechanism and its accountability need to be strengthened. Consultations with relevant stakeholders bef</w:t>
      </w:r>
      <w:r>
        <w:rPr>
          <w:rFonts w:ascii="Times New Roman" w:eastAsia="Times New Roman" w:hAnsi="Times New Roman" w:cs="Times New Roman"/>
          <w:noProof/>
          <w:color w:val="000000" w:themeColor="text1"/>
          <w:sz w:val="24"/>
          <w:szCs w:val="24"/>
          <w:lang w:eastAsia="nl-NL"/>
        </w:rPr>
        <w:t xml:space="preserve">ore the approval of the reports have improved.  Feedback is not systematically provided to stakeholders who participate in developing anticorruption policies. </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color w:val="000000" w:themeColor="text1"/>
          <w:sz w:val="24"/>
          <w:szCs w:val="24"/>
          <w:lang w:eastAsia="nl-NL"/>
        </w:rPr>
      </w:pPr>
      <w:r>
        <w:rPr>
          <w:rFonts w:ascii="Times New Roman" w:eastAsia="Times New Roman" w:hAnsi="Times New Roman" w:cs="Times New Roman"/>
          <w:noProof/>
          <w:color w:val="000000" w:themeColor="text1"/>
          <w:sz w:val="24"/>
          <w:szCs w:val="24"/>
          <w:lang w:eastAsia="nl-NL"/>
        </w:rPr>
        <w:t>The comprehensive performance assessment framework has been updated together with the new action</w:t>
      </w:r>
      <w:r>
        <w:rPr>
          <w:rFonts w:ascii="Times New Roman" w:eastAsia="Times New Roman" w:hAnsi="Times New Roman" w:cs="Times New Roman"/>
          <w:noProof/>
          <w:color w:val="000000" w:themeColor="text1"/>
          <w:sz w:val="24"/>
          <w:szCs w:val="24"/>
          <w:lang w:eastAsia="nl-NL"/>
        </w:rPr>
        <w:t xml:space="preserve"> plan up to 2023, and reporting on the performance indicators is included in the annual monitoring reports however not used as a tool to strive towards more progress.</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
          <w:bCs/>
          <w:noProof/>
          <w:color w:val="000000" w:themeColor="text1"/>
          <w:sz w:val="24"/>
          <w:szCs w:val="24"/>
        </w:rPr>
        <w:t>Fundamental rights</w:t>
      </w:r>
      <w:r>
        <w:rPr>
          <w:rFonts w:ascii="Times New Roman" w:eastAsia="Times New Roman" w:hAnsi="Times New Roman" w:cs="Times New Roman"/>
          <w:noProof/>
          <w:color w:val="000000" w:themeColor="text1"/>
          <w:sz w:val="24"/>
          <w:szCs w:val="24"/>
        </w:rPr>
        <w:t xml:space="preserve"> </w:t>
      </w:r>
    </w:p>
    <w:p w:rsidR="00EE1719" w:rsidRDefault="000E39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Albania complies overall with international human rights instruments and has ratified most international conventions related to the </w:t>
      </w:r>
      <w:r>
        <w:rPr>
          <w:rFonts w:ascii="Times New Roman" w:eastAsia="Times New Roman" w:hAnsi="Times New Roman" w:cs="Times New Roman"/>
          <w:b/>
          <w:noProof/>
          <w:color w:val="000000" w:themeColor="text1"/>
          <w:sz w:val="24"/>
          <w:szCs w:val="24"/>
        </w:rPr>
        <w:t>protection of fundamental rights</w:t>
      </w:r>
      <w:r>
        <w:rPr>
          <w:rFonts w:ascii="Times New Roman" w:eastAsia="Times New Roman" w:hAnsi="Times New Roman" w:cs="Times New Roman"/>
          <w:noProof/>
          <w:color w:val="000000" w:themeColor="text1"/>
          <w:sz w:val="24"/>
          <w:szCs w:val="24"/>
        </w:rPr>
        <w:t>. During the reporting period, Albania made some efforts to meet obligations that arise from</w:t>
      </w:r>
      <w:r>
        <w:rPr>
          <w:rFonts w:ascii="Times New Roman" w:eastAsia="Times New Roman" w:hAnsi="Times New Roman" w:cs="Times New Roman"/>
          <w:noProof/>
          <w:color w:val="000000" w:themeColor="text1"/>
          <w:sz w:val="24"/>
          <w:szCs w:val="24"/>
        </w:rPr>
        <w:t xml:space="preserve"> international legal instruments.</w:t>
      </w:r>
      <w:r>
        <w:rPr>
          <w:rFonts w:ascii="Times New Roman" w:eastAsia="Calibri" w:hAnsi="Times New Roman" w:cs="Times New Roman"/>
          <w:noProof/>
          <w:color w:val="000000" w:themeColor="text1"/>
          <w:sz w:val="24"/>
          <w:szCs w:val="24"/>
          <w:lang w:eastAsia="en-US"/>
        </w:rPr>
        <w:t xml:space="preserve"> Regarding the implementation of the Law on Social Housing, nine sub-legal acts were approved following a wide consultation process. The legal framework in the areas of children rights and juvenile justice has also been imp</w:t>
      </w:r>
      <w:r>
        <w:rPr>
          <w:rFonts w:ascii="Times New Roman" w:eastAsia="Calibri" w:hAnsi="Times New Roman" w:cs="Times New Roman"/>
          <w:noProof/>
          <w:color w:val="000000" w:themeColor="text1"/>
          <w:sz w:val="24"/>
          <w:szCs w:val="24"/>
          <w:lang w:eastAsia="en-US"/>
        </w:rPr>
        <w:t>roved by sub-legal acts.</w:t>
      </w:r>
      <w:r>
        <w:rPr>
          <w:rFonts w:ascii="Times New Roman" w:eastAsia="Times New Roman" w:hAnsi="Times New Roman" w:cs="Times New Roman"/>
          <w:noProof/>
          <w:color w:val="000000" w:themeColor="text1"/>
          <w:sz w:val="24"/>
          <w:szCs w:val="24"/>
        </w:rPr>
        <w:t xml:space="preserve"> Efforts are ongoing to implement a comprehensive land sector reform and to consolidate property rights. </w:t>
      </w:r>
    </w:p>
    <w:p w:rsidR="00EE1719" w:rsidRDefault="000E39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In the coming year, Albania should:</w:t>
      </w:r>
    </w:p>
    <w:p w:rsidR="00EE1719" w:rsidRDefault="000E39BA">
      <w:pP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autoSpaceDE w:val="0"/>
        <w:autoSpaceDN w:val="0"/>
        <w:adjustRightInd w:val="0"/>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further improve institutional mechanisms for protecting children, protecting victims of do</w:t>
      </w:r>
      <w:r>
        <w:rPr>
          <w:rFonts w:ascii="Times New Roman" w:eastAsia="Times New Roman" w:hAnsi="Times New Roman" w:cs="Times New Roman"/>
          <w:noProof/>
          <w:color w:val="000000" w:themeColor="text1"/>
          <w:sz w:val="24"/>
          <w:szCs w:val="24"/>
        </w:rPr>
        <w:t xml:space="preserve">mestic violence, promoting the rights of persons with disabilities, guaranteeing gender equality and providing minimum health and social services, especially at the local level; </w:t>
      </w:r>
    </w:p>
    <w:p w:rsidR="00EE1719" w:rsidRDefault="000E39BA">
      <w:pP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autoSpaceDE w:val="0"/>
        <w:autoSpaceDN w:val="0"/>
        <w:adjustRightInd w:val="0"/>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step up efforts to establish solid anti-discrimination case-law; enact the </w:t>
      </w:r>
      <w:r>
        <w:rPr>
          <w:rFonts w:ascii="Times New Roman" w:eastAsia="Times New Roman" w:hAnsi="Times New Roman" w:cs="Times New Roman"/>
          <w:noProof/>
          <w:color w:val="000000" w:themeColor="text1"/>
          <w:sz w:val="24"/>
          <w:szCs w:val="24"/>
        </w:rPr>
        <w:t>sub-legal acts related to the Law on Social Housing, which also foresees 5% of housing to be reserved for the most vulnerable members of the Roma and Egyptian</w:t>
      </w:r>
      <w:r>
        <w:rPr>
          <w:rStyle w:val="FootnoteReference"/>
          <w:rFonts w:ascii="Times New Roman" w:eastAsia="Times New Roman" w:hAnsi="Times New Roman" w:cs="Times New Roman"/>
          <w:noProof/>
          <w:color w:val="000000" w:themeColor="text1"/>
          <w:sz w:val="24"/>
          <w:szCs w:val="24"/>
        </w:rPr>
        <w:footnoteReference w:id="3"/>
      </w:r>
      <w:r>
        <w:rPr>
          <w:rFonts w:ascii="Times New Roman" w:eastAsia="Times New Roman" w:hAnsi="Times New Roman" w:cs="Times New Roman"/>
          <w:noProof/>
          <w:color w:val="000000" w:themeColor="text1"/>
          <w:sz w:val="24"/>
          <w:szCs w:val="24"/>
        </w:rPr>
        <w:t xml:space="preserve"> communities;</w:t>
      </w:r>
    </w:p>
    <w:p w:rsidR="00EE1719" w:rsidRDefault="000E39BA">
      <w:pP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autoSpaceDE w:val="0"/>
        <w:autoSpaceDN w:val="0"/>
        <w:adjustRightInd w:val="0"/>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swiftly adopt the remaining five bye-laws to ensure full implementation of the legi</w:t>
      </w:r>
      <w:r>
        <w:rPr>
          <w:rFonts w:ascii="Times New Roman" w:eastAsia="Times New Roman" w:hAnsi="Times New Roman" w:cs="Times New Roman"/>
          <w:noProof/>
          <w:color w:val="000000" w:themeColor="text1"/>
          <w:sz w:val="24"/>
          <w:szCs w:val="24"/>
        </w:rPr>
        <w:t>slation related to the 2017 framework Law on the Protection of National</w:t>
      </w:r>
      <w:r>
        <w:rPr>
          <w:rFonts w:ascii="Times New Roman" w:eastAsia="Times New Roman" w:hAnsi="Times New Roman" w:cs="Times New Roman"/>
          <w:b/>
          <w:noProof/>
          <w:color w:val="000000" w:themeColor="text1"/>
          <w:sz w:val="24"/>
          <w:szCs w:val="24"/>
        </w:rPr>
        <w:t xml:space="preserve"> </w:t>
      </w:r>
      <w:r>
        <w:rPr>
          <w:rFonts w:ascii="Times New Roman" w:eastAsia="Times New Roman" w:hAnsi="Times New Roman" w:cs="Times New Roman"/>
          <w:noProof/>
          <w:color w:val="000000" w:themeColor="text1"/>
          <w:sz w:val="24"/>
          <w:szCs w:val="24"/>
        </w:rPr>
        <w:t>Minorities;</w:t>
      </w:r>
    </w:p>
    <w:p w:rsidR="00EE1719" w:rsidRDefault="000E39BA">
      <w:pP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autoSpaceDE w:val="0"/>
        <w:autoSpaceDN w:val="0"/>
        <w:adjustRightInd w:val="0"/>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consolidate the entrenchment of property rights, notably by finalising first registration, advancing the registration of property deeds, implementing the compensation schem</w:t>
      </w:r>
      <w:r>
        <w:rPr>
          <w:rFonts w:ascii="Times New Roman" w:eastAsia="Times New Roman" w:hAnsi="Times New Roman" w:cs="Times New Roman"/>
          <w:noProof/>
          <w:color w:val="000000" w:themeColor="text1"/>
          <w:sz w:val="24"/>
          <w:szCs w:val="24"/>
        </w:rPr>
        <w:t xml:space="preserve">e, and continue making the necessary progress on the digitalisation and mapping of property.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Albania complies overall with international </w:t>
      </w:r>
      <w:r>
        <w:rPr>
          <w:rFonts w:ascii="Times New Roman" w:eastAsia="Times New Roman" w:hAnsi="Times New Roman" w:cs="Times New Roman"/>
          <w:b/>
          <w:noProof/>
          <w:color w:val="000000" w:themeColor="text1"/>
          <w:sz w:val="24"/>
          <w:szCs w:val="24"/>
        </w:rPr>
        <w:t>human rights instruments</w:t>
      </w:r>
      <w:r>
        <w:rPr>
          <w:rFonts w:ascii="Times New Roman" w:eastAsia="Times New Roman" w:hAnsi="Times New Roman" w:cs="Times New Roman"/>
          <w:noProof/>
          <w:color w:val="000000" w:themeColor="text1"/>
          <w:sz w:val="24"/>
          <w:szCs w:val="24"/>
        </w:rPr>
        <w:t xml:space="preserve"> and has ratified most international conventions. Albania has yet to ratify the Optional Proto</w:t>
      </w:r>
      <w:r>
        <w:rPr>
          <w:rFonts w:ascii="Times New Roman" w:eastAsia="Times New Roman" w:hAnsi="Times New Roman" w:cs="Times New Roman"/>
          <w:noProof/>
          <w:color w:val="000000" w:themeColor="text1"/>
          <w:sz w:val="24"/>
          <w:szCs w:val="24"/>
        </w:rPr>
        <w:t>col to the Convention on the Rights of Persons with Disabilities and the Optional Protocol to the International Convention on Economic, Social and Cultural Rights. Assessing the level of implementation of human rights legislation, policies, analyses and st</w:t>
      </w:r>
      <w:r>
        <w:rPr>
          <w:rFonts w:ascii="Times New Roman" w:eastAsia="Times New Roman" w:hAnsi="Times New Roman" w:cs="Times New Roman"/>
          <w:noProof/>
          <w:color w:val="000000" w:themeColor="text1"/>
          <w:sz w:val="24"/>
          <w:szCs w:val="24"/>
        </w:rPr>
        <w:t>rategies remains a challenge due to the absence of comprehensive monitoring and data. Albania underwent its third Universal Periodic Review cycle (UPR) in May 2019. In addition, Albania was granted Observer Status to the European Union Agency for Fundament</w:t>
      </w:r>
      <w:r>
        <w:rPr>
          <w:rFonts w:ascii="Times New Roman" w:eastAsia="Times New Roman" w:hAnsi="Times New Roman" w:cs="Times New Roman"/>
          <w:noProof/>
          <w:color w:val="000000" w:themeColor="text1"/>
          <w:sz w:val="24"/>
          <w:szCs w:val="24"/>
        </w:rPr>
        <w:t>al Rights by decision of the EU-Albania Stabilisation and Association Council of 28 November 2019. Albania is in the process of appoining an Observer, an alternate Observer and a National Liaison Officer for the Agency.</w:t>
      </w:r>
    </w:p>
    <w:p w:rsidR="00EE1719" w:rsidRDefault="000E39BA">
      <w:pPr>
        <w:spacing w:after="120" w:line="240" w:lineRule="auto"/>
        <w:jc w:val="both"/>
        <w:rPr>
          <w:rFonts w:ascii="Times New Roman" w:eastAsia="Times New Roman" w:hAnsi="Times New Roman" w:cs="Times New Roman"/>
          <w:noProof/>
          <w:color w:val="000000" w:themeColor="text1"/>
          <w:sz w:val="24"/>
          <w:szCs w:val="24"/>
          <w:lang w:eastAsia="en-US"/>
        </w:rPr>
      </w:pPr>
      <w:r>
        <w:rPr>
          <w:rFonts w:ascii="Times New Roman" w:eastAsia="Times New Roman" w:hAnsi="Times New Roman" w:cs="Times New Roman"/>
          <w:noProof/>
          <w:color w:val="000000" w:themeColor="text1"/>
          <w:sz w:val="24"/>
          <w:szCs w:val="24"/>
          <w:lang w:eastAsia="en-US"/>
        </w:rPr>
        <w:t>Albania continues to ensure good coo</w:t>
      </w:r>
      <w:r>
        <w:rPr>
          <w:rFonts w:ascii="Times New Roman" w:eastAsia="Times New Roman" w:hAnsi="Times New Roman" w:cs="Times New Roman"/>
          <w:noProof/>
          <w:color w:val="000000" w:themeColor="text1"/>
          <w:sz w:val="24"/>
          <w:szCs w:val="24"/>
          <w:lang w:eastAsia="en-US"/>
        </w:rPr>
        <w:t xml:space="preserve">peration with the </w:t>
      </w:r>
      <w:r>
        <w:rPr>
          <w:rFonts w:ascii="Times New Roman" w:eastAsia="Times New Roman" w:hAnsi="Times New Roman" w:cs="Times New Roman"/>
          <w:b/>
          <w:noProof/>
          <w:color w:val="000000" w:themeColor="text1"/>
          <w:sz w:val="24"/>
          <w:szCs w:val="24"/>
          <w:lang w:eastAsia="en-US"/>
        </w:rPr>
        <w:t>European Court of Human Rights</w:t>
      </w:r>
      <w:r>
        <w:rPr>
          <w:rFonts w:ascii="Times New Roman" w:eastAsia="Times New Roman" w:hAnsi="Times New Roman" w:cs="Times New Roman"/>
          <w:noProof/>
          <w:color w:val="000000" w:themeColor="text1"/>
          <w:sz w:val="24"/>
          <w:szCs w:val="24"/>
          <w:lang w:eastAsia="en-US"/>
        </w:rPr>
        <w:t>. The European Court of Human Rights dealt with 48 applications concerning Albania in 2019, of which 47 were declared inadmissible. The Court delivered one judgment (concerning one application) finding violat</w:t>
      </w:r>
      <w:r>
        <w:rPr>
          <w:rFonts w:ascii="Times New Roman" w:eastAsia="Times New Roman" w:hAnsi="Times New Roman" w:cs="Times New Roman"/>
          <w:noProof/>
          <w:color w:val="000000" w:themeColor="text1"/>
          <w:sz w:val="24"/>
          <w:szCs w:val="24"/>
          <w:lang w:eastAsia="en-US"/>
        </w:rPr>
        <w:t xml:space="preserve">ions of procedural rights and ill-treatment guaranteed under the ECHR. A judgement was issued in January 2020 finding Albania in breach of the ECHR for ill-treatment of a mentally ill individual. In March 2020, Albania notified the Council of Europe about </w:t>
      </w:r>
      <w:r>
        <w:rPr>
          <w:rFonts w:ascii="Times New Roman" w:eastAsia="Times New Roman" w:hAnsi="Times New Roman" w:cs="Times New Roman"/>
          <w:noProof/>
          <w:color w:val="000000" w:themeColor="text1"/>
          <w:sz w:val="24"/>
          <w:szCs w:val="24"/>
          <w:lang w:eastAsia="en-US"/>
        </w:rPr>
        <w:t>restrictions of human rights and freedoms due to COVID-19 outbreak. By declaring a state of emergency due to natural disaster, Albania introduced restrictions on freedoms and fundamental human rights regarding movement, air, sea and land transport, the edu</w:t>
      </w:r>
      <w:r>
        <w:rPr>
          <w:rFonts w:ascii="Times New Roman" w:eastAsia="Times New Roman" w:hAnsi="Times New Roman" w:cs="Times New Roman"/>
          <w:noProof/>
          <w:color w:val="000000" w:themeColor="text1"/>
          <w:sz w:val="24"/>
          <w:szCs w:val="24"/>
          <w:lang w:eastAsia="en-US"/>
        </w:rPr>
        <w:t>cational process, as well as the right to property.</w:t>
      </w:r>
    </w:p>
    <w:p w:rsidR="00EE1719" w:rsidRDefault="000E39BA">
      <w:pPr>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 xml:space="preserve">On </w:t>
      </w:r>
      <w:r>
        <w:rPr>
          <w:rFonts w:ascii="Times New Roman" w:eastAsia="Calibri" w:hAnsi="Times New Roman" w:cs="Times New Roman"/>
          <w:b/>
          <w:noProof/>
          <w:color w:val="000000" w:themeColor="text1"/>
          <w:sz w:val="24"/>
          <w:szCs w:val="24"/>
          <w:lang w:eastAsia="en-US"/>
        </w:rPr>
        <w:t>the promotion and enforcement of human rights</w:t>
      </w:r>
      <w:r>
        <w:rPr>
          <w:rFonts w:ascii="Times New Roman" w:eastAsia="Calibri" w:hAnsi="Times New Roman" w:cs="Times New Roman"/>
          <w:noProof/>
          <w:color w:val="000000" w:themeColor="text1"/>
          <w:sz w:val="24"/>
          <w:szCs w:val="24"/>
          <w:lang w:eastAsia="en-US"/>
        </w:rPr>
        <w:t>, the Ombudsman has continued to promote human rights. In 2019, the Ombudsman submitted a total of 213 recommendations, of which 63 were accepted, 10 were rejected, 4 went without response, and 23 remain in process. In April 2019, after monitoring the prot</w:t>
      </w:r>
      <w:r>
        <w:rPr>
          <w:rFonts w:ascii="Times New Roman" w:eastAsia="Calibri" w:hAnsi="Times New Roman" w:cs="Times New Roman"/>
          <w:noProof/>
          <w:color w:val="000000" w:themeColor="text1"/>
          <w:sz w:val="24"/>
          <w:szCs w:val="24"/>
          <w:lang w:eastAsia="en-US"/>
        </w:rPr>
        <w:t>ests on 13 April, the Ombudsman issued a statement indicating that violence against public buildings and private properties during protests must not be tolerated. The Ombudsman also criticised the indiscriminate use of teargas by the police and deplored th</w:t>
      </w:r>
      <w:r>
        <w:rPr>
          <w:rFonts w:ascii="Times New Roman" w:eastAsia="Calibri" w:hAnsi="Times New Roman" w:cs="Times New Roman"/>
          <w:noProof/>
          <w:color w:val="000000" w:themeColor="text1"/>
          <w:sz w:val="24"/>
          <w:szCs w:val="24"/>
          <w:lang w:eastAsia="en-US"/>
        </w:rPr>
        <w:t>e fact that journalists were being discouraged via various means from fully covering the protest. In November 2019, the Ombudsman expressed support to the Astir area residents protesting against the destruction of their homes and other properties to make w</w:t>
      </w:r>
      <w:r>
        <w:rPr>
          <w:rFonts w:ascii="Times New Roman" w:eastAsia="Calibri" w:hAnsi="Times New Roman" w:cs="Times New Roman"/>
          <w:noProof/>
          <w:color w:val="000000" w:themeColor="text1"/>
          <w:sz w:val="24"/>
          <w:szCs w:val="24"/>
          <w:lang w:eastAsia="en-US"/>
        </w:rPr>
        <w:t>ay for the construction of a ring road segment. Following the protests against the demolition of the National Theatre building in Tirana on 17 May 2020, the Ombudsman called on the state authorities, i.e. the structures of the State Police, to avoid extrem</w:t>
      </w:r>
      <w:r>
        <w:rPr>
          <w:rFonts w:ascii="Times New Roman" w:eastAsia="Calibri" w:hAnsi="Times New Roman" w:cs="Times New Roman"/>
          <w:noProof/>
          <w:color w:val="000000" w:themeColor="text1"/>
          <w:sz w:val="24"/>
          <w:szCs w:val="24"/>
          <w:lang w:eastAsia="en-US"/>
        </w:rPr>
        <w:t>e reactions, to maintain proportionality and to respectfully consider any legal form of expression of the will of the citizens, including the right to expressing their opinions or the right to protest or manifest their dissatisfaction. Effective implementa</w:t>
      </w:r>
      <w:r>
        <w:rPr>
          <w:rFonts w:ascii="Times New Roman" w:eastAsia="Calibri" w:hAnsi="Times New Roman" w:cs="Times New Roman"/>
          <w:noProof/>
          <w:color w:val="000000" w:themeColor="text1"/>
          <w:sz w:val="24"/>
          <w:szCs w:val="24"/>
          <w:lang w:eastAsia="en-US"/>
        </w:rPr>
        <w:t>tion of the Ombudsman’s recommendations by the public administration needs to be more systematic. A comprehensive approach is necessary to strengthen the capacity of the Ombudsman and of the Commissioner for Protection from Discrimination (CPD) in handling</w:t>
      </w:r>
      <w:r>
        <w:rPr>
          <w:rFonts w:ascii="Times New Roman" w:eastAsia="Calibri" w:hAnsi="Times New Roman" w:cs="Times New Roman"/>
          <w:noProof/>
          <w:color w:val="000000" w:themeColor="text1"/>
          <w:sz w:val="24"/>
          <w:szCs w:val="24"/>
          <w:lang w:eastAsia="en-US"/>
        </w:rPr>
        <w:t xml:space="preserve"> cases of human rights violations. The budget for the CPD has been increased for 2020, while the amount allocated to the Ombudsman has decreased. </w:t>
      </w:r>
      <w:r>
        <w:rPr>
          <w:rFonts w:ascii="Times New Roman" w:eastAsia="Times New Roman" w:hAnsi="Times New Roman" w:cs="Times New Roman"/>
          <w:noProof/>
          <w:color w:val="000000" w:themeColor="text1"/>
          <w:sz w:val="24"/>
          <w:szCs w:val="24"/>
        </w:rPr>
        <w:t>Regarding the work of both the Ombudsman and the Commissioner for Protection from Discrimination, the 2019 Uni</w:t>
      </w:r>
      <w:r>
        <w:rPr>
          <w:rFonts w:ascii="Times New Roman" w:eastAsia="Times New Roman" w:hAnsi="Times New Roman" w:cs="Times New Roman"/>
          <w:noProof/>
          <w:color w:val="000000" w:themeColor="text1"/>
          <w:sz w:val="24"/>
          <w:szCs w:val="24"/>
        </w:rPr>
        <w:t>versal Peer Review concluded that the lack of sufficient human, technical and financial resources was undermining the work on human rights promotion and protection.</w:t>
      </w:r>
    </w:p>
    <w:p w:rsidR="00EE1719" w:rsidRDefault="000E39BA">
      <w:pPr>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Times New Roman" w:hAnsi="Times New Roman" w:cs="Times New Roman"/>
          <w:noProof/>
          <w:color w:val="000000" w:themeColor="text1"/>
          <w:sz w:val="24"/>
          <w:szCs w:val="24"/>
        </w:rPr>
        <w:t xml:space="preserve">On the </w:t>
      </w:r>
      <w:r>
        <w:rPr>
          <w:rFonts w:ascii="Times New Roman" w:eastAsia="Times New Roman" w:hAnsi="Times New Roman" w:cs="Times New Roman"/>
          <w:b/>
          <w:noProof/>
          <w:color w:val="000000" w:themeColor="text1"/>
          <w:sz w:val="24"/>
          <w:szCs w:val="24"/>
        </w:rPr>
        <w:t>right to life,</w:t>
      </w:r>
      <w:r>
        <w:rPr>
          <w:rFonts w:ascii="Times New Roman" w:eastAsia="Times New Roman" w:hAnsi="Times New Roman" w:cs="Times New Roman"/>
          <w:noProof/>
          <w:color w:val="000000" w:themeColor="text1"/>
          <w:sz w:val="24"/>
          <w:szCs w:val="24"/>
        </w:rPr>
        <w:t xml:space="preserve"> in November 2018, Albania ratified a </w:t>
      </w:r>
      <w:r>
        <w:rPr>
          <w:rFonts w:ascii="Times New Roman" w:eastAsia="Calibri" w:hAnsi="Times New Roman" w:cs="Times New Roman"/>
          <w:noProof/>
          <w:color w:val="000000" w:themeColor="text1"/>
          <w:sz w:val="24"/>
          <w:szCs w:val="24"/>
          <w:lang w:eastAsia="en-US"/>
        </w:rPr>
        <w:t>cooperation agreement with the I</w:t>
      </w:r>
      <w:r>
        <w:rPr>
          <w:rFonts w:ascii="Times New Roman" w:eastAsia="Calibri" w:hAnsi="Times New Roman" w:cs="Times New Roman"/>
          <w:noProof/>
          <w:color w:val="000000" w:themeColor="text1"/>
          <w:sz w:val="24"/>
          <w:szCs w:val="24"/>
          <w:lang w:eastAsia="en-US"/>
        </w:rPr>
        <w:t>nternational Commission for Missing Persons (ICMP), to help identify some of the missing victims of Albania’s Communist regime and collect DNA samples with financial support from the EU. However, by November 2019, the remains of just two people had been id</w:t>
      </w:r>
      <w:r>
        <w:rPr>
          <w:rFonts w:ascii="Times New Roman" w:eastAsia="Calibri" w:hAnsi="Times New Roman" w:cs="Times New Roman"/>
          <w:noProof/>
          <w:color w:val="000000" w:themeColor="text1"/>
          <w:sz w:val="24"/>
          <w:szCs w:val="24"/>
          <w:lang w:eastAsia="en-US"/>
        </w:rPr>
        <w:t xml:space="preserve">entified due to insufficient cooperation by the Prosecution Offices of Tirana and Fier. </w:t>
      </w:r>
    </w:p>
    <w:p w:rsidR="00EE1719" w:rsidRDefault="000E39BA">
      <w:pPr>
        <w:spacing w:after="120" w:line="240" w:lineRule="auto"/>
        <w:jc w:val="both"/>
        <w:rPr>
          <w:rFonts w:ascii="Times New Roman" w:eastAsia="Times New Roman" w:hAnsi="Times New Roman" w:cs="Times New Roman"/>
          <w:i/>
          <w:noProof/>
          <w:color w:val="000000" w:themeColor="text1"/>
          <w:sz w:val="24"/>
          <w:szCs w:val="24"/>
        </w:rPr>
      </w:pPr>
      <w:r>
        <w:rPr>
          <w:rFonts w:ascii="Times New Roman" w:eastAsia="Times New Roman" w:hAnsi="Times New Roman" w:cs="Times New Roman"/>
          <w:noProof/>
          <w:color w:val="000000" w:themeColor="text1"/>
          <w:sz w:val="24"/>
          <w:szCs w:val="24"/>
        </w:rPr>
        <w:t xml:space="preserve">On the </w:t>
      </w:r>
      <w:r>
        <w:rPr>
          <w:rFonts w:ascii="Times New Roman" w:eastAsia="Times New Roman" w:hAnsi="Times New Roman" w:cs="Times New Roman"/>
          <w:b/>
          <w:noProof/>
          <w:color w:val="000000" w:themeColor="text1"/>
          <w:sz w:val="24"/>
          <w:szCs w:val="24"/>
        </w:rPr>
        <w:t>prevention of torture and ill-treatment</w:t>
      </w:r>
      <w:r>
        <w:rPr>
          <w:rFonts w:ascii="Times New Roman" w:eastAsia="Times New Roman" w:hAnsi="Times New Roman" w:cs="Times New Roman"/>
          <w:noProof/>
          <w:color w:val="000000" w:themeColor="text1"/>
          <w:sz w:val="24"/>
          <w:szCs w:val="24"/>
        </w:rPr>
        <w:t>, the National Preventive Mechanism conducted 58 inspection visits to detention facilities and four to psychiatric hospit</w:t>
      </w:r>
      <w:r>
        <w:rPr>
          <w:rFonts w:ascii="Times New Roman" w:eastAsia="Times New Roman" w:hAnsi="Times New Roman" w:cs="Times New Roman"/>
          <w:noProof/>
          <w:color w:val="000000" w:themeColor="text1"/>
          <w:sz w:val="24"/>
          <w:szCs w:val="24"/>
        </w:rPr>
        <w:t>als in 2019, resulting in 164 recommendations concerning the prison system. The percentage of fully implemented recommendations remains low and requires further efforts. During this period, 42 complaints relating to violence in police facilities were proce</w:t>
      </w:r>
      <w:r>
        <w:rPr>
          <w:rFonts w:ascii="Times New Roman" w:eastAsia="Times New Roman" w:hAnsi="Times New Roman" w:cs="Times New Roman"/>
          <w:noProof/>
          <w:color w:val="000000" w:themeColor="text1"/>
          <w:sz w:val="24"/>
          <w:szCs w:val="24"/>
        </w:rPr>
        <w:t>ssed, two cases were brought to the courts, one was later dismissed and one is still pending. Another four recommendations are being prepared for the courts. In five other cases, investigations have been initiated by the Prosecutor's Office based on report</w:t>
      </w:r>
      <w:r>
        <w:rPr>
          <w:rFonts w:ascii="Times New Roman" w:eastAsia="Times New Roman" w:hAnsi="Times New Roman" w:cs="Times New Roman"/>
          <w:noProof/>
          <w:color w:val="000000" w:themeColor="text1"/>
          <w:sz w:val="24"/>
          <w:szCs w:val="24"/>
        </w:rPr>
        <w:t>s made by the injured parties. During the 2019 Universal Periodic review, States expressed concerns about allegations of torture or ill-treatment in detention and recommended that Albania carry out prompt and effective investigation into all allegations en</w:t>
      </w:r>
      <w:r>
        <w:rPr>
          <w:rFonts w:ascii="Times New Roman" w:eastAsia="Times New Roman" w:hAnsi="Times New Roman" w:cs="Times New Roman"/>
          <w:noProof/>
          <w:color w:val="000000" w:themeColor="text1"/>
          <w:sz w:val="24"/>
          <w:szCs w:val="24"/>
        </w:rPr>
        <w:t xml:space="preserve">suring that those responsible are punished with sanctions commensurate to the gravity of their crimes. Albania has been condemned for violations of the ECHR related to ill-treatment in 2019 and 2020 </w:t>
      </w:r>
      <w:r>
        <w:rPr>
          <w:rFonts w:ascii="Times New Roman" w:eastAsia="Times New Roman" w:hAnsi="Times New Roman" w:cs="Times New Roman"/>
          <w:i/>
          <w:noProof/>
          <w:color w:val="000000" w:themeColor="text1"/>
          <w:sz w:val="24"/>
          <w:szCs w:val="24"/>
        </w:rPr>
        <w:t>(see above).</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In September 2019, the Council of Europe’s C</w:t>
      </w:r>
      <w:r>
        <w:rPr>
          <w:rFonts w:ascii="Times New Roman" w:eastAsia="Times New Roman" w:hAnsi="Times New Roman" w:cs="Times New Roman"/>
          <w:noProof/>
          <w:color w:val="000000" w:themeColor="text1"/>
          <w:sz w:val="24"/>
          <w:szCs w:val="24"/>
        </w:rPr>
        <w:t>ommittee for the Prevention of Torture and Inhuman or Degrading Treatment or Punishment (CPT) published the report on its visit to Albania (carried out in November 2018). According to the CPT, there are only slight improvements in the functioning of detent</w:t>
      </w:r>
      <w:r>
        <w:rPr>
          <w:rFonts w:ascii="Times New Roman" w:eastAsia="Times New Roman" w:hAnsi="Times New Roman" w:cs="Times New Roman"/>
          <w:noProof/>
          <w:color w:val="000000" w:themeColor="text1"/>
          <w:sz w:val="24"/>
          <w:szCs w:val="24"/>
        </w:rPr>
        <w:t>ion facilities. Particular attention was paid to the treatment and conditions of detention of persons in police custody and the situation of remand prisoners and forensic psychiatric patients. In response to recommendations made by the CPT and the European</w:t>
      </w:r>
      <w:r>
        <w:rPr>
          <w:rFonts w:ascii="Times New Roman" w:eastAsia="Times New Roman" w:hAnsi="Times New Roman" w:cs="Times New Roman"/>
          <w:noProof/>
          <w:color w:val="000000" w:themeColor="text1"/>
          <w:sz w:val="24"/>
          <w:szCs w:val="24"/>
        </w:rPr>
        <w:t xml:space="preserve"> Commission, the government has started preparing plans for the establishment of a special institute for the treatment of persons with mental illness in prison and has renovated premises in the Lezha prison to serve as an intermediary facility</w:t>
      </w:r>
      <w:r>
        <w:rPr>
          <w:rFonts w:ascii="Times New Roman" w:eastAsia="Calibri" w:hAnsi="Times New Roman" w:cs="Times New Roman"/>
          <w:noProof/>
          <w:color w:val="000000" w:themeColor="text1"/>
          <w:sz w:val="24"/>
          <w:szCs w:val="24"/>
          <w:lang w:eastAsia="en-US"/>
        </w:rPr>
        <w:t xml:space="preserve"> </w:t>
      </w:r>
      <w:r>
        <w:rPr>
          <w:rFonts w:ascii="Times New Roman" w:eastAsia="Times New Roman" w:hAnsi="Times New Roman" w:cs="Times New Roman"/>
          <w:noProof/>
          <w:color w:val="000000" w:themeColor="text1"/>
          <w:sz w:val="24"/>
          <w:szCs w:val="24"/>
        </w:rPr>
        <w:t>to treat peo</w:t>
      </w:r>
      <w:r>
        <w:rPr>
          <w:rFonts w:ascii="Times New Roman" w:eastAsia="Times New Roman" w:hAnsi="Times New Roman" w:cs="Times New Roman"/>
          <w:noProof/>
          <w:color w:val="000000" w:themeColor="text1"/>
          <w:sz w:val="24"/>
          <w:szCs w:val="24"/>
        </w:rPr>
        <w:t xml:space="preserve">ple with mandatory medical treatment in prisons. </w:t>
      </w:r>
    </w:p>
    <w:p w:rsidR="00EE1719" w:rsidRDefault="000E39BA">
      <w:pPr>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Times New Roman" w:hAnsi="Times New Roman" w:cs="Times New Roman"/>
          <w:noProof/>
          <w:color w:val="000000" w:themeColor="text1"/>
          <w:sz w:val="24"/>
          <w:szCs w:val="24"/>
        </w:rPr>
        <w:t>After inspection visits in August, the Ombudsman called for the immediate closure of the Saranda and Burrel prisons due to poor conditions, including overcrowding and low hygienic standards. The Ombudsman a</w:t>
      </w:r>
      <w:r>
        <w:rPr>
          <w:rFonts w:ascii="Times New Roman" w:eastAsia="Times New Roman" w:hAnsi="Times New Roman" w:cs="Times New Roman"/>
          <w:noProof/>
          <w:color w:val="000000" w:themeColor="text1"/>
          <w:sz w:val="24"/>
          <w:szCs w:val="24"/>
        </w:rPr>
        <w:t xml:space="preserve">lso requested the improvement of conditions in the prisons of Berat, Tirana (302 and Vaqarr), Tepelena, Lezha (Shënkoll), Tropoja, and the women’s prison in the Ali Demi neighbourhood in Tirana. As for the </w:t>
      </w:r>
      <w:r>
        <w:rPr>
          <w:rFonts w:ascii="Times New Roman" w:eastAsia="Times New Roman" w:hAnsi="Times New Roman" w:cs="Times New Roman"/>
          <w:b/>
          <w:noProof/>
          <w:color w:val="000000" w:themeColor="text1"/>
          <w:sz w:val="24"/>
          <w:szCs w:val="24"/>
        </w:rPr>
        <w:t>prison system</w:t>
      </w:r>
      <w:r>
        <w:rPr>
          <w:rFonts w:ascii="Times New Roman" w:eastAsia="Times New Roman" w:hAnsi="Times New Roman" w:cs="Times New Roman"/>
          <w:noProof/>
          <w:color w:val="000000" w:themeColor="text1"/>
          <w:sz w:val="24"/>
          <w:szCs w:val="24"/>
        </w:rPr>
        <w:t xml:space="preserve">, a new action plan has been drafted </w:t>
      </w:r>
      <w:r>
        <w:rPr>
          <w:rFonts w:ascii="Times New Roman" w:eastAsia="Times New Roman" w:hAnsi="Times New Roman" w:cs="Times New Roman"/>
          <w:noProof/>
          <w:color w:val="000000" w:themeColor="text1"/>
          <w:sz w:val="24"/>
          <w:szCs w:val="24"/>
        </w:rPr>
        <w:t>for 2019-2022. Legislation on prisons and prison police should be amended to ensure compliance with European standards. With the opening of the EU-funded prison in Shkodra in July 2018, there has been progress in addressing overcrowding. Across the country</w:t>
      </w:r>
      <w:r>
        <w:rPr>
          <w:rFonts w:ascii="Times New Roman" w:eastAsia="Times New Roman" w:hAnsi="Times New Roman" w:cs="Times New Roman"/>
          <w:noProof/>
          <w:color w:val="000000" w:themeColor="text1"/>
          <w:sz w:val="24"/>
          <w:szCs w:val="24"/>
        </w:rPr>
        <w:t>, the number of inmates is now under the capacity of the prison system (by 13%). The population of the Zaharia medical facility is however severely overpopulated with 284 detainees for a capacity of 188. The MoJ has engaged in several reforms targeting the</w:t>
      </w:r>
      <w:r>
        <w:rPr>
          <w:rFonts w:ascii="Times New Roman" w:eastAsia="Times New Roman" w:hAnsi="Times New Roman" w:cs="Times New Roman"/>
          <w:noProof/>
          <w:color w:val="000000" w:themeColor="text1"/>
          <w:sz w:val="24"/>
          <w:szCs w:val="24"/>
        </w:rPr>
        <w:t xml:space="preserve"> professionalism and integrity of prison personnel. In November 2019, 12 Prison Police Directors and eight employees were dismissed for "low performance" and suspected of committing criminal offences, including corruption related offences. By October 2019,</w:t>
      </w:r>
      <w:r>
        <w:rPr>
          <w:rFonts w:ascii="Times New Roman" w:eastAsia="Times New Roman" w:hAnsi="Times New Roman" w:cs="Times New Roman"/>
          <w:noProof/>
          <w:color w:val="000000" w:themeColor="text1"/>
          <w:sz w:val="24"/>
          <w:szCs w:val="24"/>
        </w:rPr>
        <w:t xml:space="preserve"> 70 % of Prison Directors had been dismissed as a follow-up to the negative report delivered by the General Director of Prison to the Assembly.</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 use of alternatives to custody increased in 2019 compared with the previous reporting period. There were </w:t>
      </w:r>
      <w:r>
        <w:rPr>
          <w:rFonts w:ascii="Times New Roman" w:eastAsia="Times New Roman" w:hAnsi="Times New Roman" w:cs="Times New Roman"/>
          <w:noProof/>
          <w:color w:val="000000" w:themeColor="text1"/>
          <w:sz w:val="24"/>
          <w:szCs w:val="24"/>
        </w:rPr>
        <w:t>7,992 cases of non-custodial alternatives in 2019, compared to 6,171 cases in 2018 and 4,904 in 2017. The use of electronic monitoring has been suspended since 2017 because of an unresolved legal dispute. The new Law on Probation has been drafted and is pe</w:t>
      </w:r>
      <w:r>
        <w:rPr>
          <w:rFonts w:ascii="Times New Roman" w:eastAsia="Times New Roman" w:hAnsi="Times New Roman" w:cs="Times New Roman"/>
          <w:noProof/>
          <w:color w:val="000000" w:themeColor="text1"/>
          <w:sz w:val="24"/>
          <w:szCs w:val="24"/>
        </w:rPr>
        <w:t>nding approval by the Parliament. The increase in numbers of alternative sentences has also led to a reduction in prison overcrowding.</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Calibri" w:hAnsi="Times New Roman" w:cs="Times New Roman"/>
          <w:bCs/>
          <w:noProof/>
          <w:color w:val="000000" w:themeColor="text1"/>
          <w:sz w:val="24"/>
          <w:szCs w:val="24"/>
          <w:lang w:eastAsia="en-US"/>
        </w:rPr>
        <w:t>In</w:t>
      </w:r>
      <w:r>
        <w:rPr>
          <w:rFonts w:ascii="Times New Roman" w:eastAsia="Calibri" w:hAnsi="Times New Roman" w:cs="Times New Roman"/>
          <w:noProof/>
          <w:color w:val="000000" w:themeColor="text1"/>
          <w:sz w:val="24"/>
          <w:szCs w:val="24"/>
          <w:lang w:eastAsia="en-US"/>
        </w:rPr>
        <w:t xml:space="preserve"> March 2020, about 600 detainees, 10% of the total prison population, have been transferred for three months to their homes. The decision was adopted by the government as a measure to prevent possible spread of the COVID-19 in penitentiaries.</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On the </w:t>
      </w:r>
      <w:r>
        <w:rPr>
          <w:rFonts w:ascii="Times New Roman" w:eastAsia="Times New Roman" w:hAnsi="Times New Roman" w:cs="Times New Roman"/>
          <w:b/>
          <w:bCs/>
          <w:noProof/>
          <w:color w:val="000000" w:themeColor="text1"/>
          <w:sz w:val="24"/>
          <w:szCs w:val="24"/>
        </w:rPr>
        <w:t>protec</w:t>
      </w:r>
      <w:r>
        <w:rPr>
          <w:rFonts w:ascii="Times New Roman" w:eastAsia="Times New Roman" w:hAnsi="Times New Roman" w:cs="Times New Roman"/>
          <w:b/>
          <w:bCs/>
          <w:noProof/>
          <w:color w:val="000000" w:themeColor="text1"/>
          <w:sz w:val="24"/>
          <w:szCs w:val="24"/>
        </w:rPr>
        <w:t>tion of personal data,</w:t>
      </w:r>
      <w:r>
        <w:rPr>
          <w:rFonts w:ascii="Times New Roman" w:eastAsia="Times New Roman" w:hAnsi="Times New Roman" w:cs="Times New Roman"/>
          <w:noProof/>
          <w:color w:val="000000" w:themeColor="text1"/>
          <w:sz w:val="24"/>
          <w:szCs w:val="24"/>
        </w:rPr>
        <w:t xml:space="preserve"> further efforts are needed to align the personal data protection legislation with the General Data Protection Regulation 2016/679 and the Police Directive 2016/680. Albania has not yet signed the 2018 Protocol amending the Convention</w:t>
      </w:r>
      <w:r>
        <w:rPr>
          <w:rFonts w:ascii="Times New Roman" w:eastAsia="Times New Roman" w:hAnsi="Times New Roman" w:cs="Times New Roman"/>
          <w:noProof/>
          <w:color w:val="000000" w:themeColor="text1"/>
          <w:sz w:val="24"/>
          <w:szCs w:val="24"/>
        </w:rPr>
        <w:t xml:space="preserve"> for the Protection of Individuals with regard to Automatic Processing of Personal Data. The capacity of the office of the Commissioner for the Right to Information and Data Protection need to be further strengthened so that it can perform its tasks effect</w:t>
      </w:r>
      <w:r>
        <w:rPr>
          <w:rFonts w:ascii="Times New Roman" w:eastAsia="Times New Roman" w:hAnsi="Times New Roman" w:cs="Times New Roman"/>
          <w:noProof/>
          <w:color w:val="000000" w:themeColor="text1"/>
          <w:sz w:val="24"/>
          <w:szCs w:val="24"/>
        </w:rPr>
        <w:t>ively. In 2019, the Commissioner received 301 complaints from data subjects which shows an increased awareness on personal data protection issues compared to previous years. The Commissioner carried out 142 inspections in both public and private entities a</w:t>
      </w:r>
      <w:r>
        <w:rPr>
          <w:rFonts w:ascii="Times New Roman" w:eastAsia="Times New Roman" w:hAnsi="Times New Roman" w:cs="Times New Roman"/>
          <w:noProof/>
          <w:color w:val="000000" w:themeColor="text1"/>
          <w:sz w:val="24"/>
          <w:szCs w:val="24"/>
        </w:rPr>
        <w:t>nd issued over the same period 39 recommendations, including one unifying recommentation, 20 decisions and 56 administrative sanctions. This represents a comparable level of activities to 2018. The Commissioner successfully hosted the 41</w:t>
      </w:r>
      <w:r>
        <w:rPr>
          <w:rFonts w:ascii="Times New Roman" w:eastAsia="Times New Roman" w:hAnsi="Times New Roman" w:cs="Times New Roman"/>
          <w:noProof/>
          <w:color w:val="000000" w:themeColor="text1"/>
          <w:sz w:val="24"/>
          <w:szCs w:val="24"/>
          <w:vertAlign w:val="superscript"/>
        </w:rPr>
        <w:t>st</w:t>
      </w:r>
      <w:r>
        <w:rPr>
          <w:rFonts w:ascii="Times New Roman" w:eastAsia="Times New Roman" w:hAnsi="Times New Roman" w:cs="Times New Roman"/>
          <w:noProof/>
          <w:color w:val="000000" w:themeColor="text1"/>
          <w:sz w:val="24"/>
          <w:szCs w:val="24"/>
        </w:rPr>
        <w:t xml:space="preserve"> International Co</w:t>
      </w:r>
      <w:r>
        <w:rPr>
          <w:rFonts w:ascii="Times New Roman" w:eastAsia="Times New Roman" w:hAnsi="Times New Roman" w:cs="Times New Roman"/>
          <w:noProof/>
          <w:color w:val="000000" w:themeColor="text1"/>
          <w:sz w:val="24"/>
          <w:szCs w:val="24"/>
        </w:rPr>
        <w:t xml:space="preserve">nference of Data Protection and Privacy Commissioners in October 2019.  </w:t>
      </w:r>
    </w:p>
    <w:p w:rsidR="00EE1719" w:rsidRDefault="000E39BA">
      <w:pPr>
        <w:shd w:val="clear" w:color="auto" w:fill="FFFFFF" w:themeFill="background1"/>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Times New Roman" w:hAnsi="Times New Roman" w:cs="Times New Roman"/>
          <w:b/>
          <w:bCs/>
          <w:noProof/>
          <w:color w:val="000000" w:themeColor="text1"/>
          <w:sz w:val="24"/>
          <w:szCs w:val="24"/>
        </w:rPr>
        <w:t xml:space="preserve">Freedom of thought, conscience and religion </w:t>
      </w:r>
      <w:r>
        <w:rPr>
          <w:rFonts w:ascii="Times New Roman" w:eastAsia="Times New Roman" w:hAnsi="Times New Roman" w:cs="Times New Roman"/>
          <w:bCs/>
          <w:noProof/>
          <w:color w:val="000000" w:themeColor="text1"/>
          <w:sz w:val="24"/>
          <w:szCs w:val="24"/>
        </w:rPr>
        <w:t>was generally upheld. Inter-religious harmony and cooperation continued with frequent joint appearances of religious leaders in public loca</w:t>
      </w:r>
      <w:r>
        <w:rPr>
          <w:rFonts w:ascii="Times New Roman" w:eastAsia="Times New Roman" w:hAnsi="Times New Roman" w:cs="Times New Roman"/>
          <w:bCs/>
          <w:noProof/>
          <w:color w:val="000000" w:themeColor="text1"/>
          <w:sz w:val="24"/>
          <w:szCs w:val="24"/>
        </w:rPr>
        <w:t>l and international platforms. As is the case every year, the government allocated EUR 890,000 to support the five official religious communities in April 2019 with a core support dedicated to religious education. The religious groups – the Muslim Communit</w:t>
      </w:r>
      <w:r>
        <w:rPr>
          <w:rFonts w:ascii="Times New Roman" w:eastAsia="Times New Roman" w:hAnsi="Times New Roman" w:cs="Times New Roman"/>
          <w:bCs/>
          <w:noProof/>
          <w:color w:val="000000" w:themeColor="text1"/>
          <w:sz w:val="24"/>
          <w:szCs w:val="24"/>
        </w:rPr>
        <w:t>y, the Orthodox Church, the Catholic Church, the Bektashi Community and the Evangelical Fraternity – continue to express strong public support for Albania’s EU integration process. With the ongoing political stalemate in the country, religious leaders have</w:t>
      </w:r>
      <w:r>
        <w:rPr>
          <w:rFonts w:ascii="Times New Roman" w:eastAsia="Times New Roman" w:hAnsi="Times New Roman" w:cs="Times New Roman"/>
          <w:bCs/>
          <w:noProof/>
          <w:color w:val="000000" w:themeColor="text1"/>
          <w:sz w:val="24"/>
          <w:szCs w:val="24"/>
        </w:rPr>
        <w:t xml:space="preserve"> been calling for dialogue among political parties. Following the earthquake in November 2019, some religious charity organisations have grown close and are supportive of the Government’s relief efforts.</w:t>
      </w:r>
      <w:r>
        <w:rPr>
          <w:rFonts w:ascii="Times New Roman" w:eastAsia="Times New Roman" w:hAnsi="Times New Roman" w:cs="Times New Roman"/>
          <w:b/>
          <w:bCs/>
          <w:noProof/>
          <w:color w:val="000000" w:themeColor="text1"/>
          <w:sz w:val="24"/>
          <w:szCs w:val="24"/>
        </w:rPr>
        <w:t xml:space="preserve"> </w:t>
      </w:r>
      <w:r>
        <w:rPr>
          <w:rFonts w:ascii="Times New Roman" w:eastAsia="Times New Roman" w:hAnsi="Times New Roman" w:cs="Times New Roman"/>
          <w:bCs/>
          <w:noProof/>
          <w:color w:val="000000" w:themeColor="text1"/>
          <w:sz w:val="24"/>
          <w:szCs w:val="24"/>
        </w:rPr>
        <w:t xml:space="preserve">However, the restitution of properties belonging to </w:t>
      </w:r>
      <w:r>
        <w:rPr>
          <w:rFonts w:ascii="Times New Roman" w:eastAsia="Times New Roman" w:hAnsi="Times New Roman" w:cs="Times New Roman"/>
          <w:bCs/>
          <w:noProof/>
          <w:color w:val="000000" w:themeColor="text1"/>
          <w:sz w:val="24"/>
          <w:szCs w:val="24"/>
        </w:rPr>
        <w:t xml:space="preserve">religious groups remains an issue. </w:t>
      </w:r>
    </w:p>
    <w:p w:rsidR="00EE1719" w:rsidRDefault="000E39BA">
      <w:pPr>
        <w:shd w:val="clear" w:color="auto" w:fill="FFFFFF" w:themeFill="background1"/>
        <w:spacing w:after="120" w:line="240" w:lineRule="auto"/>
        <w:jc w:val="both"/>
        <w:rPr>
          <w:rFonts w:ascii="Times New Roman" w:eastAsia="Calibri" w:hAnsi="Times New Roman" w:cs="Times New Roman"/>
          <w:b/>
          <w:bCs/>
          <w:noProof/>
          <w:color w:val="000000" w:themeColor="text1"/>
          <w:sz w:val="24"/>
          <w:szCs w:val="24"/>
        </w:rPr>
      </w:pPr>
      <w:r>
        <w:rPr>
          <w:rFonts w:ascii="Times New Roman" w:eastAsia="Calibri" w:hAnsi="Times New Roman" w:cs="Times New Roman"/>
          <w:b/>
          <w:bCs/>
          <w:noProof/>
          <w:color w:val="000000" w:themeColor="text1"/>
          <w:sz w:val="24"/>
          <w:szCs w:val="24"/>
        </w:rPr>
        <w:t>Freedom of expression</w:t>
      </w:r>
    </w:p>
    <w:p w:rsidR="00EE1719" w:rsidRDefault="000E39BA">
      <w:pPr>
        <w:pBdr>
          <w:top w:val="single" w:sz="4" w:space="1" w:color="auto"/>
          <w:left w:val="single" w:sz="4" w:space="0" w:color="auto"/>
          <w:bottom w:val="single" w:sz="4" w:space="0" w:color="auto"/>
          <w:right w:val="single" w:sz="4" w:space="4" w:color="auto"/>
        </w:pBdr>
        <w:spacing w:after="120" w:line="240" w:lineRule="auto"/>
        <w:jc w:val="both"/>
        <w:rPr>
          <w:rFonts w:ascii="Times New Roman" w:eastAsia="Calibri" w:hAnsi="Times New Roman" w:cs="Times New Roman"/>
          <w:bCs/>
          <w:noProof/>
          <w:color w:val="000000" w:themeColor="text1"/>
          <w:sz w:val="24"/>
          <w:szCs w:val="24"/>
        </w:rPr>
      </w:pPr>
      <w:r>
        <w:rPr>
          <w:rFonts w:ascii="Times New Roman" w:eastAsia="Calibri" w:hAnsi="Times New Roman" w:cs="Times New Roman"/>
          <w:bCs/>
          <w:noProof/>
          <w:color w:val="000000" w:themeColor="text1"/>
          <w:sz w:val="24"/>
          <w:szCs w:val="24"/>
        </w:rPr>
        <w:t xml:space="preserve">The country has </w:t>
      </w:r>
      <w:r>
        <w:rPr>
          <w:rFonts w:ascii="Times New Roman" w:eastAsia="Calibri" w:hAnsi="Times New Roman" w:cs="Times New Roman"/>
          <w:b/>
          <w:bCs/>
          <w:noProof/>
          <w:color w:val="000000" w:themeColor="text1"/>
          <w:sz w:val="24"/>
          <w:szCs w:val="24"/>
        </w:rPr>
        <w:t xml:space="preserve">some level of preparation / is moderately prepared </w:t>
      </w:r>
      <w:r>
        <w:rPr>
          <w:rFonts w:ascii="Times New Roman" w:eastAsia="Calibri" w:hAnsi="Times New Roman" w:cs="Times New Roman"/>
          <w:bCs/>
          <w:noProof/>
          <w:color w:val="000000" w:themeColor="text1"/>
          <w:sz w:val="24"/>
          <w:szCs w:val="24"/>
        </w:rPr>
        <w:t xml:space="preserve">in the area of freedom of expression. There was </w:t>
      </w:r>
      <w:r>
        <w:rPr>
          <w:rFonts w:ascii="Times New Roman" w:eastAsia="Calibri" w:hAnsi="Times New Roman" w:cs="Times New Roman"/>
          <w:b/>
          <w:bCs/>
          <w:noProof/>
          <w:color w:val="000000" w:themeColor="text1"/>
          <w:sz w:val="24"/>
          <w:szCs w:val="24"/>
        </w:rPr>
        <w:t>no progress</w:t>
      </w:r>
      <w:r>
        <w:rPr>
          <w:rFonts w:ascii="Times New Roman" w:eastAsia="Calibri" w:hAnsi="Times New Roman" w:cs="Times New Roman"/>
          <w:bCs/>
          <w:noProof/>
          <w:color w:val="000000" w:themeColor="text1"/>
          <w:sz w:val="24"/>
          <w:szCs w:val="24"/>
        </w:rPr>
        <w:t xml:space="preserve"> over the reporting period. In December 2019, the Parliament approved a set of amendements to </w:t>
      </w:r>
      <w:r>
        <w:rPr>
          <w:rFonts w:ascii="Times New Roman" w:eastAsia="Calibri" w:hAnsi="Times New Roman" w:cs="Times New Roman"/>
          <w:noProof/>
          <w:color w:val="000000" w:themeColor="text1"/>
          <w:sz w:val="24"/>
          <w:szCs w:val="24"/>
          <w:lang w:eastAsia="en-US"/>
        </w:rPr>
        <w:t>media law, aiming to regulate online media and some aspects of defamation</w:t>
      </w:r>
      <w:r>
        <w:rPr>
          <w:rFonts w:ascii="Times New Roman" w:eastAsia="Calibri" w:hAnsi="Times New Roman" w:cs="Times New Roman"/>
          <w:bCs/>
          <w:noProof/>
          <w:color w:val="000000" w:themeColor="text1"/>
          <w:sz w:val="24"/>
          <w:szCs w:val="24"/>
        </w:rPr>
        <w:t>. The adopted amendments, which presented issues that required reconsideration in light o</w:t>
      </w:r>
      <w:r>
        <w:rPr>
          <w:rFonts w:ascii="Times New Roman" w:eastAsia="Calibri" w:hAnsi="Times New Roman" w:cs="Times New Roman"/>
          <w:bCs/>
          <w:noProof/>
          <w:color w:val="000000" w:themeColor="text1"/>
          <w:sz w:val="24"/>
          <w:szCs w:val="24"/>
        </w:rPr>
        <w:t xml:space="preserve">f the relevant international and European standards, were returned by the President to the Parliament. In June 2020, the Venice Commission issued an opinion on the amendments to the media law. </w:t>
      </w:r>
      <w:r>
        <w:rPr>
          <w:rFonts w:ascii="Times New Roman" w:eastAsia="Calibri" w:hAnsi="Times New Roman" w:cs="Times New Roman"/>
          <w:noProof/>
          <w:color w:val="000000" w:themeColor="text1"/>
          <w:sz w:val="24"/>
          <w:szCs w:val="24"/>
          <w:lang w:eastAsia="en-US"/>
        </w:rPr>
        <w:t>The amendments fall short of international standards and princi</w:t>
      </w:r>
      <w:r>
        <w:rPr>
          <w:rFonts w:ascii="Times New Roman" w:eastAsia="Calibri" w:hAnsi="Times New Roman" w:cs="Times New Roman"/>
          <w:noProof/>
          <w:color w:val="000000" w:themeColor="text1"/>
          <w:sz w:val="24"/>
          <w:szCs w:val="24"/>
          <w:lang w:eastAsia="en-US"/>
        </w:rPr>
        <w:t>ples of media freedom and raise concerns about increased censorship and self-censorship, and about possible setbacks on freedom of expression in the country.</w:t>
      </w:r>
      <w:r>
        <w:rPr>
          <w:rFonts w:ascii="Times New Roman" w:eastAsia="Calibri" w:hAnsi="Times New Roman" w:cs="Times New Roman"/>
          <w:bCs/>
          <w:noProof/>
          <w:color w:val="000000" w:themeColor="text1"/>
          <w:sz w:val="24"/>
          <w:szCs w:val="24"/>
        </w:rPr>
        <w:t xml:space="preserve"> Albania must ensure </w:t>
      </w:r>
      <w:r>
        <w:rPr>
          <w:rFonts w:ascii="Times New Roman" w:eastAsia="Calibri" w:hAnsi="Times New Roman" w:cs="Times New Roman"/>
          <w:noProof/>
          <w:color w:val="000000" w:themeColor="text1"/>
          <w:sz w:val="24"/>
          <w:szCs w:val="24"/>
          <w:lang w:eastAsia="en-US"/>
        </w:rPr>
        <w:t>that European standards of freedom of expression and media are upheld.</w:t>
      </w:r>
      <w:r>
        <w:rPr>
          <w:noProof/>
        </w:rPr>
        <w:t xml:space="preserve"> </w:t>
      </w:r>
      <w:r>
        <w:rPr>
          <w:rFonts w:ascii="Times New Roman" w:eastAsia="Calibri" w:hAnsi="Times New Roman" w:cs="Times New Roman"/>
          <w:noProof/>
          <w:color w:val="000000" w:themeColor="text1"/>
          <w:sz w:val="24"/>
          <w:szCs w:val="24"/>
          <w:lang w:eastAsia="en-US"/>
        </w:rPr>
        <w:t>Represe</w:t>
      </w:r>
      <w:r>
        <w:rPr>
          <w:rFonts w:ascii="Times New Roman" w:eastAsia="Calibri" w:hAnsi="Times New Roman" w:cs="Times New Roman"/>
          <w:noProof/>
          <w:color w:val="000000" w:themeColor="text1"/>
          <w:sz w:val="24"/>
          <w:szCs w:val="24"/>
          <w:lang w:eastAsia="en-US"/>
        </w:rPr>
        <w:t xml:space="preserve">ntatives from the ruling majority publicly committed to follow up on the guidance of the Venice Commission opinion. The draft media law is currently being revised in light of the opinion of the Venice Commission. </w:t>
      </w:r>
      <w:r>
        <w:rPr>
          <w:rFonts w:ascii="Times New Roman" w:eastAsia="Calibri" w:hAnsi="Times New Roman" w:cs="Times New Roman"/>
          <w:bCs/>
          <w:noProof/>
          <w:color w:val="000000" w:themeColor="text1"/>
          <w:sz w:val="24"/>
          <w:szCs w:val="24"/>
        </w:rPr>
        <w:t>Criticism and harsh language against journa</w:t>
      </w:r>
      <w:r>
        <w:rPr>
          <w:rFonts w:ascii="Times New Roman" w:eastAsia="Calibri" w:hAnsi="Times New Roman" w:cs="Times New Roman"/>
          <w:bCs/>
          <w:noProof/>
          <w:color w:val="000000" w:themeColor="text1"/>
          <w:sz w:val="24"/>
          <w:szCs w:val="24"/>
        </w:rPr>
        <w:t>lists persisted. No final convictions of past reported attacks against journalists were recorded during the reporting period. Self-regulation in online media needs to be ensured. Albania needs to provide for more stringent criteria regarding transparency o</w:t>
      </w:r>
      <w:r>
        <w:rPr>
          <w:rFonts w:ascii="Times New Roman" w:eastAsia="Calibri" w:hAnsi="Times New Roman" w:cs="Times New Roman"/>
          <w:bCs/>
          <w:noProof/>
          <w:color w:val="000000" w:themeColor="text1"/>
          <w:sz w:val="24"/>
          <w:szCs w:val="24"/>
        </w:rPr>
        <w:t>f ownership and media funding. Legislation on public advertising needs to be introduced to improve transparency in line with international best practices. Albania is expected to address outstanding recommendations from the 2019 Commission report, including</w:t>
      </w:r>
      <w:r>
        <w:rPr>
          <w:rFonts w:ascii="Times New Roman" w:eastAsia="Calibri" w:hAnsi="Times New Roman" w:cs="Times New Roman"/>
          <w:bCs/>
          <w:noProof/>
          <w:color w:val="000000" w:themeColor="text1"/>
          <w:sz w:val="24"/>
          <w:szCs w:val="24"/>
        </w:rPr>
        <w:t xml:space="preserve"> by aligning to international standards the legal requirements for transparency of media ownership and financing, and its limitations, as well as requirements on public advertising. Furthermore, Albania should:</w:t>
      </w:r>
    </w:p>
    <w:p w:rsidR="00EE1719" w:rsidRDefault="000E39BA">
      <w:pPr>
        <w:numPr>
          <w:ilvl w:val="0"/>
          <w:numId w:val="93"/>
        </w:numPr>
        <w:pBdr>
          <w:top w:val="single" w:sz="4" w:space="1" w:color="auto"/>
          <w:left w:val="single" w:sz="4" w:space="0" w:color="auto"/>
          <w:bottom w:val="single" w:sz="4" w:space="0" w:color="auto"/>
          <w:right w:val="single" w:sz="4" w:space="4" w:color="auto"/>
        </w:pBdr>
        <w:spacing w:after="120" w:line="240" w:lineRule="auto"/>
        <w:jc w:val="both"/>
        <w:rPr>
          <w:rFonts w:ascii="Times New Roman" w:eastAsia="Calibri" w:hAnsi="Times New Roman" w:cs="Times New Roman"/>
          <w:bCs/>
          <w:noProof/>
          <w:color w:val="000000" w:themeColor="text1"/>
          <w:sz w:val="24"/>
          <w:szCs w:val="24"/>
        </w:rPr>
      </w:pPr>
      <w:r>
        <w:rPr>
          <w:rFonts w:ascii="Times New Roman" w:eastAsia="Calibri" w:hAnsi="Times New Roman" w:cs="Times New Roman"/>
          <w:bCs/>
          <w:noProof/>
          <w:color w:val="000000" w:themeColor="text1"/>
          <w:sz w:val="24"/>
          <w:szCs w:val="24"/>
        </w:rPr>
        <w:t>ensure a policy of zero tolerance for intimid</w:t>
      </w:r>
      <w:r>
        <w:rPr>
          <w:rFonts w:ascii="Times New Roman" w:eastAsia="Calibri" w:hAnsi="Times New Roman" w:cs="Times New Roman"/>
          <w:bCs/>
          <w:noProof/>
          <w:color w:val="000000" w:themeColor="text1"/>
          <w:sz w:val="24"/>
          <w:szCs w:val="24"/>
        </w:rPr>
        <w:t>ation and attacks against journalists, as well as for threats against the media, including in political discourse;</w:t>
      </w:r>
    </w:p>
    <w:p w:rsidR="00EE1719" w:rsidRDefault="000E39BA">
      <w:pPr>
        <w:numPr>
          <w:ilvl w:val="0"/>
          <w:numId w:val="93"/>
        </w:numPr>
        <w:pBdr>
          <w:top w:val="single" w:sz="4" w:space="1" w:color="auto"/>
          <w:left w:val="single" w:sz="4" w:space="0" w:color="auto"/>
          <w:bottom w:val="single" w:sz="4" w:space="0" w:color="auto"/>
          <w:right w:val="single" w:sz="4" w:space="4" w:color="auto"/>
        </w:pBdr>
        <w:spacing w:after="120" w:line="240" w:lineRule="auto"/>
        <w:jc w:val="both"/>
        <w:rPr>
          <w:rFonts w:ascii="Times New Roman" w:eastAsia="Calibri" w:hAnsi="Times New Roman" w:cs="Times New Roman"/>
          <w:bCs/>
          <w:noProof/>
          <w:color w:val="000000" w:themeColor="text1"/>
          <w:sz w:val="24"/>
          <w:szCs w:val="24"/>
        </w:rPr>
      </w:pPr>
      <w:r>
        <w:rPr>
          <w:rFonts w:ascii="Times New Roman" w:eastAsia="Calibri" w:hAnsi="Times New Roman" w:cs="Times New Roman"/>
          <w:bCs/>
          <w:noProof/>
          <w:color w:val="000000" w:themeColor="text1"/>
          <w:sz w:val="24"/>
          <w:szCs w:val="24"/>
        </w:rPr>
        <w:t>review media legislation to bring it fully in line with international standards on freedom of expression, especially regarding online media</w:t>
      </w:r>
      <w:r>
        <w:rPr>
          <w:rFonts w:ascii="Times New Roman" w:eastAsia="Calibri" w:hAnsi="Times New Roman" w:cs="Times New Roman"/>
          <w:noProof/>
          <w:color w:val="000000" w:themeColor="text1"/>
          <w:sz w:val="24"/>
          <w:szCs w:val="24"/>
          <w:lang w:eastAsia="en-US"/>
        </w:rPr>
        <w:t>;</w:t>
      </w:r>
    </w:p>
    <w:p w:rsidR="00EE1719" w:rsidRDefault="000E39BA">
      <w:pPr>
        <w:numPr>
          <w:ilvl w:val="0"/>
          <w:numId w:val="93"/>
        </w:numPr>
        <w:pBdr>
          <w:top w:val="single" w:sz="4" w:space="1" w:color="auto"/>
          <w:left w:val="single" w:sz="4" w:space="0" w:color="auto"/>
          <w:bottom w:val="single" w:sz="4" w:space="0" w:color="auto"/>
          <w:right w:val="single" w:sz="4" w:space="4" w:color="auto"/>
        </w:pBdr>
        <w:spacing w:after="120" w:line="240" w:lineRule="auto"/>
        <w:jc w:val="both"/>
        <w:rPr>
          <w:rFonts w:ascii="Times New Roman" w:eastAsia="Calibri" w:hAnsi="Times New Roman" w:cs="Times New Roman"/>
          <w:bCs/>
          <w:noProof/>
          <w:color w:val="000000" w:themeColor="text1"/>
          <w:sz w:val="24"/>
          <w:szCs w:val="24"/>
        </w:rPr>
      </w:pPr>
      <w:r>
        <w:rPr>
          <w:rFonts w:ascii="Times New Roman" w:eastAsia="Calibri" w:hAnsi="Times New Roman" w:cs="Times New Roman"/>
          <w:bCs/>
          <w:noProof/>
          <w:color w:val="000000" w:themeColor="text1"/>
          <w:sz w:val="24"/>
          <w:szCs w:val="24"/>
        </w:rPr>
        <w:t>strengthen self-regulation mechanisms;</w:t>
      </w:r>
    </w:p>
    <w:p w:rsidR="00EE1719" w:rsidRDefault="000E39BA">
      <w:pPr>
        <w:numPr>
          <w:ilvl w:val="0"/>
          <w:numId w:val="93"/>
        </w:numPr>
        <w:pBdr>
          <w:top w:val="single" w:sz="4" w:space="1" w:color="auto"/>
          <w:left w:val="single" w:sz="4" w:space="0" w:color="auto"/>
          <w:bottom w:val="single" w:sz="4" w:space="0" w:color="auto"/>
          <w:right w:val="single" w:sz="4" w:space="4" w:color="auto"/>
        </w:pBdr>
        <w:spacing w:after="120" w:line="240" w:lineRule="auto"/>
        <w:jc w:val="both"/>
        <w:rPr>
          <w:rFonts w:ascii="Times New Roman" w:eastAsia="Calibri" w:hAnsi="Times New Roman" w:cs="Times New Roman"/>
          <w:bCs/>
          <w:noProof/>
          <w:color w:val="000000" w:themeColor="text1"/>
          <w:sz w:val="24"/>
          <w:szCs w:val="24"/>
        </w:rPr>
      </w:pPr>
      <w:r>
        <w:rPr>
          <w:rFonts w:ascii="Times New Roman" w:eastAsia="Calibri" w:hAnsi="Times New Roman" w:cs="Times New Roman"/>
          <w:bCs/>
          <w:noProof/>
          <w:color w:val="000000" w:themeColor="text1"/>
          <w:sz w:val="24"/>
          <w:szCs w:val="24"/>
        </w:rPr>
        <w:t>ensure implementation of the Labour Code and strengthen the protection of Albanian journalists’ labour and social rights.</w:t>
      </w:r>
    </w:p>
    <w:p w:rsidR="00EE1719" w:rsidRDefault="000E39BA">
      <w:pPr>
        <w:spacing w:after="120" w:line="240" w:lineRule="auto"/>
        <w:jc w:val="both"/>
        <w:rPr>
          <w:rFonts w:ascii="Times New Roman" w:eastAsia="Times New Roman" w:hAnsi="Times New Roman" w:cs="Times New Roman"/>
          <w:bCs/>
          <w:noProof/>
          <w:color w:val="000000" w:themeColor="text1"/>
          <w:sz w:val="24"/>
          <w:szCs w:val="24"/>
          <w:u w:val="single"/>
        </w:rPr>
      </w:pPr>
      <w:r>
        <w:rPr>
          <w:rFonts w:ascii="Times New Roman" w:eastAsia="Times New Roman" w:hAnsi="Times New Roman" w:cs="Times New Roman"/>
          <w:bCs/>
          <w:noProof/>
          <w:color w:val="000000" w:themeColor="text1"/>
          <w:sz w:val="24"/>
          <w:szCs w:val="24"/>
          <w:u w:val="single"/>
        </w:rPr>
        <w:t>Intimidation of journalists</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 xml:space="preserve">During the reporting period, no final convictions of past reported </w:t>
      </w:r>
      <w:r>
        <w:rPr>
          <w:rFonts w:ascii="Times New Roman" w:eastAsia="Calibri" w:hAnsi="Times New Roman" w:cs="Times New Roman"/>
          <w:noProof/>
          <w:color w:val="000000" w:themeColor="text1"/>
          <w:sz w:val="24"/>
          <w:szCs w:val="24"/>
          <w:lang w:eastAsia="en-US"/>
        </w:rPr>
        <w:t>attacks against journalists were recorded. Some reporters were injured while caught between protesters and police during the opposition street protests. A journalist was beaten while reporting on a police operation in Dibra. Police apologised for what it c</w:t>
      </w:r>
      <w:r>
        <w:rPr>
          <w:rFonts w:ascii="Times New Roman" w:eastAsia="Calibri" w:hAnsi="Times New Roman" w:cs="Times New Roman"/>
          <w:noProof/>
          <w:color w:val="000000" w:themeColor="text1"/>
          <w:sz w:val="24"/>
          <w:szCs w:val="24"/>
          <w:lang w:eastAsia="en-US"/>
        </w:rPr>
        <w:t>onsidered an accident. Intimidating language against journalists persisted. In the margins of the protest following the demolition of the National Theatre, police used force during the arrest of a journalist. Media organisations strongly condemned the inci</w:t>
      </w:r>
      <w:r>
        <w:rPr>
          <w:rFonts w:ascii="Times New Roman" w:eastAsia="Calibri" w:hAnsi="Times New Roman" w:cs="Times New Roman"/>
          <w:noProof/>
          <w:color w:val="000000" w:themeColor="text1"/>
          <w:sz w:val="24"/>
          <w:szCs w:val="24"/>
          <w:lang w:eastAsia="en-US"/>
        </w:rPr>
        <w:t>dent, which is being investigated by the authorities. Journalists critical to the Government and media organisations reported online harassment and smear campaigns against them leading more journalists towards self-censorship and some media towards closure</w:t>
      </w:r>
      <w:r>
        <w:rPr>
          <w:rFonts w:ascii="Times New Roman" w:eastAsia="Calibri" w:hAnsi="Times New Roman" w:cs="Times New Roman"/>
          <w:noProof/>
          <w:color w:val="000000" w:themeColor="text1"/>
          <w:sz w:val="24"/>
          <w:szCs w:val="24"/>
          <w:lang w:eastAsia="en-US"/>
        </w:rPr>
        <w:t xml:space="preserve"> of critical shows.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Following the 26 November earthquake, organisations dealing with freedom of expression raised concerns about Government actions towards media. On grounds of generating public panic in the emergency situation of the post-earthquake peri</w:t>
      </w:r>
      <w:r>
        <w:rPr>
          <w:rFonts w:ascii="Times New Roman" w:eastAsia="Calibri" w:hAnsi="Times New Roman" w:cs="Times New Roman"/>
          <w:noProof/>
          <w:color w:val="000000" w:themeColor="text1"/>
          <w:sz w:val="24"/>
          <w:szCs w:val="24"/>
          <w:lang w:eastAsia="en-US"/>
        </w:rPr>
        <w:t>od, the regulatory Authority for Electronic and Postal Communications (AKEP) closed down some web portals broadly perceived as critical to the government. A 25-year-old was arrested for four days by the counter-terrorism police directorate after sharing an</w:t>
      </w:r>
      <w:r>
        <w:rPr>
          <w:rFonts w:ascii="Times New Roman" w:eastAsia="Calibri" w:hAnsi="Times New Roman" w:cs="Times New Roman"/>
          <w:noProof/>
          <w:color w:val="000000" w:themeColor="text1"/>
          <w:sz w:val="24"/>
          <w:szCs w:val="24"/>
          <w:lang w:eastAsia="en-US"/>
        </w:rPr>
        <w:t xml:space="preserve"> article of a foreign media about a possible explosion of natural gas depots during earthquake aftershocks and requesting authorities for an urgent assessment.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u w:val="single"/>
          <w:lang w:eastAsia="en-US"/>
        </w:rPr>
      </w:pPr>
      <w:r>
        <w:rPr>
          <w:rFonts w:ascii="Times New Roman" w:eastAsia="Calibri" w:hAnsi="Times New Roman" w:cs="Times New Roman"/>
          <w:noProof/>
          <w:color w:val="000000" w:themeColor="text1"/>
          <w:sz w:val="24"/>
          <w:szCs w:val="24"/>
          <w:u w:val="single"/>
          <w:lang w:eastAsia="en-US"/>
        </w:rPr>
        <w:t xml:space="preserve">Legislative environment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shd w:val="clear" w:color="auto" w:fill="FFFFFF"/>
          <w:lang w:eastAsia="en-US"/>
        </w:rPr>
      </w:pPr>
      <w:r>
        <w:rPr>
          <w:rFonts w:ascii="Times New Roman" w:eastAsia="Calibri" w:hAnsi="Times New Roman" w:cs="Times New Roman"/>
          <w:noProof/>
          <w:color w:val="000000" w:themeColor="text1"/>
          <w:sz w:val="24"/>
          <w:szCs w:val="24"/>
          <w:lang w:eastAsia="en-US"/>
        </w:rPr>
        <w:t xml:space="preserve">The amendments to the media law, aiming to regulate online media and some aspects of defamation were adopted by the Parliament in December 2019, but not decreed by the President of the Republic, who returned the package to the Parliament for review. </w:t>
      </w:r>
      <w:r>
        <w:rPr>
          <w:rFonts w:ascii="Times New Roman" w:eastAsia="Calibri" w:hAnsi="Times New Roman" w:cs="Times New Roman"/>
          <w:noProof/>
          <w:color w:val="000000" w:themeColor="text1"/>
          <w:sz w:val="24"/>
          <w:szCs w:val="24"/>
          <w:shd w:val="clear" w:color="auto" w:fill="FFFFFF"/>
          <w:lang w:eastAsia="en-US"/>
        </w:rPr>
        <w:t>Repres</w:t>
      </w:r>
      <w:r>
        <w:rPr>
          <w:rFonts w:ascii="Times New Roman" w:eastAsia="Calibri" w:hAnsi="Times New Roman" w:cs="Times New Roman"/>
          <w:noProof/>
          <w:color w:val="000000" w:themeColor="text1"/>
          <w:sz w:val="24"/>
          <w:szCs w:val="24"/>
          <w:shd w:val="clear" w:color="auto" w:fill="FFFFFF"/>
          <w:lang w:eastAsia="en-US"/>
        </w:rPr>
        <w:t xml:space="preserve">entatives from the ruling majority publicly committed </w:t>
      </w:r>
      <w:r>
        <w:rPr>
          <w:rFonts w:ascii="Times New Roman" w:eastAsia="Times New Roman" w:hAnsi="Times New Roman" w:cs="Times New Roman"/>
          <w:noProof/>
          <w:color w:val="000000" w:themeColor="text1"/>
          <w:sz w:val="24"/>
          <w:szCs w:val="24"/>
        </w:rPr>
        <w:t xml:space="preserve">to follow up on the guidance of the Venice Commission Opinion adopted in June 2020. </w:t>
      </w:r>
      <w:r>
        <w:rPr>
          <w:rFonts w:ascii="Times New Roman" w:eastAsia="Calibri" w:hAnsi="Times New Roman" w:cs="Times New Roman"/>
          <w:noProof/>
          <w:color w:val="000000" w:themeColor="text1"/>
          <w:sz w:val="24"/>
          <w:szCs w:val="24"/>
          <w:lang w:eastAsia="en-US"/>
        </w:rPr>
        <w:t xml:space="preserve">The amendments fall short </w:t>
      </w:r>
      <w:r>
        <w:rPr>
          <w:rFonts w:ascii="Times New Roman" w:eastAsia="Calibri" w:hAnsi="Times New Roman" w:cs="Times New Roman"/>
          <w:noProof/>
          <w:color w:val="000000" w:themeColor="text1"/>
          <w:sz w:val="24"/>
          <w:szCs w:val="24"/>
          <w:shd w:val="clear" w:color="auto" w:fill="FFFFFF"/>
          <w:lang w:eastAsia="en-US"/>
        </w:rPr>
        <w:t>of international standards and principles of media freedom and raise concerns about increase</w:t>
      </w:r>
      <w:r>
        <w:rPr>
          <w:rFonts w:ascii="Times New Roman" w:eastAsia="Calibri" w:hAnsi="Times New Roman" w:cs="Times New Roman"/>
          <w:noProof/>
          <w:color w:val="000000" w:themeColor="text1"/>
          <w:sz w:val="24"/>
          <w:szCs w:val="24"/>
          <w:shd w:val="clear" w:color="auto" w:fill="FFFFFF"/>
          <w:lang w:eastAsia="en-US"/>
        </w:rPr>
        <w:t>d censorship and self-censorship, and about possible setbacks on freedom of expression in the country. Representatives from the ruling majority publicly committed to follow up on the guidance of the Venice Commission opinion. The draft media law is current</w:t>
      </w:r>
      <w:r>
        <w:rPr>
          <w:rFonts w:ascii="Times New Roman" w:eastAsia="Calibri" w:hAnsi="Times New Roman" w:cs="Times New Roman"/>
          <w:noProof/>
          <w:color w:val="000000" w:themeColor="text1"/>
          <w:sz w:val="24"/>
          <w:szCs w:val="24"/>
          <w:shd w:val="clear" w:color="auto" w:fill="FFFFFF"/>
          <w:lang w:eastAsia="en-US"/>
        </w:rPr>
        <w:t>ly being revised in light of the opinion of the Venice Commission.</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b/>
          <w:bCs/>
          <w:noProof/>
          <w:color w:val="000000" w:themeColor="text1"/>
          <w:sz w:val="24"/>
          <w:szCs w:val="24"/>
          <w:lang w:eastAsia="en-US"/>
        </w:rPr>
        <w:t xml:space="preserve">Defamation </w:t>
      </w:r>
      <w:r>
        <w:rPr>
          <w:rFonts w:ascii="Times New Roman" w:eastAsia="Calibri" w:hAnsi="Times New Roman" w:cs="Times New Roman"/>
          <w:noProof/>
          <w:color w:val="000000" w:themeColor="text1"/>
          <w:sz w:val="24"/>
          <w:szCs w:val="24"/>
          <w:lang w:eastAsia="en-US"/>
        </w:rPr>
        <w:t>remains a criminal offence, although it does not carry prison sentence. With the newly adopted anti-defamation package, journalists convicted of defamation are at risk of disprop</w:t>
      </w:r>
      <w:r>
        <w:rPr>
          <w:rFonts w:ascii="Times New Roman" w:eastAsia="Calibri" w:hAnsi="Times New Roman" w:cs="Times New Roman"/>
          <w:noProof/>
          <w:color w:val="000000" w:themeColor="text1"/>
          <w:sz w:val="24"/>
          <w:szCs w:val="24"/>
          <w:lang w:eastAsia="en-US"/>
        </w:rPr>
        <w:t xml:space="preserve">ortionate fines in comparison to the average salary and standard of living in Albania.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 xml:space="preserve">Albania still needs to introduce legislation to strengthen transparency in public advertising.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b/>
          <w:bCs/>
          <w:noProof/>
          <w:color w:val="000000" w:themeColor="text1"/>
          <w:sz w:val="24"/>
          <w:szCs w:val="24"/>
          <w:lang w:eastAsia="en-US"/>
        </w:rPr>
        <w:t xml:space="preserve">Access to information </w:t>
      </w:r>
      <w:r>
        <w:rPr>
          <w:rFonts w:ascii="Times New Roman" w:eastAsia="Calibri" w:hAnsi="Times New Roman" w:cs="Times New Roman"/>
          <w:noProof/>
          <w:color w:val="000000" w:themeColor="text1"/>
          <w:sz w:val="24"/>
          <w:szCs w:val="24"/>
          <w:lang w:eastAsia="en-US"/>
        </w:rPr>
        <w:t>about procurement contracts, audits and salaries o</w:t>
      </w:r>
      <w:r>
        <w:rPr>
          <w:rFonts w:ascii="Times New Roman" w:eastAsia="Calibri" w:hAnsi="Times New Roman" w:cs="Times New Roman"/>
          <w:noProof/>
          <w:color w:val="000000" w:themeColor="text1"/>
          <w:sz w:val="24"/>
          <w:szCs w:val="24"/>
          <w:lang w:eastAsia="en-US"/>
        </w:rPr>
        <w:t xml:space="preserve">f officials should also be strengthened. Decisions of the Commissioner on the Right to Information are non-binding on public administration officials.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u w:val="single"/>
          <w:lang w:eastAsia="en-US"/>
        </w:rPr>
      </w:pPr>
      <w:r>
        <w:rPr>
          <w:rFonts w:ascii="Times New Roman" w:eastAsia="Calibri" w:hAnsi="Times New Roman" w:cs="Times New Roman"/>
          <w:noProof/>
          <w:color w:val="000000" w:themeColor="text1"/>
          <w:sz w:val="24"/>
          <w:szCs w:val="24"/>
          <w:u w:val="single"/>
          <w:lang w:eastAsia="en-US"/>
        </w:rPr>
        <w:t xml:space="preserve">Implementation of legislation/institutions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The Audio-visual Media Authority (AMA) is currently operating with limited human resources with three out of seven vacant board member positions. In October 2019, two AMA board members terminated their five years mandate and in July 2019 the Parliament rem</w:t>
      </w:r>
      <w:r>
        <w:rPr>
          <w:rFonts w:ascii="Times New Roman" w:eastAsia="Calibri" w:hAnsi="Times New Roman" w:cs="Times New Roman"/>
          <w:noProof/>
          <w:color w:val="000000" w:themeColor="text1"/>
          <w:sz w:val="24"/>
          <w:szCs w:val="24"/>
          <w:lang w:eastAsia="en-US"/>
        </w:rPr>
        <w:t xml:space="preserve">oved from office a third board member on grounds of conflict of interest. In addition, the mandate of the AMA Chairman terminated in November 2019. The Parliament has initiated procedures to fill these vacancies.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 xml:space="preserve">With regard to </w:t>
      </w:r>
      <w:r>
        <w:rPr>
          <w:rFonts w:ascii="Times New Roman" w:eastAsia="Calibri" w:hAnsi="Times New Roman" w:cs="Times New Roman"/>
          <w:b/>
          <w:noProof/>
          <w:color w:val="000000" w:themeColor="text1"/>
          <w:sz w:val="24"/>
          <w:szCs w:val="24"/>
          <w:lang w:eastAsia="en-US"/>
        </w:rPr>
        <w:t>digital switchover</w:t>
      </w:r>
      <w:r>
        <w:rPr>
          <w:rFonts w:ascii="Times New Roman" w:eastAsia="Calibri" w:hAnsi="Times New Roman" w:cs="Times New Roman"/>
          <w:noProof/>
          <w:color w:val="000000" w:themeColor="text1"/>
          <w:sz w:val="24"/>
          <w:szCs w:val="24"/>
          <w:lang w:eastAsia="en-US"/>
        </w:rPr>
        <w:t xml:space="preserve"> process,</w:t>
      </w:r>
      <w:r>
        <w:rPr>
          <w:rFonts w:ascii="Times New Roman" w:eastAsia="Calibri" w:hAnsi="Times New Roman" w:cs="Times New Roman"/>
          <w:noProof/>
          <w:color w:val="000000" w:themeColor="text1"/>
          <w:sz w:val="24"/>
          <w:szCs w:val="24"/>
          <w:lang w:eastAsia="en-US"/>
        </w:rPr>
        <w:t xml:space="preserve"> the digital infrastructure of the public broadcaster (RTSH) has been completed throughout the country. Meanwhile, the private national providers continue to develop their infrastructure in the few remaining regions in the country, mainly in the north of t</w:t>
      </w:r>
      <w:r>
        <w:rPr>
          <w:rFonts w:ascii="Times New Roman" w:eastAsia="Calibri" w:hAnsi="Times New Roman" w:cs="Times New Roman"/>
          <w:noProof/>
          <w:color w:val="000000" w:themeColor="text1"/>
          <w:sz w:val="24"/>
          <w:szCs w:val="24"/>
          <w:lang w:eastAsia="en-US"/>
        </w:rPr>
        <w:t xml:space="preserve">he country. AMA has announced that it will conclude the digital switchover by the end of 2020.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u w:val="single"/>
          <w:lang w:eastAsia="en-US"/>
        </w:rPr>
      </w:pPr>
      <w:r>
        <w:rPr>
          <w:rFonts w:ascii="Times New Roman" w:eastAsia="Calibri" w:hAnsi="Times New Roman" w:cs="Times New Roman"/>
          <w:noProof/>
          <w:color w:val="000000" w:themeColor="text1"/>
          <w:sz w:val="24"/>
          <w:szCs w:val="24"/>
          <w:u w:val="single"/>
          <w:lang w:eastAsia="en-US"/>
        </w:rPr>
        <w:t xml:space="preserve">Public service broadcaster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lang w:eastAsia="en-US"/>
        </w:rPr>
        <w:t>During the reporting period, the public broadcaster, RTSH, has made progress with regard to an improved programing, content and te</w:t>
      </w:r>
      <w:r>
        <w:rPr>
          <w:rFonts w:ascii="Times New Roman" w:eastAsia="Calibri" w:hAnsi="Times New Roman" w:cs="Times New Roman"/>
          <w:noProof/>
          <w:color w:val="000000" w:themeColor="text1"/>
          <w:sz w:val="24"/>
          <w:szCs w:val="24"/>
          <w:lang w:eastAsia="en-US"/>
        </w:rPr>
        <w:t xml:space="preserve">chnology. This is also due to support and expertise provided by international donors. It remains to be seen how these improvements will translate into increased audience share. </w:t>
      </w:r>
      <w:r>
        <w:rPr>
          <w:rFonts w:ascii="Times New Roman" w:eastAsia="Calibri" w:hAnsi="Times New Roman" w:cs="Times New Roman"/>
          <w:noProof/>
          <w:color w:val="000000" w:themeColor="text1"/>
          <w:sz w:val="24"/>
          <w:szCs w:val="24"/>
        </w:rPr>
        <w:t>RTSH has also completed the construction of two DVB-T2 digital broadcasting net</w:t>
      </w:r>
      <w:r>
        <w:rPr>
          <w:rFonts w:ascii="Times New Roman" w:eastAsia="Calibri" w:hAnsi="Times New Roman" w:cs="Times New Roman"/>
          <w:noProof/>
          <w:color w:val="000000" w:themeColor="text1"/>
          <w:sz w:val="24"/>
          <w:szCs w:val="24"/>
        </w:rPr>
        <w:t xml:space="preserve">works, one for its own programmes and the other for broadcasting the signals of national private operators. </w:t>
      </w:r>
      <w:r>
        <w:rPr>
          <w:rFonts w:ascii="Times New Roman" w:eastAsia="Calibri" w:hAnsi="Times New Roman" w:cs="Times New Roman"/>
          <w:noProof/>
          <w:color w:val="000000" w:themeColor="text1"/>
          <w:sz w:val="24"/>
          <w:szCs w:val="24"/>
          <w:lang w:eastAsia="en-US"/>
        </w:rPr>
        <w:t>However, RTSH still needs to ensure its overall financial sustainability. The mandate of 11 out of 12 board members of the public broadcaster steeri</w:t>
      </w:r>
      <w:r>
        <w:rPr>
          <w:rFonts w:ascii="Times New Roman" w:eastAsia="Calibri" w:hAnsi="Times New Roman" w:cs="Times New Roman"/>
          <w:noProof/>
          <w:color w:val="000000" w:themeColor="text1"/>
          <w:sz w:val="24"/>
          <w:szCs w:val="24"/>
          <w:lang w:eastAsia="en-US"/>
        </w:rPr>
        <w:t>ng committee has expired and the Parliament has initiated the replacement process.</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u w:val="single"/>
          <w:lang w:eastAsia="en-US"/>
        </w:rPr>
      </w:pPr>
      <w:r>
        <w:rPr>
          <w:rFonts w:ascii="Times New Roman" w:eastAsia="Calibri" w:hAnsi="Times New Roman" w:cs="Times New Roman"/>
          <w:noProof/>
          <w:color w:val="000000" w:themeColor="text1"/>
          <w:sz w:val="24"/>
          <w:szCs w:val="24"/>
          <w:u w:val="single"/>
          <w:lang w:eastAsia="en-US"/>
        </w:rPr>
        <w:t>Economic factors</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The market and audience concentration of the media scene in the hands of few major owners with strong political affiliations remains a source of concern. Du</w:t>
      </w:r>
      <w:r>
        <w:rPr>
          <w:rFonts w:ascii="Times New Roman" w:eastAsia="Calibri" w:hAnsi="Times New Roman" w:cs="Times New Roman"/>
          <w:noProof/>
          <w:color w:val="000000" w:themeColor="text1"/>
          <w:sz w:val="24"/>
          <w:szCs w:val="24"/>
          <w:lang w:eastAsia="en-US"/>
        </w:rPr>
        <w:t xml:space="preserve">e to the pressure from media owners and their political and economic interests, many Albanian journalists resort to self-censorship. Transparency of media funding remains a key challenge to improve media freedom in the country.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u w:val="single"/>
          <w:lang w:eastAsia="en-US"/>
        </w:rPr>
      </w:pPr>
      <w:r>
        <w:rPr>
          <w:rFonts w:ascii="Times New Roman" w:eastAsia="Calibri" w:hAnsi="Times New Roman" w:cs="Times New Roman"/>
          <w:noProof/>
          <w:color w:val="000000" w:themeColor="text1"/>
          <w:sz w:val="24"/>
          <w:szCs w:val="24"/>
          <w:u w:val="single"/>
          <w:lang w:eastAsia="en-US"/>
        </w:rPr>
        <w:t xml:space="preserve">Internet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shd w:val="clear" w:color="auto" w:fill="FFFFFF"/>
          <w:lang w:eastAsia="en-US"/>
        </w:rPr>
      </w:pPr>
      <w:r>
        <w:rPr>
          <w:rFonts w:ascii="Times New Roman" w:eastAsia="Calibri" w:hAnsi="Times New Roman" w:cs="Times New Roman"/>
          <w:noProof/>
          <w:color w:val="000000" w:themeColor="text1"/>
          <w:sz w:val="24"/>
          <w:szCs w:val="24"/>
          <w:lang w:eastAsia="en-US"/>
        </w:rPr>
        <w:t>Going against sel</w:t>
      </w:r>
      <w:r>
        <w:rPr>
          <w:rFonts w:ascii="Times New Roman" w:eastAsia="Calibri" w:hAnsi="Times New Roman" w:cs="Times New Roman"/>
          <w:noProof/>
          <w:color w:val="000000" w:themeColor="text1"/>
          <w:sz w:val="24"/>
          <w:szCs w:val="24"/>
          <w:lang w:eastAsia="en-US"/>
        </w:rPr>
        <w:t>f-regulation practices advocated by the Commission for online media, the new media package under revision by the Parliament may have adverse effect on online freedom of expression. The package puts online outlets under the obligation to formally register w</w:t>
      </w:r>
      <w:r>
        <w:rPr>
          <w:rFonts w:ascii="Times New Roman" w:eastAsia="Calibri" w:hAnsi="Times New Roman" w:cs="Times New Roman"/>
          <w:noProof/>
          <w:color w:val="000000" w:themeColor="text1"/>
          <w:sz w:val="24"/>
          <w:szCs w:val="24"/>
          <w:lang w:eastAsia="en-US"/>
        </w:rPr>
        <w:t xml:space="preserve">ith AMA. </w:t>
      </w:r>
      <w:r>
        <w:rPr>
          <w:rFonts w:ascii="Times New Roman" w:eastAsia="Calibri" w:hAnsi="Times New Roman" w:cs="Times New Roman"/>
          <w:noProof/>
          <w:color w:val="000000" w:themeColor="text1"/>
          <w:sz w:val="24"/>
          <w:szCs w:val="24"/>
          <w:shd w:val="clear" w:color="auto" w:fill="FFFFFF"/>
          <w:lang w:eastAsia="en-US"/>
        </w:rPr>
        <w:t xml:space="preserve">Representatives from the ruling majority publicly committed </w:t>
      </w:r>
      <w:r>
        <w:rPr>
          <w:rFonts w:ascii="Times New Roman" w:eastAsia="Times New Roman" w:hAnsi="Times New Roman" w:cs="Times New Roman"/>
          <w:noProof/>
          <w:color w:val="000000" w:themeColor="text1"/>
          <w:sz w:val="24"/>
          <w:szCs w:val="24"/>
        </w:rPr>
        <w:t>to follow up on the guidance of the Venice Commission Opinion on this matter</w:t>
      </w:r>
      <w:r>
        <w:rPr>
          <w:rFonts w:ascii="Times New Roman" w:eastAsia="Calibri" w:hAnsi="Times New Roman" w:cs="Times New Roman"/>
          <w:noProof/>
          <w:color w:val="000000" w:themeColor="text1"/>
          <w:sz w:val="24"/>
          <w:szCs w:val="24"/>
          <w:shd w:val="clear" w:color="auto" w:fill="FFFFFF"/>
          <w:lang w:eastAsia="en-US"/>
        </w:rPr>
        <w:t xml:space="preserve">. </w:t>
      </w:r>
      <w:r>
        <w:rPr>
          <w:rFonts w:ascii="Times New Roman" w:hAnsi="Times New Roman" w:cs="Times New Roman"/>
          <w:noProof/>
          <w:color w:val="000000" w:themeColor="text1"/>
          <w:sz w:val="24"/>
          <w:szCs w:val="24"/>
        </w:rPr>
        <w:t xml:space="preserve">The draft media law adopted by Parliament is currently being revised in light of the opinion of the Venice Commission.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u w:val="single"/>
          <w:lang w:eastAsia="en-US"/>
        </w:rPr>
      </w:pPr>
      <w:r>
        <w:rPr>
          <w:rFonts w:ascii="Times New Roman" w:eastAsia="Calibri" w:hAnsi="Times New Roman" w:cs="Times New Roman"/>
          <w:noProof/>
          <w:color w:val="000000" w:themeColor="text1"/>
          <w:sz w:val="24"/>
          <w:szCs w:val="24"/>
          <w:u w:val="single"/>
          <w:lang w:eastAsia="en-US"/>
        </w:rPr>
        <w:t xml:space="preserve">Professional organisations and working conditions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Many Albanian journalists lack a regular work contract, social and health insurance a</w:t>
      </w:r>
      <w:r>
        <w:rPr>
          <w:rFonts w:ascii="Times New Roman" w:eastAsia="Calibri" w:hAnsi="Times New Roman" w:cs="Times New Roman"/>
          <w:noProof/>
          <w:color w:val="000000" w:themeColor="text1"/>
          <w:sz w:val="24"/>
          <w:szCs w:val="24"/>
          <w:lang w:eastAsia="en-US"/>
        </w:rPr>
        <w:t xml:space="preserve">nd face delays in the payment of salaries. Journalists are often unwilling to report such violations of their labour rights out of fear of losing their jobs and lack of faith in the justice system. Unions of journalists and civil society organisations are </w:t>
      </w:r>
      <w:r>
        <w:rPr>
          <w:rFonts w:ascii="Times New Roman" w:eastAsia="Calibri" w:hAnsi="Times New Roman" w:cs="Times New Roman"/>
          <w:noProof/>
          <w:color w:val="000000" w:themeColor="text1"/>
          <w:sz w:val="24"/>
          <w:szCs w:val="24"/>
          <w:lang w:eastAsia="en-US"/>
        </w:rPr>
        <w:t>mounting pressure on the authorities to properly implement the Labour Code for journalists, but institutional steps to ensure this implementation remain insufficient. In February 2020, 16 media outlets signed a memorandum of understanding pledging to apply</w:t>
      </w:r>
      <w:r>
        <w:rPr>
          <w:rFonts w:ascii="Times New Roman" w:eastAsia="Calibri" w:hAnsi="Times New Roman" w:cs="Times New Roman"/>
          <w:noProof/>
          <w:color w:val="000000" w:themeColor="text1"/>
          <w:sz w:val="24"/>
          <w:szCs w:val="24"/>
          <w:lang w:eastAsia="en-US"/>
        </w:rPr>
        <w:t xml:space="preserve"> self-regulation and comply with the code of ethics.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 xml:space="preserve">The COVID-19 crisis had an impact on the media sector, with several outlets in Albania reducing their ranks due to unexpected financial constraints. </w:t>
      </w:r>
    </w:p>
    <w:p w:rsidR="00EE1719" w:rsidRDefault="000E39BA">
      <w:pPr>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w:t>
      </w:r>
      <w:r>
        <w:rPr>
          <w:rFonts w:ascii="Times New Roman" w:eastAsia="Calibri" w:hAnsi="Times New Roman" w:cs="Times New Roman"/>
          <w:i/>
          <w:noProof/>
          <w:color w:val="000000" w:themeColor="text1"/>
          <w:sz w:val="24"/>
          <w:szCs w:val="24"/>
          <w:lang w:eastAsia="en-US"/>
        </w:rPr>
        <w:t>See also Chapter 10 - Information society and media</w:t>
      </w:r>
      <w:r>
        <w:rPr>
          <w:rFonts w:ascii="Times New Roman" w:eastAsia="Calibri" w:hAnsi="Times New Roman" w:cs="Times New Roman"/>
          <w:noProof/>
          <w:color w:val="000000" w:themeColor="text1"/>
          <w:sz w:val="24"/>
          <w:szCs w:val="24"/>
          <w:lang w:eastAsia="en-US"/>
        </w:rPr>
        <w:t>)</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
          <w:bCs/>
          <w:noProof/>
          <w:color w:val="000000" w:themeColor="text1"/>
          <w:sz w:val="24"/>
          <w:szCs w:val="24"/>
        </w:rPr>
        <w:t>Freedom of assembly and association</w:t>
      </w:r>
      <w:r>
        <w:rPr>
          <w:rFonts w:ascii="Times New Roman" w:eastAsia="Times New Roman" w:hAnsi="Times New Roman" w:cs="Times New Roman"/>
          <w:bCs/>
          <w:noProof/>
          <w:color w:val="000000" w:themeColor="text1"/>
          <w:sz w:val="24"/>
          <w:szCs w:val="24"/>
        </w:rPr>
        <w:t xml:space="preserve"> are provided for in the Constitution and legislative framework and are broadly in line with international standards. Assemblies are regulated by the Law on Assemblies which, although largely in line with the Guidelines on Freedom of Peaceful Assembly of t</w:t>
      </w:r>
      <w:r>
        <w:rPr>
          <w:rFonts w:ascii="Times New Roman" w:eastAsia="Times New Roman" w:hAnsi="Times New Roman" w:cs="Times New Roman"/>
          <w:bCs/>
          <w:noProof/>
          <w:color w:val="000000" w:themeColor="text1"/>
          <w:sz w:val="24"/>
          <w:szCs w:val="24"/>
        </w:rPr>
        <w:t>he OSCE/ODIHR, needs to address the right to spontaneous assemblies and counter–assemblies. During the reporting period, freedom of assembly and association were generally respected. However, violent actions resulting in serious injuries of demonstrators a</w:t>
      </w:r>
      <w:r>
        <w:rPr>
          <w:rFonts w:ascii="Times New Roman" w:eastAsia="Times New Roman" w:hAnsi="Times New Roman" w:cs="Times New Roman"/>
          <w:bCs/>
          <w:noProof/>
          <w:color w:val="000000" w:themeColor="text1"/>
          <w:sz w:val="24"/>
          <w:szCs w:val="24"/>
        </w:rPr>
        <w:t>nd police officers and damage to public buildings have been registered in a number of protests and political demonstrations.</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Issues of</w:t>
      </w:r>
      <w:r>
        <w:rPr>
          <w:rFonts w:ascii="Times New Roman" w:eastAsia="Times New Roman" w:hAnsi="Times New Roman" w:cs="Times New Roman"/>
          <w:b/>
          <w:noProof/>
          <w:color w:val="000000" w:themeColor="text1"/>
          <w:sz w:val="24"/>
          <w:szCs w:val="24"/>
        </w:rPr>
        <w:t xml:space="preserve"> labour and trade union rights</w:t>
      </w:r>
      <w:r>
        <w:rPr>
          <w:rFonts w:ascii="Times New Roman" w:eastAsia="Times New Roman" w:hAnsi="Times New Roman" w:cs="Times New Roman"/>
          <w:noProof/>
          <w:color w:val="000000" w:themeColor="text1"/>
          <w:sz w:val="24"/>
          <w:szCs w:val="24"/>
        </w:rPr>
        <w:t xml:space="preserve"> are further covered in </w:t>
      </w:r>
      <w:r>
        <w:rPr>
          <w:rFonts w:ascii="Times New Roman" w:eastAsia="Times New Roman" w:hAnsi="Times New Roman" w:cs="Times New Roman"/>
          <w:i/>
          <w:noProof/>
          <w:color w:val="000000" w:themeColor="text1"/>
          <w:sz w:val="24"/>
          <w:szCs w:val="24"/>
        </w:rPr>
        <w:t>Chapter 19 - Social policy and employment</w:t>
      </w:r>
      <w:r>
        <w:rPr>
          <w:rFonts w:ascii="Times New Roman" w:eastAsia="Times New Roman" w:hAnsi="Times New Roman" w:cs="Times New Roman"/>
          <w:noProof/>
          <w:color w:val="000000" w:themeColor="text1"/>
          <w:sz w:val="24"/>
          <w:szCs w:val="24"/>
        </w:rPr>
        <w:t>.</w:t>
      </w:r>
    </w:p>
    <w:p w:rsidR="00EE1719" w:rsidRDefault="000E39BA">
      <w:pPr>
        <w:spacing w:after="120" w:line="240" w:lineRule="auto"/>
        <w:jc w:val="both"/>
        <w:rPr>
          <w:rFonts w:ascii="Times New Roman" w:eastAsia="Calibri"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On</w:t>
      </w:r>
      <w:r>
        <w:rPr>
          <w:rFonts w:ascii="Times New Roman" w:eastAsia="Times New Roman" w:hAnsi="Times New Roman" w:cs="Times New Roman"/>
          <w:b/>
          <w:noProof/>
          <w:color w:val="000000" w:themeColor="text1"/>
          <w:sz w:val="24"/>
          <w:szCs w:val="24"/>
        </w:rPr>
        <w:t xml:space="preserve"> property rights, </w:t>
      </w:r>
      <w:r>
        <w:rPr>
          <w:rFonts w:ascii="Times New Roman" w:eastAsia="Times New Roman" w:hAnsi="Times New Roman" w:cs="Times New Roman"/>
          <w:noProof/>
          <w:color w:val="000000" w:themeColor="text1"/>
          <w:sz w:val="24"/>
          <w:szCs w:val="24"/>
        </w:rPr>
        <w:t>conti</w:t>
      </w:r>
      <w:r>
        <w:rPr>
          <w:rFonts w:ascii="Times New Roman" w:eastAsia="Times New Roman" w:hAnsi="Times New Roman" w:cs="Times New Roman"/>
          <w:noProof/>
          <w:color w:val="000000" w:themeColor="text1"/>
          <w:sz w:val="24"/>
          <w:szCs w:val="24"/>
        </w:rPr>
        <w:t xml:space="preserve">nued progress is needed towards advancing the process for registration, digitisation and compensation. Albania should, as a matter of priority, conclude first registration of the immovable properties and titles in its territory. </w:t>
      </w:r>
      <w:r>
        <w:rPr>
          <w:rFonts w:ascii="Times New Roman" w:eastAsia="Calibri" w:hAnsi="Times New Roman" w:cs="Times New Roman"/>
          <w:noProof/>
          <w:color w:val="000000" w:themeColor="text1"/>
          <w:sz w:val="24"/>
          <w:szCs w:val="24"/>
        </w:rPr>
        <w:t>A new law on cadastre was a</w:t>
      </w:r>
      <w:r>
        <w:rPr>
          <w:rFonts w:ascii="Times New Roman" w:eastAsia="Calibri" w:hAnsi="Times New Roman" w:cs="Times New Roman"/>
          <w:noProof/>
          <w:color w:val="000000" w:themeColor="text1"/>
          <w:sz w:val="24"/>
          <w:szCs w:val="24"/>
        </w:rPr>
        <w:t xml:space="preserve">pproved in February 2019 and the newly-established State Cadastre Agency (merging </w:t>
      </w:r>
      <w:r>
        <w:rPr>
          <w:rFonts w:ascii="Times New Roman" w:eastAsia="Calibri" w:hAnsi="Times New Roman" w:cs="Times New Roman"/>
          <w:noProof/>
          <w:color w:val="000000" w:themeColor="text1"/>
          <w:sz w:val="24"/>
          <w:szCs w:val="24"/>
          <w:lang w:eastAsia="en-US"/>
        </w:rPr>
        <w:t>three existing agencies) became operational in April 2019</w:t>
      </w:r>
      <w:r>
        <w:rPr>
          <w:rFonts w:ascii="Times New Roman" w:eastAsia="Calibri" w:hAnsi="Times New Roman" w:cs="Times New Roman"/>
          <w:noProof/>
          <w:color w:val="000000" w:themeColor="text1"/>
          <w:sz w:val="24"/>
          <w:szCs w:val="24"/>
        </w:rPr>
        <w:t>. The Law on the Finalisation of Transitional Ownership Processes was adopted by Parliament and entered into force in</w:t>
      </w:r>
      <w:r>
        <w:rPr>
          <w:rFonts w:ascii="Times New Roman" w:eastAsia="Calibri" w:hAnsi="Times New Roman" w:cs="Times New Roman"/>
          <w:noProof/>
          <w:color w:val="000000" w:themeColor="text1"/>
          <w:sz w:val="24"/>
          <w:szCs w:val="24"/>
        </w:rPr>
        <w:t xml:space="preserve"> May 2020, taking into account the recommendations of the Venice Commission Opinion of October 2019. </w:t>
      </w:r>
    </w:p>
    <w:p w:rsidR="00EE1719" w:rsidRDefault="000E39BA">
      <w:pPr>
        <w:spacing w:after="120" w:line="240" w:lineRule="auto"/>
        <w:jc w:val="both"/>
        <w:rPr>
          <w:rFonts w:ascii="Times New Roman" w:eastAsia="Calibri" w:hAnsi="Times New Roman" w:cs="Times New Roman"/>
          <w:bCs/>
          <w:noProof/>
          <w:color w:val="000000" w:themeColor="text1"/>
          <w:sz w:val="24"/>
          <w:szCs w:val="24"/>
          <w:lang w:eastAsia="en-US"/>
        </w:rPr>
      </w:pPr>
      <w:r>
        <w:rPr>
          <w:rFonts w:ascii="Times New Roman" w:eastAsia="Times New Roman" w:hAnsi="Times New Roman" w:cs="Times New Roman"/>
          <w:noProof/>
          <w:color w:val="000000" w:themeColor="text1"/>
          <w:sz w:val="24"/>
          <w:szCs w:val="24"/>
        </w:rPr>
        <w:t xml:space="preserve">For the three years 2016-2019, following the establishment of the Agency for the Treatment of Property (ATP), the financial assessment of </w:t>
      </w:r>
      <w:r>
        <w:rPr>
          <w:rFonts w:ascii="Times New Roman" w:eastAsia="Calibri" w:hAnsi="Times New Roman" w:cs="Times New Roman"/>
          <w:bCs/>
          <w:noProof/>
          <w:color w:val="000000" w:themeColor="text1"/>
          <w:sz w:val="24"/>
          <w:szCs w:val="24"/>
          <w:lang w:eastAsia="en-US"/>
        </w:rPr>
        <w:t>26,091 decisions</w:t>
      </w:r>
      <w:r>
        <w:rPr>
          <w:rFonts w:ascii="Times New Roman" w:eastAsia="Calibri" w:hAnsi="Times New Roman" w:cs="Times New Roman"/>
          <w:noProof/>
          <w:color w:val="000000" w:themeColor="text1"/>
          <w:sz w:val="24"/>
          <w:szCs w:val="24"/>
          <w:lang w:eastAsia="en-US"/>
        </w:rPr>
        <w:t xml:space="preserve"> has been completed resulting in the recognition of the right to compensation for property </w:t>
      </w:r>
      <w:r>
        <w:rPr>
          <w:rFonts w:ascii="Times New Roman" w:eastAsia="Calibri" w:hAnsi="Times New Roman" w:cs="Times New Roman"/>
          <w:bCs/>
          <w:noProof/>
          <w:color w:val="000000" w:themeColor="text1"/>
          <w:sz w:val="24"/>
          <w:szCs w:val="24"/>
          <w:lang w:eastAsia="en-US"/>
        </w:rPr>
        <w:t>worth around 818,000,000 EUR</w:t>
      </w:r>
      <w:r>
        <w:rPr>
          <w:rFonts w:ascii="Times New Roman" w:eastAsia="Times New Roman" w:hAnsi="Times New Roman" w:cs="Times New Roman"/>
          <w:noProof/>
          <w:color w:val="000000" w:themeColor="text1"/>
          <w:sz w:val="24"/>
          <w:szCs w:val="24"/>
        </w:rPr>
        <w:t xml:space="preserve">. </w:t>
      </w:r>
      <w:r>
        <w:rPr>
          <w:rFonts w:ascii="Times New Roman" w:eastAsia="Calibri" w:hAnsi="Times New Roman" w:cs="Times New Roman"/>
          <w:noProof/>
          <w:color w:val="000000" w:themeColor="text1"/>
          <w:sz w:val="24"/>
          <w:szCs w:val="24"/>
          <w:lang w:eastAsia="en-US"/>
        </w:rPr>
        <w:t xml:space="preserve">The ATP </w:t>
      </w:r>
      <w:r>
        <w:rPr>
          <w:rFonts w:ascii="Times New Roman" w:eastAsia="Calibri" w:hAnsi="Times New Roman" w:cs="Times New Roman"/>
          <w:bCs/>
          <w:noProof/>
          <w:color w:val="000000" w:themeColor="text1"/>
          <w:sz w:val="24"/>
          <w:szCs w:val="24"/>
          <w:lang w:eastAsia="en-US"/>
        </w:rPr>
        <w:t>has further executed 678 claims out of a total of 2,128 claims,</w:t>
      </w:r>
      <w:r>
        <w:rPr>
          <w:rFonts w:ascii="Times New Roman" w:eastAsia="Calibri" w:hAnsi="Times New Roman" w:cs="Times New Roman"/>
          <w:noProof/>
          <w:color w:val="000000" w:themeColor="text1"/>
          <w:sz w:val="24"/>
          <w:szCs w:val="24"/>
          <w:lang w:eastAsia="en-US"/>
        </w:rPr>
        <w:t xml:space="preserve"> </w:t>
      </w:r>
      <w:r>
        <w:rPr>
          <w:rFonts w:ascii="Times New Roman" w:eastAsia="Calibri" w:hAnsi="Times New Roman" w:cs="Times New Roman"/>
          <w:bCs/>
          <w:noProof/>
          <w:color w:val="000000" w:themeColor="text1"/>
          <w:sz w:val="24"/>
          <w:szCs w:val="24"/>
          <w:lang w:eastAsia="en-US"/>
        </w:rPr>
        <w:t xml:space="preserve">with a financial value of around 47,000,000 EUR, </w:t>
      </w:r>
      <w:r>
        <w:rPr>
          <w:rFonts w:ascii="Times New Roman" w:eastAsia="Calibri" w:hAnsi="Times New Roman" w:cs="Times New Roman"/>
          <w:noProof/>
          <w:color w:val="000000" w:themeColor="text1"/>
          <w:sz w:val="24"/>
          <w:szCs w:val="24"/>
          <w:lang w:eastAsia="en-US"/>
        </w:rPr>
        <w:t>and distribute</w:t>
      </w:r>
      <w:r>
        <w:rPr>
          <w:rFonts w:ascii="Times New Roman" w:eastAsia="Calibri" w:hAnsi="Times New Roman" w:cs="Times New Roman"/>
          <w:noProof/>
          <w:color w:val="000000" w:themeColor="text1"/>
          <w:sz w:val="24"/>
          <w:szCs w:val="24"/>
          <w:lang w:eastAsia="en-US"/>
        </w:rPr>
        <w:t xml:space="preserve">d </w:t>
      </w:r>
      <w:r>
        <w:rPr>
          <w:rFonts w:ascii="Times New Roman" w:eastAsia="Calibri" w:hAnsi="Times New Roman" w:cs="Times New Roman"/>
          <w:bCs/>
          <w:noProof/>
          <w:color w:val="000000" w:themeColor="text1"/>
          <w:sz w:val="24"/>
          <w:szCs w:val="24"/>
          <w:lang w:eastAsia="en-US"/>
        </w:rPr>
        <w:t xml:space="preserve">612.3 ha from the physical land fund. The process is ongoing for the remaining 1,450 claims. In 2020, </w:t>
      </w:r>
      <w:r>
        <w:rPr>
          <w:rFonts w:ascii="Times New Roman" w:eastAsia="Times New Roman" w:hAnsi="Times New Roman" w:cs="Times New Roman"/>
          <w:noProof/>
          <w:color w:val="000000" w:themeColor="text1"/>
          <w:sz w:val="24"/>
          <w:szCs w:val="24"/>
        </w:rPr>
        <w:t>there are 615 cases pending before the ECtHR, many of which are related to property and due legal process in property-related cases.</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On </w:t>
      </w:r>
      <w:r>
        <w:rPr>
          <w:rFonts w:ascii="Times New Roman" w:eastAsia="Times New Roman" w:hAnsi="Times New Roman" w:cs="Times New Roman"/>
          <w:b/>
          <w:noProof/>
          <w:color w:val="000000" w:themeColor="text1"/>
          <w:sz w:val="24"/>
          <w:szCs w:val="24"/>
        </w:rPr>
        <w:t>non-discriminati</w:t>
      </w:r>
      <w:r>
        <w:rPr>
          <w:rFonts w:ascii="Times New Roman" w:eastAsia="Times New Roman" w:hAnsi="Times New Roman" w:cs="Times New Roman"/>
          <w:b/>
          <w:noProof/>
          <w:color w:val="000000" w:themeColor="text1"/>
          <w:sz w:val="24"/>
          <w:szCs w:val="24"/>
        </w:rPr>
        <w:t>on</w:t>
      </w:r>
      <w:r>
        <w:rPr>
          <w:rFonts w:ascii="Times New Roman" w:eastAsia="Times New Roman" w:hAnsi="Times New Roman" w:cs="Times New Roman"/>
          <w:noProof/>
          <w:color w:val="000000" w:themeColor="text1"/>
          <w:sz w:val="24"/>
          <w:szCs w:val="24"/>
        </w:rPr>
        <w:t>, the legal and policy framework is generally aligned with EU standards. However, the Law on protection against discrimination needs to be improved in a number of aspects, including terminology used, the categories of discrimination to be mentioned and p</w:t>
      </w:r>
      <w:r>
        <w:rPr>
          <w:rFonts w:ascii="Times New Roman" w:eastAsia="Times New Roman" w:hAnsi="Times New Roman" w:cs="Times New Roman"/>
          <w:noProof/>
          <w:color w:val="000000" w:themeColor="text1"/>
          <w:sz w:val="24"/>
          <w:szCs w:val="24"/>
        </w:rPr>
        <w:t>rocedures. The implementation of the anti-discrimination legal framework needs to be strengthened by the provision of specialised training to judges and prosecutors. In 2019, the CPD continued handling a stable number of cases of alleged discrimination, mo</w:t>
      </w:r>
      <w:r>
        <w:rPr>
          <w:rFonts w:ascii="Times New Roman" w:eastAsia="Times New Roman" w:hAnsi="Times New Roman" w:cs="Times New Roman"/>
          <w:noProof/>
          <w:color w:val="000000" w:themeColor="text1"/>
          <w:sz w:val="24"/>
          <w:szCs w:val="24"/>
        </w:rPr>
        <w:t xml:space="preserve">stly in the areas of employment and services. The three local offices of the CPD are fully operational and have started filling complaints. The capacity of the CPD has been strengthened with additional staff and with an increased budget.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Laws on hate spee</w:t>
      </w:r>
      <w:r>
        <w:rPr>
          <w:rFonts w:ascii="Times New Roman" w:eastAsia="Times New Roman" w:hAnsi="Times New Roman" w:cs="Times New Roman"/>
          <w:noProof/>
          <w:color w:val="000000" w:themeColor="text1"/>
          <w:sz w:val="24"/>
          <w:szCs w:val="24"/>
        </w:rPr>
        <w:t>ch are in line with international standards. Awareness raising campaigns were organised across the country, but much remains to be done to eliminate hate speech, particularly in rural and remote areas.</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On equality between women and men, there was moderate </w:t>
      </w:r>
      <w:r>
        <w:rPr>
          <w:rFonts w:ascii="Times New Roman" w:eastAsia="Times New Roman" w:hAnsi="Times New Roman" w:cs="Times New Roman"/>
          <w:noProof/>
          <w:color w:val="000000" w:themeColor="text1"/>
          <w:sz w:val="24"/>
          <w:szCs w:val="24"/>
        </w:rPr>
        <w:t xml:space="preserve">progress in the reporting period. The effective implementation of the national strategy and action plan 2016-2020 on </w:t>
      </w:r>
      <w:r>
        <w:rPr>
          <w:rFonts w:ascii="Times New Roman" w:eastAsia="Times New Roman" w:hAnsi="Times New Roman" w:cs="Times New Roman"/>
          <w:b/>
          <w:noProof/>
          <w:color w:val="000000" w:themeColor="text1"/>
          <w:sz w:val="24"/>
          <w:szCs w:val="24"/>
        </w:rPr>
        <w:t>gender equality</w:t>
      </w:r>
      <w:r>
        <w:rPr>
          <w:rFonts w:ascii="Times New Roman" w:eastAsia="Times New Roman" w:hAnsi="Times New Roman" w:cs="Times New Roman"/>
          <w:noProof/>
          <w:color w:val="000000" w:themeColor="text1"/>
          <w:sz w:val="24"/>
          <w:szCs w:val="24"/>
        </w:rPr>
        <w:t xml:space="preserve"> is hampered by a persistent funding gap. More efforts are required to ensure that all sectoral strategies at central and lo</w:t>
      </w:r>
      <w:r>
        <w:rPr>
          <w:rFonts w:ascii="Times New Roman" w:eastAsia="Times New Roman" w:hAnsi="Times New Roman" w:cs="Times New Roman"/>
          <w:noProof/>
          <w:color w:val="000000" w:themeColor="text1"/>
          <w:sz w:val="24"/>
          <w:szCs w:val="24"/>
        </w:rPr>
        <w:t>cal level are gender mainstreamed and apply gender responsive budgeting. The overall Gender Equality Index for the Republic of Albania reached 60.4 in 2017, indicating a gender gap of 7.4 points below the EU-28 average (67.4). The largest gaps to the EU-28</w:t>
      </w:r>
      <w:r>
        <w:rPr>
          <w:rFonts w:ascii="Times New Roman" w:eastAsia="Times New Roman" w:hAnsi="Times New Roman" w:cs="Times New Roman"/>
          <w:noProof/>
          <w:color w:val="000000" w:themeColor="text1"/>
          <w:sz w:val="24"/>
          <w:szCs w:val="24"/>
        </w:rPr>
        <w:t xml:space="preserve"> are in the domains of knowledge, money and time, while scores are similar in the domains of work and health. </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Law on Reproductive Health regulates the activities of public and private reproductive health institutions; some areas are however missing, f</w:t>
      </w:r>
      <w:r>
        <w:rPr>
          <w:rFonts w:ascii="Times New Roman" w:eastAsia="Times New Roman" w:hAnsi="Times New Roman" w:cs="Times New Roman"/>
          <w:noProof/>
          <w:color w:val="000000" w:themeColor="text1"/>
          <w:sz w:val="24"/>
          <w:szCs w:val="24"/>
        </w:rPr>
        <w:t>or example: referral mechanisms between different levels of care; training for health care providers; youth friendly services; and outreach to vulnerable groups. The law also lacks sub-acts on the delivery of sexuality education and on reproductive technol</w:t>
      </w:r>
      <w:r>
        <w:rPr>
          <w:rFonts w:ascii="Times New Roman" w:eastAsia="Times New Roman" w:hAnsi="Times New Roman" w:cs="Times New Roman"/>
          <w:noProof/>
          <w:color w:val="000000" w:themeColor="text1"/>
          <w:sz w:val="24"/>
          <w:szCs w:val="24"/>
        </w:rPr>
        <w:t>ogies.</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Efforts to strengthen the legislation that addresses gender-biased sex selective abortion have been taken by the Ministry of Health and Social Protection. The practice continues nonetheless. Efforts should thus be stepped up to ensure monitoring of </w:t>
      </w:r>
      <w:r>
        <w:rPr>
          <w:rFonts w:ascii="Times New Roman" w:eastAsia="Times New Roman" w:hAnsi="Times New Roman" w:cs="Times New Roman"/>
          <w:noProof/>
          <w:color w:val="000000" w:themeColor="text1"/>
          <w:sz w:val="24"/>
          <w:szCs w:val="24"/>
        </w:rPr>
        <w:t>the practice. Improvements have been made in the availability and accessibility of contraception, for example, by introducing family planning services as part of the general health services package and by offering modern contraceptive methods free of charg</w:t>
      </w:r>
      <w:r>
        <w:rPr>
          <w:rFonts w:ascii="Times New Roman" w:eastAsia="Times New Roman" w:hAnsi="Times New Roman" w:cs="Times New Roman"/>
          <w:noProof/>
          <w:color w:val="000000" w:themeColor="text1"/>
          <w:sz w:val="24"/>
          <w:szCs w:val="24"/>
        </w:rPr>
        <w:t>e.</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Regarding </w:t>
      </w:r>
      <w:r>
        <w:rPr>
          <w:rFonts w:ascii="Times New Roman" w:eastAsia="Times New Roman" w:hAnsi="Times New Roman" w:cs="Times New Roman"/>
          <w:b/>
          <w:noProof/>
          <w:color w:val="000000" w:themeColor="text1"/>
          <w:sz w:val="24"/>
          <w:szCs w:val="24"/>
        </w:rPr>
        <w:t>gender-based violence</w:t>
      </w:r>
      <w:r>
        <w:rPr>
          <w:rFonts w:ascii="Times New Roman" w:eastAsia="Times New Roman" w:hAnsi="Times New Roman" w:cs="Times New Roman"/>
          <w:noProof/>
          <w:color w:val="000000" w:themeColor="text1"/>
          <w:sz w:val="24"/>
          <w:szCs w:val="24"/>
        </w:rPr>
        <w:t>, during the period January-December 2019, 4,629 cases of domestic violence were identified and processed. Among these, 2,836 cases of domestic violence were dealt upon filing the lawsuit “On issuance of Emergency Protection Order/Protection Order”. Accord</w:t>
      </w:r>
      <w:r>
        <w:rPr>
          <w:rFonts w:ascii="Times New Roman" w:eastAsia="Times New Roman" w:hAnsi="Times New Roman" w:cs="Times New Roman"/>
          <w:noProof/>
          <w:color w:val="000000" w:themeColor="text1"/>
          <w:sz w:val="24"/>
          <w:szCs w:val="24"/>
        </w:rPr>
        <w:t>ing to Article 130/a “Domestic Violence”, 1,341 cases have been identified, where 1,439 perpetrators have been prosecuted, of whom 535 have been arrested, 76 detained, 68 dismissed and 760 perpetrators prosecuted while free. During the period January-Decem</w:t>
      </w:r>
      <w:r>
        <w:rPr>
          <w:rFonts w:ascii="Times New Roman" w:eastAsia="Times New Roman" w:hAnsi="Times New Roman" w:cs="Times New Roman"/>
          <w:noProof/>
          <w:color w:val="000000" w:themeColor="text1"/>
          <w:sz w:val="24"/>
          <w:szCs w:val="24"/>
        </w:rPr>
        <w:t xml:space="preserve">ber 2019, a total of 103 victims/ potential victims of trafficking were identified, of which 80 were women and girls. 67 of the victims were minors. The monitoring report on the implementation of the Inter-Institutional Action Plan “For the implementation </w:t>
      </w:r>
      <w:r>
        <w:rPr>
          <w:rFonts w:ascii="Times New Roman" w:eastAsia="Times New Roman" w:hAnsi="Times New Roman" w:cs="Times New Roman"/>
          <w:noProof/>
          <w:color w:val="000000" w:themeColor="text1"/>
          <w:sz w:val="24"/>
          <w:szCs w:val="24"/>
        </w:rPr>
        <w:t xml:space="preserve">in Albania of United Nations Security Council Resolution 1325 on “Women, Peace and Security” 2018-2020” was prepared and published for the period October 2018-October 2019. </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Several women’s organisations operate shelters for victims of domestic violence, b</w:t>
      </w:r>
      <w:r>
        <w:rPr>
          <w:rFonts w:ascii="Times New Roman" w:eastAsia="Times New Roman" w:hAnsi="Times New Roman" w:cs="Times New Roman"/>
          <w:noProof/>
          <w:color w:val="000000" w:themeColor="text1"/>
          <w:sz w:val="24"/>
          <w:szCs w:val="24"/>
        </w:rPr>
        <w:t>ut they have limited hosting and financing capacity. Women from disadvantaged and marginalised groups, such as women with disabilities, LGBTI community, Roma and Egyptian women, are often unaware of their rights and how to access services, including shelte</w:t>
      </w:r>
      <w:r>
        <w:rPr>
          <w:rFonts w:ascii="Times New Roman" w:eastAsia="Times New Roman" w:hAnsi="Times New Roman" w:cs="Times New Roman"/>
          <w:noProof/>
          <w:color w:val="000000" w:themeColor="text1"/>
          <w:sz w:val="24"/>
          <w:szCs w:val="24"/>
        </w:rPr>
        <w:t xml:space="preserve">rs. Effective implementation of the free legal aid system and the promotion of legal awareness and empowerment will be essential to ensure women’s access to justice.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Times New Roman" w:hAnsi="Times New Roman" w:cs="Times New Roman"/>
          <w:noProof/>
          <w:color w:val="000000" w:themeColor="text1"/>
          <w:sz w:val="24"/>
          <w:szCs w:val="24"/>
        </w:rPr>
        <w:t>The number of local referral mechanisms for reporting gender-based violence has increased</w:t>
      </w:r>
      <w:r>
        <w:rPr>
          <w:rFonts w:ascii="Times New Roman" w:eastAsia="Times New Roman" w:hAnsi="Times New Roman" w:cs="Times New Roman"/>
          <w:noProof/>
          <w:color w:val="000000" w:themeColor="text1"/>
          <w:sz w:val="24"/>
          <w:szCs w:val="24"/>
        </w:rPr>
        <w:t xml:space="preserve"> to 52 municipalities out of 61. Efforts should however be stepped up to set up and make referral mechanisms functional in all municipalities. </w:t>
      </w:r>
      <w:r>
        <w:rPr>
          <w:rFonts w:ascii="Times New Roman" w:eastAsia="Calibri" w:hAnsi="Times New Roman" w:cs="Times New Roman"/>
          <w:noProof/>
          <w:color w:val="000000" w:themeColor="text1"/>
          <w:sz w:val="24"/>
          <w:szCs w:val="24"/>
          <w:lang w:eastAsia="en-US"/>
        </w:rPr>
        <w:t>Emergency shelters have been set up in some municipalities of the country. These services remain mainly donor-fun</w:t>
      </w:r>
      <w:r>
        <w:rPr>
          <w:rFonts w:ascii="Times New Roman" w:eastAsia="Calibri" w:hAnsi="Times New Roman" w:cs="Times New Roman"/>
          <w:noProof/>
          <w:color w:val="000000" w:themeColor="text1"/>
          <w:sz w:val="24"/>
          <w:szCs w:val="24"/>
          <w:lang w:eastAsia="en-US"/>
        </w:rPr>
        <w:t>ded.</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 xml:space="preserve">Data from the National Population Survey (INSTAT 2019) included a section on sexual violence which found that 8.6% of women aged 18-74 are currently experiencing one or more of the six types of sexual harassment measured. The general findings show an </w:t>
      </w:r>
      <w:r>
        <w:rPr>
          <w:rFonts w:ascii="Times New Roman" w:eastAsia="Calibri" w:hAnsi="Times New Roman" w:cs="Times New Roman"/>
          <w:noProof/>
          <w:color w:val="000000" w:themeColor="text1"/>
          <w:sz w:val="24"/>
          <w:szCs w:val="24"/>
          <w:lang w:eastAsia="en-US"/>
        </w:rPr>
        <w:t>alarming situation, where 38% of the respondents have been exposed to harassment or sexual assault during their lifetime.</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During the Universal Periodic Review, May 2019, Albania was recommended to revise the definition of rape and ensure protection, rehabi</w:t>
      </w:r>
      <w:r>
        <w:rPr>
          <w:rFonts w:ascii="Times New Roman" w:eastAsia="Calibri" w:hAnsi="Times New Roman" w:cs="Times New Roman"/>
          <w:noProof/>
          <w:color w:val="000000" w:themeColor="text1"/>
          <w:sz w:val="24"/>
          <w:szCs w:val="24"/>
          <w:lang w:eastAsia="en-US"/>
        </w:rPr>
        <w:t>litation and reintegration measures for victims of all forms of sexual violence and to ensure the full implementation of the Law 47/2018 “On Measures against Violence in Family Relations’ through development of by-laws allocation of sufficient resources an</w:t>
      </w:r>
      <w:r>
        <w:rPr>
          <w:rFonts w:ascii="Times New Roman" w:eastAsia="Calibri" w:hAnsi="Times New Roman" w:cs="Times New Roman"/>
          <w:noProof/>
          <w:color w:val="000000" w:themeColor="text1"/>
          <w:sz w:val="24"/>
          <w:szCs w:val="24"/>
          <w:lang w:eastAsia="en-US"/>
        </w:rPr>
        <w:t xml:space="preserve">d training of relevant staff to ensure adequate support to victims of violence.  </w:t>
      </w:r>
    </w:p>
    <w:p w:rsidR="00EE1719" w:rsidRDefault="000E39BA">
      <w:pPr>
        <w:spacing w:after="120" w:line="240" w:lineRule="auto"/>
        <w:ind w:left="-31"/>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Reports by CSOs and observers indicate that vulnerable groups have been particularly affected by the COVID-19 crisis, especially in remote areas. A number of measures have be</w:t>
      </w:r>
      <w:r>
        <w:rPr>
          <w:rFonts w:ascii="Times New Roman" w:eastAsia="Calibri" w:hAnsi="Times New Roman" w:cs="Times New Roman"/>
          <w:noProof/>
          <w:color w:val="000000" w:themeColor="text1"/>
          <w:sz w:val="24"/>
          <w:szCs w:val="24"/>
          <w:lang w:eastAsia="en-US"/>
        </w:rPr>
        <w:t>en adopted by the government to mitigate the effects of the pandemic and the subsequent lockdown, so to ensure outreach to vulnerable persons and groups at risk. Effectiveness of action will depend also on strenghened collaboration between the central gove</w:t>
      </w:r>
      <w:r>
        <w:rPr>
          <w:rFonts w:ascii="Times New Roman" w:eastAsia="Calibri" w:hAnsi="Times New Roman" w:cs="Times New Roman"/>
          <w:noProof/>
          <w:color w:val="000000" w:themeColor="text1"/>
          <w:sz w:val="24"/>
          <w:szCs w:val="24"/>
          <w:lang w:eastAsia="en-US"/>
        </w:rPr>
        <w:t>rnement, local governance units and the civil society.</w:t>
      </w:r>
    </w:p>
    <w:p w:rsidR="00EE1719" w:rsidRDefault="000E39BA">
      <w:pPr>
        <w:spacing w:after="120" w:line="240" w:lineRule="auto"/>
        <w:ind w:left="-31"/>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 xml:space="preserve">On the </w:t>
      </w:r>
      <w:r>
        <w:rPr>
          <w:rFonts w:ascii="Times New Roman" w:eastAsia="Calibri" w:hAnsi="Times New Roman" w:cs="Times New Roman"/>
          <w:b/>
          <w:noProof/>
          <w:color w:val="000000" w:themeColor="text1"/>
          <w:sz w:val="24"/>
          <w:szCs w:val="24"/>
          <w:lang w:eastAsia="en-US"/>
        </w:rPr>
        <w:t>rights of the child</w:t>
      </w:r>
      <w:r>
        <w:rPr>
          <w:rFonts w:ascii="Times New Roman" w:eastAsia="Calibri" w:hAnsi="Times New Roman" w:cs="Times New Roman"/>
          <w:noProof/>
          <w:color w:val="000000" w:themeColor="text1"/>
          <w:sz w:val="24"/>
          <w:szCs w:val="24"/>
          <w:lang w:eastAsia="en-US"/>
        </w:rPr>
        <w:t>, the adoption of the Law on the Rights and Protection of the Child in 2018 constituted a major step in improving the legal framework for child protection. However, the resour</w:t>
      </w:r>
      <w:r>
        <w:rPr>
          <w:rFonts w:ascii="Times New Roman" w:eastAsia="Calibri" w:hAnsi="Times New Roman" w:cs="Times New Roman"/>
          <w:noProof/>
          <w:color w:val="000000" w:themeColor="text1"/>
          <w:sz w:val="24"/>
          <w:szCs w:val="24"/>
          <w:lang w:eastAsia="en-US"/>
        </w:rPr>
        <w:t xml:space="preserve">ces awarded to the State Agency on Child Rights and Protection, both financial and human, do not correspond to its increased legal responsibilities. The National Council on the Rights and Protection of the Child was also created in 2018. Concrete measures </w:t>
      </w:r>
      <w:r>
        <w:rPr>
          <w:rFonts w:ascii="Times New Roman" w:eastAsia="Calibri" w:hAnsi="Times New Roman" w:cs="Times New Roman"/>
          <w:noProof/>
          <w:color w:val="000000" w:themeColor="text1"/>
          <w:sz w:val="24"/>
          <w:szCs w:val="24"/>
          <w:lang w:eastAsia="en-US"/>
        </w:rPr>
        <w:t>to implement child protection legislation have been planned as part of the National Agenda on Child Rights 2017-20, which contains clear objectives and budgeted activities. However, little action has been taken so far to implement these actions. An inter-i</w:t>
      </w:r>
      <w:r>
        <w:rPr>
          <w:rFonts w:ascii="Times New Roman" w:eastAsia="Calibri" w:hAnsi="Times New Roman" w:cs="Times New Roman"/>
          <w:noProof/>
          <w:color w:val="000000" w:themeColor="text1"/>
          <w:sz w:val="24"/>
          <w:szCs w:val="24"/>
          <w:lang w:eastAsia="en-US"/>
        </w:rPr>
        <w:t>nstitutional National Action Plan (2019-2021) for the protection of children from economic exploitation, including street children was approved in October 2019. Currently, there are 236 child protection workers in total (56% of the required number). A mid-</w:t>
      </w:r>
      <w:r>
        <w:rPr>
          <w:rFonts w:ascii="Times New Roman" w:eastAsia="Calibri" w:hAnsi="Times New Roman" w:cs="Times New Roman"/>
          <w:noProof/>
          <w:color w:val="000000" w:themeColor="text1"/>
          <w:sz w:val="24"/>
          <w:szCs w:val="24"/>
          <w:lang w:eastAsia="en-US"/>
        </w:rPr>
        <w:t xml:space="preserve">term review on the implementation of the agenda was presented in September 2019 with concrete recommendations for its implementation in 2020. </w:t>
      </w:r>
    </w:p>
    <w:p w:rsidR="00EE1719" w:rsidRDefault="000E39BA">
      <w:pPr>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There is growing evidence of child abuse and exploitation through the Internet. In July 2019, the Government adop</w:t>
      </w:r>
      <w:r>
        <w:rPr>
          <w:rFonts w:ascii="Times New Roman" w:eastAsia="Calibri" w:hAnsi="Times New Roman" w:cs="Times New Roman"/>
          <w:noProof/>
          <w:color w:val="000000" w:themeColor="text1"/>
          <w:sz w:val="24"/>
          <w:szCs w:val="24"/>
          <w:lang w:eastAsia="en-US"/>
        </w:rPr>
        <w:t>ted measures to protect children from access to illegal and/or harmful content on the Internet. However, the capacity for investigation and prosecution needs to be strengthened. The practice of child marriage/union is still present in Albania, particularly</w:t>
      </w:r>
      <w:r>
        <w:rPr>
          <w:rFonts w:ascii="Times New Roman" w:eastAsia="Calibri" w:hAnsi="Times New Roman" w:cs="Times New Roman"/>
          <w:noProof/>
          <w:color w:val="000000" w:themeColor="text1"/>
          <w:sz w:val="24"/>
          <w:szCs w:val="24"/>
          <w:lang w:eastAsia="en-US"/>
        </w:rPr>
        <w:t xml:space="preserve"> in the Roma, Egyptian and rural communities. There is a lack of data and reporting on child poverty.</w:t>
      </w:r>
    </w:p>
    <w:p w:rsidR="00EE1719" w:rsidRDefault="000E39BA">
      <w:pPr>
        <w:suppressAutoHyphens/>
        <w:spacing w:after="120" w:line="240" w:lineRule="auto"/>
        <w:jc w:val="both"/>
        <w:rPr>
          <w:rFonts w:ascii="Times New Roman" w:eastAsia="Times New Roman" w:hAnsi="Times New Roman" w:cs="Times New Roman"/>
          <w:noProof/>
          <w:color w:val="000000" w:themeColor="text1"/>
          <w:sz w:val="24"/>
          <w:szCs w:val="24"/>
          <w:lang w:eastAsia="ar-SA"/>
        </w:rPr>
      </w:pPr>
      <w:r>
        <w:rPr>
          <w:rFonts w:ascii="Times New Roman" w:eastAsia="Calibri" w:hAnsi="Times New Roman" w:cs="Times New Roman"/>
          <w:noProof/>
          <w:color w:val="000000" w:themeColor="text1"/>
          <w:sz w:val="24"/>
          <w:szCs w:val="24"/>
          <w:lang w:eastAsia="en-US"/>
        </w:rPr>
        <w:t>Albania has advanced the policy framework and taken steps to strengthen institutional capacities to address the various barriers Albanian children face in</w:t>
      </w:r>
      <w:r>
        <w:rPr>
          <w:rFonts w:ascii="Times New Roman" w:eastAsia="Calibri" w:hAnsi="Times New Roman" w:cs="Times New Roman"/>
          <w:noProof/>
          <w:color w:val="000000" w:themeColor="text1"/>
          <w:sz w:val="24"/>
          <w:szCs w:val="24"/>
          <w:lang w:eastAsia="en-US"/>
        </w:rPr>
        <w:t xml:space="preserve"> accessing justice. In the framework of the implementation of the Juvenile Code and </w:t>
      </w:r>
      <w:r>
        <w:rPr>
          <w:rFonts w:ascii="Times New Roman" w:eastAsia="Calibri" w:hAnsi="Times New Roman" w:cs="Times New Roman"/>
          <w:b/>
          <w:noProof/>
          <w:color w:val="000000" w:themeColor="text1"/>
          <w:sz w:val="24"/>
          <w:szCs w:val="24"/>
          <w:lang w:eastAsia="en-US"/>
        </w:rPr>
        <w:t>Juvenile Justice</w:t>
      </w:r>
      <w:r>
        <w:rPr>
          <w:rFonts w:ascii="Times New Roman" w:eastAsia="Calibri" w:hAnsi="Times New Roman" w:cs="Times New Roman"/>
          <w:noProof/>
          <w:color w:val="000000" w:themeColor="text1"/>
          <w:sz w:val="24"/>
          <w:szCs w:val="24"/>
          <w:lang w:eastAsia="en-US"/>
        </w:rPr>
        <w:t xml:space="preserve"> Strategy 2018-2021, necessary bylaws were approved by six Decisions of the Council of Ministers in 2019. With the aim of treating juveniles with alternativ</w:t>
      </w:r>
      <w:r>
        <w:rPr>
          <w:rFonts w:ascii="Times New Roman" w:eastAsia="Calibri" w:hAnsi="Times New Roman" w:cs="Times New Roman"/>
          <w:noProof/>
          <w:color w:val="000000" w:themeColor="text1"/>
          <w:sz w:val="24"/>
          <w:szCs w:val="24"/>
          <w:lang w:eastAsia="en-US"/>
        </w:rPr>
        <w:t>e measures in multidisciplinary social centres, 11 new local cooperation agreements were signed in 2019, bringing the total number of cooperation agreements to 18 municipalities. All these municipalities have established the relevant structures/multidiscip</w:t>
      </w:r>
      <w:r>
        <w:rPr>
          <w:rFonts w:ascii="Times New Roman" w:eastAsia="Calibri" w:hAnsi="Times New Roman" w:cs="Times New Roman"/>
          <w:noProof/>
          <w:color w:val="000000" w:themeColor="text1"/>
          <w:sz w:val="24"/>
          <w:szCs w:val="24"/>
          <w:lang w:eastAsia="en-US"/>
        </w:rPr>
        <w:t>linary centres which are functional and can treat the juvenile in conflict with the law. The Kavaja Detention Centre for Minors is to be transformed into a Multidisciplinary Institute for Juvenile Rehabilitation" following a decision of April 2019. The num</w:t>
      </w:r>
      <w:r>
        <w:rPr>
          <w:rFonts w:ascii="Times New Roman" w:eastAsia="Calibri" w:hAnsi="Times New Roman" w:cs="Times New Roman"/>
          <w:noProof/>
          <w:color w:val="000000" w:themeColor="text1"/>
          <w:sz w:val="24"/>
          <w:szCs w:val="24"/>
          <w:lang w:eastAsia="en-US"/>
        </w:rPr>
        <w:t>ber of juveniles currently in the centre is 25, of which three convicted offenders.</w:t>
      </w:r>
      <w:r>
        <w:rPr>
          <w:rFonts w:ascii="Times New Roman" w:eastAsia="Times New Roman" w:hAnsi="Times New Roman" w:cs="Times New Roman"/>
          <w:noProof/>
          <w:color w:val="000000" w:themeColor="text1"/>
          <w:sz w:val="24"/>
          <w:szCs w:val="24"/>
          <w:lang w:eastAsia="ar-SA"/>
        </w:rPr>
        <w:t xml:space="preserve"> In addition, the “Juvenile and Youth Crime Prevention Centre” was established in May 2019. The Centre is conceived as a subordinate mechanism to the Ministry of Justice whi</w:t>
      </w:r>
      <w:r>
        <w:rPr>
          <w:rFonts w:ascii="Times New Roman" w:eastAsia="Times New Roman" w:hAnsi="Times New Roman" w:cs="Times New Roman"/>
          <w:noProof/>
          <w:color w:val="000000" w:themeColor="text1"/>
          <w:sz w:val="24"/>
          <w:szCs w:val="24"/>
          <w:lang w:eastAsia="ar-SA"/>
        </w:rPr>
        <w:t>ch will develop preventive programmes and supervise a juvenile for a six-month period after the end of the sentence.</w:t>
      </w:r>
    </w:p>
    <w:p w:rsidR="00EE1719" w:rsidRDefault="000E39BA">
      <w:pPr>
        <w:suppressAutoHyphens/>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In 2019, the government publicly committed to progressively reorganising the child care system, ending child institutionalisation and ensur</w:t>
      </w:r>
      <w:r>
        <w:rPr>
          <w:rFonts w:ascii="Times New Roman" w:eastAsia="Calibri" w:hAnsi="Times New Roman" w:cs="Times New Roman"/>
          <w:noProof/>
          <w:color w:val="000000" w:themeColor="text1"/>
          <w:sz w:val="24"/>
          <w:szCs w:val="24"/>
          <w:lang w:eastAsia="en-US"/>
        </w:rPr>
        <w:t>ing a transition from institutional to family and community-based care. Further efforts are needed to prevent unnecessary separation of children and provide appropriate family and community-based care where children are separated, thus reducing and elimina</w:t>
      </w:r>
      <w:r>
        <w:rPr>
          <w:rFonts w:ascii="Times New Roman" w:eastAsia="Calibri" w:hAnsi="Times New Roman" w:cs="Times New Roman"/>
          <w:noProof/>
          <w:color w:val="000000" w:themeColor="text1"/>
          <w:sz w:val="24"/>
          <w:szCs w:val="24"/>
          <w:lang w:eastAsia="en-US"/>
        </w:rPr>
        <w:t>ting the use of large-scale institutions.</w:t>
      </w:r>
    </w:p>
    <w:p w:rsidR="00EE1719" w:rsidRDefault="000E39BA">
      <w:pPr>
        <w:suppressAutoHyphens/>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Times New Roman" w:hAnsi="Times New Roman" w:cs="Times New Roman"/>
          <w:noProof/>
          <w:color w:val="000000" w:themeColor="text1"/>
          <w:sz w:val="24"/>
          <w:szCs w:val="24"/>
        </w:rPr>
        <w:t xml:space="preserve">Albania’s framework legislation on the </w:t>
      </w:r>
      <w:r>
        <w:rPr>
          <w:rFonts w:ascii="Times New Roman" w:eastAsia="Times New Roman" w:hAnsi="Times New Roman" w:cs="Times New Roman"/>
          <w:b/>
          <w:bCs/>
          <w:noProof/>
          <w:color w:val="000000" w:themeColor="text1"/>
          <w:sz w:val="24"/>
          <w:szCs w:val="24"/>
        </w:rPr>
        <w:t>rights of persons with disabilities</w:t>
      </w:r>
      <w:r>
        <w:rPr>
          <w:rFonts w:ascii="Times New Roman" w:eastAsia="Times New Roman" w:hAnsi="Times New Roman" w:cs="Times New Roman"/>
          <w:noProof/>
          <w:color w:val="000000" w:themeColor="text1"/>
          <w:sz w:val="24"/>
          <w:szCs w:val="24"/>
        </w:rPr>
        <w:t xml:space="preserve"> is partially compliant with the UN Convention on the Rights of Persons with Disabilities. However, Albania has yet to ratify the Optional P</w:t>
      </w:r>
      <w:r>
        <w:rPr>
          <w:rFonts w:ascii="Times New Roman" w:eastAsia="Times New Roman" w:hAnsi="Times New Roman" w:cs="Times New Roman"/>
          <w:noProof/>
          <w:color w:val="000000" w:themeColor="text1"/>
          <w:sz w:val="24"/>
          <w:szCs w:val="24"/>
        </w:rPr>
        <w:t xml:space="preserve">rotocol to the Convention on the Rights of Persons with Disabilities. </w:t>
      </w:r>
      <w:r>
        <w:rPr>
          <w:rFonts w:ascii="Times New Roman" w:eastAsia="Calibri" w:hAnsi="Times New Roman" w:cs="Times New Roman"/>
          <w:noProof/>
          <w:color w:val="000000" w:themeColor="text1"/>
          <w:sz w:val="24"/>
          <w:szCs w:val="24"/>
          <w:lang w:eastAsia="en-US"/>
        </w:rPr>
        <w:t>In September 2019, the UN Committee on the Rights of Persons with Disabilities adopted concluding observations on the report submitted by Albania, expressing concerns on a number of area</w:t>
      </w:r>
      <w:r>
        <w:rPr>
          <w:rFonts w:ascii="Times New Roman" w:eastAsia="Calibri" w:hAnsi="Times New Roman" w:cs="Times New Roman"/>
          <w:noProof/>
          <w:color w:val="000000" w:themeColor="text1"/>
          <w:sz w:val="24"/>
          <w:szCs w:val="24"/>
          <w:lang w:eastAsia="en-US"/>
        </w:rPr>
        <w:t xml:space="preserve">s, such as: insufficient efforts to bringing legislation in line with the CPRD, the lack of a harmonised concept of disability, the absence of disability-specific services, the lack of consultations with organisations of persons with disabilities and </w:t>
      </w:r>
      <w:r>
        <w:rPr>
          <w:rFonts w:ascii="Times New Roman" w:eastAsia="Times New Roman" w:hAnsi="Times New Roman" w:cs="Times New Roman"/>
          <w:noProof/>
          <w:color w:val="000000" w:themeColor="text1"/>
          <w:sz w:val="24"/>
          <w:szCs w:val="24"/>
        </w:rPr>
        <w:t>the a</w:t>
      </w:r>
      <w:r>
        <w:rPr>
          <w:rFonts w:ascii="Times New Roman" w:eastAsia="Times New Roman" w:hAnsi="Times New Roman" w:cs="Times New Roman"/>
          <w:noProof/>
          <w:color w:val="000000" w:themeColor="text1"/>
          <w:sz w:val="24"/>
          <w:szCs w:val="24"/>
        </w:rPr>
        <w:t xml:space="preserve">bsence of a comprehensive gender equality policy and strategy that addresses the multiple and intersecting forms of discrimination faced by women and girls with disabilities. </w:t>
      </w:r>
      <w:r>
        <w:rPr>
          <w:rFonts w:ascii="Times New Roman" w:eastAsia="Calibri" w:hAnsi="Times New Roman" w:cs="Times New Roman"/>
          <w:noProof/>
          <w:color w:val="000000" w:themeColor="text1"/>
          <w:sz w:val="24"/>
          <w:szCs w:val="24"/>
          <w:lang w:eastAsia="en-US"/>
        </w:rPr>
        <w:t>Further efforts are needed, among other things, to address violence against perso</w:t>
      </w:r>
      <w:r>
        <w:rPr>
          <w:rFonts w:ascii="Times New Roman" w:eastAsia="Calibri" w:hAnsi="Times New Roman" w:cs="Times New Roman"/>
          <w:noProof/>
          <w:color w:val="000000" w:themeColor="text1"/>
          <w:sz w:val="24"/>
          <w:szCs w:val="24"/>
          <w:lang w:eastAsia="en-US"/>
        </w:rPr>
        <w:t>ns with disabilities, improve overall accessibility (including services and information), to promote employment for persons with disabilities, and to collect statistical data on the situation of persons with disabilities.</w:t>
      </w:r>
    </w:p>
    <w:p w:rsidR="00EE1719" w:rsidRDefault="000E39BA">
      <w:pPr>
        <w:suppressAutoHyphens/>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Times New Roman" w:hAnsi="Times New Roman" w:cs="Times New Roman"/>
          <w:noProof/>
          <w:color w:val="000000" w:themeColor="text1"/>
          <w:sz w:val="24"/>
          <w:szCs w:val="24"/>
        </w:rPr>
        <w:t>A number of pieces of implementing</w:t>
      </w:r>
      <w:r>
        <w:rPr>
          <w:rFonts w:ascii="Times New Roman" w:eastAsia="Times New Roman" w:hAnsi="Times New Roman" w:cs="Times New Roman"/>
          <w:noProof/>
          <w:color w:val="000000" w:themeColor="text1"/>
          <w:sz w:val="24"/>
          <w:szCs w:val="24"/>
        </w:rPr>
        <w:t xml:space="preserve"> legislation related to the 2014 </w:t>
      </w:r>
      <w:r>
        <w:rPr>
          <w:rFonts w:ascii="Times New Roman" w:eastAsia="Times New Roman" w:hAnsi="Times New Roman" w:cs="Times New Roman"/>
          <w:noProof/>
          <w:color w:val="000000" w:themeColor="text1"/>
          <w:sz w:val="24"/>
          <w:szCs w:val="24"/>
          <w:lang w:eastAsia="en-US"/>
        </w:rPr>
        <w:t>law on inclusion and accessibility</w:t>
      </w:r>
      <w:r>
        <w:rPr>
          <w:rFonts w:ascii="Times New Roman" w:eastAsia="Times New Roman" w:hAnsi="Times New Roman" w:cs="Times New Roman"/>
          <w:b/>
          <w:noProof/>
          <w:color w:val="000000" w:themeColor="text1"/>
          <w:sz w:val="24"/>
          <w:szCs w:val="24"/>
          <w:lang w:eastAsia="en-US"/>
        </w:rPr>
        <w:t xml:space="preserve"> </w:t>
      </w:r>
      <w:r>
        <w:rPr>
          <w:rFonts w:ascii="Times New Roman" w:eastAsia="Times New Roman" w:hAnsi="Times New Roman" w:cs="Times New Roman"/>
          <w:noProof/>
          <w:color w:val="000000" w:themeColor="text1"/>
          <w:sz w:val="24"/>
          <w:szCs w:val="24"/>
        </w:rPr>
        <w:t>are still outstanding. Despite efforts to ensure inclusive education, the quality of education for disabled children, especially deaf children, is a cause for concern. Children with disabilities are still placed in residential care centres. The number of a</w:t>
      </w:r>
      <w:r>
        <w:rPr>
          <w:rFonts w:ascii="Times New Roman" w:eastAsia="Times New Roman" w:hAnsi="Times New Roman" w:cs="Times New Roman"/>
          <w:noProof/>
          <w:color w:val="000000" w:themeColor="text1"/>
          <w:sz w:val="24"/>
          <w:szCs w:val="24"/>
        </w:rPr>
        <w:t xml:space="preserve">ssistant teachers </w:t>
      </w:r>
      <w:r>
        <w:rPr>
          <w:rFonts w:ascii="Times New Roman" w:eastAsia="Times New Roman" w:hAnsi="Times New Roman" w:cs="Times New Roman"/>
          <w:bCs/>
          <w:noProof/>
          <w:color w:val="000000" w:themeColor="text1"/>
          <w:sz w:val="24"/>
          <w:szCs w:val="24"/>
        </w:rPr>
        <w:t>for children with disabilities</w:t>
      </w:r>
      <w:r>
        <w:rPr>
          <w:rFonts w:ascii="Times New Roman" w:eastAsia="Times New Roman" w:hAnsi="Times New Roman" w:cs="Times New Roman"/>
          <w:noProof/>
          <w:color w:val="000000" w:themeColor="text1"/>
          <w:sz w:val="24"/>
          <w:szCs w:val="24"/>
        </w:rPr>
        <w:t xml:space="preserve"> in the pre-university education system increased over the years but the number and qualifications are not yet sufficient to meet the needs. </w:t>
      </w:r>
      <w:r>
        <w:rPr>
          <w:rFonts w:ascii="Times New Roman" w:eastAsia="Calibri" w:hAnsi="Times New Roman" w:cs="Times New Roman"/>
          <w:noProof/>
          <w:color w:val="000000" w:themeColor="text1"/>
          <w:sz w:val="24"/>
          <w:szCs w:val="24"/>
          <w:lang w:eastAsia="en-US"/>
        </w:rPr>
        <w:t>In some municipalities, more than 65%</w:t>
      </w:r>
      <w:r>
        <w:rPr>
          <w:rFonts w:ascii="Times New Roman" w:eastAsia="Calibri" w:hAnsi="Times New Roman" w:cs="Times New Roman"/>
          <w:noProof/>
          <w:color w:val="000000" w:themeColor="text1"/>
          <w:sz w:val="24"/>
          <w:szCs w:val="24"/>
          <w:vertAlign w:val="superscript"/>
          <w:lang w:eastAsia="en-US"/>
        </w:rPr>
        <w:footnoteReference w:id="4"/>
      </w:r>
      <w:r>
        <w:rPr>
          <w:rFonts w:ascii="Times New Roman" w:eastAsia="Calibri" w:hAnsi="Times New Roman" w:cs="Times New Roman"/>
          <w:noProof/>
          <w:color w:val="000000" w:themeColor="text1"/>
          <w:sz w:val="24"/>
          <w:szCs w:val="24"/>
          <w:lang w:eastAsia="en-US"/>
        </w:rPr>
        <w:t xml:space="preserve"> of children with disabilitie</w:t>
      </w:r>
      <w:r>
        <w:rPr>
          <w:rFonts w:ascii="Times New Roman" w:eastAsia="Calibri" w:hAnsi="Times New Roman" w:cs="Times New Roman"/>
          <w:noProof/>
          <w:color w:val="000000" w:themeColor="text1"/>
          <w:sz w:val="24"/>
          <w:szCs w:val="24"/>
          <w:lang w:eastAsia="en-US"/>
        </w:rPr>
        <w:t>s are not included in the education system.</w:t>
      </w:r>
      <w:r>
        <w:rPr>
          <w:rFonts w:ascii="Times New Roman" w:eastAsia="Times New Roman" w:hAnsi="Times New Roman" w:cs="Times New Roman"/>
          <w:i/>
          <w:iCs/>
          <w:noProof/>
          <w:color w:val="000000" w:themeColor="text1"/>
          <w:sz w:val="24"/>
          <w:szCs w:val="24"/>
        </w:rPr>
        <w:t xml:space="preserve"> </w:t>
      </w:r>
      <w:r>
        <w:rPr>
          <w:rFonts w:ascii="Times New Roman" w:eastAsia="Times New Roman" w:hAnsi="Times New Roman" w:cs="Times New Roman"/>
          <w:noProof/>
          <w:color w:val="000000" w:themeColor="text1"/>
          <w:sz w:val="24"/>
          <w:szCs w:val="24"/>
        </w:rPr>
        <w:t>Monitoring of how disability-related measures are being implemented is hampered by a lack of data.</w:t>
      </w:r>
      <w:r>
        <w:rPr>
          <w:rFonts w:ascii="Times New Roman" w:eastAsia="Calibri" w:hAnsi="Times New Roman" w:cs="Times New Roman"/>
          <w:noProof/>
          <w:color w:val="000000" w:themeColor="text1"/>
          <w:sz w:val="24"/>
          <w:szCs w:val="24"/>
          <w:lang w:eastAsia="en-US"/>
        </w:rPr>
        <w:t xml:space="preserve">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Albania's legislation prohibits discrimination against </w:t>
      </w:r>
      <w:r>
        <w:rPr>
          <w:rFonts w:ascii="Times New Roman" w:eastAsia="Times New Roman" w:hAnsi="Times New Roman" w:cs="Times New Roman"/>
          <w:b/>
          <w:noProof/>
          <w:color w:val="000000" w:themeColor="text1"/>
          <w:sz w:val="24"/>
          <w:szCs w:val="24"/>
        </w:rPr>
        <w:t>lesbian, gay, bisexual, transgender and intersex (LGBTI)</w:t>
      </w:r>
      <w:r>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rPr>
        <w:t>persons. However, more efforts are needed to protect LGBTI persons from discrimination when it comes to access to health care, education, justice, employment and housing. The national action plan for LGBTI persons, which comes to end in 2020, did not produ</w:t>
      </w:r>
      <w:r>
        <w:rPr>
          <w:rFonts w:ascii="Times New Roman" w:eastAsia="Times New Roman" w:hAnsi="Times New Roman" w:cs="Times New Roman"/>
          <w:noProof/>
          <w:color w:val="000000" w:themeColor="text1"/>
          <w:sz w:val="24"/>
          <w:szCs w:val="24"/>
        </w:rPr>
        <w:t xml:space="preserve">ce visible results, partially due to the lack of financial resources. An inter-ministerial team responsible for monitoring the action plan is operational and held its last meeting in May 2019. Police officers, prosecutors and gender ‘focal points’ in line </w:t>
      </w:r>
      <w:r>
        <w:rPr>
          <w:rFonts w:ascii="Times New Roman" w:eastAsia="Times New Roman" w:hAnsi="Times New Roman" w:cs="Times New Roman"/>
          <w:noProof/>
          <w:color w:val="000000" w:themeColor="text1"/>
          <w:sz w:val="24"/>
          <w:szCs w:val="24"/>
        </w:rPr>
        <w:t xml:space="preserve">ministries have received training on preventing discrimination on the basis of sexual orientation and gender identity. The shelter for LGBTI persons has continued to provide care, support and advocacy to homeless LGBTI individuals. For the first time, the </w:t>
      </w:r>
      <w:r>
        <w:rPr>
          <w:rFonts w:ascii="Times New Roman" w:eastAsia="Times New Roman" w:hAnsi="Times New Roman" w:cs="Times New Roman"/>
          <w:noProof/>
          <w:color w:val="000000" w:themeColor="text1"/>
          <w:sz w:val="24"/>
          <w:szCs w:val="24"/>
        </w:rPr>
        <w:t>shelter received state funds in 2019. However, it remains heavily dependent on donors' support. Public awareness and acceptance of LGBTI persons remain low, particularly in rural areas. Hate speech and discriminatory language continue to be a problem in th</w:t>
      </w:r>
      <w:r>
        <w:rPr>
          <w:rFonts w:ascii="Times New Roman" w:eastAsia="Times New Roman" w:hAnsi="Times New Roman" w:cs="Times New Roman"/>
          <w:noProof/>
          <w:color w:val="000000" w:themeColor="text1"/>
          <w:sz w:val="24"/>
          <w:szCs w:val="24"/>
        </w:rPr>
        <w:t>e media, especially online media. Violence and discrimination against members of the trans community is a worrying phenomenon in the country. A number of initiatives and awareness raising events were organised during the celebrations of the IDAHOT week. In</w:t>
      </w:r>
      <w:r>
        <w:rPr>
          <w:rFonts w:ascii="Times New Roman" w:eastAsia="Times New Roman" w:hAnsi="Times New Roman" w:cs="Times New Roman"/>
          <w:noProof/>
          <w:color w:val="000000" w:themeColor="text1"/>
          <w:sz w:val="24"/>
          <w:szCs w:val="24"/>
        </w:rPr>
        <w:t xml:space="preserve"> 2019, the 8</w:t>
      </w:r>
      <w:r>
        <w:rPr>
          <w:rFonts w:ascii="Times New Roman" w:eastAsia="Times New Roman" w:hAnsi="Times New Roman" w:cs="Times New Roman"/>
          <w:noProof/>
          <w:color w:val="000000" w:themeColor="text1"/>
          <w:sz w:val="24"/>
          <w:szCs w:val="24"/>
          <w:vertAlign w:val="superscript"/>
        </w:rPr>
        <w:t>th</w:t>
      </w:r>
      <w:r>
        <w:rPr>
          <w:rFonts w:ascii="Times New Roman" w:eastAsia="Calibri" w:hAnsi="Times New Roman" w:cs="Times New Roman"/>
          <w:noProof/>
          <w:color w:val="000000" w:themeColor="text1"/>
          <w:sz w:val="24"/>
          <w:szCs w:val="24"/>
          <w:lang w:eastAsia="en-US"/>
        </w:rPr>
        <w:t xml:space="preserve"> Tirana Pride was attended by many government officials, CSOs, families and LGBT supporters, and the first Tirana Dyke March took place. During the 2020 IDAHOT celebrations, the 9</w:t>
      </w:r>
      <w:r>
        <w:rPr>
          <w:rFonts w:ascii="Times New Roman" w:eastAsia="Calibri" w:hAnsi="Times New Roman" w:cs="Times New Roman"/>
          <w:noProof/>
          <w:color w:val="000000" w:themeColor="text1"/>
          <w:sz w:val="24"/>
          <w:szCs w:val="24"/>
          <w:vertAlign w:val="superscript"/>
          <w:lang w:eastAsia="en-US"/>
        </w:rPr>
        <w:t>th</w:t>
      </w:r>
      <w:r>
        <w:rPr>
          <w:rFonts w:ascii="Times New Roman" w:eastAsia="Calibri" w:hAnsi="Times New Roman" w:cs="Times New Roman"/>
          <w:noProof/>
          <w:color w:val="000000" w:themeColor="text1"/>
          <w:sz w:val="24"/>
          <w:szCs w:val="24"/>
          <w:lang w:eastAsia="en-US"/>
        </w:rPr>
        <w:t xml:space="preserve"> Tirana Pride was replaced by an online event, called "Pride On", which gathered support from the LGBTI community, civil society, as well as government representatives and international organisations.</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On </w:t>
      </w:r>
      <w:r>
        <w:rPr>
          <w:rFonts w:ascii="Times New Roman" w:eastAsia="Times New Roman" w:hAnsi="Times New Roman" w:cs="Times New Roman"/>
          <w:b/>
          <w:noProof/>
          <w:color w:val="000000" w:themeColor="text1"/>
          <w:sz w:val="24"/>
          <w:szCs w:val="24"/>
        </w:rPr>
        <w:t>procedural rights</w:t>
      </w:r>
      <w:r>
        <w:rPr>
          <w:rFonts w:ascii="Times New Roman" w:eastAsia="Times New Roman" w:hAnsi="Times New Roman" w:cs="Times New Roman"/>
          <w:noProof/>
          <w:color w:val="000000" w:themeColor="text1"/>
          <w:sz w:val="24"/>
          <w:szCs w:val="24"/>
        </w:rPr>
        <w:t xml:space="preserve">, </w:t>
      </w:r>
      <w:r>
        <w:rPr>
          <w:rFonts w:ascii="Times New Roman" w:eastAsia="Calibri" w:hAnsi="Times New Roman" w:cs="Times New Roman"/>
          <w:noProof/>
          <w:color w:val="000000" w:themeColor="text1"/>
          <w:sz w:val="24"/>
          <w:szCs w:val="24"/>
          <w:lang w:eastAsia="en-US"/>
        </w:rPr>
        <w:t>following the adoption of the new</w:t>
      </w:r>
      <w:r>
        <w:rPr>
          <w:rFonts w:ascii="Times New Roman" w:eastAsia="Calibri" w:hAnsi="Times New Roman" w:cs="Times New Roman"/>
          <w:noProof/>
          <w:color w:val="000000" w:themeColor="text1"/>
          <w:sz w:val="24"/>
          <w:szCs w:val="24"/>
          <w:lang w:eastAsia="en-US"/>
        </w:rPr>
        <w:t xml:space="preserve"> scheme on free legal aid, a New Directorate has been set up at the Ministry of Justice to administer the free legal system. Six centres providing first legal aid services have been opened across the country since October 2019. Further efforts are necessar</w:t>
      </w:r>
      <w:r>
        <w:rPr>
          <w:rFonts w:ascii="Times New Roman" w:eastAsia="Calibri" w:hAnsi="Times New Roman" w:cs="Times New Roman"/>
          <w:noProof/>
          <w:color w:val="000000" w:themeColor="text1"/>
          <w:sz w:val="24"/>
          <w:szCs w:val="24"/>
          <w:lang w:eastAsia="en-US"/>
        </w:rPr>
        <w:t>y regarding awareness rising, monitoring and reporting of progress in the implementation of the rights enshrined in the procedural codes following the justice reform. The legal aids scheme should further progress towards design and implementation of outrea</w:t>
      </w:r>
      <w:r>
        <w:rPr>
          <w:rFonts w:ascii="Times New Roman" w:eastAsia="Calibri" w:hAnsi="Times New Roman" w:cs="Times New Roman"/>
          <w:noProof/>
          <w:color w:val="000000" w:themeColor="text1"/>
          <w:sz w:val="24"/>
          <w:szCs w:val="24"/>
          <w:lang w:eastAsia="en-US"/>
        </w:rPr>
        <w:t xml:space="preserve">ch mechanism to all related groups.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Following the adoption of the framework Law on the </w:t>
      </w:r>
      <w:r>
        <w:rPr>
          <w:rFonts w:ascii="Times New Roman" w:eastAsia="Calibri" w:hAnsi="Times New Roman" w:cs="Times New Roman"/>
          <w:b/>
          <w:noProof/>
          <w:color w:val="000000" w:themeColor="text1"/>
          <w:sz w:val="24"/>
          <w:szCs w:val="24"/>
        </w:rPr>
        <w:t>Protection of National Minorities</w:t>
      </w:r>
      <w:r>
        <w:rPr>
          <w:rFonts w:ascii="Times New Roman" w:eastAsia="Calibri" w:hAnsi="Times New Roman" w:cs="Times New Roman"/>
          <w:noProof/>
          <w:color w:val="000000" w:themeColor="text1"/>
          <w:sz w:val="24"/>
          <w:szCs w:val="24"/>
        </w:rPr>
        <w:t>, Albania has adopted seven by-laws related to its implementation. Four of those were adopted in 2019</w:t>
      </w:r>
      <w:r>
        <w:rPr>
          <w:rFonts w:ascii="Times New Roman" w:eastAsia="Calibri" w:hAnsi="Times New Roman" w:cs="Times New Roman"/>
          <w:noProof/>
          <w:color w:val="000000" w:themeColor="text1"/>
          <w:sz w:val="24"/>
          <w:szCs w:val="24"/>
          <w:lang w:eastAsia="en-US"/>
        </w:rPr>
        <w:t xml:space="preserve">. </w:t>
      </w:r>
      <w:r>
        <w:rPr>
          <w:rFonts w:ascii="Times New Roman" w:eastAsia="Calibri" w:hAnsi="Times New Roman" w:cs="Times New Roman"/>
          <w:noProof/>
          <w:color w:val="000000" w:themeColor="text1"/>
          <w:sz w:val="24"/>
          <w:szCs w:val="24"/>
        </w:rPr>
        <w:t>The remaining five by-laws, incl</w:t>
      </w:r>
      <w:r>
        <w:rPr>
          <w:rFonts w:ascii="Times New Roman" w:eastAsia="Calibri" w:hAnsi="Times New Roman" w:cs="Times New Roman"/>
          <w:noProof/>
          <w:color w:val="000000" w:themeColor="text1"/>
          <w:sz w:val="24"/>
          <w:szCs w:val="24"/>
        </w:rPr>
        <w:t>uding on self-identification, use of minority languages and education in minority languages remain to be adopted.</w:t>
      </w:r>
      <w:r>
        <w:rPr>
          <w:rFonts w:ascii="Times New Roman" w:eastAsia="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The government’s Action Plan on European Integration outlines the measures and next steps to be taken to adopt the remaining five by laws in 2</w:t>
      </w:r>
      <w:r>
        <w:rPr>
          <w:rFonts w:ascii="Times New Roman" w:hAnsi="Times New Roman" w:cs="Times New Roman"/>
          <w:noProof/>
          <w:color w:val="000000" w:themeColor="text1"/>
          <w:sz w:val="24"/>
          <w:szCs w:val="24"/>
        </w:rPr>
        <w:t xml:space="preserve">020. </w:t>
      </w:r>
      <w:r>
        <w:rPr>
          <w:rFonts w:ascii="Times New Roman" w:eastAsia="Times New Roman" w:hAnsi="Times New Roman" w:cs="Times New Roman"/>
          <w:noProof/>
          <w:color w:val="000000" w:themeColor="text1"/>
          <w:sz w:val="24"/>
          <w:szCs w:val="24"/>
        </w:rPr>
        <w:t>Two of them are currently in public consultation.</w:t>
      </w:r>
      <w:r>
        <w:rPr>
          <w:rFonts w:ascii="Times New Roman" w:eastAsia="Times New Roman" w:hAnsi="Times New Roman" w:cs="Times New Roman"/>
          <w:b/>
          <w:noProof/>
          <w:color w:val="000000" w:themeColor="text1"/>
          <w:sz w:val="24"/>
          <w:szCs w:val="24"/>
        </w:rPr>
        <w:t xml:space="preserve"> </w:t>
      </w:r>
      <w:r>
        <w:rPr>
          <w:rFonts w:ascii="Times New Roman" w:eastAsia="Times New Roman" w:hAnsi="Times New Roman" w:cs="Times New Roman"/>
          <w:noProof/>
          <w:color w:val="000000" w:themeColor="text1"/>
          <w:sz w:val="24"/>
          <w:szCs w:val="24"/>
        </w:rPr>
        <w:t>These steps are necessary to ensure implementation of all the principles and rights enshrined in the framework law, including the right to free self</w:t>
      </w:r>
      <w:r>
        <w:rPr>
          <w:rFonts w:ascii="Times New Roman" w:eastAsia="Times New Roman" w:hAnsi="Times New Roman" w:cs="Times New Roman"/>
          <w:noProof/>
          <w:color w:val="000000" w:themeColor="text1"/>
          <w:sz w:val="24"/>
          <w:szCs w:val="24"/>
        </w:rPr>
        <w:noBreakHyphen/>
        <w:t>identification, the use of minority languages, and t</w:t>
      </w:r>
      <w:r>
        <w:rPr>
          <w:rFonts w:ascii="Times New Roman" w:eastAsia="Times New Roman" w:hAnsi="Times New Roman" w:cs="Times New Roman"/>
          <w:noProof/>
          <w:color w:val="000000" w:themeColor="text1"/>
          <w:sz w:val="24"/>
          <w:szCs w:val="24"/>
        </w:rPr>
        <w:t>he right to education in minority languages. The implementation of all the secondary legislation will require strengthening the capacity of the State Committee on National Minorities and providing sufficient financial resources. The Census Law covering the</w:t>
      </w:r>
      <w:r>
        <w:rPr>
          <w:rFonts w:ascii="Times New Roman" w:eastAsia="Times New Roman" w:hAnsi="Times New Roman" w:cs="Times New Roman"/>
          <w:noProof/>
          <w:color w:val="000000" w:themeColor="text1"/>
          <w:sz w:val="24"/>
          <w:szCs w:val="24"/>
        </w:rPr>
        <w:t xml:space="preserve"> Population and Housing Census of 2020, should be adopted. Concerns have been raised by the Greek minority in relation to property rights in the southern coastal region.</w:t>
      </w:r>
    </w:p>
    <w:p w:rsidR="00EE1719" w:rsidRDefault="000E39BA">
      <w:pPr>
        <w:pStyle w:val="CommentText"/>
        <w:spacing w:after="120"/>
        <w:jc w:val="both"/>
        <w:rPr>
          <w:rFonts w:ascii="Times New Roman" w:hAnsi="Times New Roman" w:cs="Times New Roman"/>
          <w:noProof/>
          <w:color w:val="000000" w:themeColor="text1"/>
          <w:sz w:val="24"/>
          <w:szCs w:val="24"/>
        </w:rPr>
      </w:pPr>
      <w:bookmarkStart w:id="34" w:name="_Toc510686848"/>
      <w:r>
        <w:rPr>
          <w:rFonts w:ascii="Times New Roman" w:eastAsia="Times New Roman" w:hAnsi="Times New Roman" w:cs="Times New Roman"/>
          <w:noProof/>
          <w:color w:val="000000" w:themeColor="text1"/>
          <w:sz w:val="24"/>
          <w:szCs w:val="24"/>
        </w:rPr>
        <w:t xml:space="preserve">The implementation of the 2016-2020 national action plan for the integration of </w:t>
      </w:r>
      <w:r>
        <w:rPr>
          <w:rFonts w:ascii="Times New Roman" w:eastAsia="Times New Roman" w:hAnsi="Times New Roman" w:cs="Times New Roman"/>
          <w:b/>
          <w:noProof/>
          <w:color w:val="000000" w:themeColor="text1"/>
          <w:sz w:val="24"/>
          <w:szCs w:val="24"/>
        </w:rPr>
        <w:t xml:space="preserve">Roma </w:t>
      </w:r>
      <w:r>
        <w:rPr>
          <w:rFonts w:ascii="Times New Roman" w:eastAsia="Times New Roman" w:hAnsi="Times New Roman" w:cs="Times New Roman"/>
          <w:b/>
          <w:noProof/>
          <w:color w:val="000000" w:themeColor="text1"/>
          <w:sz w:val="24"/>
          <w:szCs w:val="24"/>
        </w:rPr>
        <w:t>and Egyptians</w:t>
      </w:r>
      <w:r>
        <w:rPr>
          <w:rFonts w:ascii="Times New Roman" w:eastAsia="Times New Roman" w:hAnsi="Times New Roman" w:cs="Times New Roman"/>
          <w:noProof/>
          <w:color w:val="000000" w:themeColor="text1"/>
          <w:sz w:val="24"/>
          <w:szCs w:val="24"/>
        </w:rPr>
        <w:t xml:space="preserve"> reached its final year of implementation, however with limited progress.</w:t>
      </w:r>
      <w:r>
        <w:rPr>
          <w:rFonts w:ascii="Times New Roman" w:hAnsi="Times New Roman" w:cs="Times New Roman"/>
          <w:noProof/>
          <w:color w:val="000000" w:themeColor="text1"/>
          <w:sz w:val="24"/>
          <w:szCs w:val="24"/>
        </w:rPr>
        <w:t xml:space="preserve">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Preparation of the next one, in an inclusive manner, should start well on time to be adopted before the end of the year. </w:t>
      </w:r>
      <w:r>
        <w:rPr>
          <w:rFonts w:ascii="Times New Roman" w:eastAsia="Calibri" w:hAnsi="Times New Roman" w:cs="Times New Roman"/>
          <w:noProof/>
          <w:color w:val="000000" w:themeColor="text1"/>
          <w:sz w:val="24"/>
          <w:szCs w:val="24"/>
          <w:lang w:eastAsia="en-US"/>
        </w:rPr>
        <w:t xml:space="preserve">The Declaration of Western Balkans Partners on </w:t>
      </w:r>
      <w:r>
        <w:rPr>
          <w:rFonts w:ascii="Times New Roman" w:eastAsia="Calibri" w:hAnsi="Times New Roman" w:cs="Times New Roman"/>
          <w:noProof/>
          <w:color w:val="000000" w:themeColor="text1"/>
          <w:sz w:val="24"/>
          <w:szCs w:val="24"/>
          <w:lang w:eastAsia="en-US"/>
        </w:rPr>
        <w:t xml:space="preserve">Roma Integration within the EU Enlargement Process (Poznan Declaration) was endorsed by the government. </w:t>
      </w:r>
      <w:r>
        <w:rPr>
          <w:rFonts w:ascii="Times New Roman" w:eastAsia="Times New Roman" w:hAnsi="Times New Roman" w:cs="Times New Roman"/>
          <w:noProof/>
          <w:color w:val="000000" w:themeColor="text1"/>
          <w:sz w:val="24"/>
          <w:szCs w:val="24"/>
        </w:rPr>
        <w:t>The structure of the Ministry of Health and Social Protection, in charge of the coordination of Roma-related policies, needs to be strengthened. The ove</w:t>
      </w:r>
      <w:r>
        <w:rPr>
          <w:rFonts w:ascii="Times New Roman" w:eastAsia="Times New Roman" w:hAnsi="Times New Roman" w:cs="Times New Roman"/>
          <w:noProof/>
          <w:color w:val="000000" w:themeColor="text1"/>
          <w:sz w:val="24"/>
          <w:szCs w:val="24"/>
        </w:rPr>
        <w:t>rall trend regarding the participation of Roma and Egyptians children in the education system has remained positive, with 14 515 students in the pre-university education system and 2 996 children in kindergartens. However, the gap between Roma/Egyptians an</w:t>
      </w:r>
      <w:r>
        <w:rPr>
          <w:rFonts w:ascii="Times New Roman" w:eastAsia="Times New Roman" w:hAnsi="Times New Roman" w:cs="Times New Roman"/>
          <w:noProof/>
          <w:color w:val="000000" w:themeColor="text1"/>
          <w:sz w:val="24"/>
          <w:szCs w:val="24"/>
        </w:rPr>
        <w:t>d other non-Roma children living in the same areas remains significant. Roma children continue to benefit from free textbooks and transportation to remote schools. Segregation in schools remains an issue that should be systematically addressed. The overall</w:t>
      </w:r>
      <w:r>
        <w:rPr>
          <w:rFonts w:ascii="Times New Roman" w:eastAsia="Times New Roman" w:hAnsi="Times New Roman" w:cs="Times New Roman"/>
          <w:noProof/>
          <w:color w:val="000000" w:themeColor="text1"/>
          <w:sz w:val="24"/>
          <w:szCs w:val="24"/>
        </w:rPr>
        <w:t xml:space="preserve"> employment and labour force participation of Roma remains very low. </w:t>
      </w:r>
      <w:r>
        <w:rPr>
          <w:rFonts w:ascii="Times New Roman" w:eastAsia="Calibri" w:hAnsi="Times New Roman" w:cs="Times New Roman"/>
          <w:noProof/>
          <w:color w:val="000000" w:themeColor="text1"/>
          <w:sz w:val="24"/>
          <w:szCs w:val="24"/>
          <w:lang w:eastAsia="en-US"/>
        </w:rPr>
        <w:t>Albania faces difficulties to ensure sustainable employment for Roma and Egyptians. One of the reasons for low employment levels is the fact that 94% of registered Roma with the labour of</w:t>
      </w:r>
      <w:r>
        <w:rPr>
          <w:rFonts w:ascii="Times New Roman" w:eastAsia="Calibri" w:hAnsi="Times New Roman" w:cs="Times New Roman"/>
          <w:noProof/>
          <w:color w:val="000000" w:themeColor="text1"/>
          <w:sz w:val="24"/>
          <w:szCs w:val="24"/>
          <w:lang w:eastAsia="en-US"/>
        </w:rPr>
        <w:t>fices have only compulsory education or less which causes that not many of those completing different employment promotion programmes become employed. This indicates that the employment programmes do not sufficiently increase capacities of the participatin</w:t>
      </w:r>
      <w:r>
        <w:rPr>
          <w:rFonts w:ascii="Times New Roman" w:eastAsia="Calibri" w:hAnsi="Times New Roman" w:cs="Times New Roman"/>
          <w:noProof/>
          <w:color w:val="000000" w:themeColor="text1"/>
          <w:sz w:val="24"/>
          <w:szCs w:val="24"/>
          <w:lang w:eastAsia="en-US"/>
        </w:rPr>
        <w:t>g individuals.</w:t>
      </w:r>
      <w:r>
        <w:rPr>
          <w:rFonts w:ascii="Times New Roman" w:eastAsia="Times New Roman" w:hAnsi="Times New Roman" w:cs="Times New Roman"/>
          <w:noProof/>
          <w:color w:val="000000" w:themeColor="text1"/>
          <w:sz w:val="24"/>
          <w:szCs w:val="24"/>
        </w:rPr>
        <w:t xml:space="preserve"> There is a need to review the national employment approach since it has not been producing the expected results. Health insurance coverage for Roma in Albania remains low and gaps persist between Roma and the majority population.     </w:t>
      </w:r>
    </w:p>
    <w:p w:rsidR="00EE1719" w:rsidRDefault="000E39BA">
      <w:pPr>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Times New Roman" w:hAnsi="Times New Roman" w:cs="Times New Roman"/>
          <w:noProof/>
          <w:color w:val="000000" w:themeColor="text1"/>
          <w:sz w:val="24"/>
          <w:szCs w:val="24"/>
        </w:rPr>
        <w:t>Regard</w:t>
      </w:r>
      <w:r>
        <w:rPr>
          <w:rFonts w:ascii="Times New Roman" w:eastAsia="Times New Roman" w:hAnsi="Times New Roman" w:cs="Times New Roman"/>
          <w:noProof/>
          <w:color w:val="000000" w:themeColor="text1"/>
          <w:sz w:val="24"/>
          <w:szCs w:val="24"/>
        </w:rPr>
        <w:t>ing the implementation of the Law on Social Housing, Roma and Egyptians are already benefitting from the 5% quota foreseen by the law. However, most of the secondary legislation still remains to be adopted. Out of the 40 sub-legal acts required to ensure f</w:t>
      </w:r>
      <w:r>
        <w:rPr>
          <w:rFonts w:ascii="Times New Roman" w:eastAsia="Times New Roman" w:hAnsi="Times New Roman" w:cs="Times New Roman"/>
          <w:noProof/>
          <w:color w:val="000000" w:themeColor="text1"/>
          <w:sz w:val="24"/>
          <w:szCs w:val="24"/>
        </w:rPr>
        <w:t xml:space="preserve">ull implementation of the law, 23 Council of Minister’s Decisions were developed, out of which nine were approved following a wide consultation process. </w:t>
      </w:r>
      <w:r>
        <w:rPr>
          <w:rFonts w:ascii="Times New Roman" w:eastAsia="Calibri" w:hAnsi="Times New Roman" w:cs="Times New Roman"/>
          <w:noProof/>
          <w:color w:val="000000" w:themeColor="text1"/>
          <w:sz w:val="24"/>
          <w:szCs w:val="24"/>
          <w:lang w:eastAsia="en-US"/>
        </w:rPr>
        <w:t>Regarding the implementation of investment projects (to improve housing, infrastructure, water supply a</w:t>
      </w:r>
      <w:r>
        <w:rPr>
          <w:rFonts w:ascii="Times New Roman" w:eastAsia="Calibri" w:hAnsi="Times New Roman" w:cs="Times New Roman"/>
          <w:noProof/>
          <w:color w:val="000000" w:themeColor="text1"/>
          <w:sz w:val="24"/>
          <w:szCs w:val="24"/>
          <w:lang w:eastAsia="en-US"/>
        </w:rPr>
        <w:t>nd sanitation), about 30% of beneficiaries of the projects put in place in 2019 were for Roma and Egyptian families, while concerning the rent subsidy and lump sum subsidy programmes, 19% of them addressed members of the Roma and Egyptian communities. Anti</w:t>
      </w:r>
      <w:r>
        <w:rPr>
          <w:rFonts w:ascii="Times New Roman" w:eastAsia="Calibri" w:hAnsi="Times New Roman" w:cs="Times New Roman"/>
          <w:noProof/>
          <w:color w:val="000000" w:themeColor="text1"/>
          <w:sz w:val="24"/>
          <w:szCs w:val="24"/>
          <w:lang w:eastAsia="en-US"/>
        </w:rPr>
        <w:t>-gypsyism and hate speech remain issues that should be systematically addressed in Albania within the wider society, equality bodies and government structures and systems. The Declaration of Western Balkans Partners on Roma Integration within the EU Enlarg</w:t>
      </w:r>
      <w:r>
        <w:rPr>
          <w:rFonts w:ascii="Times New Roman" w:eastAsia="Calibri" w:hAnsi="Times New Roman" w:cs="Times New Roman"/>
          <w:noProof/>
          <w:color w:val="000000" w:themeColor="text1"/>
          <w:sz w:val="24"/>
          <w:szCs w:val="24"/>
          <w:lang w:eastAsia="en-US"/>
        </w:rPr>
        <w:t>ement Process (Poznan Declaration) was endorsed by the government. The mapping of Roma houses has started; preparations have also started for a Ministerial meeting in Tirana on achievements and deliverables for the next Prime Ministers Summit in October 20</w:t>
      </w:r>
      <w:r>
        <w:rPr>
          <w:rFonts w:ascii="Times New Roman" w:eastAsia="Calibri" w:hAnsi="Times New Roman" w:cs="Times New Roman"/>
          <w:noProof/>
          <w:color w:val="000000" w:themeColor="text1"/>
          <w:sz w:val="24"/>
          <w:szCs w:val="24"/>
          <w:lang w:eastAsia="en-US"/>
        </w:rPr>
        <w:t>20. The Roma Seminar conclusions are yet to be implemented.</w:t>
      </w:r>
    </w:p>
    <w:p w:rsidR="00EE1719" w:rsidRDefault="000E39BA">
      <w:pPr>
        <w:spacing w:after="120" w:line="240" w:lineRule="auto"/>
        <w:jc w:val="both"/>
        <w:rPr>
          <w:rFonts w:ascii="Times New Roman" w:eastAsia="Times New Roman" w:hAnsi="Times New Roman" w:cs="Times New Roman"/>
          <w:noProof/>
          <w:color w:val="000000" w:themeColor="text1"/>
          <w:sz w:val="24"/>
          <w:szCs w:val="24"/>
          <w:lang w:eastAsia="ar-SA"/>
        </w:rPr>
      </w:pPr>
      <w:r>
        <w:rPr>
          <w:rFonts w:ascii="Times New Roman" w:eastAsia="Times New Roman" w:hAnsi="Times New Roman" w:cs="Times New Roman"/>
          <w:noProof/>
          <w:color w:val="000000" w:themeColor="text1"/>
          <w:sz w:val="24"/>
          <w:szCs w:val="24"/>
          <w:lang w:eastAsia="ar-SA"/>
        </w:rPr>
        <w:t xml:space="preserve">On </w:t>
      </w:r>
      <w:r>
        <w:rPr>
          <w:rFonts w:ascii="Times New Roman" w:eastAsia="Times New Roman" w:hAnsi="Times New Roman" w:cs="Times New Roman"/>
          <w:b/>
          <w:noProof/>
          <w:color w:val="000000" w:themeColor="text1"/>
          <w:sz w:val="24"/>
          <w:szCs w:val="24"/>
          <w:lang w:eastAsia="ar-SA"/>
        </w:rPr>
        <w:t>citizenship rights</w:t>
      </w:r>
      <w:r>
        <w:rPr>
          <w:rFonts w:ascii="Times New Roman" w:eastAsia="Times New Roman" w:hAnsi="Times New Roman" w:cs="Times New Roman"/>
          <w:noProof/>
          <w:color w:val="000000" w:themeColor="text1"/>
          <w:sz w:val="24"/>
          <w:szCs w:val="24"/>
          <w:lang w:eastAsia="ar-SA"/>
        </w:rPr>
        <w:t>, in July 2020, the Parliament adopted a new Law on Citizenship, which includes provisions that may lead to the establishment of an investors’ citizenship scheme. Such schemes</w:t>
      </w:r>
      <w:r>
        <w:rPr>
          <w:rFonts w:ascii="Times New Roman" w:eastAsia="Times New Roman" w:hAnsi="Times New Roman" w:cs="Times New Roman"/>
          <w:noProof/>
          <w:color w:val="000000" w:themeColor="text1"/>
          <w:sz w:val="24"/>
          <w:szCs w:val="24"/>
          <w:lang w:eastAsia="ar-SA"/>
        </w:rPr>
        <w:t xml:space="preserve"> pose risks as regards security, money laundering, tax evasion, terrorist financing, corruption and infiltration by organised crime. As a candidate country, Albania should refrain from any measure that could jeopardise attainment of the EU's objectives, wh</w:t>
      </w:r>
      <w:r>
        <w:rPr>
          <w:rFonts w:ascii="Times New Roman" w:eastAsia="Times New Roman" w:hAnsi="Times New Roman" w:cs="Times New Roman"/>
          <w:noProof/>
          <w:color w:val="000000" w:themeColor="text1"/>
          <w:sz w:val="24"/>
          <w:szCs w:val="24"/>
          <w:lang w:eastAsia="ar-SA"/>
        </w:rPr>
        <w:t>en using its prerogatives to award nationality.</w:t>
      </w:r>
      <w:bookmarkStart w:id="35" w:name="_Toc510807822"/>
      <w:bookmarkStart w:id="36" w:name="_Toc530733564"/>
      <w:bookmarkEnd w:id="34"/>
    </w:p>
    <w:p w:rsidR="00EE1719" w:rsidRDefault="00EE1719">
      <w:pPr>
        <w:spacing w:after="120" w:line="240" w:lineRule="auto"/>
        <w:jc w:val="both"/>
        <w:rPr>
          <w:rFonts w:ascii="Times New Roman" w:eastAsia="Times New Roman" w:hAnsi="Times New Roman" w:cs="Times New Roman"/>
          <w:noProof/>
          <w:color w:val="000000" w:themeColor="text1"/>
          <w:sz w:val="24"/>
          <w:szCs w:val="24"/>
          <w:lang w:eastAsia="ar-SA"/>
        </w:rPr>
      </w:pPr>
    </w:p>
    <w:p w:rsidR="00EE1719" w:rsidRDefault="000E39BA">
      <w:pPr>
        <w:pStyle w:val="Heading2"/>
        <w:rPr>
          <w:rFonts w:eastAsiaTheme="majorEastAsia"/>
        </w:rPr>
      </w:pPr>
      <w:bookmarkStart w:id="37" w:name="_Toc52745508"/>
      <w:r>
        <w:rPr>
          <w:rFonts w:eastAsiaTheme="majorEastAsia"/>
        </w:rPr>
        <w:t>2.2.2.</w:t>
      </w:r>
      <w:r>
        <w:rPr>
          <w:rFonts w:eastAsiaTheme="majorEastAsia"/>
        </w:rPr>
        <w:tab/>
        <w:t>Chapter 24: Justice, freedom and security</w:t>
      </w:r>
      <w:bookmarkEnd w:id="37"/>
    </w:p>
    <w:p w:rsidR="00EE1719" w:rsidRDefault="000E39BA">
      <w:pPr>
        <w:widowControl w:val="0"/>
        <w:spacing w:after="120" w:line="240" w:lineRule="auto"/>
        <w:jc w:val="both"/>
        <w:rPr>
          <w:rFonts w:ascii="Times New Roman" w:eastAsia="Calibri" w:hAnsi="Times New Roman" w:cs="Times New Roman"/>
          <w:i/>
          <w:iCs/>
          <w:noProof/>
          <w:color w:val="000000" w:themeColor="text1"/>
          <w:sz w:val="24"/>
          <w:szCs w:val="24"/>
          <w:lang w:eastAsia="en-US"/>
        </w:rPr>
      </w:pPr>
      <w:r>
        <w:rPr>
          <w:rFonts w:ascii="Times New Roman" w:eastAsia="Calibri" w:hAnsi="Times New Roman" w:cs="Times New Roman"/>
          <w:i/>
          <w:iCs/>
          <w:noProof/>
          <w:color w:val="000000" w:themeColor="text1"/>
          <w:sz w:val="24"/>
          <w:szCs w:val="24"/>
          <w:lang w:eastAsia="en-US"/>
        </w:rPr>
        <w:t xml:space="preserve">The </w:t>
      </w:r>
      <w:r>
        <w:rPr>
          <w:rFonts w:ascii="Times New Roman" w:eastAsia="Calibri" w:hAnsi="Times New Roman" w:cs="Times New Roman"/>
          <w:i/>
          <w:iCs/>
          <w:noProof/>
          <w:color w:val="000000" w:themeColor="text1"/>
          <w:sz w:val="24"/>
          <w:szCs w:val="24"/>
          <w:lang w:eastAsia="fr-FR" w:bidi="fr-FR"/>
        </w:rPr>
        <w:t xml:space="preserve">EU </w:t>
      </w:r>
      <w:r>
        <w:rPr>
          <w:rFonts w:ascii="Times New Roman" w:eastAsia="Calibri" w:hAnsi="Times New Roman" w:cs="Times New Roman"/>
          <w:i/>
          <w:iCs/>
          <w:noProof/>
          <w:color w:val="000000" w:themeColor="text1"/>
          <w:sz w:val="24"/>
          <w:szCs w:val="24"/>
          <w:lang w:eastAsia="en-US"/>
        </w:rPr>
        <w:t xml:space="preserve">has common rules for border control, visas, residence and work permits, external migration and asylum. Schengen cooperation entails lifting border controls inside the </w:t>
      </w:r>
      <w:r>
        <w:rPr>
          <w:rFonts w:ascii="Times New Roman" w:eastAsia="Calibri" w:hAnsi="Times New Roman" w:cs="Times New Roman"/>
          <w:i/>
          <w:iCs/>
          <w:noProof/>
          <w:color w:val="000000" w:themeColor="text1"/>
          <w:sz w:val="24"/>
          <w:szCs w:val="24"/>
          <w:lang w:eastAsia="fr-FR" w:bidi="fr-FR"/>
        </w:rPr>
        <w:t>EU. EU Member States also cooperate with Albania in the fight against organised crime and</w:t>
      </w:r>
      <w:r>
        <w:rPr>
          <w:rFonts w:ascii="Times New Roman" w:eastAsia="Calibri" w:hAnsi="Times New Roman" w:cs="Times New Roman"/>
          <w:i/>
          <w:iCs/>
          <w:noProof/>
          <w:color w:val="000000" w:themeColor="text1"/>
          <w:sz w:val="24"/>
          <w:szCs w:val="24"/>
          <w:lang w:eastAsia="fr-FR" w:bidi="fr-FR"/>
        </w:rPr>
        <w:t xml:space="preserve"> terrorism, and in judicial, police and custom matters and are supported by the EU Justice and Home Affairs Agencies.</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ind w:right="74"/>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Albania has </w:t>
      </w:r>
      <w:r>
        <w:rPr>
          <w:rFonts w:ascii="Times New Roman" w:eastAsia="Times New Roman" w:hAnsi="Times New Roman" w:cs="Times New Roman"/>
          <w:b/>
          <w:noProof/>
          <w:color w:val="000000" w:themeColor="text1"/>
          <w:sz w:val="24"/>
          <w:szCs w:val="24"/>
        </w:rPr>
        <w:t>some level of preparation</w:t>
      </w:r>
      <w:r>
        <w:rPr>
          <w:rFonts w:ascii="Times New Roman" w:eastAsia="Times New Roman" w:hAnsi="Times New Roman" w:cs="Times New Roman"/>
          <w:noProof/>
          <w:color w:val="000000" w:themeColor="text1"/>
          <w:sz w:val="24"/>
          <w:szCs w:val="24"/>
        </w:rPr>
        <w:t>/is</w:t>
      </w:r>
      <w:r>
        <w:rPr>
          <w:rFonts w:ascii="Times New Roman" w:eastAsia="Times New Roman" w:hAnsi="Times New Roman" w:cs="Times New Roman"/>
          <w:b/>
          <w:noProof/>
          <w:color w:val="000000" w:themeColor="text1"/>
          <w:sz w:val="24"/>
          <w:szCs w:val="24"/>
        </w:rPr>
        <w:t xml:space="preserve"> moderately prepared</w:t>
      </w:r>
      <w:r>
        <w:rPr>
          <w:rFonts w:ascii="Times New Roman" w:eastAsia="Times New Roman" w:hAnsi="Times New Roman" w:cs="Times New Roman"/>
          <w:noProof/>
          <w:color w:val="000000" w:themeColor="text1"/>
          <w:sz w:val="24"/>
          <w:szCs w:val="24"/>
        </w:rPr>
        <w:t xml:space="preserve"> to implement the EU </w:t>
      </w:r>
      <w:r>
        <w:rPr>
          <w:rFonts w:ascii="Times New Roman" w:eastAsia="Times New Roman" w:hAnsi="Times New Roman" w:cs="Times New Roman"/>
          <w:i/>
          <w:noProof/>
          <w:color w:val="000000" w:themeColor="text1"/>
          <w:sz w:val="24"/>
          <w:szCs w:val="24"/>
        </w:rPr>
        <w:t>acquis</w:t>
      </w:r>
      <w:r>
        <w:rPr>
          <w:rFonts w:ascii="Times New Roman" w:eastAsia="Times New Roman" w:hAnsi="Times New Roman" w:cs="Times New Roman"/>
          <w:noProof/>
          <w:color w:val="000000" w:themeColor="text1"/>
          <w:sz w:val="24"/>
          <w:szCs w:val="24"/>
        </w:rPr>
        <w:t xml:space="preserve"> in this area. </w:t>
      </w:r>
      <w:r>
        <w:rPr>
          <w:rFonts w:ascii="Times New Roman" w:eastAsia="Times New Roman" w:hAnsi="Times New Roman" w:cs="Times New Roman"/>
          <w:b/>
          <w:noProof/>
          <w:color w:val="000000" w:themeColor="text1"/>
          <w:sz w:val="24"/>
          <w:szCs w:val="24"/>
        </w:rPr>
        <w:t>Some progress</w:t>
      </w:r>
      <w:r>
        <w:rPr>
          <w:rFonts w:ascii="Times New Roman" w:eastAsia="Times New Roman" w:hAnsi="Times New Roman" w:cs="Times New Roman"/>
          <w:noProof/>
          <w:color w:val="000000" w:themeColor="text1"/>
          <w:sz w:val="24"/>
          <w:szCs w:val="24"/>
        </w:rPr>
        <w:t xml:space="preserve"> was made by improving the institutional capacity on border management, asylum, countering terrorism and violent extremism. Albania is the only country in the region to have established working agreements with all EU justice and home affairs agencies. Rece</w:t>
      </w:r>
      <w:r>
        <w:rPr>
          <w:rFonts w:ascii="Times New Roman" w:eastAsia="Times New Roman" w:hAnsi="Times New Roman" w:cs="Times New Roman"/>
          <w:noProof/>
          <w:color w:val="000000" w:themeColor="text1"/>
          <w:sz w:val="24"/>
          <w:szCs w:val="24"/>
        </w:rPr>
        <w:t>ption capacity to deal with mixed migration flows was further improved and remained sufficient to accommodate the increased number of arrivals. Efforts are needed to strengthen financial investigations and the fight against money laundering. The issue of u</w:t>
      </w:r>
      <w:r>
        <w:rPr>
          <w:rFonts w:ascii="Times New Roman" w:eastAsia="Times New Roman" w:hAnsi="Times New Roman" w:cs="Times New Roman"/>
          <w:noProof/>
          <w:color w:val="000000" w:themeColor="text1"/>
          <w:sz w:val="24"/>
          <w:szCs w:val="24"/>
        </w:rPr>
        <w:t>nfounded asylum applications lodged by Albanian nationals in EU Member States and Schengen-associated countries requires continuous and sustained efforts. Albania should keep addressing the phenomenon of unaccompanied minors. Financial investigations are n</w:t>
      </w:r>
      <w:r>
        <w:rPr>
          <w:rFonts w:ascii="Times New Roman" w:eastAsia="Times New Roman" w:hAnsi="Times New Roman" w:cs="Times New Roman"/>
          <w:noProof/>
          <w:color w:val="000000" w:themeColor="text1"/>
          <w:sz w:val="24"/>
          <w:szCs w:val="24"/>
        </w:rPr>
        <w:t>ot yet systematically conducted in parallel with criminal proceedings.</w:t>
      </w:r>
      <w:r>
        <w:rPr>
          <w:rFonts w:ascii="Times New Roman" w:eastAsia="Times New Roman" w:hAnsi="Times New Roman" w:cs="Times New Roman"/>
          <w:bCs/>
          <w:noProof/>
          <w:color w:val="000000" w:themeColor="text1"/>
          <w:sz w:val="24"/>
          <w:szCs w:val="24"/>
        </w:rPr>
        <w:t xml:space="preserve"> </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ind w:right="74"/>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In the coming year, Albania should in particular:</w:t>
      </w:r>
    </w:p>
    <w:p w:rsidR="00EE1719" w:rsidRDefault="000E39BA">
      <w:pPr>
        <w:numPr>
          <w:ilvl w:val="0"/>
          <w:numId w:val="33"/>
        </w:numPr>
        <w:pBdr>
          <w:top w:val="single" w:sz="4" w:space="1" w:color="auto"/>
          <w:left w:val="single" w:sz="4" w:space="4" w:color="auto"/>
          <w:bottom w:val="single" w:sz="4" w:space="1" w:color="auto"/>
          <w:right w:val="single" w:sz="4" w:space="4" w:color="auto"/>
        </w:pBdr>
        <w:shd w:val="clear" w:color="auto" w:fill="D9D9D9"/>
        <w:spacing w:after="120" w:line="240" w:lineRule="auto"/>
        <w:ind w:right="74"/>
        <w:jc w:val="both"/>
        <w:rPr>
          <w:rFonts w:ascii="Times New Roman" w:eastAsia="Times New Roman" w:hAnsi="Times New Roman" w:cs="Times New Roman"/>
          <w:iCs/>
          <w:noProof/>
          <w:color w:val="000000" w:themeColor="text1"/>
          <w:sz w:val="24"/>
          <w:szCs w:val="24"/>
        </w:rPr>
      </w:pPr>
      <w:r>
        <w:rPr>
          <w:rFonts w:ascii="Times New Roman" w:eastAsia="Times New Roman" w:hAnsi="Times New Roman" w:cs="Times New Roman"/>
          <w:iCs/>
          <w:noProof/>
          <w:color w:val="000000" w:themeColor="text1"/>
          <w:sz w:val="24"/>
          <w:szCs w:val="24"/>
        </w:rPr>
        <w:t>continue to develop the systematic use of parallel financial investigations when dealing with organised crime, illicit trafficking, te</w:t>
      </w:r>
      <w:r>
        <w:rPr>
          <w:rFonts w:ascii="Times New Roman" w:eastAsia="Times New Roman" w:hAnsi="Times New Roman" w:cs="Times New Roman"/>
          <w:iCs/>
          <w:noProof/>
          <w:color w:val="000000" w:themeColor="text1"/>
          <w:sz w:val="24"/>
          <w:szCs w:val="24"/>
        </w:rPr>
        <w:t xml:space="preserve">rrorism, and money laundering; </w:t>
      </w:r>
    </w:p>
    <w:p w:rsidR="00EE1719" w:rsidRDefault="000E39BA">
      <w:pPr>
        <w:numPr>
          <w:ilvl w:val="0"/>
          <w:numId w:val="33"/>
        </w:numPr>
        <w:pBdr>
          <w:top w:val="single" w:sz="4" w:space="1" w:color="auto"/>
          <w:left w:val="single" w:sz="4" w:space="4" w:color="auto"/>
          <w:bottom w:val="single" w:sz="4" w:space="1" w:color="auto"/>
          <w:right w:val="single" w:sz="4" w:space="4" w:color="auto"/>
        </w:pBdr>
        <w:shd w:val="clear" w:color="auto" w:fill="D9D9D9"/>
        <w:spacing w:after="120" w:line="240" w:lineRule="auto"/>
        <w:ind w:right="74"/>
        <w:jc w:val="both"/>
        <w:rPr>
          <w:rFonts w:ascii="Times New Roman" w:eastAsia="Times New Roman" w:hAnsi="Times New Roman" w:cs="Times New Roman"/>
          <w:noProof/>
          <w:color w:val="000000" w:themeColor="text1"/>
          <w:sz w:val="24"/>
          <w:szCs w:val="24"/>
          <w:lang w:eastAsia="zh-CN"/>
        </w:rPr>
      </w:pPr>
      <w:r>
        <w:rPr>
          <w:rFonts w:ascii="Times New Roman" w:eastAsia="Times New Roman" w:hAnsi="Times New Roman" w:cs="Times New Roman"/>
          <w:noProof/>
          <w:color w:val="000000" w:themeColor="text1"/>
          <w:sz w:val="24"/>
          <w:szCs w:val="24"/>
          <w:lang w:eastAsia="zh-CN"/>
        </w:rPr>
        <w:t xml:space="preserve">keep implementing swiftly the action plan agreed with the Financial Action Task Force on preventing money </w:t>
      </w:r>
      <w:r>
        <w:rPr>
          <w:rFonts w:ascii="Times New Roman" w:eastAsia="Times New Roman" w:hAnsi="Times New Roman" w:cs="Times New Roman"/>
          <w:noProof/>
          <w:color w:val="000000" w:themeColor="text1"/>
          <w:sz w:val="24"/>
          <w:szCs w:val="24"/>
        </w:rPr>
        <w:t>laundering</w:t>
      </w:r>
      <w:r>
        <w:rPr>
          <w:rFonts w:ascii="Times New Roman" w:eastAsia="Times New Roman" w:hAnsi="Times New Roman" w:cs="Times New Roman"/>
          <w:noProof/>
          <w:color w:val="000000" w:themeColor="text1"/>
          <w:sz w:val="24"/>
          <w:szCs w:val="24"/>
          <w:lang w:eastAsia="zh-CN"/>
        </w:rPr>
        <w:t xml:space="preserve"> and countering terrorism financing;</w:t>
      </w:r>
    </w:p>
    <w:p w:rsidR="00EE1719" w:rsidRDefault="000E39BA">
      <w:pPr>
        <w:numPr>
          <w:ilvl w:val="0"/>
          <w:numId w:val="33"/>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right="74"/>
        <w:jc w:val="both"/>
        <w:rPr>
          <w:rFonts w:ascii="Times New Roman" w:eastAsia="Calibri" w:hAnsi="Times New Roman" w:cs="Times New Roman"/>
          <w:b/>
          <w:noProof/>
          <w:color w:val="000000" w:themeColor="text1"/>
          <w:sz w:val="24"/>
          <w:szCs w:val="24"/>
          <w:lang w:eastAsia="en-US"/>
        </w:rPr>
      </w:pPr>
      <w:r>
        <w:rPr>
          <w:rFonts w:ascii="Times New Roman" w:eastAsia="Times New Roman" w:hAnsi="Times New Roman" w:cs="Times New Roman"/>
          <w:noProof/>
          <w:color w:val="000000" w:themeColor="text1"/>
          <w:sz w:val="24"/>
          <w:szCs w:val="24"/>
        </w:rPr>
        <w:t xml:space="preserve">further step up measures </w:t>
      </w:r>
      <w:r>
        <w:rPr>
          <w:rFonts w:ascii="Times New Roman" w:eastAsia="Times New Roman" w:hAnsi="Times New Roman" w:cs="Times New Roman"/>
          <w:bCs/>
          <w:noProof/>
          <w:color w:val="000000" w:themeColor="text1"/>
          <w:sz w:val="24"/>
          <w:szCs w:val="24"/>
        </w:rPr>
        <w:t xml:space="preserve">to address effectively the issue of unfounded asylum applications, </w:t>
      </w:r>
      <w:r>
        <w:rPr>
          <w:rFonts w:ascii="Times New Roman" w:eastAsia="Calibri" w:hAnsi="Times New Roman" w:cs="Times New Roman"/>
          <w:noProof/>
          <w:color w:val="000000" w:themeColor="text1"/>
          <w:sz w:val="24"/>
          <w:szCs w:val="24"/>
          <w:lang w:eastAsia="zh-CN"/>
        </w:rPr>
        <w:t xml:space="preserve">including </w:t>
      </w:r>
      <w:r>
        <w:rPr>
          <w:rFonts w:ascii="Times New Roman" w:eastAsia="Times New Roman" w:hAnsi="Times New Roman" w:cs="Times New Roman"/>
          <w:bCs/>
          <w:noProof/>
          <w:color w:val="000000" w:themeColor="text1"/>
          <w:sz w:val="24"/>
          <w:szCs w:val="24"/>
        </w:rPr>
        <w:t xml:space="preserve">through </w:t>
      </w:r>
      <w:r>
        <w:rPr>
          <w:rFonts w:ascii="Times New Roman" w:eastAsia="Times New Roman" w:hAnsi="Times New Roman" w:cs="Times New Roman"/>
          <w:noProof/>
          <w:color w:val="000000" w:themeColor="text1"/>
          <w:sz w:val="24"/>
          <w:szCs w:val="24"/>
        </w:rPr>
        <w:t xml:space="preserve">addressing its </w:t>
      </w:r>
      <w:r>
        <w:rPr>
          <w:rFonts w:ascii="Times New Roman" w:eastAsia="Calibri" w:hAnsi="Times New Roman" w:cs="Times New Roman"/>
          <w:noProof/>
          <w:color w:val="000000" w:themeColor="text1"/>
          <w:sz w:val="24"/>
          <w:szCs w:val="24"/>
          <w:lang w:eastAsia="zh-CN"/>
        </w:rPr>
        <w:t>underlying reasons</w:t>
      </w:r>
      <w:r>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lang w:eastAsia="zh-CN"/>
        </w:rPr>
        <w:t xml:space="preserve">improving border checks </w:t>
      </w:r>
      <w:r>
        <w:rPr>
          <w:rFonts w:ascii="Times New Roman" w:eastAsia="Calibri" w:hAnsi="Times New Roman" w:cs="Times New Roman"/>
          <w:noProof/>
          <w:color w:val="000000" w:themeColor="text1"/>
          <w:sz w:val="24"/>
          <w:szCs w:val="24"/>
          <w:lang w:eastAsia="en-US"/>
        </w:rPr>
        <w:t xml:space="preserve">and </w:t>
      </w:r>
      <w:r>
        <w:rPr>
          <w:rFonts w:ascii="Times New Roman" w:eastAsia="Calibri" w:hAnsi="Times New Roman" w:cs="Times New Roman"/>
          <w:noProof/>
          <w:color w:val="000000" w:themeColor="text1"/>
          <w:sz w:val="24"/>
          <w:szCs w:val="24"/>
          <w:lang w:eastAsia="zh-CN"/>
        </w:rPr>
        <w:t>organising further information campaigns on the rights and obligations of visa-free travel. Relevant coopera</w:t>
      </w:r>
      <w:r>
        <w:rPr>
          <w:rFonts w:ascii="Times New Roman" w:eastAsia="Calibri" w:hAnsi="Times New Roman" w:cs="Times New Roman"/>
          <w:noProof/>
          <w:color w:val="000000" w:themeColor="text1"/>
          <w:sz w:val="24"/>
          <w:szCs w:val="24"/>
          <w:lang w:eastAsia="zh-CN"/>
        </w:rPr>
        <w:t>tion and dialogue with the most affected EU Member States should be continued.</w:t>
      </w:r>
    </w:p>
    <w:p w:rsidR="00EE1719" w:rsidRDefault="000E39BA">
      <w:pPr>
        <w:spacing w:after="120" w:line="240" w:lineRule="auto"/>
        <w:jc w:val="both"/>
        <w:rPr>
          <w:rFonts w:ascii="Times New Roman" w:eastAsia="Times New Roman" w:hAnsi="Times New Roman" w:cs="Times New Roman"/>
          <w:b/>
          <w:noProof/>
          <w:color w:val="000000" w:themeColor="text1"/>
          <w:sz w:val="24"/>
          <w:szCs w:val="24"/>
          <w:lang w:eastAsia="tr-TR"/>
        </w:rPr>
      </w:pPr>
      <w:r>
        <w:rPr>
          <w:rFonts w:ascii="Times New Roman" w:eastAsia="Times New Roman" w:hAnsi="Times New Roman" w:cs="Times New Roman"/>
          <w:b/>
          <w:noProof/>
          <w:color w:val="000000" w:themeColor="text1"/>
          <w:sz w:val="24"/>
          <w:szCs w:val="24"/>
          <w:lang w:eastAsia="tr-TR"/>
        </w:rPr>
        <w:t>Fight against organised crime</w:t>
      </w:r>
    </w:p>
    <w:p w:rsidR="00EE1719" w:rsidRDefault="000E39B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 country has </w:t>
      </w:r>
      <w:r>
        <w:rPr>
          <w:rFonts w:ascii="Times New Roman" w:eastAsia="Times New Roman" w:hAnsi="Times New Roman" w:cs="Times New Roman"/>
          <w:b/>
          <w:noProof/>
          <w:color w:val="000000" w:themeColor="text1"/>
          <w:sz w:val="24"/>
          <w:szCs w:val="24"/>
        </w:rPr>
        <w:t>some level of preparation</w:t>
      </w:r>
      <w:r>
        <w:rPr>
          <w:rFonts w:ascii="Times New Roman" w:eastAsia="Times New Roman" w:hAnsi="Times New Roman" w:cs="Times New Roman"/>
          <w:noProof/>
          <w:color w:val="000000" w:themeColor="text1"/>
          <w:sz w:val="24"/>
          <w:szCs w:val="24"/>
        </w:rPr>
        <w:t xml:space="preserve"> </w:t>
      </w:r>
      <w:r>
        <w:rPr>
          <w:rFonts w:ascii="Times New Roman" w:eastAsia="MS Mincho" w:hAnsi="Times New Roman" w:cs="Times New Roman"/>
          <w:noProof/>
          <w:color w:val="000000" w:themeColor="text1"/>
          <w:sz w:val="24"/>
          <w:szCs w:val="24"/>
        </w:rPr>
        <w:t xml:space="preserve">in implementing the EU </w:t>
      </w:r>
      <w:r>
        <w:rPr>
          <w:rFonts w:ascii="Times New Roman" w:eastAsia="MS Mincho" w:hAnsi="Times New Roman" w:cs="Times New Roman"/>
          <w:i/>
          <w:noProof/>
          <w:color w:val="000000" w:themeColor="text1"/>
          <w:sz w:val="24"/>
          <w:szCs w:val="24"/>
        </w:rPr>
        <w:t>acquis</w:t>
      </w:r>
      <w:r>
        <w:rPr>
          <w:rFonts w:ascii="Times New Roman" w:eastAsia="MS Mincho" w:hAnsi="Times New Roman" w:cs="Times New Roman"/>
          <w:noProof/>
          <w:color w:val="000000" w:themeColor="text1"/>
          <w:sz w:val="24"/>
          <w:szCs w:val="24"/>
        </w:rPr>
        <w:t xml:space="preserve"> in this area</w:t>
      </w:r>
      <w:r>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b/>
          <w:noProof/>
          <w:color w:val="000000" w:themeColor="text1"/>
          <w:sz w:val="24"/>
          <w:szCs w:val="24"/>
        </w:rPr>
        <w:t xml:space="preserve">Good progress </w:t>
      </w:r>
      <w:r>
        <w:rPr>
          <w:rFonts w:ascii="Times New Roman" w:eastAsia="Times New Roman" w:hAnsi="Times New Roman" w:cs="Times New Roman"/>
          <w:noProof/>
          <w:color w:val="000000" w:themeColor="text1"/>
          <w:sz w:val="24"/>
          <w:szCs w:val="24"/>
        </w:rPr>
        <w:t xml:space="preserve">was made in meeting last year’s recommendations. Further tangible results were achieved in the fight against organised crime, including through cooperation with EU Members States, and through the action plan to address the FATF recommendations, </w:t>
      </w:r>
      <w:r>
        <w:rPr>
          <w:rFonts w:ascii="Times New Roman" w:eastAsia="Times New Roman" w:hAnsi="Times New Roman" w:cs="Times New Roman"/>
          <w:i/>
          <w:noProof/>
          <w:color w:val="000000" w:themeColor="text1"/>
          <w:sz w:val="24"/>
          <w:szCs w:val="24"/>
        </w:rPr>
        <w:t>thus meetin</w:t>
      </w:r>
      <w:r>
        <w:rPr>
          <w:rFonts w:ascii="Times New Roman" w:eastAsia="Times New Roman" w:hAnsi="Times New Roman" w:cs="Times New Roman"/>
          <w:i/>
          <w:noProof/>
          <w:color w:val="000000" w:themeColor="text1"/>
          <w:sz w:val="24"/>
          <w:szCs w:val="24"/>
        </w:rPr>
        <w:t>g the condition for the first IGC</w:t>
      </w:r>
      <w:r>
        <w:rPr>
          <w:rFonts w:ascii="Times New Roman" w:eastAsia="Calibri" w:hAnsi="Times New Roman" w:cs="Times New Roman"/>
          <w:noProof/>
          <w:color w:val="000000" w:themeColor="text1"/>
          <w:sz w:val="24"/>
          <w:szCs w:val="24"/>
          <w:lang w:eastAsia="en-US"/>
        </w:rPr>
        <w:t xml:space="preserve">. Police operations to dismantle criminal organisations have further intensified. Albania has continued to show strong commitment to counter the production and trafficking of drugs. </w:t>
      </w:r>
      <w:r>
        <w:rPr>
          <w:rFonts w:ascii="Times New Roman" w:eastAsia="Times New Roman" w:hAnsi="Times New Roman" w:cs="Times New Roman"/>
          <w:noProof/>
          <w:color w:val="000000" w:themeColor="text1"/>
          <w:sz w:val="24"/>
          <w:szCs w:val="24"/>
        </w:rPr>
        <w:t>Albania allowed airborne monitoring by an</w:t>
      </w:r>
      <w:r>
        <w:rPr>
          <w:rFonts w:ascii="Times New Roman" w:eastAsia="Times New Roman" w:hAnsi="Times New Roman" w:cs="Times New Roman"/>
          <w:noProof/>
          <w:color w:val="000000" w:themeColor="text1"/>
          <w:sz w:val="24"/>
          <w:szCs w:val="24"/>
        </w:rPr>
        <w:t xml:space="preserve"> EU Member State (aerial surveys by the Italian </w:t>
      </w:r>
      <w:r>
        <w:rPr>
          <w:rFonts w:ascii="Times New Roman" w:eastAsia="Calibri" w:hAnsi="Times New Roman" w:cs="Times New Roman"/>
          <w:noProof/>
          <w:color w:val="000000" w:themeColor="text1"/>
          <w:sz w:val="24"/>
          <w:szCs w:val="24"/>
        </w:rPr>
        <w:t>Guardia</w:t>
      </w:r>
      <w:r>
        <w:rPr>
          <w:rFonts w:ascii="Times New Roman" w:eastAsia="Times New Roman" w:hAnsi="Times New Roman" w:cs="Times New Roman"/>
          <w:i/>
          <w:noProof/>
          <w:color w:val="000000" w:themeColor="text1"/>
          <w:sz w:val="24"/>
          <w:szCs w:val="24"/>
        </w:rPr>
        <w:t xml:space="preserve"> di Finanza</w:t>
      </w:r>
      <w:r>
        <w:rPr>
          <w:rFonts w:ascii="Times New Roman" w:eastAsia="Times New Roman" w:hAnsi="Times New Roman" w:cs="Times New Roman"/>
          <w:noProof/>
          <w:color w:val="000000" w:themeColor="text1"/>
          <w:sz w:val="24"/>
          <w:szCs w:val="24"/>
        </w:rPr>
        <w:t xml:space="preserve">, co-financed by the EU). </w:t>
      </w:r>
      <w:r>
        <w:rPr>
          <w:rFonts w:ascii="Times New Roman" w:eastAsia="Calibri" w:hAnsi="Times New Roman" w:cs="Times New Roman"/>
          <w:noProof/>
          <w:color w:val="000000" w:themeColor="text1"/>
          <w:sz w:val="24"/>
          <w:szCs w:val="24"/>
          <w:lang w:eastAsia="en-US"/>
        </w:rPr>
        <w:t>Police cooperation with EU Member States and Europol further intensified, leading to a number of successful large-scale law enforcement operations and the arrest of</w:t>
      </w:r>
      <w:r>
        <w:rPr>
          <w:rFonts w:ascii="Times New Roman" w:eastAsia="Calibri" w:hAnsi="Times New Roman" w:cs="Times New Roman"/>
          <w:noProof/>
          <w:color w:val="000000" w:themeColor="text1"/>
          <w:sz w:val="24"/>
          <w:szCs w:val="24"/>
          <w:lang w:eastAsia="en-US"/>
        </w:rPr>
        <w:t xml:space="preserve"> organised criminal group leaders. </w:t>
      </w:r>
      <w:r>
        <w:rPr>
          <w:rFonts w:ascii="Times New Roman" w:eastAsia="Calibri" w:hAnsi="Times New Roman" w:cs="Times New Roman"/>
          <w:noProof/>
          <w:color w:val="000000" w:themeColor="text1"/>
          <w:sz w:val="24"/>
          <w:szCs w:val="24"/>
        </w:rPr>
        <w:t xml:space="preserve">Cooperation between police and prosecutors further intensified. </w:t>
      </w:r>
      <w:r>
        <w:rPr>
          <w:rFonts w:ascii="Times New Roman" w:eastAsia="Times New Roman" w:hAnsi="Times New Roman" w:cs="Times New Roman"/>
          <w:noProof/>
          <w:color w:val="000000" w:themeColor="text1"/>
          <w:sz w:val="24"/>
          <w:szCs w:val="24"/>
        </w:rPr>
        <w:t>The Special Prosecution's Office was established and provided with a set of important investigative tools. Efforts need to continue to ensure increased prose</w:t>
      </w:r>
      <w:r>
        <w:rPr>
          <w:rFonts w:ascii="Times New Roman" w:eastAsia="Times New Roman" w:hAnsi="Times New Roman" w:cs="Times New Roman"/>
          <w:noProof/>
          <w:color w:val="000000" w:themeColor="text1"/>
          <w:sz w:val="24"/>
          <w:szCs w:val="24"/>
        </w:rPr>
        <w:t>cutions and final convictions. More efforts are needed to tackle money laundering and confiscate assets stemming from crime and other unjustified wealth.</w:t>
      </w:r>
    </w:p>
    <w:p w:rsidR="00EE1719" w:rsidRDefault="000E39B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In the coming year, Albania should in particular:</w:t>
      </w:r>
    </w:p>
    <w:p w:rsidR="00EE1719" w:rsidRDefault="000E39BA">
      <w:pPr>
        <w:numPr>
          <w:ilvl w:val="0"/>
          <w:numId w:val="9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keep strengthening the fight against organised crime</w:t>
      </w:r>
      <w:r>
        <w:rPr>
          <w:rFonts w:ascii="Times New Roman" w:eastAsia="Calibri" w:hAnsi="Times New Roman" w:cs="Times New Roman"/>
          <w:noProof/>
          <w:color w:val="000000" w:themeColor="text1"/>
          <w:sz w:val="24"/>
          <w:szCs w:val="24"/>
        </w:rPr>
        <w:t>, including through cooperation with EU Member States, as well as Europol</w:t>
      </w:r>
      <w:r>
        <w:rPr>
          <w:rFonts w:ascii="Times New Roman" w:eastAsia="Times New Roman" w:hAnsi="Times New Roman" w:cs="Times New Roman"/>
          <w:noProof/>
          <w:color w:val="000000" w:themeColor="text1"/>
          <w:sz w:val="24"/>
          <w:szCs w:val="24"/>
        </w:rPr>
        <w:t xml:space="preserve">; </w:t>
      </w:r>
    </w:p>
    <w:p w:rsidR="00EE1719" w:rsidRDefault="000E39BA">
      <w:pPr>
        <w:numPr>
          <w:ilvl w:val="0"/>
          <w:numId w:val="9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adopt a new strategy and action plan on drugs, fill-in the legislative gap on drug precursors, and intensify the fight against drug trafficking;</w:t>
      </w:r>
    </w:p>
    <w:p w:rsidR="00EE1719" w:rsidRDefault="000E39BA">
      <w:pPr>
        <w:numPr>
          <w:ilvl w:val="0"/>
          <w:numId w:val="9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adopt a cybercrime strategy and est</w:t>
      </w:r>
      <w:r>
        <w:rPr>
          <w:rFonts w:ascii="Times New Roman" w:eastAsia="Times New Roman" w:hAnsi="Times New Roman" w:cs="Times New Roman"/>
          <w:noProof/>
          <w:color w:val="000000" w:themeColor="text1"/>
          <w:sz w:val="24"/>
          <w:szCs w:val="24"/>
        </w:rPr>
        <w:t>ablish a more effective law-enforcement response focusing on the detection, traceability and prosecution of cyber criminals and address the growing  phenomenon of pedo-pornography online</w:t>
      </w:r>
      <w:r>
        <w:rPr>
          <w:rFonts w:ascii="Times New Roman" w:eastAsia="Calibri" w:hAnsi="Times New Roman" w:cs="Times New Roman"/>
          <w:noProof/>
          <w:color w:val="000000" w:themeColor="text1"/>
          <w:sz w:val="24"/>
          <w:szCs w:val="24"/>
        </w:rPr>
        <w:t>.</w:t>
      </w:r>
    </w:p>
    <w:p w:rsidR="00EE1719" w:rsidRDefault="000E39BA">
      <w:pPr>
        <w:spacing w:after="120" w:line="240" w:lineRule="auto"/>
        <w:jc w:val="both"/>
        <w:rPr>
          <w:rFonts w:ascii="Times New Roman" w:eastAsia="Times New Roman" w:hAnsi="Times New Roman" w:cs="Times New Roman"/>
          <w:noProof/>
          <w:color w:val="000000" w:themeColor="text1"/>
          <w:sz w:val="24"/>
          <w:szCs w:val="24"/>
          <w:u w:val="single"/>
        </w:rPr>
      </w:pPr>
      <w:r>
        <w:rPr>
          <w:rFonts w:ascii="Times New Roman" w:eastAsia="Times New Roman" w:hAnsi="Times New Roman" w:cs="Times New Roman"/>
          <w:noProof/>
          <w:color w:val="000000" w:themeColor="text1"/>
          <w:sz w:val="24"/>
          <w:szCs w:val="24"/>
          <w:u w:val="single"/>
        </w:rPr>
        <w:t>Institutional set-up and legal alignment</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Calibri" w:hAnsi="Times New Roman" w:cs="Times New Roman"/>
          <w:iCs/>
          <w:noProof/>
          <w:color w:val="000000" w:themeColor="text1"/>
          <w:sz w:val="24"/>
          <w:szCs w:val="24"/>
          <w:lang w:eastAsia="en-US"/>
        </w:rPr>
        <w:t>There are 11</w:t>
      </w:r>
      <w:r>
        <w:rPr>
          <w:rFonts w:ascii="Times New Roman" w:eastAsia="Times New Roman" w:hAnsi="Times New Roman" w:cs="Times New Roman"/>
          <w:noProof/>
          <w:color w:val="000000" w:themeColor="text1"/>
          <w:sz w:val="24"/>
          <w:szCs w:val="24"/>
        </w:rPr>
        <w:t>,</w:t>
      </w:r>
      <w:r>
        <w:rPr>
          <w:rFonts w:ascii="Times New Roman" w:eastAsia="Calibri" w:hAnsi="Times New Roman" w:cs="Times New Roman"/>
          <w:iCs/>
          <w:noProof/>
          <w:color w:val="000000" w:themeColor="text1"/>
          <w:sz w:val="24"/>
          <w:szCs w:val="24"/>
          <w:lang w:eastAsia="en-US"/>
        </w:rPr>
        <w:t xml:space="preserve">058 officers </w:t>
      </w:r>
      <w:r>
        <w:rPr>
          <w:rFonts w:ascii="Times New Roman" w:eastAsia="Calibri" w:hAnsi="Times New Roman" w:cs="Times New Roman"/>
          <w:iCs/>
          <w:noProof/>
          <w:color w:val="000000" w:themeColor="text1"/>
          <w:sz w:val="24"/>
          <w:szCs w:val="24"/>
          <w:lang w:eastAsia="en-US"/>
        </w:rPr>
        <w:t>in the ASP, equivalent to 247 officers per 100,000 inhabitants, compared with an EU average of 326 (Eurostat, 2017). Some 100 additional officers were recruited in 2019. The ASP</w:t>
      </w:r>
      <w:r>
        <w:rPr>
          <w:rFonts w:ascii="Times New Roman" w:eastAsia="Times New Roman" w:hAnsi="Times New Roman" w:cs="Times New Roman"/>
          <w:noProof/>
          <w:color w:val="000000" w:themeColor="text1"/>
          <w:sz w:val="24"/>
          <w:szCs w:val="24"/>
        </w:rPr>
        <w:t xml:space="preserve"> suffers from staff frequent rotation, affecting its operational capacity.</w:t>
      </w:r>
    </w:p>
    <w:p w:rsidR="00EE1719" w:rsidRDefault="000E39BA">
      <w:pPr>
        <w:spacing w:after="120" w:line="240" w:lineRule="auto"/>
        <w:jc w:val="both"/>
        <w:rPr>
          <w:rFonts w:ascii="Times New Roman" w:eastAsia="Times New Roman" w:hAnsi="Times New Roman" w:cs="Times New Roman"/>
          <w:bCs/>
          <w:noProof/>
          <w:color w:val="000000" w:themeColor="text1"/>
          <w:sz w:val="24"/>
          <w:szCs w:val="24"/>
        </w:rPr>
      </w:pPr>
      <w:r>
        <w:rPr>
          <w:rFonts w:ascii="Times New Roman" w:eastAsia="Calibri" w:hAnsi="Times New Roman" w:cs="Times New Roman"/>
          <w:noProof/>
          <w:color w:val="000000" w:themeColor="text1"/>
          <w:sz w:val="24"/>
          <w:szCs w:val="24"/>
          <w:lang w:eastAsia="en-US"/>
        </w:rPr>
        <w:t xml:space="preserve">The </w:t>
      </w:r>
      <w:r>
        <w:rPr>
          <w:rFonts w:ascii="Times New Roman" w:eastAsia="Calibri" w:hAnsi="Times New Roman" w:cs="Times New Roman"/>
          <w:noProof/>
          <w:color w:val="000000" w:themeColor="text1"/>
          <w:sz w:val="24"/>
          <w:szCs w:val="24"/>
          <w:lang w:eastAsia="en-US"/>
        </w:rPr>
        <w:t xml:space="preserve">ASP needs to be reorganised, following the establishment of </w:t>
      </w:r>
      <w:r>
        <w:rPr>
          <w:rFonts w:ascii="Times New Roman" w:eastAsia="Times New Roman" w:hAnsi="Times New Roman" w:cs="Times New Roman"/>
          <w:noProof/>
          <w:color w:val="000000" w:themeColor="text1"/>
          <w:sz w:val="24"/>
          <w:szCs w:val="24"/>
        </w:rPr>
        <w:t>the SPO</w:t>
      </w:r>
      <w:r>
        <w:rPr>
          <w:rFonts w:ascii="Times New Roman" w:eastAsia="Calibri" w:hAnsi="Times New Roman" w:cs="Times New Roman"/>
          <w:noProof/>
          <w:color w:val="000000" w:themeColor="text1"/>
          <w:sz w:val="24"/>
          <w:szCs w:val="24"/>
          <w:lang w:eastAsia="en-US"/>
        </w:rPr>
        <w:t xml:space="preserve"> and the transfer of some of the Serious Crime Prosecution Office’s competences to local prosecution offices. Local judicial police officers need training to investigate new criminal, in pa</w:t>
      </w:r>
      <w:r>
        <w:rPr>
          <w:rFonts w:ascii="Times New Roman" w:eastAsia="Calibri" w:hAnsi="Times New Roman" w:cs="Times New Roman"/>
          <w:noProof/>
          <w:color w:val="000000" w:themeColor="text1"/>
          <w:sz w:val="24"/>
          <w:szCs w:val="24"/>
          <w:lang w:eastAsia="en-US"/>
        </w:rPr>
        <w:t xml:space="preserve">rticular financial and money laundering, offences. The </w:t>
      </w:r>
      <w:r>
        <w:rPr>
          <w:rFonts w:ascii="Times New Roman" w:eastAsia="Calibri" w:hAnsi="Times New Roman" w:cs="Times New Roman"/>
          <w:bCs/>
          <w:noProof/>
          <w:color w:val="000000" w:themeColor="text1"/>
          <w:sz w:val="24"/>
          <w:szCs w:val="24"/>
        </w:rPr>
        <w:t xml:space="preserve">‘power of law’ action plan </w:t>
      </w:r>
      <w:r>
        <w:rPr>
          <w:rFonts w:ascii="Times New Roman" w:eastAsia="Calibri" w:hAnsi="Times New Roman" w:cs="Times New Roman"/>
          <w:noProof/>
          <w:color w:val="000000" w:themeColor="text1"/>
          <w:sz w:val="24"/>
          <w:szCs w:val="24"/>
          <w:lang w:eastAsia="en-US"/>
        </w:rPr>
        <w:t>was operational throughout 2019 and benefited from efficient</w:t>
      </w:r>
      <w:r>
        <w:rPr>
          <w:rFonts w:ascii="Times New Roman" w:eastAsia="Calibri" w:hAnsi="Times New Roman" w:cs="Times New Roman"/>
          <w:bCs/>
          <w:noProof/>
          <w:color w:val="000000" w:themeColor="text1"/>
          <w:sz w:val="24"/>
          <w:szCs w:val="24"/>
        </w:rPr>
        <w:t xml:space="preserve"> cooperation between the ASP and the General Prosecution Office. Law enforcement was more proactive and there was </w:t>
      </w:r>
      <w:r>
        <w:rPr>
          <w:rFonts w:ascii="Times New Roman" w:eastAsia="Calibri" w:hAnsi="Times New Roman" w:cs="Times New Roman"/>
          <w:bCs/>
          <w:noProof/>
          <w:color w:val="000000" w:themeColor="text1"/>
          <w:sz w:val="24"/>
          <w:szCs w:val="24"/>
        </w:rPr>
        <w:t>a greater capacity to conduct parallel financial investigations. The SPO was established in December 2019 and took over organised crime and high-level corruption files from the Serious Crime Prosecution Office. The Chief Special Prosecutor is currently bac</w:t>
      </w:r>
      <w:r>
        <w:rPr>
          <w:rFonts w:ascii="Times New Roman" w:eastAsia="Calibri" w:hAnsi="Times New Roman" w:cs="Times New Roman"/>
          <w:bCs/>
          <w:noProof/>
          <w:color w:val="000000" w:themeColor="text1"/>
          <w:sz w:val="24"/>
          <w:szCs w:val="24"/>
        </w:rPr>
        <w:t xml:space="preserve">ked by twelve special prosecutors and two seconded special prosecutors. The support staff comprises 25 employees on temporary transfer from the Serious Crime Prosecution Office pending the vetting and appointment of permanent support staff. Albania should </w:t>
      </w:r>
      <w:r>
        <w:rPr>
          <w:rFonts w:ascii="Times New Roman" w:eastAsia="Calibri" w:hAnsi="Times New Roman" w:cs="Times New Roman"/>
          <w:bCs/>
          <w:noProof/>
          <w:color w:val="000000" w:themeColor="text1"/>
          <w:sz w:val="24"/>
          <w:szCs w:val="24"/>
        </w:rPr>
        <w:t>provide the relevant institutions with adequate resources and stability in order to ensure continuity in the fight against organised crime.</w:t>
      </w:r>
      <w:r>
        <w:rPr>
          <w:rFonts w:ascii="Times New Roman" w:eastAsia="Times New Roman" w:hAnsi="Times New Roman" w:cs="Times New Roman"/>
          <w:bCs/>
          <w:noProof/>
          <w:color w:val="000000" w:themeColor="text1"/>
          <w:sz w:val="24"/>
          <w:szCs w:val="24"/>
        </w:rPr>
        <w:t xml:space="preserve"> </w:t>
      </w:r>
    </w:p>
    <w:p w:rsidR="00EE1719" w:rsidRDefault="000E39BA">
      <w:pPr>
        <w:spacing w:after="120" w:line="240" w:lineRule="auto"/>
        <w:jc w:val="both"/>
        <w:rPr>
          <w:rFonts w:ascii="Times New Roman" w:eastAsia="Calibri" w:hAnsi="Times New Roman" w:cs="Times New Roman"/>
          <w:bCs/>
          <w:noProof/>
          <w:color w:val="000000" w:themeColor="text1"/>
          <w:sz w:val="24"/>
          <w:szCs w:val="24"/>
        </w:rPr>
      </w:pPr>
      <w:r>
        <w:rPr>
          <w:rFonts w:ascii="Times New Roman" w:eastAsia="Calibri" w:hAnsi="Times New Roman" w:cs="Times New Roman"/>
          <w:bCs/>
          <w:noProof/>
          <w:color w:val="000000" w:themeColor="text1"/>
          <w:sz w:val="24"/>
          <w:szCs w:val="24"/>
        </w:rPr>
        <w:t xml:space="preserve">Following amendment of the Law on re-evaluating (vetting) officers of the ASP, Republican Guard and SIAC at the </w:t>
      </w:r>
      <w:r>
        <w:rPr>
          <w:rFonts w:ascii="Times New Roman" w:eastAsia="Calibri" w:hAnsi="Times New Roman" w:cs="Times New Roman"/>
          <w:bCs/>
          <w:noProof/>
          <w:color w:val="000000" w:themeColor="text1"/>
          <w:sz w:val="24"/>
          <w:szCs w:val="24"/>
        </w:rPr>
        <w:t>Ministry of the Interior, the External Evaluation Commission (EEC) held its first hearing in November 2019. Evaluation is based on personal integrity, professional capacity and verification of officers’ assets. By June 2020, 21 of 300 high ranking official</w:t>
      </w:r>
      <w:r>
        <w:rPr>
          <w:rFonts w:ascii="Times New Roman" w:eastAsia="Calibri" w:hAnsi="Times New Roman" w:cs="Times New Roman"/>
          <w:bCs/>
          <w:noProof/>
          <w:color w:val="000000" w:themeColor="text1"/>
          <w:sz w:val="24"/>
          <w:szCs w:val="24"/>
        </w:rPr>
        <w:t>s had been vetted, of whom 13 had been confirmed in duty. Two had resigned before a hearing took place and five are awaiting an EEC decision. Due to the COVID-19 pandemic, hearings were suspended in March</w:t>
      </w:r>
      <w:r>
        <w:rPr>
          <w:rFonts w:ascii="Times New Roman" w:eastAsia="Calibri" w:hAnsi="Times New Roman" w:cs="Times New Roman"/>
          <w:noProof/>
          <w:color w:val="000000" w:themeColor="text1"/>
          <w:sz w:val="24"/>
          <w:szCs w:val="24"/>
          <w:lang w:eastAsia="en-US"/>
        </w:rPr>
        <w:t xml:space="preserve"> and resumed on 21 May 2020</w:t>
      </w:r>
      <w:r>
        <w:rPr>
          <w:rFonts w:ascii="Times New Roman" w:eastAsia="Calibri" w:hAnsi="Times New Roman" w:cs="Times New Roman"/>
          <w:bCs/>
          <w:noProof/>
          <w:color w:val="000000" w:themeColor="text1"/>
          <w:sz w:val="24"/>
          <w:szCs w:val="24"/>
        </w:rPr>
        <w:t>.</w:t>
      </w:r>
    </w:p>
    <w:p w:rsidR="00EE1719" w:rsidRDefault="000E39BA">
      <w:pPr>
        <w:autoSpaceDE w:val="0"/>
        <w:autoSpaceDN w:val="0"/>
        <w:adjustRightInd w:val="0"/>
        <w:spacing w:after="120" w:line="240" w:lineRule="auto"/>
        <w:jc w:val="both"/>
        <w:rPr>
          <w:rFonts w:ascii="Times New Roman" w:eastAsia="Calibri" w:hAnsi="Times New Roman" w:cs="Times New Roman"/>
          <w:bCs/>
          <w:noProof/>
          <w:color w:val="000000" w:themeColor="text1"/>
          <w:sz w:val="24"/>
          <w:szCs w:val="24"/>
        </w:rPr>
      </w:pPr>
      <w:r>
        <w:rPr>
          <w:rFonts w:ascii="Times New Roman" w:eastAsia="Times New Roman" w:hAnsi="Times New Roman" w:cs="Times New Roman"/>
          <w:noProof/>
          <w:color w:val="000000" w:themeColor="text1"/>
          <w:sz w:val="24"/>
          <w:szCs w:val="24"/>
        </w:rPr>
        <w:t xml:space="preserve">The </w:t>
      </w:r>
      <w:r>
        <w:rPr>
          <w:rFonts w:ascii="Times New Roman" w:eastAsia="Times New Roman" w:hAnsi="Times New Roman" w:cs="Times New Roman"/>
          <w:b/>
          <w:noProof/>
          <w:color w:val="000000" w:themeColor="text1"/>
          <w:sz w:val="24"/>
          <w:szCs w:val="24"/>
        </w:rPr>
        <w:t>legal framework</w:t>
      </w:r>
      <w:r>
        <w:rPr>
          <w:rFonts w:ascii="Times New Roman" w:eastAsia="Times New Roman" w:hAnsi="Times New Roman" w:cs="Times New Roman"/>
          <w:noProof/>
          <w:color w:val="000000" w:themeColor="text1"/>
          <w:sz w:val="24"/>
          <w:szCs w:val="24"/>
        </w:rPr>
        <w:t xml:space="preserve"> was</w:t>
      </w:r>
      <w:r>
        <w:rPr>
          <w:rFonts w:ascii="Times New Roman" w:eastAsia="Times New Roman" w:hAnsi="Times New Roman" w:cs="Times New Roman"/>
          <w:noProof/>
          <w:color w:val="000000" w:themeColor="text1"/>
          <w:sz w:val="24"/>
          <w:szCs w:val="24"/>
        </w:rPr>
        <w:t xml:space="preserve"> further aligned with the EU </w:t>
      </w:r>
      <w:r>
        <w:rPr>
          <w:rFonts w:ascii="Times New Roman" w:eastAsia="Times New Roman" w:hAnsi="Times New Roman" w:cs="Times New Roman"/>
          <w:i/>
          <w:noProof/>
          <w:color w:val="000000" w:themeColor="text1"/>
          <w:sz w:val="24"/>
          <w:szCs w:val="24"/>
        </w:rPr>
        <w:t>acquis.</w:t>
      </w:r>
      <w:r>
        <w:rPr>
          <w:rFonts w:ascii="Times New Roman" w:eastAsia="Times New Roman" w:hAnsi="Times New Roman" w:cs="Times New Roman"/>
          <w:noProof/>
          <w:color w:val="000000" w:themeColor="text1"/>
          <w:sz w:val="24"/>
          <w:szCs w:val="24"/>
        </w:rPr>
        <w:t xml:space="preserve"> In particular, the criminal code was amended to align further with the EU </w:t>
      </w:r>
      <w:r>
        <w:rPr>
          <w:rFonts w:ascii="Times New Roman" w:eastAsia="Times New Roman" w:hAnsi="Times New Roman" w:cs="Times New Roman"/>
          <w:i/>
          <w:noProof/>
          <w:color w:val="000000" w:themeColor="text1"/>
          <w:sz w:val="24"/>
          <w:szCs w:val="24"/>
        </w:rPr>
        <w:t>acquis</w:t>
      </w:r>
      <w:r>
        <w:rPr>
          <w:rFonts w:ascii="Times New Roman" w:eastAsia="Times New Roman" w:hAnsi="Times New Roman" w:cs="Times New Roman"/>
          <w:noProof/>
          <w:color w:val="000000" w:themeColor="text1"/>
          <w:sz w:val="24"/>
          <w:szCs w:val="24"/>
        </w:rPr>
        <w:t xml:space="preserve">, including on environmental crimes. </w:t>
      </w:r>
      <w:r>
        <w:rPr>
          <w:rFonts w:ascii="Times New Roman" w:eastAsia="Calibri" w:hAnsi="Times New Roman" w:cs="Times New Roman"/>
          <w:bCs/>
          <w:noProof/>
          <w:color w:val="000000" w:themeColor="text1"/>
          <w:sz w:val="24"/>
          <w:szCs w:val="24"/>
        </w:rPr>
        <w:t xml:space="preserve">In December 2019, Albania adopted additional measures to prevent trafficking in human beings, notably </w:t>
      </w:r>
      <w:r>
        <w:rPr>
          <w:rFonts w:ascii="Times New Roman" w:eastAsia="Calibri" w:hAnsi="Times New Roman" w:cs="Times New Roman"/>
          <w:bCs/>
          <w:noProof/>
          <w:color w:val="000000" w:themeColor="text1"/>
          <w:sz w:val="24"/>
          <w:szCs w:val="24"/>
        </w:rPr>
        <w:t xml:space="preserve">by increasing ASP screening of minors leaving the country. In January 2020, it adopted a special package </w:t>
      </w:r>
      <w:r>
        <w:rPr>
          <w:rFonts w:ascii="Times New Roman" w:eastAsia="Calibri" w:hAnsi="Times New Roman" w:cs="Times New Roman"/>
          <w:noProof/>
          <w:color w:val="000000" w:themeColor="text1"/>
          <w:sz w:val="24"/>
          <w:szCs w:val="24"/>
        </w:rPr>
        <w:t>introducing temporary preventive measures to enhance its capacity to fight organised crime and terrorism (referred to as the anti “grab-what-you-can” p</w:t>
      </w:r>
      <w:r>
        <w:rPr>
          <w:rFonts w:ascii="Times New Roman" w:eastAsia="Calibri" w:hAnsi="Times New Roman" w:cs="Times New Roman"/>
          <w:noProof/>
          <w:color w:val="000000" w:themeColor="text1"/>
          <w:sz w:val="24"/>
          <w:szCs w:val="24"/>
        </w:rPr>
        <w:t>ackage, or “KÇK”). The measures include the possibility of targeting assets through seizure and confiscation, limiting the movements of suspected criminals, and restricting their economic activities. The package put a set of important new investigative too</w:t>
      </w:r>
      <w:r>
        <w:rPr>
          <w:rFonts w:ascii="Times New Roman" w:eastAsia="Calibri" w:hAnsi="Times New Roman" w:cs="Times New Roman"/>
          <w:noProof/>
          <w:color w:val="000000" w:themeColor="text1"/>
          <w:sz w:val="24"/>
          <w:szCs w:val="24"/>
        </w:rPr>
        <w:t>ls</w:t>
      </w:r>
      <w:r>
        <w:rPr>
          <w:rFonts w:ascii="Times New Roman" w:eastAsia="Calibri" w:hAnsi="Times New Roman" w:cs="Times New Roman"/>
          <w:bCs/>
          <w:noProof/>
          <w:color w:val="000000" w:themeColor="text1"/>
          <w:sz w:val="24"/>
          <w:szCs w:val="24"/>
        </w:rPr>
        <w:t xml:space="preserve"> </w:t>
      </w:r>
      <w:r>
        <w:rPr>
          <w:rFonts w:ascii="Times New Roman" w:eastAsia="Calibri" w:hAnsi="Times New Roman" w:cs="Times New Roman"/>
          <w:noProof/>
          <w:color w:val="000000" w:themeColor="text1"/>
          <w:sz w:val="24"/>
          <w:szCs w:val="24"/>
        </w:rPr>
        <w:t xml:space="preserve">at the disposal of the new SPO and </w:t>
      </w:r>
      <w:r>
        <w:rPr>
          <w:rFonts w:ascii="Times New Roman" w:eastAsia="Calibri" w:hAnsi="Times New Roman" w:cs="Times New Roman"/>
          <w:bCs/>
          <w:noProof/>
          <w:color w:val="000000" w:themeColor="text1"/>
          <w:sz w:val="24"/>
          <w:szCs w:val="24"/>
        </w:rPr>
        <w:t xml:space="preserve">provides for amendments to the anti-mafia law, ASP law, the law </w:t>
      </w:r>
      <w:r>
        <w:rPr>
          <w:rFonts w:ascii="Times New Roman" w:eastAsia="Calibri" w:hAnsi="Times New Roman" w:cs="Times New Roman"/>
          <w:noProof/>
          <w:color w:val="000000" w:themeColor="text1"/>
          <w:sz w:val="24"/>
          <w:szCs w:val="24"/>
        </w:rPr>
        <w:t xml:space="preserve">on the administration of seized assets, the criminal code and </w:t>
      </w:r>
      <w:r>
        <w:rPr>
          <w:rFonts w:ascii="Times New Roman" w:eastAsia="Calibri" w:hAnsi="Times New Roman" w:cs="Times New Roman"/>
          <w:noProof/>
          <w:color w:val="000000" w:themeColor="text1"/>
          <w:sz w:val="24"/>
          <w:szCs w:val="24"/>
          <w:lang w:eastAsia="en-US"/>
        </w:rPr>
        <w:t>the criminal procedural code</w:t>
      </w:r>
      <w:r>
        <w:rPr>
          <w:rFonts w:ascii="Times New Roman" w:eastAsia="Calibri" w:hAnsi="Times New Roman" w:cs="Times New Roman"/>
          <w:noProof/>
          <w:color w:val="000000" w:themeColor="text1"/>
          <w:sz w:val="24"/>
          <w:szCs w:val="24"/>
        </w:rPr>
        <w:t>. Am</w:t>
      </w:r>
      <w:r>
        <w:rPr>
          <w:rFonts w:ascii="Times New Roman" w:eastAsia="Calibri" w:hAnsi="Times New Roman" w:cs="Times New Roman"/>
          <w:noProof/>
          <w:color w:val="000000" w:themeColor="text1"/>
          <w:sz w:val="24"/>
          <w:szCs w:val="24"/>
          <w:bdr w:val="none" w:sz="0" w:space="0" w:color="auto" w:frame="1"/>
          <w:lang w:eastAsia="en-US"/>
        </w:rPr>
        <w:t>endments to the law on administration of seized and confisca</w:t>
      </w:r>
      <w:r>
        <w:rPr>
          <w:rFonts w:ascii="Times New Roman" w:eastAsia="Calibri" w:hAnsi="Times New Roman" w:cs="Times New Roman"/>
          <w:noProof/>
          <w:color w:val="000000" w:themeColor="text1"/>
          <w:sz w:val="24"/>
          <w:szCs w:val="24"/>
          <w:bdr w:val="none" w:sz="0" w:space="0" w:color="auto" w:frame="1"/>
          <w:lang w:eastAsia="en-US"/>
        </w:rPr>
        <w:t xml:space="preserve">ted assets have already been adopted, while the others are in parliamentary procedure.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bCs/>
          <w:noProof/>
          <w:color w:val="000000" w:themeColor="text1"/>
          <w:sz w:val="24"/>
          <w:szCs w:val="24"/>
        </w:rPr>
        <w:t xml:space="preserve">Albania now has a robust legal framework for confiscating criminal proceeds. The new Law on the administration of seized and confiscated assets, adopted in July 2019, </w:t>
      </w:r>
      <w:r>
        <w:rPr>
          <w:rFonts w:ascii="Times New Roman" w:eastAsia="Calibri" w:hAnsi="Times New Roman" w:cs="Times New Roman"/>
          <w:bCs/>
          <w:noProof/>
          <w:color w:val="000000" w:themeColor="text1"/>
          <w:sz w:val="24"/>
          <w:szCs w:val="24"/>
        </w:rPr>
        <w:t>provides for</w:t>
      </w:r>
      <w:r>
        <w:rPr>
          <w:rFonts w:ascii="Times New Roman" w:eastAsia="Calibri" w:hAnsi="Times New Roman" w:cs="Times New Roman"/>
          <w:noProof/>
          <w:color w:val="000000" w:themeColor="text1"/>
          <w:sz w:val="24"/>
          <w:szCs w:val="24"/>
          <w:lang w:eastAsia="en-US"/>
        </w:rPr>
        <w:t xml:space="preserve"> an </w:t>
      </w:r>
      <w:r>
        <w:rPr>
          <w:rFonts w:ascii="Times New Roman" w:eastAsia="Times New Roman" w:hAnsi="Times New Roman" w:cs="Times New Roman"/>
          <w:noProof/>
          <w:color w:val="000000" w:themeColor="text1"/>
          <w:sz w:val="24"/>
          <w:szCs w:val="24"/>
        </w:rPr>
        <w:t xml:space="preserve">asset recovery office to be set up, in line with the EU </w:t>
      </w:r>
      <w:r>
        <w:rPr>
          <w:rFonts w:ascii="Times New Roman" w:eastAsia="Times New Roman" w:hAnsi="Times New Roman" w:cs="Times New Roman"/>
          <w:i/>
          <w:noProof/>
          <w:color w:val="000000" w:themeColor="text1"/>
          <w:sz w:val="24"/>
          <w:szCs w:val="24"/>
        </w:rPr>
        <w:t>acquis</w:t>
      </w:r>
      <w:r>
        <w:rPr>
          <w:rFonts w:ascii="Times New Roman" w:eastAsia="Times New Roman" w:hAnsi="Times New Roman" w:cs="Times New Roman"/>
          <w:noProof/>
          <w:color w:val="000000" w:themeColor="text1"/>
          <w:sz w:val="24"/>
          <w:szCs w:val="24"/>
        </w:rPr>
        <w:t xml:space="preserve">. However, </w:t>
      </w:r>
      <w:r>
        <w:rPr>
          <w:rFonts w:ascii="Times New Roman" w:eastAsia="Calibri" w:hAnsi="Times New Roman" w:cs="Times New Roman"/>
          <w:noProof/>
          <w:color w:val="000000" w:themeColor="text1"/>
          <w:sz w:val="24"/>
          <w:szCs w:val="24"/>
          <w:lang w:eastAsia="en-US"/>
        </w:rPr>
        <w:t>this has not yet been done.</w:t>
      </w:r>
      <w:r>
        <w:rPr>
          <w:rFonts w:ascii="Times New Roman" w:eastAsia="Calibri" w:hAnsi="Times New Roman" w:cs="Times New Roman"/>
          <w:bCs/>
          <w:noProof/>
          <w:color w:val="000000" w:themeColor="text1"/>
          <w:sz w:val="24"/>
          <w:szCs w:val="24"/>
        </w:rPr>
        <w:t xml:space="preserve"> Albania should establish or designate an office in charge of identifying and tracking criminal assets, as provided for in the recently adop</w:t>
      </w:r>
      <w:r>
        <w:rPr>
          <w:rFonts w:ascii="Times New Roman" w:eastAsia="Calibri" w:hAnsi="Times New Roman" w:cs="Times New Roman"/>
          <w:bCs/>
          <w:noProof/>
          <w:color w:val="000000" w:themeColor="text1"/>
          <w:sz w:val="24"/>
          <w:szCs w:val="24"/>
        </w:rPr>
        <w:t>ted legislation and in line with the EU</w:t>
      </w:r>
      <w:r>
        <w:rPr>
          <w:rFonts w:ascii="Times New Roman" w:eastAsia="Calibri" w:hAnsi="Times New Roman" w:cs="Times New Roman"/>
          <w:noProof/>
          <w:color w:val="000000" w:themeColor="text1"/>
          <w:sz w:val="24"/>
          <w:szCs w:val="24"/>
        </w:rPr>
        <w:t xml:space="preserve"> </w:t>
      </w:r>
      <w:r>
        <w:rPr>
          <w:rFonts w:ascii="Times New Roman" w:eastAsia="Calibri" w:hAnsi="Times New Roman" w:cs="Times New Roman"/>
          <w:i/>
          <w:noProof/>
          <w:color w:val="000000" w:themeColor="text1"/>
          <w:sz w:val="24"/>
          <w:szCs w:val="24"/>
        </w:rPr>
        <w:t>acquis</w:t>
      </w:r>
      <w:r>
        <w:rPr>
          <w:rFonts w:ascii="Times New Roman" w:eastAsia="Calibri" w:hAnsi="Times New Roman" w:cs="Times New Roman"/>
          <w:noProof/>
          <w:color w:val="000000" w:themeColor="text1"/>
          <w:sz w:val="24"/>
          <w:szCs w:val="24"/>
        </w:rPr>
        <w:t>.</w:t>
      </w:r>
    </w:p>
    <w:p w:rsidR="00EE1719" w:rsidRDefault="000E39BA">
      <w:pPr>
        <w:autoSpaceDE w:val="0"/>
        <w:autoSpaceDN w:val="0"/>
        <w:adjustRightInd w:val="0"/>
        <w:spacing w:after="120" w:line="240" w:lineRule="auto"/>
        <w:jc w:val="both"/>
        <w:rPr>
          <w:rFonts w:ascii="Times New Roman" w:eastAsia="Calibri" w:hAnsi="Times New Roman" w:cs="Times New Roman"/>
          <w:bCs/>
          <w:noProof/>
          <w:color w:val="000000" w:themeColor="text1"/>
          <w:sz w:val="24"/>
          <w:szCs w:val="24"/>
        </w:rPr>
      </w:pPr>
      <w:r>
        <w:rPr>
          <w:rFonts w:ascii="Times New Roman" w:eastAsia="Calibri" w:hAnsi="Times New Roman" w:cs="Times New Roman"/>
          <w:noProof/>
          <w:color w:val="000000" w:themeColor="text1"/>
          <w:sz w:val="24"/>
          <w:szCs w:val="24"/>
          <w:lang w:eastAsia="en-US"/>
        </w:rPr>
        <w:t xml:space="preserve">Albania has yet to adopt legislation targeting </w:t>
      </w:r>
      <w:r>
        <w:rPr>
          <w:rFonts w:ascii="Times New Roman" w:eastAsia="Times New Roman" w:hAnsi="Times New Roman" w:cs="Times New Roman"/>
          <w:noProof/>
          <w:color w:val="000000" w:themeColor="text1"/>
          <w:sz w:val="24"/>
          <w:szCs w:val="24"/>
        </w:rPr>
        <w:t>unjustified wealth, e.g. as regards the introduction of the concept of extended confiscation and of legal financial ceilings in cash transactions; the admissibil</w:t>
      </w:r>
      <w:r>
        <w:rPr>
          <w:rFonts w:ascii="Times New Roman" w:eastAsia="Times New Roman" w:hAnsi="Times New Roman" w:cs="Times New Roman"/>
          <w:noProof/>
          <w:color w:val="000000" w:themeColor="text1"/>
          <w:sz w:val="24"/>
          <w:szCs w:val="24"/>
        </w:rPr>
        <w:t xml:space="preserve">ity of ‘suspicious transactions reports’ as evidence in court; and the establishment of a central registry of bank accounts. The Law on weapons is partially aligned with EU provisions. Albania has yet to harmonise its legislation with the latest EU </w:t>
      </w:r>
      <w:r>
        <w:rPr>
          <w:rFonts w:ascii="Times New Roman" w:eastAsia="Times New Roman" w:hAnsi="Times New Roman" w:cs="Times New Roman"/>
          <w:i/>
          <w:noProof/>
          <w:color w:val="000000" w:themeColor="text1"/>
          <w:sz w:val="24"/>
          <w:szCs w:val="24"/>
        </w:rPr>
        <w:t>acquis</w:t>
      </w:r>
      <w:r>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rPr>
        <w:t xml:space="preserve">developments in this area. </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As regards the </w:t>
      </w:r>
      <w:r>
        <w:rPr>
          <w:rFonts w:ascii="Times New Roman" w:eastAsia="Times New Roman" w:hAnsi="Times New Roman" w:cs="Times New Roman"/>
          <w:b/>
          <w:noProof/>
          <w:color w:val="000000" w:themeColor="text1"/>
          <w:sz w:val="24"/>
          <w:szCs w:val="24"/>
        </w:rPr>
        <w:t>strategic framework</w:t>
      </w:r>
      <w:r>
        <w:rPr>
          <w:rFonts w:ascii="Times New Roman" w:eastAsia="Times New Roman" w:hAnsi="Times New Roman" w:cs="Times New Roman"/>
          <w:noProof/>
          <w:color w:val="000000" w:themeColor="text1"/>
          <w:sz w:val="24"/>
          <w:szCs w:val="24"/>
        </w:rPr>
        <w:t>, Albania has a cross-cutting (2017-2020) strategy on organised crime, illicit trafficking and terrorism. It also has an action plan on the fight against organised crime (the ‘power of law’ action plan) and a strategy (2018-2020) and action plan on the fig</w:t>
      </w:r>
      <w:r>
        <w:rPr>
          <w:rFonts w:ascii="Times New Roman" w:eastAsia="Times New Roman" w:hAnsi="Times New Roman" w:cs="Times New Roman"/>
          <w:noProof/>
          <w:color w:val="000000" w:themeColor="text1"/>
          <w:sz w:val="24"/>
          <w:szCs w:val="24"/>
        </w:rPr>
        <w:t xml:space="preserve">ht against trafficking in human beings.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u w:val="single"/>
        </w:rPr>
      </w:pPr>
      <w:r>
        <w:rPr>
          <w:rFonts w:ascii="Times New Roman" w:eastAsia="Times New Roman" w:hAnsi="Times New Roman" w:cs="Times New Roman"/>
          <w:noProof/>
          <w:color w:val="000000" w:themeColor="text1"/>
          <w:sz w:val="24"/>
          <w:szCs w:val="24"/>
          <w:u w:val="single"/>
        </w:rPr>
        <w:t>Implementation and enforcement capacity</w:t>
      </w:r>
    </w:p>
    <w:p w:rsidR="00EE1719" w:rsidRDefault="000E39BA">
      <w:pPr>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 xml:space="preserve">In the fight against organised crime, Albania’s </w:t>
      </w:r>
      <w:r>
        <w:rPr>
          <w:rFonts w:ascii="Times New Roman" w:eastAsia="Times New Roman" w:hAnsi="Times New Roman" w:cs="Times New Roman"/>
          <w:b/>
          <w:bCs/>
          <w:noProof/>
          <w:color w:val="000000" w:themeColor="text1"/>
          <w:sz w:val="24"/>
          <w:szCs w:val="24"/>
        </w:rPr>
        <w:t>track record</w:t>
      </w:r>
      <w:r>
        <w:rPr>
          <w:rFonts w:ascii="Times New Roman" w:eastAsia="Times New Roman" w:hAnsi="Times New Roman" w:cs="Times New Roman"/>
          <w:bCs/>
          <w:noProof/>
          <w:color w:val="000000" w:themeColor="text1"/>
          <w:sz w:val="24"/>
          <w:szCs w:val="24"/>
        </w:rPr>
        <w:t xml:space="preserve"> showed a </w:t>
      </w:r>
      <w:r>
        <w:rPr>
          <w:rFonts w:ascii="Times New Roman" w:eastAsia="Calibri" w:hAnsi="Times New Roman" w:cs="Times New Roman"/>
          <w:noProof/>
          <w:color w:val="000000" w:themeColor="text1"/>
          <w:sz w:val="24"/>
          <w:szCs w:val="24"/>
          <w:lang w:eastAsia="en-US"/>
        </w:rPr>
        <w:t xml:space="preserve">steady increase in the number of new cases referred to prosecution, from 53 in 2018 to </w:t>
      </w:r>
      <w:r>
        <w:rPr>
          <w:rFonts w:ascii="Times New Roman" w:eastAsia="Times New Roman" w:hAnsi="Times New Roman" w:cs="Times New Roman"/>
          <w:bCs/>
          <w:noProof/>
          <w:color w:val="000000" w:themeColor="text1"/>
          <w:sz w:val="24"/>
          <w:szCs w:val="24"/>
        </w:rPr>
        <w:t xml:space="preserve">79 in 2019. There </w:t>
      </w:r>
      <w:r>
        <w:rPr>
          <w:rFonts w:ascii="Times New Roman" w:eastAsia="Times New Roman" w:hAnsi="Times New Roman" w:cs="Times New Roman"/>
          <w:bCs/>
          <w:noProof/>
          <w:color w:val="000000" w:themeColor="text1"/>
          <w:sz w:val="24"/>
          <w:szCs w:val="24"/>
        </w:rPr>
        <w:t>were 13 indictments for organised crime in 2019 (as compared with five in 2018). T</w:t>
      </w:r>
      <w:r>
        <w:rPr>
          <w:rFonts w:ascii="Times New Roman" w:eastAsia="Calibri" w:hAnsi="Times New Roman" w:cs="Times New Roman"/>
          <w:noProof/>
          <w:color w:val="000000" w:themeColor="text1"/>
          <w:sz w:val="24"/>
          <w:szCs w:val="24"/>
          <w:lang w:eastAsia="en-US"/>
        </w:rPr>
        <w:t xml:space="preserve">here were 20 </w:t>
      </w:r>
      <w:r>
        <w:rPr>
          <w:rFonts w:ascii="Times New Roman" w:eastAsia="Times New Roman" w:hAnsi="Times New Roman" w:cs="Times New Roman"/>
          <w:bCs/>
          <w:noProof/>
          <w:color w:val="000000" w:themeColor="text1"/>
          <w:sz w:val="24"/>
          <w:szCs w:val="24"/>
        </w:rPr>
        <w:t xml:space="preserve">convictions at appeal level </w:t>
      </w:r>
      <w:r>
        <w:rPr>
          <w:rFonts w:ascii="Times New Roman" w:eastAsia="Calibri" w:hAnsi="Times New Roman" w:cs="Times New Roman"/>
          <w:noProof/>
          <w:color w:val="000000" w:themeColor="text1"/>
          <w:sz w:val="24"/>
          <w:szCs w:val="24"/>
          <w:lang w:eastAsia="en-US"/>
        </w:rPr>
        <w:t>in 2018, and one in 2019. In addition, nine people were convicted at first instance in 2019. In the first semester of 2020, the numbe</w:t>
      </w:r>
      <w:r>
        <w:rPr>
          <w:rFonts w:ascii="Times New Roman" w:eastAsia="Calibri" w:hAnsi="Times New Roman" w:cs="Times New Roman"/>
          <w:noProof/>
          <w:color w:val="000000" w:themeColor="text1"/>
          <w:sz w:val="24"/>
          <w:szCs w:val="24"/>
          <w:lang w:eastAsia="en-US"/>
        </w:rPr>
        <w:t xml:space="preserve">r of new cases related to criminal organisations and structured criminal groups referred to prosecution was 23. There were ten indictments for organised crime, six final convictions and one at first instance. </w:t>
      </w:r>
    </w:p>
    <w:p w:rsidR="00EE1719" w:rsidRDefault="000E39BA">
      <w:pPr>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As regards serious crimes, 1</w:t>
      </w:r>
      <w:r>
        <w:rPr>
          <w:rFonts w:ascii="Times New Roman" w:eastAsia="Times New Roman" w:hAnsi="Times New Roman" w:cs="Times New Roman"/>
          <w:noProof/>
          <w:color w:val="000000" w:themeColor="text1"/>
          <w:sz w:val="24"/>
          <w:szCs w:val="24"/>
        </w:rPr>
        <w:t>,</w:t>
      </w:r>
      <w:r>
        <w:rPr>
          <w:rFonts w:ascii="Times New Roman" w:eastAsia="Calibri" w:hAnsi="Times New Roman" w:cs="Times New Roman"/>
          <w:noProof/>
          <w:color w:val="000000" w:themeColor="text1"/>
          <w:sz w:val="24"/>
          <w:szCs w:val="24"/>
          <w:lang w:eastAsia="en-US"/>
        </w:rPr>
        <w:t xml:space="preserve">804 new cases on </w:t>
      </w:r>
      <w:r>
        <w:rPr>
          <w:rFonts w:ascii="Times New Roman" w:eastAsia="Calibri" w:hAnsi="Times New Roman" w:cs="Times New Roman"/>
          <w:noProof/>
          <w:color w:val="000000" w:themeColor="text1"/>
          <w:sz w:val="24"/>
          <w:szCs w:val="24"/>
          <w:lang w:eastAsia="en-US"/>
        </w:rPr>
        <w:t>trafficking in human beings, money laundering, and drugs production and trafficking were referred to the prosecution in 2018 (22, 1</w:t>
      </w:r>
      <w:r>
        <w:rPr>
          <w:rFonts w:ascii="Times New Roman" w:eastAsia="Times New Roman" w:hAnsi="Times New Roman" w:cs="Times New Roman"/>
          <w:noProof/>
          <w:color w:val="000000" w:themeColor="text1"/>
          <w:sz w:val="24"/>
          <w:szCs w:val="24"/>
        </w:rPr>
        <w:t>,</w:t>
      </w:r>
      <w:r>
        <w:rPr>
          <w:rFonts w:ascii="Times New Roman" w:eastAsia="Calibri" w:hAnsi="Times New Roman" w:cs="Times New Roman"/>
          <w:noProof/>
          <w:color w:val="000000" w:themeColor="text1"/>
          <w:sz w:val="24"/>
          <w:szCs w:val="24"/>
          <w:lang w:eastAsia="en-US"/>
        </w:rPr>
        <w:t>524 and 258 respectively) and a similar number in 2019 (1</w:t>
      </w:r>
      <w:r>
        <w:rPr>
          <w:rFonts w:ascii="Times New Roman" w:eastAsia="Times New Roman" w:hAnsi="Times New Roman" w:cs="Times New Roman"/>
          <w:noProof/>
          <w:color w:val="000000" w:themeColor="text1"/>
          <w:sz w:val="24"/>
          <w:szCs w:val="24"/>
        </w:rPr>
        <w:t>,</w:t>
      </w:r>
      <w:r>
        <w:rPr>
          <w:rFonts w:ascii="Times New Roman" w:eastAsia="Calibri" w:hAnsi="Times New Roman" w:cs="Times New Roman"/>
          <w:noProof/>
          <w:color w:val="000000" w:themeColor="text1"/>
          <w:sz w:val="24"/>
          <w:szCs w:val="24"/>
          <w:lang w:eastAsia="en-US"/>
        </w:rPr>
        <w:t>805 cases, 25, 1</w:t>
      </w:r>
      <w:r>
        <w:rPr>
          <w:rFonts w:ascii="Times New Roman" w:eastAsia="Times New Roman" w:hAnsi="Times New Roman" w:cs="Times New Roman"/>
          <w:noProof/>
          <w:color w:val="000000" w:themeColor="text1"/>
          <w:sz w:val="24"/>
          <w:szCs w:val="24"/>
        </w:rPr>
        <w:t>,</w:t>
      </w:r>
      <w:r>
        <w:rPr>
          <w:rFonts w:ascii="Times New Roman" w:eastAsia="Calibri" w:hAnsi="Times New Roman" w:cs="Times New Roman"/>
          <w:noProof/>
          <w:color w:val="000000" w:themeColor="text1"/>
          <w:sz w:val="24"/>
          <w:szCs w:val="24"/>
          <w:lang w:eastAsia="en-US"/>
        </w:rPr>
        <w:t>548 and 232 respectively). Of the total referrals</w:t>
      </w:r>
      <w:r>
        <w:rPr>
          <w:rFonts w:ascii="Times New Roman" w:eastAsia="Calibri" w:hAnsi="Times New Roman" w:cs="Times New Roman"/>
          <w:noProof/>
          <w:color w:val="000000" w:themeColor="text1"/>
          <w:sz w:val="24"/>
          <w:szCs w:val="24"/>
          <w:lang w:eastAsia="en-US"/>
        </w:rPr>
        <w:t xml:space="preserve"> for serious crimes, 551 cases resulted in indictments in 2018 and 507 in 2019. As for final convictions, there were 698 in 2018 and 308 in 2019. Narcotics-related cases accounted for 68.9% of the total in 2018 and 68% in 2019, followed by money laundering</w:t>
      </w:r>
      <w:r>
        <w:rPr>
          <w:rFonts w:ascii="Times New Roman" w:eastAsia="Calibri" w:hAnsi="Times New Roman" w:cs="Times New Roman"/>
          <w:noProof/>
          <w:color w:val="000000" w:themeColor="text1"/>
          <w:sz w:val="24"/>
          <w:szCs w:val="24"/>
          <w:lang w:eastAsia="en-US"/>
        </w:rPr>
        <w:t>, trafficking in vehicles, money counterfeiting and forgery, and</w:t>
      </w:r>
      <w:r>
        <w:rPr>
          <w:rFonts w:ascii="Times New Roman" w:eastAsia="Times New Roman" w:hAnsi="Times New Roman" w:cs="Times New Roman"/>
          <w:bCs/>
          <w:noProof/>
          <w:color w:val="000000" w:themeColor="text1"/>
          <w:sz w:val="24"/>
          <w:szCs w:val="24"/>
        </w:rPr>
        <w:t xml:space="preserve"> trafficking in human beings. </w:t>
      </w:r>
      <w:r>
        <w:rPr>
          <w:rFonts w:ascii="Times New Roman" w:eastAsia="Calibri" w:hAnsi="Times New Roman" w:cs="Times New Roman"/>
          <w:noProof/>
          <w:color w:val="000000" w:themeColor="text1"/>
          <w:sz w:val="24"/>
          <w:szCs w:val="24"/>
          <w:lang w:eastAsia="en-US"/>
        </w:rPr>
        <w:t>In the first semester of 2020, 17 new cases on trafficking in human beings were referred to the prosecution, 126 on money laundering and 587 on drugs production a</w:t>
      </w:r>
      <w:r>
        <w:rPr>
          <w:rFonts w:ascii="Times New Roman" w:eastAsia="Calibri" w:hAnsi="Times New Roman" w:cs="Times New Roman"/>
          <w:noProof/>
          <w:color w:val="000000" w:themeColor="text1"/>
          <w:sz w:val="24"/>
          <w:szCs w:val="24"/>
          <w:lang w:eastAsia="en-US"/>
        </w:rPr>
        <w:t>nd trafficking. Of the total number of referrals on trafficking in human beings, money laundering, and drugs trafficking, 141 cases resulted in indictments. As for final convictions, there were two for trafficking in human beings, four on money laundering,</w:t>
      </w:r>
      <w:r>
        <w:rPr>
          <w:rFonts w:ascii="Times New Roman" w:eastAsia="Calibri" w:hAnsi="Times New Roman" w:cs="Times New Roman"/>
          <w:noProof/>
          <w:color w:val="000000" w:themeColor="text1"/>
          <w:sz w:val="24"/>
          <w:szCs w:val="24"/>
          <w:lang w:eastAsia="en-US"/>
        </w:rPr>
        <w:t xml:space="preserve"> and 30 for drug production and trafficking.</w:t>
      </w:r>
      <w:r>
        <w:rPr>
          <w:rFonts w:ascii="Times New Roman" w:eastAsia="Calibri" w:hAnsi="Times New Roman" w:cs="Times New Roman"/>
          <w:noProof/>
          <w:color w:val="000000" w:themeColor="text1"/>
          <w:sz w:val="24"/>
          <w:szCs w:val="24"/>
          <w:highlight w:val="yellow"/>
          <w:lang w:eastAsia="en-US"/>
        </w:rPr>
        <w:t xml:space="preserve"> </w:t>
      </w:r>
    </w:p>
    <w:p w:rsidR="00EE1719" w:rsidRDefault="000E39BA">
      <w:pPr>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In June, the Anti-corruption and Organised Crime Court of Appeals overturned the ruling of the first instance court that had convicted former Interior Minister, on account of abuse of office, to three years and four months on probation as well three-year b</w:t>
      </w:r>
      <w:r>
        <w:rPr>
          <w:rFonts w:ascii="Times New Roman" w:eastAsia="Calibri" w:hAnsi="Times New Roman" w:cs="Times New Roman"/>
          <w:noProof/>
          <w:color w:val="000000" w:themeColor="text1"/>
          <w:sz w:val="24"/>
          <w:szCs w:val="24"/>
          <w:lang w:eastAsia="en-US"/>
        </w:rPr>
        <w:t xml:space="preserve">an from running for public office. The case is expected to be retried. </w:t>
      </w:r>
    </w:p>
    <w:p w:rsidR="00EE1719" w:rsidRDefault="000E39BA">
      <w:pPr>
        <w:spacing w:after="120" w:line="240" w:lineRule="auto"/>
        <w:jc w:val="both"/>
        <w:rPr>
          <w:rFonts w:ascii="Times New Roman" w:eastAsia="Times New Roman" w:hAnsi="Times New Roman" w:cs="Times New Roman"/>
          <w:bCs/>
          <w:noProof/>
          <w:color w:val="000000" w:themeColor="text1"/>
          <w:sz w:val="24"/>
          <w:szCs w:val="24"/>
          <w:lang w:eastAsia="en-US"/>
        </w:rPr>
      </w:pPr>
      <w:r>
        <w:rPr>
          <w:rFonts w:ascii="Times New Roman" w:eastAsia="Times New Roman" w:hAnsi="Times New Roman" w:cs="Times New Roman"/>
          <w:bCs/>
          <w:noProof/>
          <w:color w:val="000000" w:themeColor="text1"/>
          <w:sz w:val="24"/>
          <w:szCs w:val="24"/>
          <w:lang w:eastAsia="en-US"/>
        </w:rPr>
        <w:t>In October, the Serious Crimes Appeal Court upheld a first-instance court ruling sentencing the head of a transnational drug-trafficking gang to 15 years in prison (reduced to 10 years</w:t>
      </w:r>
      <w:r>
        <w:rPr>
          <w:rFonts w:ascii="Times New Roman" w:eastAsia="Times New Roman" w:hAnsi="Times New Roman" w:cs="Times New Roman"/>
          <w:bCs/>
          <w:noProof/>
          <w:color w:val="000000" w:themeColor="text1"/>
          <w:sz w:val="24"/>
          <w:szCs w:val="24"/>
          <w:lang w:eastAsia="en-US"/>
        </w:rPr>
        <w:t xml:space="preserve"> through abbreviated proceedings) for establishing a structured criminal group, trafficking narcotics, failing to declare assets and laundering money.</w:t>
      </w:r>
    </w:p>
    <w:p w:rsidR="00EE1719" w:rsidRDefault="000E39BA">
      <w:pPr>
        <w:spacing w:after="120" w:line="240" w:lineRule="auto"/>
        <w:jc w:val="both"/>
        <w:rPr>
          <w:rFonts w:ascii="Times New Roman" w:eastAsia="Times New Roman" w:hAnsi="Times New Roman" w:cs="Times New Roman"/>
          <w:bCs/>
          <w:noProof/>
          <w:color w:val="000000" w:themeColor="text1"/>
          <w:sz w:val="24"/>
          <w:szCs w:val="24"/>
          <w:lang w:eastAsia="en-US"/>
        </w:rPr>
      </w:pPr>
      <w:r>
        <w:rPr>
          <w:rFonts w:ascii="Times New Roman" w:eastAsia="Calibri" w:hAnsi="Times New Roman" w:cs="Times New Roman"/>
          <w:noProof/>
          <w:color w:val="000000" w:themeColor="text1"/>
          <w:sz w:val="24"/>
          <w:szCs w:val="24"/>
        </w:rPr>
        <w:t>Following the adoption of temporary measures to prevent crime (anti “grab-what-you-can” package), the ASP</w:t>
      </w:r>
      <w:r>
        <w:rPr>
          <w:rFonts w:ascii="Times New Roman" w:eastAsia="Calibri" w:hAnsi="Times New Roman" w:cs="Times New Roman"/>
          <w:noProof/>
          <w:color w:val="000000" w:themeColor="text1"/>
          <w:sz w:val="24"/>
          <w:szCs w:val="24"/>
        </w:rPr>
        <w:t xml:space="preserve"> new ‘Power of Law Operation’ Unit seized over 174 criminal assets belonging to organised crime’s suspects. </w:t>
      </w:r>
      <w:r>
        <w:rPr>
          <w:rFonts w:ascii="Times New Roman" w:eastAsia="Calibri" w:hAnsi="Times New Roman" w:cs="Times New Roman"/>
          <w:noProof/>
          <w:color w:val="000000" w:themeColor="text1"/>
          <w:sz w:val="24"/>
          <w:szCs w:val="24"/>
          <w:lang w:eastAsia="en-US"/>
        </w:rPr>
        <w:t>Since the entry into force of the temporary measures until mid-June 2020, 84 organised crime cases were reported to the SPO that involved seizures o</w:t>
      </w:r>
      <w:r>
        <w:rPr>
          <w:rFonts w:ascii="Times New Roman" w:eastAsia="Calibri" w:hAnsi="Times New Roman" w:cs="Times New Roman"/>
          <w:noProof/>
          <w:color w:val="000000" w:themeColor="text1"/>
          <w:sz w:val="24"/>
          <w:szCs w:val="24"/>
          <w:lang w:eastAsia="en-US"/>
        </w:rPr>
        <w:t>f assets. Since its establishment in December 2019, the SPO has taken over from the Serious Crimes Prosecution office 215 criminal proceedings (167 investigations are still ongoing under, 48 have been concluded). The SPO has also taken over financial inves</w:t>
      </w:r>
      <w:r>
        <w:rPr>
          <w:rFonts w:ascii="Times New Roman" w:eastAsia="Calibri" w:hAnsi="Times New Roman" w:cs="Times New Roman"/>
          <w:noProof/>
          <w:color w:val="000000" w:themeColor="text1"/>
          <w:sz w:val="24"/>
          <w:szCs w:val="24"/>
          <w:lang w:eastAsia="en-US"/>
        </w:rPr>
        <w:t>tigations under the 2009 anti-mafia law and conducted verifications on asset seizures.  </w:t>
      </w:r>
    </w:p>
    <w:p w:rsidR="00EE1719" w:rsidRDefault="000E39BA">
      <w:pPr>
        <w:autoSpaceDE w:val="0"/>
        <w:autoSpaceDN w:val="0"/>
        <w:adjustRightInd w:val="0"/>
        <w:spacing w:after="120" w:line="240" w:lineRule="auto"/>
        <w:jc w:val="both"/>
        <w:rPr>
          <w:rFonts w:ascii="Times New Roman" w:eastAsia="Calibri" w:hAnsi="Times New Roman" w:cs="Times New Roman"/>
          <w:bCs/>
          <w:noProof/>
          <w:color w:val="000000" w:themeColor="text1"/>
          <w:sz w:val="24"/>
          <w:szCs w:val="24"/>
          <w:lang w:eastAsia="en-US"/>
        </w:rPr>
      </w:pPr>
      <w:r>
        <w:rPr>
          <w:rFonts w:ascii="Times New Roman" w:eastAsia="Calibri" w:hAnsi="Times New Roman" w:cs="Times New Roman"/>
          <w:bCs/>
          <w:noProof/>
          <w:color w:val="000000" w:themeColor="text1"/>
          <w:sz w:val="24"/>
          <w:szCs w:val="24"/>
          <w:lang w:eastAsia="en-US"/>
        </w:rPr>
        <w:t xml:space="preserve">In June 2019, the ASP created a Fugitive Active Search Team for the most wanted national and international criminals. The unit is fully operational. </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Albania </w:t>
      </w:r>
      <w:r>
        <w:rPr>
          <w:rFonts w:ascii="Times New Roman" w:eastAsia="Times New Roman" w:hAnsi="Times New Roman" w:cs="Times New Roman"/>
          <w:bCs/>
          <w:noProof/>
          <w:color w:val="000000" w:themeColor="text1"/>
          <w:sz w:val="24"/>
          <w:szCs w:val="24"/>
        </w:rPr>
        <w:t>has</w:t>
      </w:r>
      <w:r>
        <w:rPr>
          <w:rFonts w:ascii="Times New Roman" w:eastAsia="Calibri" w:hAnsi="Times New Roman" w:cs="Times New Roman"/>
          <w:noProof/>
          <w:color w:val="000000" w:themeColor="text1"/>
          <w:sz w:val="24"/>
          <w:szCs w:val="24"/>
        </w:rPr>
        <w:t xml:space="preserve"> taken further steps to strengthen </w:t>
      </w:r>
      <w:r>
        <w:rPr>
          <w:rFonts w:ascii="Times New Roman" w:eastAsia="Calibri" w:hAnsi="Times New Roman" w:cs="Times New Roman"/>
          <w:b/>
          <w:noProof/>
          <w:color w:val="000000" w:themeColor="text1"/>
          <w:sz w:val="24"/>
          <w:szCs w:val="24"/>
        </w:rPr>
        <w:t xml:space="preserve">international </w:t>
      </w:r>
      <w:r>
        <w:rPr>
          <w:rFonts w:ascii="Times New Roman" w:eastAsia="Times New Roman" w:hAnsi="Times New Roman" w:cs="Times New Roman"/>
          <w:b/>
          <w:bCs/>
          <w:noProof/>
          <w:color w:val="000000" w:themeColor="text1"/>
          <w:sz w:val="24"/>
          <w:szCs w:val="24"/>
        </w:rPr>
        <w:t>police cooperation</w:t>
      </w:r>
      <w:r>
        <w:rPr>
          <w:rFonts w:ascii="Times New Roman" w:eastAsia="Times New Roman" w:hAnsi="Times New Roman" w:cs="Times New Roman"/>
          <w:bCs/>
          <w:noProof/>
          <w:color w:val="000000" w:themeColor="text1"/>
          <w:sz w:val="24"/>
          <w:szCs w:val="24"/>
        </w:rPr>
        <w:t xml:space="preserve">. </w:t>
      </w:r>
      <w:r>
        <w:rPr>
          <w:rFonts w:ascii="Times New Roman" w:eastAsia="Times New Roman" w:hAnsi="Times New Roman" w:cs="Times New Roman"/>
          <w:noProof/>
          <w:color w:val="000000" w:themeColor="text1"/>
          <w:sz w:val="24"/>
          <w:szCs w:val="24"/>
        </w:rPr>
        <w:t xml:space="preserve">Albania participates in Europol’s operational analysis projects (APs) for the prevention and combatting of crimes involving ethnic Albanian criminal groups and associated organised crime </w:t>
      </w:r>
      <w:r>
        <w:rPr>
          <w:rFonts w:ascii="Times New Roman" w:eastAsia="Times New Roman" w:hAnsi="Times New Roman" w:cs="Times New Roman"/>
          <w:noProof/>
          <w:color w:val="000000" w:themeColor="text1"/>
          <w:sz w:val="24"/>
          <w:szCs w:val="24"/>
        </w:rPr>
        <w:t>groups. Albania also participates in APs regarding cybercrime, environmental crime, organised property crime, terrorism, migrant smuggling, trafficking in human beings, weapons and explosives.</w:t>
      </w:r>
      <w:r>
        <w:rPr>
          <w:rFonts w:ascii="Times New Roman" w:eastAsia="Times New Roman" w:hAnsi="Times New Roman" w:cs="Times New Roman"/>
          <w:bCs/>
          <w:noProof/>
          <w:color w:val="000000" w:themeColor="text1"/>
          <w:sz w:val="24"/>
          <w:szCs w:val="24"/>
        </w:rPr>
        <w:t xml:space="preserve"> A Europol liaison officer was deployed to Tirana in June 2019. </w:t>
      </w:r>
      <w:r>
        <w:rPr>
          <w:rFonts w:ascii="Times New Roman" w:eastAsia="Times New Roman" w:hAnsi="Times New Roman" w:cs="Times New Roman"/>
          <w:bCs/>
          <w:noProof/>
          <w:color w:val="000000" w:themeColor="text1"/>
          <w:sz w:val="24"/>
          <w:szCs w:val="24"/>
        </w:rPr>
        <w:t>The Europol Liaison Office to Albania, officially opened in July, was the first to operate from the Western Balkan region. The liaison officer has helped to strengthen cooperation between Albania and EU Member States’ police forces in the fight against org</w:t>
      </w:r>
      <w:r>
        <w:rPr>
          <w:rFonts w:ascii="Times New Roman" w:eastAsia="Times New Roman" w:hAnsi="Times New Roman" w:cs="Times New Roman"/>
          <w:bCs/>
          <w:noProof/>
          <w:color w:val="000000" w:themeColor="text1"/>
          <w:sz w:val="24"/>
          <w:szCs w:val="24"/>
        </w:rPr>
        <w:t xml:space="preserve">anised crime, including drug trafficking, and to enhance the police’s capacity to assess the main organised crime threats. Since the beginning of the deployment, Albania has increasingly shared information with Europol. Albania joined the informal </w:t>
      </w:r>
      <w:r>
        <w:rPr>
          <w:rFonts w:ascii="Times New Roman" w:eastAsia="Calibri" w:hAnsi="Times New Roman" w:cs="Times New Roman"/>
          <w:noProof/>
          <w:color w:val="000000" w:themeColor="text1"/>
          <w:sz w:val="24"/>
          <w:szCs w:val="24"/>
          <w:lang w:eastAsia="en-US"/>
        </w:rPr>
        <w:t>Anti-Mon</w:t>
      </w:r>
      <w:r>
        <w:rPr>
          <w:rFonts w:ascii="Times New Roman" w:eastAsia="Calibri" w:hAnsi="Times New Roman" w:cs="Times New Roman"/>
          <w:noProof/>
          <w:color w:val="000000" w:themeColor="text1"/>
          <w:sz w:val="24"/>
          <w:szCs w:val="24"/>
          <w:lang w:eastAsia="en-US"/>
        </w:rPr>
        <w:t>ey Laundering Operational Network</w:t>
      </w:r>
      <w:r>
        <w:rPr>
          <w:rFonts w:ascii="Times New Roman" w:eastAsia="Times New Roman" w:hAnsi="Times New Roman" w:cs="Times New Roman"/>
          <w:bCs/>
          <w:noProof/>
          <w:color w:val="000000" w:themeColor="text1"/>
          <w:sz w:val="24"/>
          <w:szCs w:val="24"/>
        </w:rPr>
        <w:t xml:space="preserve"> in 2019, and became a strategic partner on ‘</w:t>
      </w:r>
      <w:r>
        <w:rPr>
          <w:rFonts w:ascii="Times New Roman" w:eastAsia="Calibri" w:hAnsi="Times New Roman" w:cs="Times New Roman"/>
          <w:noProof/>
          <w:color w:val="000000" w:themeColor="text1"/>
          <w:sz w:val="24"/>
          <w:szCs w:val="24"/>
          <w:lang w:eastAsia="en-US"/>
        </w:rPr>
        <w:t>organised property crime’, one of Europol’s priority crime areas, and a priority under the 2018-2021 EU’s Policy Cycle/</w:t>
      </w:r>
      <w:hyperlink r:id="rId15" w:history="1">
        <w:r>
          <w:rPr>
            <w:rFonts w:ascii="Times New Roman" w:eastAsia="Calibri" w:hAnsi="Times New Roman" w:cs="Times New Roman"/>
            <w:noProof/>
            <w:color w:val="000000" w:themeColor="text1"/>
            <w:sz w:val="24"/>
            <w:szCs w:val="24"/>
            <w:lang w:eastAsia="en-US"/>
          </w:rPr>
          <w:t>EMPACT</w:t>
        </w:r>
      </w:hyperlink>
      <w:r>
        <w:rPr>
          <w:rFonts w:ascii="Times New Roman" w:eastAsia="Calibri" w:hAnsi="Times New Roman" w:cs="Times New Roman"/>
          <w:noProof/>
          <w:color w:val="000000" w:themeColor="text1"/>
          <w:sz w:val="24"/>
          <w:szCs w:val="24"/>
          <w:lang w:eastAsia="en-US"/>
        </w:rPr>
        <w:t xml:space="preserve"> (European Multidisciplinary Platform against Criminal Threats) policy cycle. Albania has not published a national serious and organised crime threat assessment in recent years, but should do so on a regular basis so </w:t>
      </w:r>
      <w:r>
        <w:rPr>
          <w:rFonts w:ascii="Times New Roman" w:eastAsia="Calibri" w:hAnsi="Times New Roman" w:cs="Times New Roman"/>
          <w:noProof/>
          <w:color w:val="000000" w:themeColor="text1"/>
          <w:sz w:val="24"/>
          <w:szCs w:val="24"/>
          <w:lang w:eastAsia="en-US"/>
        </w:rPr>
        <w:t>as to have a reliable picture of the threats it faces and decide on operational measures to address them. T</w:t>
      </w:r>
      <w:r>
        <w:rPr>
          <w:rFonts w:ascii="Times New Roman" w:eastAsia="Times New Roman" w:hAnsi="Times New Roman" w:cs="Times New Roman"/>
          <w:bCs/>
          <w:noProof/>
          <w:color w:val="000000" w:themeColor="text1"/>
          <w:sz w:val="24"/>
          <w:szCs w:val="24"/>
        </w:rPr>
        <w:t xml:space="preserve">he number and quality of messages exchanged through the secure information exchange network application (SIENA) </w:t>
      </w:r>
      <w:r>
        <w:rPr>
          <w:rFonts w:ascii="Times New Roman" w:eastAsia="Times New Roman" w:hAnsi="Times New Roman" w:cs="Times New Roman"/>
          <w:noProof/>
          <w:color w:val="000000" w:themeColor="text1"/>
          <w:sz w:val="24"/>
          <w:szCs w:val="24"/>
        </w:rPr>
        <w:t xml:space="preserve">has improved significantly since the </w:t>
      </w:r>
      <w:r>
        <w:rPr>
          <w:rFonts w:ascii="Times New Roman" w:eastAsia="Times New Roman" w:hAnsi="Times New Roman" w:cs="Times New Roman"/>
          <w:noProof/>
          <w:color w:val="000000" w:themeColor="text1"/>
          <w:sz w:val="24"/>
          <w:szCs w:val="24"/>
        </w:rPr>
        <w:t>end of 2019. Albanian law enforcement agencies should make full use of the operational agreement with Europol, including through more proactive and timely information exchange through SIENA, and make more use of joint investigation teams to conduct investi</w:t>
      </w:r>
      <w:r>
        <w:rPr>
          <w:rFonts w:ascii="Times New Roman" w:eastAsia="Times New Roman" w:hAnsi="Times New Roman" w:cs="Times New Roman"/>
          <w:noProof/>
          <w:color w:val="000000" w:themeColor="text1"/>
          <w:sz w:val="24"/>
          <w:szCs w:val="24"/>
        </w:rPr>
        <w:t xml:space="preserve">gations with EU counterparts. </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Albania has yet to step up the use of special investigation techniques and proactive investigations. There have been positive developments in its cooperation with Interpol, in terms of information exchanged and operations to </w:t>
      </w:r>
      <w:r>
        <w:rPr>
          <w:rFonts w:ascii="Times New Roman" w:eastAsia="Times New Roman" w:hAnsi="Times New Roman" w:cs="Times New Roman"/>
          <w:noProof/>
          <w:color w:val="000000" w:themeColor="text1"/>
          <w:sz w:val="24"/>
          <w:szCs w:val="24"/>
        </w:rPr>
        <w:t xml:space="preserve">execute extradition arrest warrants. The Albanian Security Academy cooperated with the EU Agency for Law Enforcement Training (CEPOL) and other international agencies and academies. A Working Agreement with CEPOL has been in force since 2013. </w:t>
      </w:r>
    </w:p>
    <w:p w:rsidR="00EE1719" w:rsidRDefault="000E39BA">
      <w:pPr>
        <w:autoSpaceDE w:val="0"/>
        <w:autoSpaceDN w:val="0"/>
        <w:adjustRightInd w:val="0"/>
        <w:spacing w:after="120" w:line="240" w:lineRule="auto"/>
        <w:jc w:val="both"/>
        <w:rPr>
          <w:rFonts w:ascii="Times New Roman" w:eastAsia="Times New Roman" w:hAnsi="Times New Roman" w:cs="Times New Roman"/>
          <w:bCs/>
          <w:noProof/>
          <w:color w:val="000000" w:themeColor="text1"/>
          <w:sz w:val="24"/>
          <w:szCs w:val="24"/>
        </w:rPr>
      </w:pPr>
      <w:r>
        <w:rPr>
          <w:rFonts w:ascii="Times New Roman" w:eastAsia="Times New Roman" w:hAnsi="Times New Roman" w:cs="Times New Roman"/>
          <w:noProof/>
          <w:color w:val="000000" w:themeColor="text1"/>
          <w:sz w:val="24"/>
          <w:szCs w:val="24"/>
        </w:rPr>
        <w:t xml:space="preserve">On </w:t>
      </w:r>
      <w:r>
        <w:rPr>
          <w:rFonts w:ascii="Times New Roman" w:eastAsia="Times New Roman" w:hAnsi="Times New Roman" w:cs="Times New Roman"/>
          <w:b/>
          <w:noProof/>
          <w:color w:val="000000" w:themeColor="text1"/>
          <w:sz w:val="24"/>
          <w:szCs w:val="24"/>
        </w:rPr>
        <w:t xml:space="preserve">domestic </w:t>
      </w:r>
      <w:r>
        <w:rPr>
          <w:rFonts w:ascii="Times New Roman" w:eastAsia="Times New Roman" w:hAnsi="Times New Roman" w:cs="Times New Roman"/>
          <w:b/>
          <w:noProof/>
          <w:color w:val="000000" w:themeColor="text1"/>
          <w:sz w:val="24"/>
          <w:szCs w:val="24"/>
        </w:rPr>
        <w:t>operational capacity</w:t>
      </w:r>
      <w:r>
        <w:rPr>
          <w:rFonts w:ascii="Times New Roman" w:eastAsia="Times New Roman" w:hAnsi="Times New Roman" w:cs="Times New Roman"/>
          <w:noProof/>
          <w:color w:val="000000" w:themeColor="text1"/>
          <w:sz w:val="24"/>
          <w:szCs w:val="24"/>
        </w:rPr>
        <w:t>, legal and institutional reforms strengthened the capacities of the ASP’s Operational Directorate, which is responsible for special investigative measures throughout the country.</w:t>
      </w:r>
      <w:r>
        <w:rPr>
          <w:rFonts w:ascii="Times New Roman" w:eastAsia="Times New Roman" w:hAnsi="Times New Roman" w:cs="Times New Roman"/>
          <w:bCs/>
          <w:noProof/>
          <w:color w:val="000000" w:themeColor="text1"/>
          <w:sz w:val="24"/>
          <w:szCs w:val="24"/>
        </w:rPr>
        <w:t xml:space="preserve"> </w:t>
      </w:r>
      <w:r>
        <w:rPr>
          <w:rFonts w:ascii="Times New Roman" w:eastAsia="Times New Roman" w:hAnsi="Times New Roman" w:cs="Times New Roman"/>
          <w:noProof/>
          <w:color w:val="000000" w:themeColor="text1"/>
          <w:sz w:val="24"/>
          <w:szCs w:val="24"/>
        </w:rPr>
        <w:t>Law enforcement</w:t>
      </w:r>
      <w:r>
        <w:rPr>
          <w:rFonts w:ascii="Times New Roman" w:eastAsia="Times New Roman" w:hAnsi="Times New Roman" w:cs="Times New Roman"/>
          <w:bCs/>
          <w:noProof/>
          <w:color w:val="000000" w:themeColor="text1"/>
          <w:sz w:val="24"/>
          <w:szCs w:val="24"/>
        </w:rPr>
        <w:t xml:space="preserve"> authorities’ response to organised </w:t>
      </w:r>
      <w:r>
        <w:rPr>
          <w:rFonts w:ascii="Times New Roman" w:eastAsia="Times New Roman" w:hAnsi="Times New Roman" w:cs="Times New Roman"/>
          <w:noProof/>
          <w:color w:val="000000" w:themeColor="text1"/>
          <w:sz w:val="24"/>
          <w:szCs w:val="24"/>
        </w:rPr>
        <w:t xml:space="preserve">crime, notably the investigation of </w:t>
      </w:r>
      <w:r>
        <w:rPr>
          <w:rFonts w:ascii="Times New Roman" w:eastAsia="Times New Roman" w:hAnsi="Times New Roman" w:cs="Times New Roman"/>
          <w:bCs/>
          <w:noProof/>
          <w:color w:val="000000" w:themeColor="text1"/>
          <w:sz w:val="24"/>
          <w:szCs w:val="24"/>
        </w:rPr>
        <w:t>large criminal networks, needs to be more proactive and systematic</w:t>
      </w:r>
      <w:r>
        <w:rPr>
          <w:rFonts w:ascii="Times New Roman" w:eastAsia="Times New Roman" w:hAnsi="Times New Roman" w:cs="Times New Roman"/>
          <w:noProof/>
          <w:color w:val="000000" w:themeColor="text1"/>
          <w:sz w:val="24"/>
          <w:szCs w:val="24"/>
        </w:rPr>
        <w:t>. Special task force police and prosecutors have access to 40 national registers, but they still lack direct access to the electronic register of mobile p</w:t>
      </w:r>
      <w:r>
        <w:rPr>
          <w:rFonts w:ascii="Times New Roman" w:eastAsia="Times New Roman" w:hAnsi="Times New Roman" w:cs="Times New Roman"/>
          <w:noProof/>
          <w:color w:val="000000" w:themeColor="text1"/>
          <w:sz w:val="24"/>
          <w:szCs w:val="24"/>
        </w:rPr>
        <w:t>hone subscribers and IP addresses from internet service providers. Steps have been taken to improve cooperation and mutual trust between police, prosecutors and other relevant agencies and</w:t>
      </w:r>
      <w:r>
        <w:rPr>
          <w:rFonts w:ascii="Times New Roman" w:eastAsia="Times New Roman" w:hAnsi="Times New Roman" w:cs="Times New Roman"/>
          <w:bCs/>
          <w:noProof/>
          <w:color w:val="000000" w:themeColor="text1"/>
          <w:sz w:val="24"/>
          <w:szCs w:val="24"/>
        </w:rPr>
        <w:t xml:space="preserve"> bodies such as the Financial Intelligence Unit, tax office, customs</w:t>
      </w:r>
      <w:r>
        <w:rPr>
          <w:rFonts w:ascii="Times New Roman" w:eastAsia="Times New Roman" w:hAnsi="Times New Roman" w:cs="Times New Roman"/>
          <w:bCs/>
          <w:noProof/>
          <w:color w:val="000000" w:themeColor="text1"/>
          <w:sz w:val="24"/>
          <w:szCs w:val="24"/>
        </w:rPr>
        <w:t xml:space="preserve"> and HIDAACI in the detection and investigation of complex criminal cases. This has produced some operational results. </w:t>
      </w:r>
    </w:p>
    <w:p w:rsidR="00EE1719" w:rsidRDefault="000E39BA">
      <w:pPr>
        <w:shd w:val="clear" w:color="auto" w:fill="FFFFFF"/>
        <w:spacing w:after="120" w:line="240" w:lineRule="auto"/>
        <w:jc w:val="both"/>
        <w:rPr>
          <w:rFonts w:ascii="Times New Roman" w:eastAsia="Calibri" w:hAnsi="Times New Roman" w:cs="Times New Roman"/>
          <w:noProof/>
          <w:color w:val="000000" w:themeColor="text1"/>
          <w:sz w:val="24"/>
          <w:szCs w:val="24"/>
        </w:rPr>
      </w:pPr>
      <w:r>
        <w:rPr>
          <w:rFonts w:ascii="Times New Roman" w:eastAsia="Times New Roman" w:hAnsi="Times New Roman" w:cs="Times New Roman"/>
          <w:b/>
          <w:bCs/>
          <w:noProof/>
          <w:color w:val="000000" w:themeColor="text1"/>
          <w:sz w:val="24"/>
          <w:szCs w:val="24"/>
        </w:rPr>
        <w:t>Financial investigations</w:t>
      </w:r>
      <w:r>
        <w:rPr>
          <w:rFonts w:ascii="Times New Roman" w:eastAsia="Times New Roman" w:hAnsi="Times New Roman" w:cs="Times New Roman"/>
          <w:bCs/>
          <w:noProof/>
          <w:color w:val="000000" w:themeColor="text1"/>
          <w:sz w:val="24"/>
          <w:szCs w:val="24"/>
        </w:rPr>
        <w:t xml:space="preserve"> are not systematically accompanying criminal proceedings from the start, and their effectiveness remains limite</w:t>
      </w:r>
      <w:r>
        <w:rPr>
          <w:rFonts w:ascii="Times New Roman" w:eastAsia="Times New Roman" w:hAnsi="Times New Roman" w:cs="Times New Roman"/>
          <w:bCs/>
          <w:noProof/>
          <w:color w:val="000000" w:themeColor="text1"/>
          <w:sz w:val="24"/>
          <w:szCs w:val="24"/>
        </w:rPr>
        <w:t xml:space="preserve">d. Police and prosecutors should be given further training to improve their financial investigation techniques. </w:t>
      </w:r>
      <w:r>
        <w:rPr>
          <w:rFonts w:ascii="Times New Roman" w:eastAsia="Calibri" w:hAnsi="Times New Roman" w:cs="Times New Roman"/>
          <w:noProof/>
          <w:color w:val="000000" w:themeColor="text1"/>
          <w:sz w:val="24"/>
          <w:szCs w:val="24"/>
        </w:rPr>
        <w:t xml:space="preserve">Some progress was made on seizures and the </w:t>
      </w:r>
      <w:r>
        <w:rPr>
          <w:rFonts w:ascii="Times New Roman" w:eastAsia="Calibri" w:hAnsi="Times New Roman" w:cs="Times New Roman"/>
          <w:b/>
          <w:noProof/>
          <w:color w:val="000000" w:themeColor="text1"/>
          <w:sz w:val="24"/>
          <w:szCs w:val="24"/>
        </w:rPr>
        <w:t>confiscation</w:t>
      </w:r>
      <w:r>
        <w:rPr>
          <w:rFonts w:ascii="Times New Roman" w:eastAsia="Calibri" w:hAnsi="Times New Roman" w:cs="Times New Roman"/>
          <w:noProof/>
          <w:color w:val="000000" w:themeColor="text1"/>
          <w:sz w:val="24"/>
          <w:szCs w:val="24"/>
        </w:rPr>
        <w:t xml:space="preserve"> of criminal assets. Albania reported estimated seizures of criminal assets and property </w:t>
      </w:r>
      <w:r>
        <w:rPr>
          <w:rFonts w:ascii="Times New Roman" w:eastAsia="Calibri" w:hAnsi="Times New Roman" w:cs="Times New Roman"/>
          <w:noProof/>
          <w:color w:val="000000" w:themeColor="text1"/>
          <w:sz w:val="24"/>
          <w:szCs w:val="24"/>
        </w:rPr>
        <w:t>worth about EUR 20 million under the anti-mafia law in 2019, against about EUR 7 million in 2018. Assets worth about EUR 870,000 (estimated) were confiscated in criminal proceedings under the same law, compared to only about EUR 26</w:t>
      </w:r>
      <w:r>
        <w:rPr>
          <w:rFonts w:ascii="Times New Roman" w:eastAsia="Times New Roman" w:hAnsi="Times New Roman" w:cs="Times New Roman"/>
          <w:noProof/>
          <w:color w:val="000000" w:themeColor="text1"/>
          <w:sz w:val="24"/>
          <w:szCs w:val="24"/>
        </w:rPr>
        <w:t>,</w:t>
      </w:r>
      <w:r>
        <w:rPr>
          <w:rFonts w:ascii="Times New Roman" w:eastAsia="Calibri" w:hAnsi="Times New Roman" w:cs="Times New Roman"/>
          <w:noProof/>
          <w:color w:val="000000" w:themeColor="text1"/>
          <w:sz w:val="24"/>
          <w:szCs w:val="24"/>
        </w:rPr>
        <w:t xml:space="preserve">600 in 2018. </w:t>
      </w:r>
    </w:p>
    <w:p w:rsidR="00EE1719" w:rsidRDefault="000E39BA">
      <w:pPr>
        <w:shd w:val="clear" w:color="auto" w:fill="FFFFFF"/>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There is n</w:t>
      </w:r>
      <w:r>
        <w:rPr>
          <w:rFonts w:ascii="Times New Roman" w:eastAsia="Calibri" w:hAnsi="Times New Roman" w:cs="Times New Roman"/>
          <w:noProof/>
          <w:color w:val="000000" w:themeColor="text1"/>
          <w:sz w:val="24"/>
          <w:szCs w:val="24"/>
        </w:rPr>
        <w:t>o strategic or systematic approach to identifying and confiscating criminal assets located abroad or not reachable</w:t>
      </w:r>
      <w:r>
        <w:rPr>
          <w:rFonts w:ascii="Times New Roman" w:eastAsia="Calibri" w:hAnsi="Times New Roman" w:cs="Times New Roman"/>
          <w:noProof/>
          <w:color w:val="000000" w:themeColor="text1"/>
          <w:sz w:val="24"/>
          <w:szCs w:val="24"/>
          <w:lang w:eastAsia="en-US"/>
        </w:rPr>
        <w:t>. In addition to t</w:t>
      </w:r>
      <w:r>
        <w:rPr>
          <w:rFonts w:ascii="Times New Roman" w:eastAsia="Calibri" w:hAnsi="Times New Roman" w:cs="Times New Roman"/>
          <w:noProof/>
          <w:color w:val="000000" w:themeColor="text1"/>
          <w:sz w:val="24"/>
          <w:szCs w:val="24"/>
        </w:rPr>
        <w:t>he tools for freezing, managing and confiscating criminal assets under the anti-mafia law, Albania should adopt and implemen</w:t>
      </w:r>
      <w:r>
        <w:rPr>
          <w:rFonts w:ascii="Times New Roman" w:eastAsia="Calibri" w:hAnsi="Times New Roman" w:cs="Times New Roman"/>
          <w:noProof/>
          <w:color w:val="000000" w:themeColor="text1"/>
          <w:sz w:val="24"/>
          <w:szCs w:val="24"/>
        </w:rPr>
        <w:t xml:space="preserve">t rules on the extended confiscation and precautionary freezing of assets. It should also urgently improve its capacity to manage frozen or confiscated assets so that they do not lose economic value. </w:t>
      </w:r>
    </w:p>
    <w:p w:rsidR="00EE1719" w:rsidRDefault="000E39BA">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Albania is a source, transit and destination country fo</w:t>
      </w:r>
      <w:r>
        <w:rPr>
          <w:rFonts w:ascii="Times New Roman" w:eastAsia="Calibri" w:hAnsi="Times New Roman" w:cs="Times New Roman"/>
          <w:noProof/>
          <w:color w:val="000000" w:themeColor="text1"/>
          <w:sz w:val="24"/>
          <w:szCs w:val="24"/>
        </w:rPr>
        <w:t xml:space="preserve">r </w:t>
      </w:r>
      <w:r>
        <w:rPr>
          <w:rFonts w:ascii="Times New Roman" w:eastAsia="Calibri" w:hAnsi="Times New Roman" w:cs="Times New Roman"/>
          <w:b/>
          <w:noProof/>
          <w:color w:val="000000" w:themeColor="text1"/>
          <w:sz w:val="24"/>
          <w:szCs w:val="24"/>
        </w:rPr>
        <w:t>trafficking in human beings</w:t>
      </w:r>
      <w:r>
        <w:rPr>
          <w:rFonts w:ascii="Times New Roman" w:eastAsia="Calibri" w:hAnsi="Times New Roman" w:cs="Times New Roman"/>
          <w:noProof/>
          <w:color w:val="000000" w:themeColor="text1"/>
          <w:sz w:val="24"/>
          <w:szCs w:val="24"/>
        </w:rPr>
        <w:t xml:space="preserve">. Albanian women and children are subject to trafficking for sexual and labour exploitation to neighbouring countries and EU Member States. The Prosecutor’s Office registered 22 new criminal proceedings for trafficking in 2018 </w:t>
      </w:r>
      <w:r>
        <w:rPr>
          <w:rFonts w:ascii="Times New Roman" w:eastAsia="Calibri" w:hAnsi="Times New Roman" w:cs="Times New Roman"/>
          <w:noProof/>
          <w:color w:val="000000" w:themeColor="text1"/>
          <w:sz w:val="24"/>
          <w:szCs w:val="24"/>
        </w:rPr>
        <w:t xml:space="preserve">and 25 in 2019. The number of cases with final convictions remained very low (three cases with three final convictions in 2018 and three cases with five final convictions in 2019). </w:t>
      </w:r>
      <w:r>
        <w:rPr>
          <w:rFonts w:ascii="Times New Roman" w:eastAsia="Calibri" w:hAnsi="Times New Roman" w:cs="Times New Roman"/>
          <w:bCs/>
          <w:noProof/>
          <w:color w:val="000000" w:themeColor="text1"/>
          <w:sz w:val="24"/>
          <w:szCs w:val="24"/>
        </w:rPr>
        <w:t>The national referral mechanism for</w:t>
      </w:r>
      <w:r>
        <w:rPr>
          <w:rFonts w:ascii="Times New Roman" w:eastAsia="Calibri" w:hAnsi="Times New Roman" w:cs="Times New Roman"/>
          <w:noProof/>
          <w:color w:val="000000" w:themeColor="text1"/>
          <w:sz w:val="24"/>
          <w:szCs w:val="24"/>
        </w:rPr>
        <w:t xml:space="preserve"> (potential) victims of trafficking </w:t>
      </w:r>
      <w:r>
        <w:rPr>
          <w:rFonts w:ascii="Times New Roman" w:eastAsia="Calibri" w:hAnsi="Times New Roman" w:cs="Times New Roman"/>
          <w:bCs/>
          <w:noProof/>
          <w:color w:val="000000" w:themeColor="text1"/>
          <w:sz w:val="24"/>
          <w:szCs w:val="24"/>
        </w:rPr>
        <w:t>is f</w:t>
      </w:r>
      <w:r>
        <w:rPr>
          <w:rFonts w:ascii="Times New Roman" w:eastAsia="Calibri" w:hAnsi="Times New Roman" w:cs="Times New Roman"/>
          <w:bCs/>
          <w:noProof/>
          <w:color w:val="000000" w:themeColor="text1"/>
          <w:sz w:val="24"/>
          <w:szCs w:val="24"/>
        </w:rPr>
        <w:t xml:space="preserve">ully functional. </w:t>
      </w:r>
      <w:r>
        <w:rPr>
          <w:rFonts w:ascii="Times New Roman" w:eastAsia="Calibri" w:hAnsi="Times New Roman" w:cs="Times New Roman"/>
          <w:noProof/>
          <w:color w:val="000000" w:themeColor="text1"/>
          <w:sz w:val="24"/>
          <w:szCs w:val="24"/>
        </w:rPr>
        <w:t>In 2019, 92 victims were identified and assisted, compared with 95 in 2018</w:t>
      </w:r>
      <w:r>
        <w:rPr>
          <w:rFonts w:ascii="Times New Roman" w:eastAsia="Calibri" w:hAnsi="Times New Roman" w:cs="Times New Roman"/>
          <w:bCs/>
          <w:noProof/>
          <w:color w:val="000000" w:themeColor="text1"/>
          <w:sz w:val="24"/>
          <w:szCs w:val="24"/>
        </w:rPr>
        <w:t>. Police and prosecutors cooperated more effectively on investigations and administrative procedures were simplified. NGO-run shelters remain underfunded. Victim-cen</w:t>
      </w:r>
      <w:r>
        <w:rPr>
          <w:rFonts w:ascii="Times New Roman" w:eastAsia="Calibri" w:hAnsi="Times New Roman" w:cs="Times New Roman"/>
          <w:bCs/>
          <w:noProof/>
          <w:color w:val="000000" w:themeColor="text1"/>
          <w:sz w:val="24"/>
          <w:szCs w:val="24"/>
        </w:rPr>
        <w:t>tred investigations and prosecutions are not conducted consistently. Albania should increase efforts on the early identification of victims and potential victims; intensify cross-border cooperation with neighbouring countries and international cooperation;</w:t>
      </w:r>
      <w:r>
        <w:rPr>
          <w:rFonts w:ascii="Times New Roman" w:eastAsia="Calibri" w:hAnsi="Times New Roman" w:cs="Times New Roman"/>
          <w:bCs/>
          <w:noProof/>
          <w:color w:val="000000" w:themeColor="text1"/>
          <w:sz w:val="24"/>
          <w:szCs w:val="24"/>
        </w:rPr>
        <w:t xml:space="preserve"> and contribute to the successful reintegration of victims. </w:t>
      </w:r>
      <w:r>
        <w:rPr>
          <w:rFonts w:ascii="Times New Roman" w:eastAsia="Calibri" w:hAnsi="Times New Roman" w:cs="Times New Roman"/>
          <w:noProof/>
          <w:color w:val="000000" w:themeColor="text1"/>
          <w:sz w:val="24"/>
          <w:szCs w:val="24"/>
        </w:rPr>
        <w:t>It should pay particular attention to unaccompanied children and child victims of trafficking,</w:t>
      </w:r>
      <w:r>
        <w:rPr>
          <w:rFonts w:ascii="Times New Roman" w:eastAsia="Calibri" w:hAnsi="Times New Roman" w:cs="Times New Roman"/>
          <w:bCs/>
          <w:noProof/>
          <w:color w:val="000000" w:themeColor="text1"/>
          <w:sz w:val="24"/>
          <w:szCs w:val="24"/>
        </w:rPr>
        <w:t xml:space="preserve"> and provide them with adequate protection.</w:t>
      </w:r>
      <w:r>
        <w:rPr>
          <w:rFonts w:ascii="Times New Roman" w:eastAsia="Calibri" w:hAnsi="Times New Roman" w:cs="Times New Roman"/>
          <w:noProof/>
          <w:color w:val="000000" w:themeColor="text1"/>
          <w:sz w:val="24"/>
          <w:szCs w:val="24"/>
          <w:lang w:eastAsia="en-US"/>
        </w:rPr>
        <w:t xml:space="preserve"> </w:t>
      </w:r>
      <w:r>
        <w:rPr>
          <w:rFonts w:ascii="Times New Roman" w:eastAsia="Calibri" w:hAnsi="Times New Roman" w:cs="Times New Roman"/>
          <w:noProof/>
          <w:color w:val="000000" w:themeColor="text1"/>
          <w:sz w:val="24"/>
          <w:szCs w:val="24"/>
        </w:rPr>
        <w:t xml:space="preserve">The improved legislative framework for victims, including </w:t>
      </w:r>
      <w:r>
        <w:rPr>
          <w:rFonts w:ascii="Times New Roman" w:eastAsia="Calibri" w:hAnsi="Times New Roman" w:cs="Times New Roman"/>
          <w:noProof/>
          <w:color w:val="000000" w:themeColor="text1"/>
          <w:sz w:val="24"/>
          <w:szCs w:val="24"/>
        </w:rPr>
        <w:t xml:space="preserve">amendments to the Criminal Procedural Code, has yet to be implemented. </w:t>
      </w:r>
    </w:p>
    <w:p w:rsidR="00EE1719" w:rsidRDefault="000E39BA">
      <w:pPr>
        <w:spacing w:after="120" w:line="240" w:lineRule="auto"/>
        <w:jc w:val="both"/>
        <w:rPr>
          <w:rFonts w:ascii="Times New Roman" w:eastAsia="Times New Roman" w:hAnsi="Times New Roman" w:cs="Times New Roman"/>
          <w:bCs/>
          <w:noProof/>
          <w:color w:val="000000" w:themeColor="text1"/>
          <w:sz w:val="24"/>
          <w:szCs w:val="24"/>
        </w:rPr>
      </w:pPr>
      <w:r>
        <w:rPr>
          <w:rFonts w:ascii="Times New Roman" w:eastAsia="Times New Roman" w:hAnsi="Times New Roman" w:cs="Times New Roman"/>
          <w:bCs/>
          <w:noProof/>
          <w:color w:val="000000" w:themeColor="text1"/>
          <w:sz w:val="24"/>
          <w:szCs w:val="24"/>
        </w:rPr>
        <w:t xml:space="preserve">On </w:t>
      </w:r>
      <w:r>
        <w:rPr>
          <w:rFonts w:ascii="Times New Roman" w:eastAsia="Calibri" w:hAnsi="Times New Roman" w:cs="Times New Roman"/>
          <w:b/>
          <w:noProof/>
          <w:color w:val="000000" w:themeColor="text1"/>
          <w:sz w:val="24"/>
          <w:szCs w:val="24"/>
          <w:lang w:eastAsia="en-US"/>
        </w:rPr>
        <w:t>illicit trafficking on firearms</w:t>
      </w:r>
      <w:r>
        <w:rPr>
          <w:rFonts w:ascii="Times New Roman" w:eastAsia="Times New Roman" w:hAnsi="Times New Roman" w:cs="Times New Roman"/>
          <w:bCs/>
          <w:noProof/>
          <w:color w:val="000000" w:themeColor="text1"/>
          <w:sz w:val="24"/>
          <w:szCs w:val="24"/>
        </w:rPr>
        <w:t xml:space="preserve">, </w:t>
      </w:r>
      <w:r>
        <w:rPr>
          <w:rFonts w:ascii="Times New Roman" w:eastAsia="Calibri" w:hAnsi="Times New Roman" w:cs="Times New Roman"/>
          <w:noProof/>
          <w:color w:val="000000" w:themeColor="text1"/>
          <w:sz w:val="24"/>
          <w:szCs w:val="24"/>
          <w:lang w:eastAsia="en-US"/>
        </w:rPr>
        <w:t xml:space="preserve">large numbers of firearms are available in Albania. These are used by Albanian criminal groups and trafficked, primarily to neighbouring countries. </w:t>
      </w:r>
      <w:r>
        <w:rPr>
          <w:rFonts w:ascii="Times New Roman" w:eastAsia="Calibri" w:hAnsi="Times New Roman" w:cs="Times New Roman"/>
          <w:noProof/>
          <w:color w:val="000000" w:themeColor="text1"/>
          <w:sz w:val="24"/>
          <w:szCs w:val="24"/>
          <w:lang w:eastAsia="en-US"/>
        </w:rPr>
        <w:t>Albania is both a destination and a transit country for light firearms. T</w:t>
      </w:r>
      <w:r>
        <w:rPr>
          <w:rFonts w:ascii="Times New Roman" w:eastAsia="Times New Roman" w:hAnsi="Times New Roman" w:cs="Times New Roman"/>
          <w:bCs/>
          <w:noProof/>
          <w:color w:val="000000" w:themeColor="text1"/>
          <w:sz w:val="24"/>
          <w:szCs w:val="24"/>
        </w:rPr>
        <w:t>here were 14 new criminal cases registered at the Prosecutor’s Office in 2018 and 12 in 2019, resulting in 35 final convictions in 2018 and 16 in 2019. Albania actively participated i</w:t>
      </w:r>
      <w:r>
        <w:rPr>
          <w:rFonts w:ascii="Times New Roman" w:eastAsia="Times New Roman" w:hAnsi="Times New Roman" w:cs="Times New Roman"/>
          <w:bCs/>
          <w:noProof/>
          <w:color w:val="000000" w:themeColor="text1"/>
          <w:sz w:val="24"/>
          <w:szCs w:val="24"/>
        </w:rPr>
        <w:t xml:space="preserve">n EU Policy Cycle/EMPACT operational action plan on firearms. It adopted an action plan 2019-2021 on small arms and light weapons and explosives control and appointed a firearms focal point. Albania should </w:t>
      </w:r>
      <w:r>
        <w:rPr>
          <w:rFonts w:ascii="Times New Roman" w:eastAsia="Times New Roman" w:hAnsi="Times New Roman" w:cs="Times New Roman"/>
          <w:noProof/>
          <w:color w:val="000000" w:themeColor="text1"/>
          <w:sz w:val="24"/>
          <w:szCs w:val="24"/>
        </w:rPr>
        <w:t>appoint a National EMPACT Coordinator.</w:t>
      </w:r>
      <w:r>
        <w:rPr>
          <w:rFonts w:ascii="Times New Roman" w:eastAsia="Times New Roman" w:hAnsi="Times New Roman" w:cs="Times New Roman"/>
          <w:bCs/>
          <w:noProof/>
          <w:color w:val="000000" w:themeColor="text1"/>
          <w:sz w:val="24"/>
          <w:szCs w:val="24"/>
        </w:rPr>
        <w:t xml:space="preserve"> It should a</w:t>
      </w:r>
      <w:r>
        <w:rPr>
          <w:rFonts w:ascii="Times New Roman" w:eastAsia="Times New Roman" w:hAnsi="Times New Roman" w:cs="Times New Roman"/>
          <w:bCs/>
          <w:noProof/>
          <w:color w:val="000000" w:themeColor="text1"/>
          <w:sz w:val="24"/>
          <w:szCs w:val="24"/>
        </w:rPr>
        <w:t>dopt standard procedures and mechanisms to counter the illicit trade of small arms and light weapons by air.</w:t>
      </w:r>
    </w:p>
    <w:p w:rsidR="00EE1719" w:rsidRDefault="000E39BA">
      <w:pPr>
        <w:spacing w:after="120" w:line="240" w:lineRule="auto"/>
        <w:jc w:val="both"/>
        <w:rPr>
          <w:rFonts w:ascii="Times New Roman" w:eastAsia="Calibri" w:hAnsi="Times New Roman" w:cs="Times New Roman"/>
          <w:noProof/>
          <w:color w:val="000000" w:themeColor="text1"/>
          <w:sz w:val="24"/>
          <w:szCs w:val="24"/>
          <w:highlight w:val="yellow"/>
          <w:lang w:eastAsia="en-US"/>
        </w:rPr>
      </w:pPr>
      <w:r>
        <w:rPr>
          <w:rFonts w:ascii="Times New Roman" w:eastAsia="Times New Roman" w:hAnsi="Times New Roman" w:cs="Times New Roman"/>
          <w:noProof/>
          <w:color w:val="000000" w:themeColor="text1"/>
          <w:sz w:val="24"/>
          <w:szCs w:val="24"/>
        </w:rPr>
        <w:t>On</w:t>
      </w:r>
      <w:r>
        <w:rPr>
          <w:rFonts w:ascii="Times New Roman" w:eastAsia="Times New Roman" w:hAnsi="Times New Roman" w:cs="Times New Roman"/>
          <w:b/>
          <w:noProof/>
          <w:color w:val="000000" w:themeColor="text1"/>
          <w:sz w:val="24"/>
          <w:szCs w:val="24"/>
        </w:rPr>
        <w:t xml:space="preserve"> cybercrime and internet fraud,</w:t>
      </w:r>
      <w:r>
        <w:rPr>
          <w:rFonts w:ascii="Times New Roman" w:eastAsia="Times New Roman" w:hAnsi="Times New Roman" w:cs="Times New Roman"/>
          <w:noProof/>
          <w:color w:val="000000" w:themeColor="text1"/>
          <w:sz w:val="24"/>
          <w:szCs w:val="24"/>
        </w:rPr>
        <w:t xml:space="preserve"> in 2019, 47 criminal offences were referred to the Prosecutor Office in the area of cybercrime, compared with 60 </w:t>
      </w:r>
      <w:r>
        <w:rPr>
          <w:rFonts w:ascii="Times New Roman" w:eastAsia="Times New Roman" w:hAnsi="Times New Roman" w:cs="Times New Roman"/>
          <w:noProof/>
          <w:color w:val="000000" w:themeColor="text1"/>
          <w:sz w:val="24"/>
          <w:szCs w:val="24"/>
        </w:rPr>
        <w:t>in 2018. There were three convictions at first instance level in 2018 and three in 2019. Albania has not yet adopted a cybercrime strategy, and should establish a more effective law enforcement response focusing on the detection, traceability and prosecuti</w:t>
      </w:r>
      <w:r>
        <w:rPr>
          <w:rFonts w:ascii="Times New Roman" w:eastAsia="Times New Roman" w:hAnsi="Times New Roman" w:cs="Times New Roman"/>
          <w:noProof/>
          <w:color w:val="000000" w:themeColor="text1"/>
          <w:sz w:val="24"/>
          <w:szCs w:val="24"/>
        </w:rPr>
        <w:t>on of cyber criminals. The 24/7 points of contact network established by the Council of Europe Convention on Cybercrime is underused. Albania should raise awareness among the prosecutors to enhance the use of this network. It should swiftly tackle the grow</w:t>
      </w:r>
      <w:r>
        <w:rPr>
          <w:rFonts w:ascii="Times New Roman" w:eastAsia="Times New Roman" w:hAnsi="Times New Roman" w:cs="Times New Roman"/>
          <w:noProof/>
          <w:color w:val="000000" w:themeColor="text1"/>
          <w:sz w:val="24"/>
          <w:szCs w:val="24"/>
        </w:rPr>
        <w:t>ing phenomenon</w:t>
      </w:r>
      <w:r>
        <w:rPr>
          <w:rFonts w:ascii="Times New Roman" w:eastAsia="Calibri" w:hAnsi="Times New Roman" w:cs="Times New Roman"/>
          <w:noProof/>
          <w:color w:val="000000" w:themeColor="text1"/>
          <w:sz w:val="24"/>
          <w:szCs w:val="24"/>
          <w:lang w:eastAsia="en-US"/>
        </w:rPr>
        <w:t xml:space="preserve"> of online child pornography. In particular, it should adopt the necessary legislative amendments to criminalise all forms of online child sexual abuse. The ASP should increase its capacity to deal with such cases. </w:t>
      </w:r>
    </w:p>
    <w:p w:rsidR="00EE1719" w:rsidRDefault="000E39BA">
      <w:pPr>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Albania has a large inform</w:t>
      </w:r>
      <w:r>
        <w:rPr>
          <w:rFonts w:ascii="Times New Roman" w:eastAsia="Calibri" w:hAnsi="Times New Roman" w:cs="Times New Roman"/>
          <w:noProof/>
          <w:color w:val="000000" w:themeColor="text1"/>
          <w:sz w:val="24"/>
          <w:szCs w:val="24"/>
          <w:lang w:eastAsia="en-US"/>
        </w:rPr>
        <w:t xml:space="preserve">al sector and its economy is primarily cash-based. Crimes that generate large amounts of money include drug trafficking, tax evasion, smuggling and human trafficking. As regards </w:t>
      </w:r>
      <w:r>
        <w:rPr>
          <w:rFonts w:ascii="Times New Roman" w:eastAsia="Calibri" w:hAnsi="Times New Roman" w:cs="Times New Roman"/>
          <w:b/>
          <w:noProof/>
          <w:color w:val="000000" w:themeColor="text1"/>
          <w:sz w:val="24"/>
          <w:szCs w:val="24"/>
          <w:lang w:eastAsia="en-US"/>
        </w:rPr>
        <w:t>money laundering,</w:t>
      </w:r>
      <w:r>
        <w:rPr>
          <w:rFonts w:ascii="Times New Roman" w:eastAsia="Calibri" w:hAnsi="Times New Roman" w:cs="Times New Roman"/>
          <w:noProof/>
          <w:color w:val="000000" w:themeColor="text1"/>
          <w:sz w:val="24"/>
          <w:szCs w:val="24"/>
          <w:lang w:eastAsia="en-US"/>
        </w:rPr>
        <w:t xml:space="preserve"> the Parliament </w:t>
      </w:r>
      <w:r>
        <w:rPr>
          <w:rFonts w:ascii="Times New Roman" w:eastAsia="Times New Roman" w:hAnsi="Times New Roman" w:cs="Times New Roman"/>
          <w:bCs/>
          <w:noProof/>
          <w:color w:val="000000" w:themeColor="text1"/>
          <w:sz w:val="24"/>
          <w:szCs w:val="24"/>
        </w:rPr>
        <w:t xml:space="preserve">adopted a ‘Moneyval </w:t>
      </w:r>
      <w:r>
        <w:rPr>
          <w:rFonts w:ascii="Times New Roman" w:eastAsia="Calibri" w:hAnsi="Times New Roman" w:cs="Times New Roman"/>
          <w:noProof/>
          <w:color w:val="000000" w:themeColor="text1"/>
          <w:sz w:val="24"/>
          <w:szCs w:val="24"/>
          <w:lang w:eastAsia="en-US"/>
        </w:rPr>
        <w:t xml:space="preserve">package’ in June 2019 to </w:t>
      </w:r>
      <w:r>
        <w:rPr>
          <w:rFonts w:ascii="Times New Roman" w:eastAsia="Calibri" w:hAnsi="Times New Roman" w:cs="Times New Roman"/>
          <w:noProof/>
          <w:color w:val="000000" w:themeColor="text1"/>
          <w:sz w:val="24"/>
          <w:szCs w:val="24"/>
          <w:lang w:eastAsia="en-US"/>
        </w:rPr>
        <w:t>address the recommendations of the December 2018 Moneyval report. The package included amendments to four laws (on tax procedure, business registration, terrorism financing and the prevention of money laundering/terrorism financing), and the new law on the</w:t>
      </w:r>
      <w:r>
        <w:rPr>
          <w:rFonts w:ascii="Times New Roman" w:eastAsia="Calibri" w:hAnsi="Times New Roman" w:cs="Times New Roman"/>
          <w:noProof/>
          <w:color w:val="000000" w:themeColor="text1"/>
          <w:sz w:val="24"/>
          <w:szCs w:val="24"/>
          <w:lang w:eastAsia="en-US"/>
        </w:rPr>
        <w:t xml:space="preserve"> administration of confiscated assets. In February 2020, the </w:t>
      </w:r>
      <w:r>
        <w:rPr>
          <w:rFonts w:ascii="Times New Roman" w:eastAsia="Calibri" w:hAnsi="Times New Roman" w:cs="Times New Roman"/>
          <w:bCs/>
          <w:noProof/>
          <w:color w:val="000000" w:themeColor="text1"/>
          <w:sz w:val="24"/>
          <w:szCs w:val="24"/>
          <w:lang w:eastAsia="en-US"/>
        </w:rPr>
        <w:t>Financial Action Task Force (</w:t>
      </w:r>
      <w:r>
        <w:rPr>
          <w:rFonts w:ascii="Times New Roman" w:eastAsia="Calibri" w:hAnsi="Times New Roman" w:cs="Times New Roman"/>
          <w:noProof/>
          <w:color w:val="000000" w:themeColor="text1"/>
          <w:sz w:val="24"/>
          <w:szCs w:val="24"/>
          <w:lang w:eastAsia="en-US"/>
        </w:rPr>
        <w:t xml:space="preserve">FATF) placed Albania in the </w:t>
      </w:r>
      <w:r>
        <w:rPr>
          <w:rFonts w:ascii="Times New Roman" w:eastAsia="Calibri" w:hAnsi="Times New Roman" w:cs="Times New Roman"/>
          <w:noProof/>
          <w:color w:val="000000" w:themeColor="text1"/>
          <w:sz w:val="24"/>
          <w:szCs w:val="24"/>
          <w:lang w:eastAsia="fr-BE"/>
        </w:rPr>
        <w:t>list of jurisdictions under increased monitoring</w:t>
      </w:r>
      <w:r>
        <w:rPr>
          <w:rFonts w:ascii="Times New Roman" w:eastAsia="Calibri" w:hAnsi="Times New Roman" w:cs="Times New Roman"/>
          <w:noProof/>
          <w:color w:val="000000" w:themeColor="text1"/>
          <w:sz w:val="24"/>
          <w:szCs w:val="24"/>
          <w:lang w:eastAsia="en-US"/>
        </w:rPr>
        <w:t xml:space="preserve">. A FATF action plan contains actions to be implemented by October 2021 to allow Albania to be removed from that list. Albania has made a high-level political commitment to implement the FATF action plan, covering </w:t>
      </w:r>
      <w:r>
        <w:rPr>
          <w:rFonts w:ascii="Times New Roman" w:eastAsia="Calibri" w:hAnsi="Times New Roman" w:cs="Times New Roman"/>
          <w:i/>
          <w:noProof/>
          <w:color w:val="000000" w:themeColor="text1"/>
          <w:sz w:val="24"/>
          <w:szCs w:val="24"/>
          <w:lang w:eastAsia="en-US"/>
        </w:rPr>
        <w:t>inter alia</w:t>
      </w:r>
      <w:r>
        <w:rPr>
          <w:rFonts w:ascii="Times New Roman" w:eastAsia="Calibri" w:hAnsi="Times New Roman" w:cs="Times New Roman"/>
          <w:noProof/>
          <w:color w:val="000000" w:themeColor="text1"/>
          <w:sz w:val="24"/>
          <w:szCs w:val="24"/>
          <w:lang w:eastAsia="en-US"/>
        </w:rPr>
        <w:t xml:space="preserve"> the identification of money-lau</w:t>
      </w:r>
      <w:r>
        <w:rPr>
          <w:rFonts w:ascii="Times New Roman" w:eastAsia="Calibri" w:hAnsi="Times New Roman" w:cs="Times New Roman"/>
          <w:noProof/>
          <w:color w:val="000000" w:themeColor="text1"/>
          <w:sz w:val="24"/>
          <w:szCs w:val="24"/>
          <w:lang w:eastAsia="en-US"/>
        </w:rPr>
        <w:t>ndering risks, mutual legal assistance, the transparency of beneficial ownership, prosecution and confiscation measures. The government has set up a working group chaired by the deputy prime minister to steer the necessary reforms at political level. The i</w:t>
      </w:r>
      <w:r>
        <w:rPr>
          <w:rFonts w:ascii="Times New Roman" w:eastAsia="Calibri" w:hAnsi="Times New Roman" w:cs="Times New Roman"/>
          <w:noProof/>
          <w:color w:val="000000" w:themeColor="text1"/>
          <w:sz w:val="24"/>
          <w:szCs w:val="24"/>
          <w:lang w:eastAsia="en-US"/>
        </w:rPr>
        <w:t>mplementation of the measures identified in the FATF action plan has started despite the COVID-19 pandemic, in particular by conducting a risk analysis regarding banking products and service and the misuse of legal entities. The Albanian government has not</w:t>
      </w:r>
      <w:r>
        <w:rPr>
          <w:rFonts w:ascii="Times New Roman" w:eastAsia="Calibri" w:hAnsi="Times New Roman" w:cs="Times New Roman"/>
          <w:noProof/>
          <w:color w:val="000000" w:themeColor="text1"/>
          <w:sz w:val="24"/>
          <w:szCs w:val="24"/>
          <w:lang w:eastAsia="en-US"/>
        </w:rPr>
        <w:t xml:space="preserve">ified to the European Commission its commitment to align as a priority with the body of EU </w:t>
      </w:r>
      <w:r>
        <w:rPr>
          <w:rFonts w:ascii="Times New Roman" w:eastAsia="Calibri" w:hAnsi="Times New Roman" w:cs="Times New Roman"/>
          <w:i/>
          <w:noProof/>
          <w:color w:val="000000" w:themeColor="text1"/>
          <w:sz w:val="24"/>
          <w:szCs w:val="24"/>
          <w:lang w:eastAsia="en-US"/>
        </w:rPr>
        <w:t>acquis</w:t>
      </w:r>
      <w:r>
        <w:rPr>
          <w:rFonts w:ascii="Times New Roman" w:eastAsia="Calibri" w:hAnsi="Times New Roman" w:cs="Times New Roman"/>
          <w:noProof/>
          <w:color w:val="000000" w:themeColor="text1"/>
          <w:sz w:val="24"/>
          <w:szCs w:val="24"/>
          <w:lang w:eastAsia="en-US"/>
        </w:rPr>
        <w:t xml:space="preserve"> on anti-money laundering, notably by developing the legal basis for the establishment of the beneficial ownership registry and a centralised bank account regi</w:t>
      </w:r>
      <w:r>
        <w:rPr>
          <w:rFonts w:ascii="Times New Roman" w:eastAsia="Calibri" w:hAnsi="Times New Roman" w:cs="Times New Roman"/>
          <w:noProof/>
          <w:color w:val="000000" w:themeColor="text1"/>
          <w:sz w:val="24"/>
          <w:szCs w:val="24"/>
          <w:lang w:eastAsia="en-US"/>
        </w:rPr>
        <w:t>ster. The law on establishing a beneficial ownership registry was adopted in July 2020.</w:t>
      </w:r>
    </w:p>
    <w:p w:rsidR="00EE1719" w:rsidRDefault="000E39BA">
      <w:pPr>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rPr>
        <w:t xml:space="preserve">In </w:t>
      </w:r>
      <w:r>
        <w:rPr>
          <w:rFonts w:ascii="Times New Roman" w:eastAsia="Calibri" w:hAnsi="Times New Roman" w:cs="Times New Roman"/>
          <w:noProof/>
          <w:color w:val="000000" w:themeColor="text1"/>
          <w:sz w:val="24"/>
          <w:szCs w:val="24"/>
          <w:lang w:eastAsia="en-US"/>
        </w:rPr>
        <w:t>2019, 232 cases of money laundering were referred to prosecutors, against 257 in 2018. The number of cases with final convictions for money laundering remains low (1</w:t>
      </w:r>
      <w:r>
        <w:rPr>
          <w:rFonts w:ascii="Times New Roman" w:eastAsia="Calibri" w:hAnsi="Times New Roman" w:cs="Times New Roman"/>
          <w:noProof/>
          <w:color w:val="000000" w:themeColor="text1"/>
          <w:sz w:val="24"/>
          <w:szCs w:val="24"/>
          <w:lang w:eastAsia="en-US"/>
        </w:rPr>
        <w:t xml:space="preserve">0 in 2018 and 8 in 2019). </w:t>
      </w:r>
    </w:p>
    <w:p w:rsidR="00EE1719" w:rsidRDefault="000E39BA">
      <w:pPr>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Times New Roman" w:hAnsi="Times New Roman" w:cs="Times New Roman"/>
          <w:noProof/>
          <w:color w:val="000000" w:themeColor="text1"/>
          <w:sz w:val="24"/>
          <w:szCs w:val="24"/>
        </w:rPr>
        <w:t>The ASP’s</w:t>
      </w:r>
      <w:r>
        <w:rPr>
          <w:rFonts w:ascii="Times New Roman" w:eastAsia="Times New Roman" w:hAnsi="Times New Roman" w:cs="Times New Roman"/>
          <w:b/>
          <w:noProof/>
          <w:color w:val="000000" w:themeColor="text1"/>
          <w:sz w:val="24"/>
          <w:szCs w:val="24"/>
        </w:rPr>
        <w:t xml:space="preserve"> witness protection</w:t>
      </w:r>
      <w:r>
        <w:rPr>
          <w:rFonts w:ascii="Times New Roman" w:eastAsia="Times New Roman" w:hAnsi="Times New Roman" w:cs="Times New Roman"/>
          <w:noProof/>
          <w:color w:val="000000" w:themeColor="text1"/>
          <w:sz w:val="24"/>
          <w:szCs w:val="24"/>
        </w:rPr>
        <w:t xml:space="preserve"> programme has worked satisfactorily</w:t>
      </w:r>
      <w:r>
        <w:rPr>
          <w:rFonts w:ascii="Times New Roman" w:eastAsia="Calibri" w:hAnsi="Times New Roman" w:cs="Times New Roman"/>
          <w:noProof/>
          <w:color w:val="000000" w:themeColor="text1"/>
          <w:sz w:val="24"/>
          <w:szCs w:val="24"/>
          <w:lang w:eastAsia="en-US"/>
        </w:rPr>
        <w:t>. In 2019, it implemented</w:t>
      </w:r>
      <w:r>
        <w:rPr>
          <w:rFonts w:ascii="Times New Roman" w:eastAsia="Times New Roman" w:hAnsi="Times New Roman" w:cs="Times New Roman"/>
          <w:noProof/>
          <w:color w:val="000000" w:themeColor="text1"/>
          <w:sz w:val="24"/>
          <w:szCs w:val="24"/>
        </w:rPr>
        <w:t xml:space="preserve"> 20 witness protection</w:t>
      </w:r>
      <w:r>
        <w:rPr>
          <w:rFonts w:ascii="Times New Roman" w:eastAsia="Calibri" w:hAnsi="Times New Roman" w:cs="Times New Roman"/>
          <w:noProof/>
          <w:color w:val="000000" w:themeColor="text1"/>
          <w:sz w:val="24"/>
          <w:szCs w:val="24"/>
          <w:lang w:eastAsia="en-US"/>
        </w:rPr>
        <w:t xml:space="preserve"> operations, three more than in 2018.</w:t>
      </w:r>
    </w:p>
    <w:p w:rsidR="00EE1719" w:rsidRDefault="000E39BA">
      <w:pPr>
        <w:widowControl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Proactively fighting organised crime and corruption remains fundamental to count</w:t>
      </w:r>
      <w:r>
        <w:rPr>
          <w:rFonts w:ascii="Times New Roman" w:eastAsia="Calibri" w:hAnsi="Times New Roman" w:cs="Times New Roman"/>
          <w:noProof/>
          <w:color w:val="000000" w:themeColor="text1"/>
          <w:sz w:val="24"/>
          <w:szCs w:val="24"/>
          <w:lang w:eastAsia="en-US"/>
        </w:rPr>
        <w:t>ering criminal infiltration of the political, legal and economic systems.</w:t>
      </w:r>
    </w:p>
    <w:p w:rsidR="00EE1719" w:rsidRDefault="000E39BA">
      <w:pPr>
        <w:widowControl w:val="0"/>
        <w:spacing w:after="120" w:line="240" w:lineRule="auto"/>
        <w:jc w:val="both"/>
        <w:rPr>
          <w:rFonts w:ascii="Times New Roman" w:eastAsia="Times New Roman" w:hAnsi="Times New Roman" w:cs="Times New Roman"/>
          <w:b/>
          <w:noProof/>
          <w:color w:val="000000" w:themeColor="text1"/>
          <w:sz w:val="24"/>
          <w:szCs w:val="24"/>
        </w:rPr>
      </w:pPr>
      <w:r>
        <w:rPr>
          <w:rFonts w:ascii="Times New Roman" w:eastAsia="Times New Roman" w:hAnsi="Times New Roman" w:cs="Times New Roman"/>
          <w:b/>
          <w:noProof/>
          <w:color w:val="000000" w:themeColor="text1"/>
          <w:sz w:val="24"/>
          <w:szCs w:val="24"/>
        </w:rPr>
        <w:t>Cooperation in the fight against drugs</w:t>
      </w:r>
    </w:p>
    <w:p w:rsidR="00EE1719" w:rsidRDefault="000E39BA">
      <w:pPr>
        <w:widowControl w:val="0"/>
        <w:spacing w:after="120" w:line="240" w:lineRule="auto"/>
        <w:jc w:val="both"/>
        <w:rPr>
          <w:rFonts w:ascii="Times New Roman" w:eastAsia="Times New Roman" w:hAnsi="Times New Roman" w:cs="Times New Roman"/>
          <w:noProof/>
          <w:color w:val="000000" w:themeColor="text1"/>
          <w:sz w:val="24"/>
          <w:szCs w:val="24"/>
          <w:u w:val="single"/>
        </w:rPr>
      </w:pPr>
      <w:r>
        <w:rPr>
          <w:rFonts w:ascii="Times New Roman" w:eastAsia="Times New Roman" w:hAnsi="Times New Roman" w:cs="Times New Roman"/>
          <w:noProof/>
          <w:color w:val="000000" w:themeColor="text1"/>
          <w:sz w:val="24"/>
          <w:szCs w:val="24"/>
          <w:u w:val="single"/>
        </w:rPr>
        <w:t>Institutional set-up and legal alignment</w:t>
      </w:r>
    </w:p>
    <w:p w:rsidR="00EE1719" w:rsidRDefault="000E39BA">
      <w:pPr>
        <w:widowControl w:val="0"/>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lang w:eastAsia="en-US"/>
        </w:rPr>
        <w:t xml:space="preserve">The Ministry of the Interior and the Ministry of Health and Social Protection/Institute of Public Health are the main lead bodies in the fight against drug trafficking and drug abuse respectively. </w:t>
      </w:r>
      <w:r>
        <w:rPr>
          <w:rFonts w:ascii="Times New Roman" w:eastAsia="Times New Roman" w:hAnsi="Times New Roman" w:cs="Times New Roman"/>
          <w:noProof/>
          <w:color w:val="000000" w:themeColor="text1"/>
          <w:sz w:val="24"/>
          <w:szCs w:val="24"/>
        </w:rPr>
        <w:t>Albania has not yet set up a national drug observatory or d</w:t>
      </w:r>
      <w:r>
        <w:rPr>
          <w:rFonts w:ascii="Times New Roman" w:eastAsia="Times New Roman" w:hAnsi="Times New Roman" w:cs="Times New Roman"/>
          <w:noProof/>
          <w:color w:val="000000" w:themeColor="text1"/>
          <w:sz w:val="24"/>
          <w:szCs w:val="24"/>
        </w:rPr>
        <w:t xml:space="preserve">eveloped a functional early warning system on new </w:t>
      </w:r>
      <w:r>
        <w:rPr>
          <w:rFonts w:ascii="Times New Roman" w:eastAsia="Times New Roman" w:hAnsi="Times New Roman" w:cs="Times New Roman"/>
          <w:iCs/>
          <w:noProof/>
          <w:color w:val="000000" w:themeColor="text1"/>
          <w:sz w:val="24"/>
          <w:szCs w:val="24"/>
        </w:rPr>
        <w:t>psychoactive substances</w:t>
      </w:r>
      <w:r>
        <w:rPr>
          <w:rFonts w:ascii="Times New Roman" w:eastAsia="Times New Roman" w:hAnsi="Times New Roman" w:cs="Times New Roman"/>
          <w:noProof/>
          <w:color w:val="000000" w:themeColor="text1"/>
          <w:sz w:val="24"/>
          <w:szCs w:val="24"/>
        </w:rPr>
        <w:t>. T</w:t>
      </w:r>
      <w:r>
        <w:rPr>
          <w:rFonts w:ascii="Times New Roman" w:eastAsia="Calibri" w:hAnsi="Times New Roman" w:cs="Times New Roman"/>
          <w:noProof/>
          <w:color w:val="000000" w:themeColor="text1"/>
          <w:sz w:val="24"/>
          <w:szCs w:val="24"/>
          <w:lang w:eastAsia="en-US"/>
        </w:rPr>
        <w:t xml:space="preserve">he </w:t>
      </w:r>
      <w:r>
        <w:rPr>
          <w:rFonts w:ascii="Times New Roman" w:eastAsia="Times New Roman" w:hAnsi="Times New Roman" w:cs="Times New Roman"/>
          <w:noProof/>
          <w:color w:val="000000" w:themeColor="text1"/>
          <w:sz w:val="24"/>
          <w:szCs w:val="24"/>
        </w:rPr>
        <w:t xml:space="preserve">1995 </w:t>
      </w:r>
      <w:r>
        <w:rPr>
          <w:rFonts w:ascii="Times New Roman" w:eastAsia="Calibri" w:hAnsi="Times New Roman" w:cs="Times New Roman"/>
          <w:noProof/>
          <w:color w:val="000000" w:themeColor="text1"/>
          <w:sz w:val="24"/>
          <w:szCs w:val="24"/>
          <w:lang w:eastAsia="en-US"/>
        </w:rPr>
        <w:t xml:space="preserve">Law </w:t>
      </w:r>
      <w:r>
        <w:rPr>
          <w:rFonts w:ascii="Times New Roman" w:eastAsia="Times New Roman" w:hAnsi="Times New Roman" w:cs="Times New Roman"/>
          <w:noProof/>
          <w:color w:val="000000" w:themeColor="text1"/>
          <w:sz w:val="24"/>
          <w:szCs w:val="24"/>
        </w:rPr>
        <w:t>on narcotic drugs and psychotropic substances should be amended and the list of prohibited psychoactive substances updated in order to provide a legal framework to inve</w:t>
      </w:r>
      <w:r>
        <w:rPr>
          <w:rFonts w:ascii="Times New Roman" w:eastAsia="Times New Roman" w:hAnsi="Times New Roman" w:cs="Times New Roman"/>
          <w:noProof/>
          <w:color w:val="000000" w:themeColor="text1"/>
          <w:sz w:val="24"/>
          <w:szCs w:val="24"/>
        </w:rPr>
        <w:t xml:space="preserve">stigate and prosecute in relation to such substances. A new national drug control plan (2019-2023) and action plan still need to be adopted. </w:t>
      </w:r>
      <w:r>
        <w:rPr>
          <w:rFonts w:ascii="Times New Roman" w:eastAsia="Calibri" w:hAnsi="Times New Roman" w:cs="Times New Roman"/>
          <w:noProof/>
          <w:color w:val="000000" w:themeColor="text1"/>
          <w:sz w:val="24"/>
          <w:szCs w:val="24"/>
          <w:lang w:eastAsia="en-US"/>
        </w:rPr>
        <w:t>The government has indicated its intention to propose a law for allowing the use of cannabis for medical purposes o</w:t>
      </w:r>
      <w:r>
        <w:rPr>
          <w:rFonts w:ascii="Times New Roman" w:eastAsia="Calibri" w:hAnsi="Times New Roman" w:cs="Times New Roman"/>
          <w:noProof/>
          <w:color w:val="000000" w:themeColor="text1"/>
          <w:sz w:val="24"/>
          <w:szCs w:val="24"/>
          <w:lang w:eastAsia="en-US"/>
        </w:rPr>
        <w:t>nly. The 1961 Single Convention on Narcotic Drugs to which Albania is party sets strict requirements to control the production and regulate the supply of cannabis for medical use as well as to prevent its diversion to non-medical use.</w:t>
      </w:r>
    </w:p>
    <w:p w:rsidR="00EE1719" w:rsidRDefault="000E39BA">
      <w:pPr>
        <w:keepNext/>
        <w:keepLines/>
        <w:spacing w:after="120" w:line="240" w:lineRule="auto"/>
        <w:jc w:val="both"/>
        <w:rPr>
          <w:rFonts w:ascii="Times New Roman" w:eastAsia="Times New Roman" w:hAnsi="Times New Roman" w:cs="Times New Roman"/>
          <w:noProof/>
          <w:color w:val="000000" w:themeColor="text1"/>
          <w:sz w:val="24"/>
          <w:szCs w:val="24"/>
          <w:u w:val="single"/>
        </w:rPr>
      </w:pPr>
      <w:r>
        <w:rPr>
          <w:rFonts w:ascii="Times New Roman" w:eastAsia="Times New Roman" w:hAnsi="Times New Roman" w:cs="Times New Roman"/>
          <w:noProof/>
          <w:color w:val="000000" w:themeColor="text1"/>
          <w:sz w:val="24"/>
          <w:szCs w:val="24"/>
          <w:u w:val="single"/>
        </w:rPr>
        <w:t xml:space="preserve">Implementation and </w:t>
      </w:r>
      <w:r>
        <w:rPr>
          <w:rFonts w:ascii="Times New Roman" w:eastAsia="Times New Roman" w:hAnsi="Times New Roman" w:cs="Times New Roman"/>
          <w:noProof/>
          <w:color w:val="000000" w:themeColor="text1"/>
          <w:sz w:val="24"/>
          <w:szCs w:val="24"/>
          <w:u w:val="single"/>
        </w:rPr>
        <w:t>enforcement capacity</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On Albania’s </w:t>
      </w:r>
      <w:r>
        <w:rPr>
          <w:rFonts w:ascii="Times New Roman" w:eastAsia="Times New Roman" w:hAnsi="Times New Roman" w:cs="Times New Roman"/>
          <w:b/>
          <w:noProof/>
          <w:color w:val="000000" w:themeColor="text1"/>
          <w:sz w:val="24"/>
          <w:szCs w:val="24"/>
        </w:rPr>
        <w:t>track record</w:t>
      </w:r>
      <w:r>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bCs/>
          <w:noProof/>
          <w:color w:val="000000" w:themeColor="text1"/>
          <w:sz w:val="24"/>
          <w:szCs w:val="24"/>
        </w:rPr>
        <w:t>in 2019 the police referred 1,989 cases of drug production, cultivation and trafficking to prosecutors, involving 2,704 alleged offenders. This represents a slight increase compared with 2018 (1,907 new cases</w:t>
      </w:r>
      <w:r>
        <w:rPr>
          <w:rFonts w:ascii="Times New Roman" w:eastAsia="Times New Roman" w:hAnsi="Times New Roman" w:cs="Times New Roman"/>
          <w:bCs/>
          <w:noProof/>
          <w:color w:val="000000" w:themeColor="text1"/>
          <w:sz w:val="24"/>
          <w:szCs w:val="24"/>
        </w:rPr>
        <w:t xml:space="preserve"> referred involving 2,357 possible offenders). Of the 1,989 cases, 1,548 (78%) were registered by the prosecutors. </w:t>
      </w:r>
      <w:r>
        <w:rPr>
          <w:rFonts w:ascii="Times New Roman" w:eastAsia="Times New Roman" w:hAnsi="Times New Roman" w:cs="Times New Roman"/>
          <w:noProof/>
          <w:color w:val="000000" w:themeColor="text1"/>
          <w:sz w:val="24"/>
          <w:szCs w:val="24"/>
        </w:rPr>
        <w:t xml:space="preserve">485 cases resulted in indictments. 290 offenders received final convictions at appeal level, in comparison with 685 in 2018. As in </w:t>
      </w:r>
      <w:r>
        <w:rPr>
          <w:rFonts w:ascii="Times New Roman" w:eastAsia="Times New Roman" w:hAnsi="Times New Roman" w:cs="Times New Roman"/>
          <w:bCs/>
          <w:noProof/>
          <w:color w:val="000000" w:themeColor="text1"/>
          <w:sz w:val="24"/>
          <w:szCs w:val="24"/>
        </w:rPr>
        <w:t>2018, none</w:t>
      </w:r>
      <w:r>
        <w:rPr>
          <w:rFonts w:ascii="Times New Roman" w:eastAsia="Times New Roman" w:hAnsi="Times New Roman" w:cs="Times New Roman"/>
          <w:bCs/>
          <w:noProof/>
          <w:color w:val="000000" w:themeColor="text1"/>
          <w:sz w:val="24"/>
          <w:szCs w:val="24"/>
        </w:rPr>
        <w:t xml:space="preserve"> of the cases referred to prosecutors concerned the production and manufacture of narcotic and psychotropic substances.</w:t>
      </w:r>
    </w:p>
    <w:p w:rsidR="00EE1719" w:rsidRDefault="000E39BA">
      <w:pPr>
        <w:spacing w:after="120" w:line="240" w:lineRule="auto"/>
        <w:jc w:val="both"/>
        <w:rPr>
          <w:rFonts w:ascii="Times New Roman" w:eastAsia="Times New Roman" w:hAnsi="Times New Roman" w:cs="Times New Roman"/>
          <w:bCs/>
          <w:noProof/>
          <w:color w:val="000000" w:themeColor="text1"/>
          <w:sz w:val="24"/>
          <w:szCs w:val="24"/>
          <w:lang w:eastAsia="en-US"/>
        </w:rPr>
      </w:pPr>
      <w:r>
        <w:rPr>
          <w:rFonts w:ascii="Times New Roman" w:eastAsia="Times New Roman" w:hAnsi="Times New Roman" w:cs="Times New Roman"/>
          <w:noProof/>
          <w:color w:val="000000" w:themeColor="text1"/>
          <w:sz w:val="24"/>
          <w:szCs w:val="24"/>
        </w:rPr>
        <w:t xml:space="preserve">The </w:t>
      </w:r>
      <w:r>
        <w:rPr>
          <w:rFonts w:ascii="Times New Roman" w:eastAsia="Calibri" w:hAnsi="Times New Roman" w:cs="Times New Roman"/>
          <w:noProof/>
          <w:color w:val="000000" w:themeColor="text1"/>
          <w:sz w:val="24"/>
          <w:szCs w:val="24"/>
        </w:rPr>
        <w:t xml:space="preserve">Albanian </w:t>
      </w:r>
      <w:r>
        <w:rPr>
          <w:rFonts w:ascii="Times New Roman" w:eastAsia="Times New Roman" w:hAnsi="Times New Roman" w:cs="Times New Roman"/>
          <w:noProof/>
          <w:color w:val="000000" w:themeColor="text1"/>
          <w:sz w:val="24"/>
          <w:szCs w:val="24"/>
        </w:rPr>
        <w:t xml:space="preserve">authorities further consolidated their fight against cannabis cultivation and trafficking. Increased cooperation with EU Member States’ law enforcement authorities brought tangible results. Joint investigation teams, notably with Italy, helped to identify </w:t>
      </w:r>
      <w:r>
        <w:rPr>
          <w:rFonts w:ascii="Times New Roman" w:eastAsia="Times New Roman" w:hAnsi="Times New Roman" w:cs="Times New Roman"/>
          <w:noProof/>
          <w:color w:val="000000" w:themeColor="text1"/>
          <w:sz w:val="24"/>
          <w:szCs w:val="24"/>
        </w:rPr>
        <w:t xml:space="preserve">and prosecute criminal organisations at the core of narcotics trafficking operations, including those carried out by sea. The authorities assisted the Italian Ministry of Interior, Department of Public Security and the Italian </w:t>
      </w:r>
      <w:r>
        <w:rPr>
          <w:rFonts w:ascii="Times New Roman" w:eastAsia="Times New Roman" w:hAnsi="Times New Roman" w:cs="Times New Roman"/>
          <w:i/>
          <w:noProof/>
          <w:color w:val="000000" w:themeColor="text1"/>
          <w:sz w:val="24"/>
          <w:szCs w:val="24"/>
        </w:rPr>
        <w:t>Guardia di Finanza</w:t>
      </w:r>
      <w:r>
        <w:rPr>
          <w:rFonts w:ascii="Times New Roman" w:eastAsia="Times New Roman" w:hAnsi="Times New Roman" w:cs="Times New Roman"/>
          <w:noProof/>
          <w:color w:val="000000" w:themeColor="text1"/>
          <w:sz w:val="24"/>
          <w:szCs w:val="24"/>
        </w:rPr>
        <w:t xml:space="preserve"> in the sei</w:t>
      </w:r>
      <w:r>
        <w:rPr>
          <w:rFonts w:ascii="Times New Roman" w:eastAsia="Times New Roman" w:hAnsi="Times New Roman" w:cs="Times New Roman"/>
          <w:noProof/>
          <w:color w:val="000000" w:themeColor="text1"/>
          <w:sz w:val="24"/>
          <w:szCs w:val="24"/>
        </w:rPr>
        <w:t>zure of speedboats with cannabis heading from Albania to Italy. In June 2020, in an international operation with the Italian police, 37 people suspected of being part of an international drug trafficking ring were arrested. The police seized 3.5 tons of ma</w:t>
      </w:r>
      <w:r>
        <w:rPr>
          <w:rFonts w:ascii="Times New Roman" w:eastAsia="Times New Roman" w:hAnsi="Times New Roman" w:cs="Times New Roman"/>
          <w:noProof/>
          <w:color w:val="000000" w:themeColor="text1"/>
          <w:sz w:val="24"/>
          <w:szCs w:val="24"/>
        </w:rPr>
        <w:t>rijuana, cocaine and hashish, for an economic value of EUR 40 million. In March 2020, the ASP seized 613 kg of cannabis ready to be shipped to Italy. Two individuals were arrested. In February and March, the Albanian a</w:t>
      </w:r>
      <w:r>
        <w:rPr>
          <w:rFonts w:ascii="Times New Roman" w:eastAsia="Times New Roman" w:hAnsi="Times New Roman" w:cs="Times New Roman"/>
          <w:bCs/>
          <w:noProof/>
          <w:color w:val="000000" w:themeColor="text1"/>
          <w:sz w:val="24"/>
          <w:szCs w:val="24"/>
          <w:lang w:eastAsia="en-US"/>
        </w:rPr>
        <w:t>uthorities participated in several suc</w:t>
      </w:r>
      <w:r>
        <w:rPr>
          <w:rFonts w:ascii="Times New Roman" w:eastAsia="Times New Roman" w:hAnsi="Times New Roman" w:cs="Times New Roman"/>
          <w:bCs/>
          <w:noProof/>
          <w:color w:val="000000" w:themeColor="text1"/>
          <w:sz w:val="24"/>
          <w:szCs w:val="24"/>
          <w:lang w:eastAsia="en-US"/>
        </w:rPr>
        <w:t xml:space="preserve">cessful operations with Italian law enforcement agencies (in coordination with </w:t>
      </w:r>
      <w:r>
        <w:rPr>
          <w:rFonts w:ascii="Times New Roman" w:eastAsia="Calibri" w:hAnsi="Times New Roman" w:cs="Times New Roman"/>
          <w:noProof/>
          <w:color w:val="000000" w:themeColor="text1"/>
          <w:sz w:val="24"/>
          <w:szCs w:val="24"/>
        </w:rPr>
        <w:t>agencies from other Member States, including the Netherlands)</w:t>
      </w:r>
      <w:r>
        <w:rPr>
          <w:rFonts w:ascii="Times New Roman" w:eastAsia="Times New Roman" w:hAnsi="Times New Roman" w:cs="Times New Roman"/>
          <w:bCs/>
          <w:noProof/>
          <w:color w:val="000000" w:themeColor="text1"/>
          <w:sz w:val="24"/>
          <w:szCs w:val="24"/>
          <w:lang w:eastAsia="en-US"/>
        </w:rPr>
        <w:t xml:space="preserve"> in the fight against international drug trafficking.</w:t>
      </w:r>
      <w:r>
        <w:rPr>
          <w:rFonts w:ascii="Times New Roman" w:eastAsia="Calibri" w:hAnsi="Times New Roman" w:cs="Times New Roman"/>
          <w:noProof/>
          <w:color w:val="000000" w:themeColor="text1"/>
          <w:sz w:val="24"/>
          <w:szCs w:val="24"/>
        </w:rPr>
        <w:t xml:space="preserve"> One operation with the Italians led, </w:t>
      </w:r>
      <w:r>
        <w:rPr>
          <w:rFonts w:ascii="Times New Roman" w:eastAsia="Calibri" w:hAnsi="Times New Roman" w:cs="Times New Roman"/>
          <w:i/>
          <w:noProof/>
          <w:color w:val="000000" w:themeColor="text1"/>
          <w:sz w:val="24"/>
          <w:szCs w:val="24"/>
        </w:rPr>
        <w:t>inter alia</w:t>
      </w:r>
      <w:r>
        <w:rPr>
          <w:rFonts w:ascii="Times New Roman" w:eastAsia="Calibri" w:hAnsi="Times New Roman" w:cs="Times New Roman"/>
          <w:noProof/>
          <w:color w:val="000000" w:themeColor="text1"/>
          <w:sz w:val="24"/>
          <w:szCs w:val="24"/>
        </w:rPr>
        <w:t>, to the seizur</w:t>
      </w:r>
      <w:r>
        <w:rPr>
          <w:rFonts w:ascii="Times New Roman" w:eastAsia="Calibri" w:hAnsi="Times New Roman" w:cs="Times New Roman"/>
          <w:noProof/>
          <w:color w:val="000000" w:themeColor="text1"/>
          <w:sz w:val="24"/>
          <w:szCs w:val="24"/>
        </w:rPr>
        <w:t xml:space="preserve">e of 450 kg of cannabis. </w:t>
      </w:r>
      <w:r>
        <w:rPr>
          <w:rFonts w:ascii="Times New Roman" w:eastAsia="Times New Roman" w:hAnsi="Times New Roman" w:cs="Times New Roman"/>
          <w:noProof/>
          <w:color w:val="000000" w:themeColor="text1"/>
          <w:sz w:val="24"/>
          <w:szCs w:val="24"/>
        </w:rPr>
        <w:t>In February 2020, the ASP launched a large operation involving 2,225 police officers to prevent the cultivation of cannabis. Searches were conducted in greenhouses, tunnels, former military bases, abandoned dwellings, and warehouse</w:t>
      </w:r>
      <w:r>
        <w:rPr>
          <w:rFonts w:ascii="Times New Roman" w:eastAsia="Times New Roman" w:hAnsi="Times New Roman" w:cs="Times New Roman"/>
          <w:noProof/>
          <w:color w:val="000000" w:themeColor="text1"/>
          <w:sz w:val="24"/>
          <w:szCs w:val="24"/>
        </w:rPr>
        <w:t xml:space="preserve">s suspected of being used for cannabis cultivation.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In</w:t>
      </w:r>
      <w:r>
        <w:rPr>
          <w:rFonts w:ascii="Times New Roman" w:eastAsia="Calibri" w:hAnsi="Times New Roman" w:cs="Times New Roman"/>
          <w:noProof/>
          <w:color w:val="000000" w:themeColor="text1"/>
          <w:sz w:val="24"/>
          <w:szCs w:val="24"/>
        </w:rPr>
        <w:t xml:space="preserve"> August 2019, a major police operation in remote areas of Kruja resulted in 19 arrests for drug cultivation.</w:t>
      </w:r>
      <w:r>
        <w:rPr>
          <w:rFonts w:ascii="Times New Roman" w:eastAsia="Times New Roman" w:hAnsi="Times New Roman" w:cs="Times New Roman"/>
          <w:noProof/>
          <w:color w:val="000000" w:themeColor="text1"/>
          <w:sz w:val="24"/>
          <w:szCs w:val="24"/>
        </w:rPr>
        <w:t xml:space="preserve"> </w:t>
      </w:r>
      <w:r>
        <w:rPr>
          <w:rFonts w:ascii="Times New Roman" w:eastAsia="Calibri" w:hAnsi="Times New Roman" w:cs="Times New Roman"/>
          <w:noProof/>
          <w:color w:val="000000" w:themeColor="text1"/>
          <w:sz w:val="24"/>
          <w:szCs w:val="24"/>
        </w:rPr>
        <w:t>Albania is the only country in the region that allows very intrusive monitoring by another c</w:t>
      </w:r>
      <w:r>
        <w:rPr>
          <w:rFonts w:ascii="Times New Roman" w:eastAsia="Calibri" w:hAnsi="Times New Roman" w:cs="Times New Roman"/>
          <w:noProof/>
          <w:color w:val="000000" w:themeColor="text1"/>
          <w:sz w:val="24"/>
          <w:szCs w:val="24"/>
        </w:rPr>
        <w:t>ountry: since 2013, Italy’s Ministry of Interior, Department of Public Security (with EU co-financing) has carried out aerial surveys to detect and monitor cannabis plantations in Albania. The results of the airborne-remote sensing campaign for 2019 show i</w:t>
      </w:r>
      <w:r>
        <w:rPr>
          <w:rFonts w:ascii="Times New Roman" w:eastAsia="Calibri" w:hAnsi="Times New Roman" w:cs="Times New Roman"/>
          <w:noProof/>
          <w:color w:val="000000" w:themeColor="text1"/>
          <w:sz w:val="24"/>
          <w:szCs w:val="24"/>
        </w:rPr>
        <w:t xml:space="preserve">ncreases in the numbers of cannabis plantations identified and narcotic plants eradicated and destroyed. </w:t>
      </w:r>
      <w:r>
        <w:rPr>
          <w:rFonts w:ascii="Times New Roman" w:eastAsia="Times New Roman" w:hAnsi="Times New Roman" w:cs="Times New Roman"/>
          <w:noProof/>
          <w:color w:val="000000" w:themeColor="text1"/>
          <w:sz w:val="24"/>
          <w:szCs w:val="24"/>
        </w:rPr>
        <w:t>I</w:t>
      </w:r>
      <w:r>
        <w:rPr>
          <w:rFonts w:ascii="Times New Roman" w:eastAsia="Calibri" w:hAnsi="Times New Roman" w:cs="Times New Roman"/>
          <w:noProof/>
          <w:color w:val="000000" w:themeColor="text1"/>
          <w:sz w:val="24"/>
          <w:szCs w:val="24"/>
        </w:rPr>
        <w:t>n all, 90</w:t>
      </w:r>
      <w:r>
        <w:rPr>
          <w:rFonts w:ascii="Times New Roman" w:eastAsia="Times New Roman" w:hAnsi="Times New Roman" w:cs="Times New Roman"/>
          <w:noProof/>
          <w:color w:val="000000" w:themeColor="text1"/>
          <w:sz w:val="24"/>
          <w:szCs w:val="24"/>
        </w:rPr>
        <w:t>,</w:t>
      </w:r>
      <w:r>
        <w:rPr>
          <w:rFonts w:ascii="Times New Roman" w:eastAsia="Calibri" w:hAnsi="Times New Roman" w:cs="Times New Roman"/>
          <w:noProof/>
          <w:color w:val="000000" w:themeColor="text1"/>
          <w:sz w:val="24"/>
          <w:szCs w:val="24"/>
        </w:rPr>
        <w:t>175 plants were destroyed, compared to 35,985 in 2018. The number remains at a negligible level compared with 2016, when 753,468 plants were</w:t>
      </w:r>
      <w:r>
        <w:rPr>
          <w:rFonts w:ascii="Times New Roman" w:eastAsia="Calibri" w:hAnsi="Times New Roman" w:cs="Times New Roman"/>
          <w:noProof/>
          <w:color w:val="000000" w:themeColor="text1"/>
          <w:sz w:val="24"/>
          <w:szCs w:val="24"/>
        </w:rPr>
        <w:t xml:space="preserve"> destroyed.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quantity of cannabis seized in Albania fell from about 20 t in 2018 to 6.3 t in 2019, and from 3.8 tonnes in the period January-March 2019 to one tonne in the same period of 2020. Seizures of cannabis oil decreased from 51.7 l to 1 l. Ther</w:t>
      </w:r>
      <w:r>
        <w:rPr>
          <w:rFonts w:ascii="Times New Roman" w:eastAsia="Times New Roman" w:hAnsi="Times New Roman" w:cs="Times New Roman"/>
          <w:noProof/>
          <w:color w:val="000000" w:themeColor="text1"/>
          <w:sz w:val="24"/>
          <w:szCs w:val="24"/>
        </w:rPr>
        <w:t>e was a substantial increase in hashish seizures (from 363.5 kg to over 1 t). No hashish was seized in the first three months of 2020.</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lang w:eastAsia="en-US"/>
        </w:rPr>
        <w:t xml:space="preserve">The lack of secure storage for drugs and </w:t>
      </w:r>
      <w:r>
        <w:rPr>
          <w:rFonts w:ascii="Times New Roman" w:eastAsia="Times New Roman" w:hAnsi="Times New Roman" w:cs="Times New Roman"/>
          <w:noProof/>
          <w:color w:val="000000" w:themeColor="text1"/>
          <w:sz w:val="24"/>
          <w:szCs w:val="24"/>
        </w:rPr>
        <w:t>drug precursors prior to destruction remains an issue of concern. The practice of keeping only a small sample as material evidence for court proceedings (instead of the entire quantity seized) has not yet taken root. Albania should establish an appropriate</w:t>
      </w:r>
      <w:r>
        <w:rPr>
          <w:rFonts w:ascii="Times New Roman" w:eastAsia="Times New Roman" w:hAnsi="Times New Roman" w:cs="Times New Roman"/>
          <w:noProof/>
          <w:color w:val="000000" w:themeColor="text1"/>
          <w:sz w:val="24"/>
          <w:szCs w:val="24"/>
        </w:rPr>
        <w:t xml:space="preserve"> process for the destruction of precursors. </w:t>
      </w:r>
    </w:p>
    <w:p w:rsidR="00EE1719" w:rsidRDefault="000E39BA">
      <w:pPr>
        <w:spacing w:after="120" w:line="240" w:lineRule="auto"/>
        <w:jc w:val="both"/>
        <w:rPr>
          <w:rFonts w:ascii="Times New Roman" w:eastAsia="Calibri" w:hAnsi="Times New Roman" w:cs="Times New Roman"/>
          <w:noProof/>
          <w:color w:val="000000" w:themeColor="text1"/>
          <w:sz w:val="24"/>
          <w:szCs w:val="24"/>
          <w:highlight w:val="green"/>
        </w:rPr>
      </w:pPr>
      <w:r>
        <w:rPr>
          <w:rFonts w:ascii="Times New Roman" w:eastAsia="Calibri" w:hAnsi="Times New Roman" w:cs="Times New Roman"/>
          <w:noProof/>
          <w:color w:val="000000" w:themeColor="text1"/>
          <w:sz w:val="24"/>
          <w:szCs w:val="24"/>
        </w:rPr>
        <w:t>Albania carried out large scale law enforcement operations in relation to cocaine and heroin, some in cooperation with police authorities from neighbouring countries. Overall, cocaine seizures fell from almost 6</w:t>
      </w:r>
      <w:r>
        <w:rPr>
          <w:rFonts w:ascii="Times New Roman" w:eastAsia="Calibri" w:hAnsi="Times New Roman" w:cs="Times New Roman"/>
          <w:noProof/>
          <w:color w:val="000000" w:themeColor="text1"/>
          <w:sz w:val="24"/>
          <w:szCs w:val="24"/>
        </w:rPr>
        <w:t>30.5</w:t>
      </w:r>
      <w:r>
        <w:rPr>
          <w:rFonts w:ascii="Times New Roman" w:eastAsia="Times New Roman" w:hAnsi="Times New Roman" w:cs="Times New Roman"/>
          <w:noProof/>
          <w:color w:val="000000" w:themeColor="text1"/>
          <w:sz w:val="24"/>
          <w:szCs w:val="24"/>
        </w:rPr>
        <w:t> </w:t>
      </w:r>
      <w:r>
        <w:rPr>
          <w:rFonts w:ascii="Times New Roman" w:eastAsia="Calibri" w:hAnsi="Times New Roman" w:cs="Times New Roman"/>
          <w:noProof/>
          <w:color w:val="000000" w:themeColor="text1"/>
          <w:sz w:val="24"/>
          <w:szCs w:val="24"/>
        </w:rPr>
        <w:t>kg in 2018 (of which 613.4</w:t>
      </w:r>
      <w:r>
        <w:rPr>
          <w:rFonts w:ascii="Times New Roman" w:eastAsia="Times New Roman" w:hAnsi="Times New Roman" w:cs="Times New Roman"/>
          <w:noProof/>
          <w:color w:val="000000" w:themeColor="text1"/>
          <w:sz w:val="24"/>
          <w:szCs w:val="24"/>
        </w:rPr>
        <w:t> </w:t>
      </w:r>
      <w:r>
        <w:rPr>
          <w:rFonts w:ascii="Times New Roman" w:eastAsia="Calibri" w:hAnsi="Times New Roman" w:cs="Times New Roman"/>
          <w:noProof/>
          <w:color w:val="000000" w:themeColor="text1"/>
          <w:sz w:val="24"/>
          <w:szCs w:val="24"/>
        </w:rPr>
        <w:t>kg detected in Durres in a ship coming from Colombia) to 145</w:t>
      </w:r>
      <w:r>
        <w:rPr>
          <w:rFonts w:ascii="Times New Roman" w:eastAsia="Times New Roman" w:hAnsi="Times New Roman" w:cs="Times New Roman"/>
          <w:noProof/>
          <w:color w:val="000000" w:themeColor="text1"/>
          <w:sz w:val="24"/>
          <w:szCs w:val="24"/>
        </w:rPr>
        <w:t> </w:t>
      </w:r>
      <w:r>
        <w:rPr>
          <w:rFonts w:ascii="Times New Roman" w:eastAsia="Calibri" w:hAnsi="Times New Roman" w:cs="Times New Roman"/>
          <w:noProof/>
          <w:color w:val="000000" w:themeColor="text1"/>
          <w:sz w:val="24"/>
          <w:szCs w:val="24"/>
        </w:rPr>
        <w:t>kg in 2019 (of which 137</w:t>
      </w:r>
      <w:r>
        <w:rPr>
          <w:rFonts w:ascii="Times New Roman" w:eastAsia="Times New Roman" w:hAnsi="Times New Roman" w:cs="Times New Roman"/>
          <w:noProof/>
          <w:color w:val="000000" w:themeColor="text1"/>
          <w:sz w:val="24"/>
          <w:szCs w:val="24"/>
        </w:rPr>
        <w:t> </w:t>
      </w:r>
      <w:r>
        <w:rPr>
          <w:rFonts w:ascii="Times New Roman" w:eastAsia="Calibri" w:hAnsi="Times New Roman" w:cs="Times New Roman"/>
          <w:noProof/>
          <w:color w:val="000000" w:themeColor="text1"/>
          <w:sz w:val="24"/>
          <w:szCs w:val="24"/>
        </w:rPr>
        <w:t>kg in a single operation in the port of Durres). In September 2020, a 5-year long investigation led by Italy, in cooperation with other St</w:t>
      </w:r>
      <w:r>
        <w:rPr>
          <w:rFonts w:ascii="Times New Roman" w:eastAsia="Calibri" w:hAnsi="Times New Roman" w:cs="Times New Roman"/>
          <w:noProof/>
          <w:color w:val="000000" w:themeColor="text1"/>
          <w:sz w:val="24"/>
          <w:szCs w:val="24"/>
        </w:rPr>
        <w:t>ates, including Albania, culminated in 20 arrests and pre-trial detentions throughout Europe, and dismantling of one of Europe’s most active networks trafficking cocaine into Europe. I</w:t>
      </w:r>
      <w:r>
        <w:rPr>
          <w:rFonts w:ascii="Times New Roman" w:eastAsia="Times New Roman" w:hAnsi="Times New Roman" w:cs="Times New Roman"/>
          <w:bCs/>
          <w:noProof/>
          <w:color w:val="000000" w:themeColor="text1"/>
          <w:sz w:val="24"/>
          <w:szCs w:val="24"/>
          <w:lang w:eastAsia="en-US"/>
        </w:rPr>
        <w:t xml:space="preserve">n February 2020, Albania supported to the </w:t>
      </w:r>
      <w:r>
        <w:rPr>
          <w:rFonts w:ascii="Times New Roman" w:eastAsia="Times New Roman" w:hAnsi="Times New Roman" w:cs="Times New Roman"/>
          <w:bCs/>
          <w:i/>
          <w:noProof/>
          <w:color w:val="000000" w:themeColor="text1"/>
          <w:sz w:val="24"/>
          <w:szCs w:val="24"/>
          <w:lang w:eastAsia="en-US"/>
        </w:rPr>
        <w:t>Guardia di Finanza</w:t>
      </w:r>
      <w:r>
        <w:rPr>
          <w:rFonts w:ascii="Times New Roman" w:eastAsia="Times New Roman" w:hAnsi="Times New Roman" w:cs="Times New Roman"/>
          <w:bCs/>
          <w:noProof/>
          <w:color w:val="000000" w:themeColor="text1"/>
          <w:sz w:val="24"/>
          <w:szCs w:val="24"/>
          <w:lang w:eastAsia="en-US"/>
        </w:rPr>
        <w:t xml:space="preserve"> in the seiz</w:t>
      </w:r>
      <w:r>
        <w:rPr>
          <w:rFonts w:ascii="Times New Roman" w:eastAsia="Times New Roman" w:hAnsi="Times New Roman" w:cs="Times New Roman"/>
          <w:bCs/>
          <w:noProof/>
          <w:color w:val="000000" w:themeColor="text1"/>
          <w:sz w:val="24"/>
          <w:szCs w:val="24"/>
          <w:lang w:eastAsia="en-US"/>
        </w:rPr>
        <w:t>ure of 1.128</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bCs/>
          <w:noProof/>
          <w:color w:val="000000" w:themeColor="text1"/>
          <w:sz w:val="24"/>
          <w:szCs w:val="24"/>
          <w:lang w:eastAsia="en-US"/>
        </w:rPr>
        <w:t xml:space="preserve">t of cocaine. </w:t>
      </w:r>
      <w:r>
        <w:rPr>
          <w:rFonts w:ascii="Times New Roman" w:eastAsia="Calibri" w:hAnsi="Times New Roman" w:cs="Times New Roman"/>
          <w:noProof/>
          <w:color w:val="000000" w:themeColor="text1"/>
          <w:sz w:val="24"/>
          <w:szCs w:val="24"/>
        </w:rPr>
        <w:t>In January 2020, in cooperation with the Greek authorities, 1.</w:t>
      </w:r>
      <w:r>
        <w:rPr>
          <w:rFonts w:ascii="Times New Roman" w:eastAsia="Times New Roman" w:hAnsi="Times New Roman" w:cs="Times New Roman"/>
          <w:noProof/>
          <w:color w:val="000000" w:themeColor="text1"/>
          <w:sz w:val="24"/>
          <w:szCs w:val="24"/>
        </w:rPr>
        <w:t>18 </w:t>
      </w:r>
      <w:r>
        <w:rPr>
          <w:rFonts w:ascii="Times New Roman" w:eastAsia="Calibri" w:hAnsi="Times New Roman" w:cs="Times New Roman"/>
          <w:noProof/>
          <w:color w:val="000000" w:themeColor="text1"/>
          <w:sz w:val="24"/>
          <w:szCs w:val="24"/>
        </w:rPr>
        <w:t xml:space="preserve">t of cocaine originating in the Caribbean and destined for Europe and northwest Africa were seized in Greece. </w:t>
      </w:r>
      <w:r>
        <w:rPr>
          <w:rFonts w:ascii="Times New Roman" w:eastAsia="Times New Roman" w:hAnsi="Times New Roman" w:cs="Times New Roman"/>
          <w:bCs/>
          <w:noProof/>
          <w:color w:val="000000" w:themeColor="text1"/>
          <w:sz w:val="24"/>
          <w:szCs w:val="24"/>
          <w:lang w:eastAsia="en-US"/>
        </w:rPr>
        <w:t>In September 2019, Albanian law enforcement authoritie</w:t>
      </w:r>
      <w:r>
        <w:rPr>
          <w:rFonts w:ascii="Times New Roman" w:eastAsia="Times New Roman" w:hAnsi="Times New Roman" w:cs="Times New Roman"/>
          <w:bCs/>
          <w:noProof/>
          <w:color w:val="000000" w:themeColor="text1"/>
          <w:sz w:val="24"/>
          <w:szCs w:val="24"/>
          <w:lang w:eastAsia="en-US"/>
        </w:rPr>
        <w:t>s seized 137</w:t>
      </w:r>
      <w:r>
        <w:rPr>
          <w:rFonts w:ascii="Times New Roman" w:eastAsia="Times New Roman" w:hAnsi="Times New Roman" w:cs="Times New Roman"/>
          <w:noProof/>
          <w:color w:val="000000" w:themeColor="text1"/>
          <w:sz w:val="24"/>
          <w:szCs w:val="24"/>
        </w:rPr>
        <w:t> </w:t>
      </w:r>
      <w:r>
        <w:rPr>
          <w:rFonts w:ascii="Times New Roman" w:eastAsia="Times New Roman" w:hAnsi="Times New Roman" w:cs="Times New Roman"/>
          <w:bCs/>
          <w:noProof/>
          <w:color w:val="000000" w:themeColor="text1"/>
          <w:sz w:val="24"/>
          <w:szCs w:val="24"/>
          <w:lang w:eastAsia="en-US"/>
        </w:rPr>
        <w:t>kg of cocaine in the port of Durres, hidden in containers from Ecuador. The operation was carried out in cooperation with the Greek and US authorities. Two members of the port’s security staff were arrested.</w:t>
      </w:r>
      <w:r>
        <w:rPr>
          <w:rFonts w:ascii="Times New Roman" w:eastAsia="Calibri" w:hAnsi="Times New Roman" w:cs="Times New Roman"/>
          <w:noProof/>
          <w:color w:val="000000" w:themeColor="text1"/>
          <w:sz w:val="24"/>
          <w:szCs w:val="24"/>
        </w:rPr>
        <w:t xml:space="preserve"> Heroin seizures increased from almo</w:t>
      </w:r>
      <w:r>
        <w:rPr>
          <w:rFonts w:ascii="Times New Roman" w:eastAsia="Calibri" w:hAnsi="Times New Roman" w:cs="Times New Roman"/>
          <w:noProof/>
          <w:color w:val="000000" w:themeColor="text1"/>
          <w:sz w:val="24"/>
          <w:szCs w:val="24"/>
        </w:rPr>
        <w:t>st 24</w:t>
      </w:r>
      <w:r>
        <w:rPr>
          <w:rFonts w:ascii="Times New Roman" w:eastAsia="Times New Roman" w:hAnsi="Times New Roman" w:cs="Times New Roman"/>
          <w:noProof/>
          <w:color w:val="000000" w:themeColor="text1"/>
          <w:sz w:val="24"/>
          <w:szCs w:val="24"/>
        </w:rPr>
        <w:t> </w:t>
      </w:r>
      <w:r>
        <w:rPr>
          <w:rFonts w:ascii="Times New Roman" w:eastAsia="Calibri" w:hAnsi="Times New Roman" w:cs="Times New Roman"/>
          <w:noProof/>
          <w:color w:val="000000" w:themeColor="text1"/>
          <w:sz w:val="24"/>
          <w:szCs w:val="24"/>
        </w:rPr>
        <w:t>kg in 2018 to 38</w:t>
      </w:r>
      <w:r>
        <w:rPr>
          <w:rFonts w:ascii="Times New Roman" w:eastAsia="Times New Roman" w:hAnsi="Times New Roman" w:cs="Times New Roman"/>
          <w:noProof/>
          <w:color w:val="000000" w:themeColor="text1"/>
          <w:sz w:val="24"/>
          <w:szCs w:val="24"/>
        </w:rPr>
        <w:t> </w:t>
      </w:r>
      <w:r>
        <w:rPr>
          <w:rFonts w:ascii="Times New Roman" w:eastAsia="Calibri" w:hAnsi="Times New Roman" w:cs="Times New Roman"/>
          <w:noProof/>
          <w:color w:val="000000" w:themeColor="text1"/>
          <w:sz w:val="24"/>
          <w:szCs w:val="24"/>
        </w:rPr>
        <w:t xml:space="preserve">kg 2019 (about 58% more), partly thanks to more thorough police inspections and increased international cooperation.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Cooperation continued with the European Monitoring Centre for Drugs and Drug Addiction. In March 2019, Albania sign</w:t>
      </w:r>
      <w:r>
        <w:rPr>
          <w:rFonts w:ascii="Times New Roman" w:eastAsia="Times New Roman" w:hAnsi="Times New Roman" w:cs="Times New Roman"/>
          <w:noProof/>
          <w:color w:val="000000" w:themeColor="text1"/>
          <w:sz w:val="24"/>
          <w:szCs w:val="24"/>
        </w:rPr>
        <w:t xml:space="preserve">ed a working arrangement with the Centre, which gives </w:t>
      </w:r>
      <w:r>
        <w:rPr>
          <w:rFonts w:ascii="Times New Roman" w:eastAsia="Times New Roman" w:hAnsi="Times New Roman" w:cs="Times New Roman"/>
          <w:noProof/>
          <w:color w:val="000000" w:themeColor="text1"/>
          <w:sz w:val="24"/>
          <w:szCs w:val="24"/>
          <w:lang w:eastAsia="zh-CN"/>
        </w:rPr>
        <w:t>the Albanian authorities access to crucial expertise and supports further approximation of Albanian law and policies on drug-related issues with those of the EU</w:t>
      </w:r>
      <w:r>
        <w:rPr>
          <w:rFonts w:ascii="Times New Roman" w:eastAsia="Times New Roman" w:hAnsi="Times New Roman" w:cs="Times New Roman"/>
          <w:noProof/>
          <w:color w:val="000000" w:themeColor="text1"/>
          <w:sz w:val="24"/>
          <w:szCs w:val="24"/>
        </w:rPr>
        <w:t xml:space="preserve">.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
          <w:noProof/>
          <w:color w:val="000000" w:themeColor="text1"/>
          <w:sz w:val="24"/>
          <w:szCs w:val="24"/>
        </w:rPr>
        <w:t>Fight agai</w:t>
      </w:r>
      <w:r>
        <w:rPr>
          <w:rFonts w:ascii="Times New Roman" w:eastAsia="Times New Roman" w:hAnsi="Times New Roman" w:cs="Times New Roman"/>
          <w:b/>
          <w:noProof/>
          <w:color w:val="000000" w:themeColor="text1"/>
          <w:spacing w:val="-1"/>
          <w:sz w:val="24"/>
          <w:szCs w:val="24"/>
        </w:rPr>
        <w:t>n</w:t>
      </w:r>
      <w:r>
        <w:rPr>
          <w:rFonts w:ascii="Times New Roman" w:eastAsia="Times New Roman" w:hAnsi="Times New Roman" w:cs="Times New Roman"/>
          <w:b/>
          <w:noProof/>
          <w:color w:val="000000" w:themeColor="text1"/>
          <w:sz w:val="24"/>
          <w:szCs w:val="24"/>
        </w:rPr>
        <w:t>st terrorism</w:t>
      </w:r>
    </w:p>
    <w:p w:rsidR="00EE1719" w:rsidRDefault="000E39BA">
      <w:pPr>
        <w:spacing w:after="120" w:line="240" w:lineRule="auto"/>
        <w:jc w:val="both"/>
        <w:rPr>
          <w:rFonts w:ascii="Times New Roman" w:eastAsia="Times New Roman" w:hAnsi="Times New Roman" w:cs="Times New Roman"/>
          <w:noProof/>
          <w:color w:val="000000" w:themeColor="text1"/>
          <w:sz w:val="24"/>
          <w:szCs w:val="24"/>
          <w:u w:val="single"/>
        </w:rPr>
      </w:pPr>
      <w:r>
        <w:rPr>
          <w:rFonts w:ascii="Times New Roman" w:eastAsia="Times New Roman" w:hAnsi="Times New Roman" w:cs="Times New Roman"/>
          <w:noProof/>
          <w:color w:val="000000" w:themeColor="text1"/>
          <w:sz w:val="24"/>
          <w:szCs w:val="24"/>
          <w:u w:val="single"/>
        </w:rPr>
        <w:t xml:space="preserve">Institutional </w:t>
      </w:r>
      <w:r>
        <w:rPr>
          <w:rFonts w:ascii="Times New Roman" w:eastAsia="Times New Roman" w:hAnsi="Times New Roman" w:cs="Times New Roman"/>
          <w:noProof/>
          <w:color w:val="000000" w:themeColor="text1"/>
          <w:sz w:val="24"/>
          <w:szCs w:val="24"/>
          <w:u w:val="single"/>
        </w:rPr>
        <w:t>set-up and legal alignment</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Albania has a comprehensive </w:t>
      </w:r>
      <w:r>
        <w:rPr>
          <w:rFonts w:ascii="Times New Roman" w:eastAsia="Times New Roman" w:hAnsi="Times New Roman" w:cs="Times New Roman"/>
          <w:b/>
          <w:noProof/>
          <w:color w:val="000000" w:themeColor="text1"/>
          <w:sz w:val="24"/>
          <w:szCs w:val="24"/>
        </w:rPr>
        <w:t>legal framework</w:t>
      </w:r>
      <w:r>
        <w:rPr>
          <w:rFonts w:ascii="Times New Roman" w:eastAsia="Times New Roman" w:hAnsi="Times New Roman" w:cs="Times New Roman"/>
          <w:noProof/>
          <w:color w:val="000000" w:themeColor="text1"/>
          <w:sz w:val="24"/>
          <w:szCs w:val="24"/>
        </w:rPr>
        <w:t xml:space="preserve"> for preventing and combatting the financing of terrorism and is fairly advanced in aligning with the main building blocks of the EU </w:t>
      </w:r>
      <w:r>
        <w:rPr>
          <w:rFonts w:ascii="Times New Roman" w:eastAsia="Times New Roman" w:hAnsi="Times New Roman" w:cs="Times New Roman"/>
          <w:i/>
          <w:noProof/>
          <w:color w:val="000000" w:themeColor="text1"/>
          <w:sz w:val="24"/>
          <w:szCs w:val="24"/>
        </w:rPr>
        <w:t>acquis</w:t>
      </w:r>
      <w:r>
        <w:rPr>
          <w:rFonts w:ascii="Times New Roman" w:eastAsia="Times New Roman" w:hAnsi="Times New Roman" w:cs="Times New Roman"/>
          <w:noProof/>
          <w:color w:val="000000" w:themeColor="text1"/>
          <w:sz w:val="24"/>
          <w:szCs w:val="24"/>
        </w:rPr>
        <w:t xml:space="preserve"> on the fight against terrorism. It is a party </w:t>
      </w:r>
      <w:r>
        <w:rPr>
          <w:rFonts w:ascii="Times New Roman" w:eastAsia="Times New Roman" w:hAnsi="Times New Roman" w:cs="Times New Roman"/>
          <w:noProof/>
          <w:color w:val="000000" w:themeColor="text1"/>
          <w:sz w:val="24"/>
          <w:szCs w:val="24"/>
        </w:rPr>
        <w:t>to all Council of Europe counter</w:t>
      </w:r>
      <w:r>
        <w:rPr>
          <w:rFonts w:ascii="Times New Roman" w:eastAsia="Times New Roman" w:hAnsi="Times New Roman" w:cs="Times New Roman"/>
          <w:noProof/>
          <w:color w:val="000000" w:themeColor="text1"/>
          <w:sz w:val="24"/>
          <w:szCs w:val="24"/>
        </w:rPr>
        <w:noBreakHyphen/>
        <w:t>terrorism conventions, including those covering the seizure and confiscation of the proceeds of crime and the financing of terrorism. In 2019, it strengthened its legal framework with legislative amendments to implement the</w:t>
      </w:r>
      <w:r>
        <w:rPr>
          <w:rFonts w:ascii="Times New Roman" w:eastAsia="Times New Roman" w:hAnsi="Times New Roman" w:cs="Times New Roman"/>
          <w:noProof/>
          <w:color w:val="000000" w:themeColor="text1"/>
          <w:sz w:val="24"/>
          <w:szCs w:val="24"/>
        </w:rPr>
        <w:t xml:space="preserve"> UN Security Council sanctions resolutions. The authorities should now ensure effective implementation of targeted financial sanctions by enhancing the involvement of financial institutions and other relevant actors and through effective inspections, in li</w:t>
      </w:r>
      <w:r>
        <w:rPr>
          <w:rFonts w:ascii="Times New Roman" w:eastAsia="Times New Roman" w:hAnsi="Times New Roman" w:cs="Times New Roman"/>
          <w:noProof/>
          <w:color w:val="000000" w:themeColor="text1"/>
          <w:sz w:val="24"/>
          <w:szCs w:val="24"/>
        </w:rPr>
        <w:t>ne with the FATF action plan. A Financial Investigation Unit was set up in the ASP’s Counter-Terrorism Directorate. The work on terrorism financing in the NGO sector has started with a risk assessment of all NGOs by the general tax authority, and now needs</w:t>
      </w:r>
      <w:r>
        <w:rPr>
          <w:rFonts w:ascii="Times New Roman" w:eastAsia="Times New Roman" w:hAnsi="Times New Roman" w:cs="Times New Roman"/>
          <w:noProof/>
          <w:color w:val="000000" w:themeColor="text1"/>
          <w:sz w:val="24"/>
          <w:szCs w:val="24"/>
        </w:rPr>
        <w:t xml:space="preserve"> to be taken up by other services. So far, Albania has neither established a central bank account register nor a beneficial ownership register. Albania has </w:t>
      </w:r>
      <w:r>
        <w:rPr>
          <w:rFonts w:ascii="Times New Roman" w:eastAsia="Times New Roman" w:hAnsi="Times New Roman" w:cs="Times New Roman"/>
          <w:b/>
          <w:noProof/>
          <w:color w:val="000000" w:themeColor="text1"/>
          <w:sz w:val="24"/>
          <w:szCs w:val="24"/>
        </w:rPr>
        <w:t xml:space="preserve">national strategies </w:t>
      </w:r>
      <w:r>
        <w:rPr>
          <w:rFonts w:ascii="Times New Roman" w:eastAsia="Times New Roman" w:hAnsi="Times New Roman" w:cs="Times New Roman"/>
          <w:noProof/>
          <w:color w:val="000000" w:themeColor="text1"/>
          <w:sz w:val="24"/>
          <w:szCs w:val="24"/>
        </w:rPr>
        <w:t>on countering terrorism and violent extremism. In October 2019, it</w:t>
      </w:r>
      <w:r>
        <w:rPr>
          <w:rFonts w:ascii="Times New Roman" w:eastAsia="Times New Roman" w:hAnsi="Times New Roman" w:cs="Times New Roman"/>
          <w:noProof/>
          <w:color w:val="000000" w:themeColor="text1"/>
          <w:sz w:val="24"/>
          <w:szCs w:val="24"/>
          <w:lang w:eastAsia="zh-CN"/>
        </w:rPr>
        <w:t xml:space="preserve"> signed an agr</w:t>
      </w:r>
      <w:r>
        <w:rPr>
          <w:rFonts w:ascii="Times New Roman" w:eastAsia="Times New Roman" w:hAnsi="Times New Roman" w:cs="Times New Roman"/>
          <w:noProof/>
          <w:color w:val="000000" w:themeColor="text1"/>
          <w:sz w:val="24"/>
          <w:szCs w:val="24"/>
          <w:lang w:eastAsia="zh-CN"/>
        </w:rPr>
        <w:t xml:space="preserve">eement with the EU on implementing the 2019-2020 Joint Action Plan on counter-terrorism for the Western Balkans. </w:t>
      </w:r>
      <w:r>
        <w:rPr>
          <w:rFonts w:ascii="Times New Roman" w:hAnsi="Times New Roman" w:cs="Times New Roman"/>
          <w:noProof/>
          <w:color w:val="000000" w:themeColor="text1"/>
          <w:sz w:val="24"/>
          <w:szCs w:val="24"/>
        </w:rPr>
        <w:t>In June 2020, it submitted its first interim report on the implementation of the arrangement.</w:t>
      </w:r>
      <w:r>
        <w:rPr>
          <w:rFonts w:ascii="Times New Roman" w:hAnsi="Times New Roman" w:cs="Times New Roman"/>
          <w:noProof/>
          <w:color w:val="000000" w:themeColor="text1"/>
          <w:sz w:val="24"/>
          <w:szCs w:val="24"/>
          <w:lang w:eastAsia="zh-CN"/>
        </w:rPr>
        <w:t xml:space="preserve"> </w:t>
      </w:r>
      <w:r>
        <w:rPr>
          <w:rFonts w:ascii="Times New Roman" w:hAnsi="Times New Roman" w:cs="Times New Roman"/>
          <w:noProof/>
          <w:color w:val="000000" w:themeColor="text1"/>
          <w:sz w:val="24"/>
          <w:szCs w:val="24"/>
        </w:rPr>
        <w:t xml:space="preserve">The report indicates areas where good progress </w:t>
      </w:r>
      <w:r>
        <w:rPr>
          <w:rFonts w:ascii="Times New Roman" w:hAnsi="Times New Roman" w:cs="Times New Roman"/>
          <w:noProof/>
          <w:color w:val="000000" w:themeColor="text1"/>
          <w:sz w:val="24"/>
          <w:szCs w:val="24"/>
        </w:rPr>
        <w:t>has been made, especially on cooperation with Europol.</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ASP’s Counter-Terrorism Directorate is the lead body on counter-terrorism. Other agencies active in the field are the State Intelligence Service and the Defence Intelligence and Security Agency. In</w:t>
      </w:r>
      <w:r>
        <w:rPr>
          <w:rFonts w:ascii="Times New Roman" w:eastAsia="Times New Roman" w:hAnsi="Times New Roman" w:cs="Times New Roman"/>
          <w:noProof/>
          <w:color w:val="000000" w:themeColor="text1"/>
          <w:sz w:val="24"/>
          <w:szCs w:val="24"/>
        </w:rPr>
        <w:t xml:space="preserve"> addition, the ASP’s community policing personnel are involved in preventing and countering radicalisation leading to violent extremism and terrorism. The Coordination Centre for Countering Violent Extremism (CVE), headed by the national CVE coordinator, i</w:t>
      </w:r>
      <w:r>
        <w:rPr>
          <w:rFonts w:ascii="Times New Roman" w:eastAsia="Times New Roman" w:hAnsi="Times New Roman" w:cs="Times New Roman"/>
          <w:noProof/>
          <w:color w:val="000000" w:themeColor="text1"/>
          <w:sz w:val="24"/>
          <w:szCs w:val="24"/>
        </w:rPr>
        <w:t xml:space="preserve">s fully operational and charged with capacity-building, coordinating CVE activities across government institutions and overseeing the implementation of the national CVE </w:t>
      </w:r>
      <w:r>
        <w:rPr>
          <w:rFonts w:ascii="Times New Roman" w:eastAsia="Times New Roman" w:hAnsi="Times New Roman" w:cs="Times New Roman"/>
          <w:bCs/>
          <w:noProof/>
          <w:color w:val="000000" w:themeColor="text1"/>
          <w:sz w:val="24"/>
          <w:szCs w:val="24"/>
        </w:rPr>
        <w:t>strategy</w:t>
      </w:r>
      <w:r>
        <w:rPr>
          <w:rFonts w:ascii="Times New Roman" w:eastAsia="Times New Roman" w:hAnsi="Times New Roman" w:cs="Times New Roman"/>
          <w:noProof/>
          <w:color w:val="000000" w:themeColor="text1"/>
          <w:sz w:val="24"/>
          <w:szCs w:val="24"/>
        </w:rPr>
        <w:t xml:space="preserve">.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u w:val="single"/>
        </w:rPr>
        <w:t>Implementation and enforcement capacity</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Arial Unicode MS" w:hAnsi="Times New Roman" w:cs="Times New Roman"/>
          <w:noProof/>
          <w:color w:val="000000" w:themeColor="text1"/>
          <w:sz w:val="24"/>
          <w:szCs w:val="24"/>
          <w:lang w:eastAsia="ar-SA"/>
        </w:rPr>
        <w:t>In 2019, there were 16 investigation</w:t>
      </w:r>
      <w:r>
        <w:rPr>
          <w:rFonts w:ascii="Times New Roman" w:eastAsia="Arial Unicode MS" w:hAnsi="Times New Roman" w:cs="Times New Roman"/>
          <w:noProof/>
          <w:color w:val="000000" w:themeColor="text1"/>
          <w:sz w:val="24"/>
          <w:szCs w:val="24"/>
          <w:lang w:eastAsia="ar-SA"/>
        </w:rPr>
        <w:t>s into allegations of terrorist activity, against 12 in 2018; in neither years, did the investigations result in convictions. An estimated 81 Albanian nationals remain in Syria, 45 returned to</w:t>
      </w:r>
      <w:r>
        <w:rPr>
          <w:rFonts w:ascii="Times New Roman" w:eastAsia="Times New Roman" w:hAnsi="Times New Roman" w:cs="Times New Roman"/>
          <w:noProof/>
          <w:color w:val="000000" w:themeColor="text1"/>
          <w:sz w:val="24"/>
          <w:szCs w:val="24"/>
        </w:rPr>
        <w:t xml:space="preserve"> Albania and 28 are believed to have died in the conflict zone. </w:t>
      </w:r>
      <w:r>
        <w:rPr>
          <w:rFonts w:ascii="Times New Roman" w:eastAsia="Times New Roman" w:hAnsi="Times New Roman" w:cs="Times New Roman"/>
          <w:noProof/>
          <w:color w:val="000000" w:themeColor="text1"/>
          <w:sz w:val="24"/>
          <w:szCs w:val="24"/>
        </w:rPr>
        <w:t>No Albanians left for Syria in 2019. The authorities have sought to return mainly women and children from the camps in Syria since last year and in November adopted an inter-institutional action plan on the reception and treatment of returnees.</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operati</w:t>
      </w:r>
      <w:r>
        <w:rPr>
          <w:rFonts w:ascii="Times New Roman" w:eastAsia="Times New Roman" w:hAnsi="Times New Roman" w:cs="Times New Roman"/>
          <w:noProof/>
          <w:color w:val="000000" w:themeColor="text1"/>
          <w:sz w:val="24"/>
          <w:szCs w:val="24"/>
        </w:rPr>
        <w:t>onal and logistical capacity of the Counter</w:t>
      </w:r>
      <w:r>
        <w:rPr>
          <w:rFonts w:ascii="Times New Roman" w:eastAsia="Times New Roman" w:hAnsi="Times New Roman" w:cs="Times New Roman"/>
          <w:noProof/>
          <w:color w:val="000000" w:themeColor="text1"/>
          <w:sz w:val="24"/>
          <w:szCs w:val="24"/>
        </w:rPr>
        <w:noBreakHyphen/>
        <w:t xml:space="preserve">Terrorism Directorate remains limited and should be strengthened. </w:t>
      </w:r>
      <w:r>
        <w:rPr>
          <w:rFonts w:ascii="Times New Roman" w:eastAsia="Arial Unicode MS" w:hAnsi="Times New Roman" w:cs="Times New Roman"/>
          <w:noProof/>
          <w:color w:val="000000" w:themeColor="text1"/>
          <w:sz w:val="24"/>
          <w:szCs w:val="24"/>
          <w:lang w:eastAsia="ar-SA"/>
        </w:rPr>
        <w:t xml:space="preserve">The CVE Coordination Centre should be given sufficient funding, staff and political support to fulfil its tasks. </w:t>
      </w:r>
      <w:r>
        <w:rPr>
          <w:rFonts w:ascii="Times New Roman" w:eastAsia="Calibri" w:hAnsi="Times New Roman" w:cs="Times New Roman"/>
          <w:noProof/>
          <w:color w:val="000000" w:themeColor="text1"/>
          <w:sz w:val="24"/>
          <w:szCs w:val="24"/>
          <w:lang w:eastAsia="en-US"/>
        </w:rPr>
        <w:t>In May 2019, it signed a memorand</w:t>
      </w:r>
      <w:r>
        <w:rPr>
          <w:rFonts w:ascii="Times New Roman" w:eastAsia="Calibri" w:hAnsi="Times New Roman" w:cs="Times New Roman"/>
          <w:noProof/>
          <w:color w:val="000000" w:themeColor="text1"/>
          <w:sz w:val="24"/>
          <w:szCs w:val="24"/>
          <w:lang w:eastAsia="en-US"/>
        </w:rPr>
        <w:t>um of understanding with the five officially recognised religious communities on the prevention of radicalisation leading to violent extremism and terrorism. More needs to be done as regards reintegration and resocialisation of returnees and to prevent rad</w:t>
      </w:r>
      <w:r>
        <w:rPr>
          <w:rFonts w:ascii="Times New Roman" w:eastAsia="Calibri" w:hAnsi="Times New Roman" w:cs="Times New Roman"/>
          <w:noProof/>
          <w:color w:val="000000" w:themeColor="text1"/>
          <w:sz w:val="24"/>
          <w:szCs w:val="24"/>
          <w:lang w:eastAsia="en-US"/>
        </w:rPr>
        <w:t>icalisation in prisons. There was progress on operationalising the local safety councils, however more efforts are needed to make them well prepared to deal with returnees. Training for district prosecutors dealing with terrorist related offences should be</w:t>
      </w:r>
      <w:r>
        <w:rPr>
          <w:rFonts w:ascii="Times New Roman" w:eastAsia="Calibri" w:hAnsi="Times New Roman" w:cs="Times New Roman"/>
          <w:noProof/>
          <w:color w:val="000000" w:themeColor="text1"/>
          <w:sz w:val="24"/>
          <w:szCs w:val="24"/>
          <w:lang w:eastAsia="en-US"/>
        </w:rPr>
        <w:t xml:space="preserve"> provided.</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Regional cooperation and the exchange of sensitive information with international partners remains satisfactory. In cooperation with Interpol, the Albanian authorities arrested and extradited to Germany, Italy and Russia three individuals suspec</w:t>
      </w:r>
      <w:r>
        <w:rPr>
          <w:rFonts w:ascii="Times New Roman" w:eastAsia="Times New Roman" w:hAnsi="Times New Roman" w:cs="Times New Roman"/>
          <w:noProof/>
          <w:color w:val="000000" w:themeColor="text1"/>
          <w:sz w:val="24"/>
          <w:szCs w:val="24"/>
        </w:rPr>
        <w:t>ted of participation in a terrorist organisation. While progress was made over the year, Albania should make more proactive use of the Europol European Counter-Terrorism Centre’s communication platforms products, services and capabilities. It started a col</w:t>
      </w:r>
      <w:r>
        <w:rPr>
          <w:rFonts w:ascii="Times New Roman" w:eastAsia="Times New Roman" w:hAnsi="Times New Roman" w:cs="Times New Roman"/>
          <w:noProof/>
          <w:color w:val="000000" w:themeColor="text1"/>
          <w:sz w:val="24"/>
          <w:szCs w:val="24"/>
        </w:rPr>
        <w:t>laboration with the Europol Internet Referral Unit and should continue it. It should also continue to investigate links between organised crime and terrorism. It</w:t>
      </w:r>
      <w:r>
        <w:rPr>
          <w:rFonts w:ascii="Times New Roman" w:eastAsia="Arial Unicode MS" w:hAnsi="Times New Roman" w:cs="Times New Roman"/>
          <w:noProof/>
          <w:color w:val="000000" w:themeColor="text1"/>
          <w:sz w:val="24"/>
          <w:szCs w:val="24"/>
          <w:lang w:eastAsia="ar-SA"/>
        </w:rPr>
        <w:t xml:space="preserve"> </w:t>
      </w:r>
      <w:r>
        <w:rPr>
          <w:rFonts w:ascii="Times New Roman" w:eastAsia="Calibri" w:hAnsi="Times New Roman" w:cs="Times New Roman"/>
          <w:noProof/>
          <w:color w:val="000000" w:themeColor="text1"/>
          <w:sz w:val="24"/>
          <w:szCs w:val="24"/>
          <w:lang w:eastAsia="en-US"/>
        </w:rPr>
        <w:t>is actively participating in the implementation of the Western Balkan counter-terrorism initia</w:t>
      </w:r>
      <w:r>
        <w:rPr>
          <w:rFonts w:ascii="Times New Roman" w:eastAsia="Calibri" w:hAnsi="Times New Roman" w:cs="Times New Roman"/>
          <w:noProof/>
          <w:color w:val="000000" w:themeColor="text1"/>
          <w:sz w:val="24"/>
          <w:szCs w:val="24"/>
          <w:lang w:eastAsia="en-US"/>
        </w:rPr>
        <w:t>tive.</w:t>
      </w:r>
    </w:p>
    <w:p w:rsidR="00EE1719" w:rsidRDefault="000E39BA">
      <w:pPr>
        <w:spacing w:after="120" w:line="240" w:lineRule="auto"/>
        <w:jc w:val="both"/>
        <w:rPr>
          <w:rFonts w:ascii="Times New Roman" w:eastAsia="Times New Roman" w:hAnsi="Times New Roman" w:cs="Times New Roman"/>
          <w:bCs/>
          <w:noProof/>
          <w:color w:val="000000" w:themeColor="text1"/>
          <w:sz w:val="24"/>
          <w:szCs w:val="24"/>
          <w:u w:val="single"/>
        </w:rPr>
      </w:pPr>
      <w:r>
        <w:rPr>
          <w:rFonts w:ascii="Times New Roman" w:eastAsia="Times New Roman" w:hAnsi="Times New Roman" w:cs="Times New Roman"/>
          <w:b/>
          <w:bCs/>
          <w:noProof/>
          <w:color w:val="000000" w:themeColor="text1"/>
          <w:sz w:val="24"/>
          <w:szCs w:val="24"/>
        </w:rPr>
        <w:t xml:space="preserve">Legal and irregular migration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Cs/>
          <w:noProof/>
          <w:color w:val="000000" w:themeColor="text1"/>
          <w:sz w:val="24"/>
          <w:szCs w:val="24"/>
          <w:u w:val="single"/>
        </w:rPr>
        <w:t>Institutional set-up and legal alignment</w:t>
      </w:r>
    </w:p>
    <w:p w:rsidR="00EE1719" w:rsidRDefault="000E39BA">
      <w:pPr>
        <w:spacing w:after="120" w:line="240" w:lineRule="auto"/>
        <w:jc w:val="both"/>
        <w:rPr>
          <w:rFonts w:ascii="Times New Roman" w:eastAsia="TimesNewRomanPSMT"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Ministry of the Interior is the main actor in the field of migration. The main bodies under its supervision responsible for implementing migration policies are the Department</w:t>
      </w:r>
      <w:r>
        <w:rPr>
          <w:rFonts w:ascii="Times New Roman" w:eastAsia="Times New Roman" w:hAnsi="Times New Roman" w:cs="Times New Roman"/>
          <w:noProof/>
          <w:color w:val="000000" w:themeColor="text1"/>
          <w:sz w:val="24"/>
          <w:szCs w:val="24"/>
        </w:rPr>
        <w:t xml:space="preserve"> of Border and Migration in the ASP General Directorate and the Directorate of Anti-Trafficking and Migration.</w:t>
      </w:r>
      <w:r>
        <w:rPr>
          <w:rFonts w:ascii="Times New Roman" w:eastAsia="TimesNewRomanPSMT" w:hAnsi="Times New Roman" w:cs="Times New Roman"/>
          <w:noProof/>
          <w:color w:val="000000" w:themeColor="text1"/>
          <w:sz w:val="24"/>
          <w:szCs w:val="24"/>
        </w:rPr>
        <w:t xml:space="preserve"> MOFE and employment offices address legal and labour migration at the local level. </w:t>
      </w:r>
    </w:p>
    <w:p w:rsidR="00EE1719" w:rsidRDefault="000E39BA">
      <w:pPr>
        <w:keepNext/>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 </w:t>
      </w:r>
      <w:r>
        <w:rPr>
          <w:rFonts w:ascii="Times New Roman" w:eastAsia="Times New Roman" w:hAnsi="Times New Roman" w:cs="Times New Roman"/>
          <w:b/>
          <w:noProof/>
          <w:color w:val="000000" w:themeColor="text1"/>
          <w:sz w:val="24"/>
          <w:szCs w:val="24"/>
        </w:rPr>
        <w:t>legal framework</w:t>
      </w:r>
      <w:r>
        <w:rPr>
          <w:rFonts w:ascii="Times New Roman" w:eastAsia="Calibri" w:hAnsi="Times New Roman" w:cs="Times New Roman"/>
          <w:noProof/>
          <w:color w:val="000000" w:themeColor="text1"/>
          <w:sz w:val="24"/>
          <w:szCs w:val="24"/>
          <w:lang w:eastAsia="en-US"/>
        </w:rPr>
        <w:t xml:space="preserve"> on migration is largely aligned with the </w:t>
      </w:r>
      <w:r>
        <w:rPr>
          <w:rFonts w:ascii="Times New Roman" w:eastAsia="Calibri" w:hAnsi="Times New Roman" w:cs="Times New Roman"/>
          <w:noProof/>
          <w:color w:val="000000" w:themeColor="text1"/>
          <w:sz w:val="24"/>
          <w:szCs w:val="24"/>
          <w:lang w:eastAsia="en-US"/>
        </w:rPr>
        <w:t xml:space="preserve">EU </w:t>
      </w:r>
      <w:r>
        <w:rPr>
          <w:rFonts w:ascii="Times New Roman" w:eastAsia="Calibri" w:hAnsi="Times New Roman" w:cs="Times New Roman"/>
          <w:i/>
          <w:noProof/>
          <w:color w:val="000000" w:themeColor="text1"/>
          <w:sz w:val="24"/>
          <w:szCs w:val="24"/>
          <w:lang w:eastAsia="en-US"/>
        </w:rPr>
        <w:t>acquis</w:t>
      </w:r>
      <w:r>
        <w:rPr>
          <w:rFonts w:ascii="Times New Roman" w:eastAsia="Calibri" w:hAnsi="Times New Roman" w:cs="Times New Roman"/>
          <w:noProof/>
          <w:color w:val="000000" w:themeColor="text1"/>
          <w:sz w:val="24"/>
          <w:szCs w:val="24"/>
          <w:lang w:eastAsia="en-US"/>
        </w:rPr>
        <w:t xml:space="preserve"> but </w:t>
      </w:r>
      <w:r>
        <w:rPr>
          <w:rFonts w:ascii="Times New Roman" w:eastAsia="Times New Roman" w:hAnsi="Times New Roman" w:cs="Times New Roman"/>
          <w:noProof/>
          <w:color w:val="000000" w:themeColor="text1"/>
          <w:sz w:val="24"/>
          <w:szCs w:val="24"/>
        </w:rPr>
        <w:t>needs updating in line with recent developments. Negotiations on readmission agreements (to return irregularly staying migrants with no right to stay to their country of origin) are ongoing with Russia and Pakistan, while draft agreements wer</w:t>
      </w:r>
      <w:r>
        <w:rPr>
          <w:rFonts w:ascii="Times New Roman" w:eastAsia="Times New Roman" w:hAnsi="Times New Roman" w:cs="Times New Roman"/>
          <w:noProof/>
          <w:color w:val="000000" w:themeColor="text1"/>
          <w:sz w:val="24"/>
          <w:szCs w:val="24"/>
        </w:rPr>
        <w:t>e sent for approval to the authorities in Morocco, Afghanistan, Iraq and Iran. Albania has readmission protocols with 12 Member States. In June 2019, it adopted a new national migration</w:t>
      </w:r>
      <w:r>
        <w:rPr>
          <w:rFonts w:ascii="Times New Roman" w:eastAsia="Times New Roman" w:hAnsi="Times New Roman" w:cs="Times New Roman"/>
          <w:b/>
          <w:noProof/>
          <w:color w:val="000000" w:themeColor="text1"/>
          <w:sz w:val="24"/>
          <w:szCs w:val="24"/>
        </w:rPr>
        <w:t xml:space="preserve"> strategy</w:t>
      </w:r>
      <w:r>
        <w:rPr>
          <w:rFonts w:ascii="Times New Roman" w:eastAsia="Times New Roman" w:hAnsi="Times New Roman" w:cs="Times New Roman"/>
          <w:noProof/>
          <w:color w:val="000000" w:themeColor="text1"/>
          <w:sz w:val="24"/>
          <w:szCs w:val="24"/>
        </w:rPr>
        <w:t xml:space="preserve"> and action plan for 2019-2022, providing a clear framework fo</w:t>
      </w:r>
      <w:r>
        <w:rPr>
          <w:rFonts w:ascii="Times New Roman" w:eastAsia="Times New Roman" w:hAnsi="Times New Roman" w:cs="Times New Roman"/>
          <w:noProof/>
          <w:color w:val="000000" w:themeColor="text1"/>
          <w:sz w:val="24"/>
          <w:szCs w:val="24"/>
        </w:rPr>
        <w:t>r managing and coordinating migration flows. A first monitoring report on the implementation of the strategy and action plan was released in March 2020. A new 2021-2025 draft national diaspora strategy and action plan were finalised in June 2019. Amendment</w:t>
      </w:r>
      <w:r>
        <w:rPr>
          <w:rFonts w:ascii="Times New Roman" w:eastAsia="Times New Roman" w:hAnsi="Times New Roman" w:cs="Times New Roman"/>
          <w:noProof/>
          <w:color w:val="000000" w:themeColor="text1"/>
          <w:sz w:val="24"/>
          <w:szCs w:val="24"/>
        </w:rPr>
        <w:t xml:space="preserve">s to the Law on foreigners were adopted in February 2020, lifting working permit requirements for EU citizens, Western Balkans nationals and foreigners working for the post-earthquake reconstruction. </w:t>
      </w:r>
    </w:p>
    <w:p w:rsidR="00EE1719" w:rsidRDefault="000E39BA">
      <w:pPr>
        <w:keepNext/>
        <w:spacing w:after="120" w:line="240" w:lineRule="auto"/>
        <w:jc w:val="both"/>
        <w:rPr>
          <w:rFonts w:ascii="Times New Roman" w:eastAsia="Times New Roman" w:hAnsi="Times New Roman" w:cs="Times New Roman"/>
          <w:noProof/>
          <w:color w:val="000000" w:themeColor="text1"/>
          <w:sz w:val="24"/>
          <w:szCs w:val="24"/>
          <w:u w:val="single"/>
        </w:rPr>
      </w:pPr>
      <w:r>
        <w:rPr>
          <w:rFonts w:ascii="Times New Roman" w:eastAsia="Times New Roman" w:hAnsi="Times New Roman" w:cs="Times New Roman"/>
          <w:noProof/>
          <w:color w:val="000000" w:themeColor="text1"/>
          <w:sz w:val="24"/>
          <w:szCs w:val="24"/>
          <w:u w:val="single"/>
        </w:rPr>
        <w:t>Implementation and enforcement capacity</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Good progress has been achieved in tackling irregular migration challenges, including strengthened border controls. </w:t>
      </w:r>
      <w:r>
        <w:rPr>
          <w:rFonts w:ascii="Times New Roman" w:eastAsia="Calibri" w:hAnsi="Times New Roman" w:cs="Times New Roman"/>
          <w:noProof/>
          <w:color w:val="000000" w:themeColor="text1"/>
          <w:sz w:val="24"/>
          <w:szCs w:val="24"/>
          <w:lang w:eastAsia="en-US"/>
        </w:rPr>
        <w:t xml:space="preserve">Albania continued to experience a growing influx of irregular migrants, </w:t>
      </w:r>
      <w:r>
        <w:rPr>
          <w:rFonts w:ascii="Times New Roman" w:eastAsia="Times New Roman" w:hAnsi="Times New Roman" w:cs="Times New Roman"/>
          <w:noProof/>
          <w:color w:val="000000" w:themeColor="text1"/>
          <w:sz w:val="24"/>
          <w:szCs w:val="24"/>
        </w:rPr>
        <w:t xml:space="preserve">mostly from Greece and leaving Albania after a few days, on the way </w:t>
      </w:r>
      <w:r>
        <w:rPr>
          <w:rFonts w:ascii="Times New Roman" w:eastAsia="Times New Roman" w:hAnsi="Times New Roman" w:cs="Times New Roman"/>
          <w:noProof/>
          <w:color w:val="000000" w:themeColor="text1"/>
          <w:sz w:val="24"/>
          <w:szCs w:val="24"/>
        </w:rPr>
        <w:t>to other EU countries. The number of irregular migrants apprehended in Albania increased by almost 83% compared with 2018 (10,557 compared with 5,792). About 30% more migrants arrived in the first five months of 2020 than in the same period in 2019, despit</w:t>
      </w:r>
      <w:r>
        <w:rPr>
          <w:rFonts w:ascii="Times New Roman" w:eastAsia="Times New Roman" w:hAnsi="Times New Roman" w:cs="Times New Roman"/>
          <w:noProof/>
          <w:color w:val="000000" w:themeColor="text1"/>
          <w:sz w:val="24"/>
          <w:szCs w:val="24"/>
        </w:rPr>
        <w:t xml:space="preserve">e the COVID-19 outbreak (3,633 against 2,788). A gradual increase has been noted in the number of arrivals as movement restrictions in Albania were lifted. The nationalities represented most were Syrian, Iraqi, Afghan, Palestinian, and Moroccan. </w:t>
      </w:r>
    </w:p>
    <w:p w:rsidR="00EE1719" w:rsidRDefault="000E39BA">
      <w:pPr>
        <w:spacing w:after="120" w:line="240" w:lineRule="auto"/>
        <w:jc w:val="both"/>
        <w:rPr>
          <w:rFonts w:ascii="Times New Roman" w:eastAsia="TimesNewRomanPSMT"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migra</w:t>
      </w:r>
      <w:r>
        <w:rPr>
          <w:rFonts w:ascii="Times New Roman" w:eastAsia="Times New Roman" w:hAnsi="Times New Roman" w:cs="Times New Roman"/>
          <w:noProof/>
          <w:color w:val="000000" w:themeColor="text1"/>
          <w:sz w:val="24"/>
          <w:szCs w:val="24"/>
        </w:rPr>
        <w:t xml:space="preserve">nt reception capacity increased in 2019 and 2020. However, the National Centre for Asylum Seekers in Tirana was filled to capacity on a number of occasions at the end of 2019 and beginning of 2020. </w:t>
      </w:r>
      <w:r>
        <w:rPr>
          <w:rFonts w:ascii="Times New Roman" w:eastAsia="Calibri" w:hAnsi="Times New Roman" w:cs="Times New Roman"/>
          <w:noProof/>
          <w:color w:val="000000" w:themeColor="text1"/>
          <w:sz w:val="24"/>
          <w:szCs w:val="24"/>
        </w:rPr>
        <w:t xml:space="preserve">The asylum centre in Babbru can host 240 people. It needs </w:t>
      </w:r>
      <w:r>
        <w:rPr>
          <w:rFonts w:ascii="Times New Roman" w:eastAsia="Calibri" w:hAnsi="Times New Roman" w:cs="Times New Roman"/>
          <w:noProof/>
          <w:color w:val="000000" w:themeColor="text1"/>
          <w:sz w:val="24"/>
          <w:szCs w:val="24"/>
        </w:rPr>
        <w:t>proper maintenance and sufficient living conditions.</w:t>
      </w:r>
      <w:r>
        <w:rPr>
          <w:rFonts w:ascii="Times New Roman" w:eastAsia="Times New Roman" w:hAnsi="Times New Roman" w:cs="Times New Roman"/>
          <w:noProof/>
          <w:color w:val="000000" w:themeColor="text1"/>
          <w:sz w:val="24"/>
          <w:szCs w:val="24"/>
        </w:rPr>
        <w:t xml:space="preserve"> A worsening security situation within the centre has remained unaddressed</w:t>
      </w:r>
      <w:r>
        <w:rPr>
          <w:rFonts w:ascii="Times New Roman" w:eastAsia="Calibri" w:hAnsi="Times New Roman" w:cs="Times New Roman"/>
          <w:noProof/>
          <w:color w:val="000000" w:themeColor="text1"/>
          <w:sz w:val="24"/>
          <w:szCs w:val="24"/>
        </w:rPr>
        <w:t>.</w:t>
      </w:r>
      <w:r>
        <w:rPr>
          <w:rFonts w:ascii="Times New Roman" w:eastAsia="Times New Roman" w:hAnsi="Times New Roman" w:cs="Times New Roman"/>
          <w:noProof/>
          <w:color w:val="000000" w:themeColor="text1"/>
          <w:sz w:val="24"/>
          <w:szCs w:val="24"/>
        </w:rPr>
        <w:t xml:space="preserve"> Its closed reception centre for </w:t>
      </w:r>
      <w:r>
        <w:rPr>
          <w:rFonts w:ascii="Times New Roman" w:eastAsia="Times New Roman" w:hAnsi="Times New Roman" w:cs="Times New Roman"/>
          <w:b/>
          <w:noProof/>
          <w:color w:val="000000" w:themeColor="text1"/>
          <w:sz w:val="24"/>
          <w:szCs w:val="24"/>
        </w:rPr>
        <w:t>irregular migrants</w:t>
      </w:r>
      <w:r>
        <w:rPr>
          <w:rFonts w:ascii="Times New Roman" w:eastAsia="Times New Roman" w:hAnsi="Times New Roman" w:cs="Times New Roman"/>
          <w:noProof/>
          <w:color w:val="000000" w:themeColor="text1"/>
          <w:sz w:val="24"/>
          <w:szCs w:val="24"/>
        </w:rPr>
        <w:t xml:space="preserve"> in Karreç, with a total capacity of 100 beds, also requires refurbishment. Al</w:t>
      </w:r>
      <w:r>
        <w:rPr>
          <w:rFonts w:ascii="Times New Roman" w:eastAsia="Times New Roman" w:hAnsi="Times New Roman" w:cs="Times New Roman"/>
          <w:noProof/>
          <w:color w:val="000000" w:themeColor="text1"/>
          <w:sz w:val="24"/>
          <w:szCs w:val="24"/>
        </w:rPr>
        <w:t>bania should establish alternatives to detention for children, women at risk and people with serious medical conditions, as provided for in the Law on foreigners. A new reception facility f</w:t>
      </w:r>
      <w:r>
        <w:rPr>
          <w:rFonts w:ascii="Times New Roman" w:eastAsia="Calibri" w:hAnsi="Times New Roman" w:cs="Times New Roman"/>
          <w:noProof/>
          <w:color w:val="000000" w:themeColor="text1"/>
          <w:sz w:val="24"/>
          <w:szCs w:val="24"/>
          <w:lang w:eastAsia="en-US"/>
        </w:rPr>
        <w:t>or 60 people established by the International Organisation for Migr</w:t>
      </w:r>
      <w:r>
        <w:rPr>
          <w:rFonts w:ascii="Times New Roman" w:eastAsia="Calibri" w:hAnsi="Times New Roman" w:cs="Times New Roman"/>
          <w:noProof/>
          <w:color w:val="000000" w:themeColor="text1"/>
          <w:sz w:val="24"/>
          <w:szCs w:val="24"/>
          <w:lang w:eastAsia="en-US"/>
        </w:rPr>
        <w:t>ation close to the border crossing point at Kapshtica was opened in October 2019. A new facility to host 30 vulnerable persons in Erseka was also opened in June 2020 with the support of the office of the United Nations High Commissioner for Refugees (UNHCR</w:t>
      </w:r>
      <w:r>
        <w:rPr>
          <w:rFonts w:ascii="Times New Roman" w:eastAsia="Calibri" w:hAnsi="Times New Roman" w:cs="Times New Roman"/>
          <w:noProof/>
          <w:color w:val="000000" w:themeColor="text1"/>
          <w:sz w:val="24"/>
          <w:szCs w:val="24"/>
          <w:lang w:eastAsia="en-US"/>
        </w:rPr>
        <w:t>). Overall, Albania has a total capacity of 490 beds. Albania</w:t>
      </w:r>
      <w:r>
        <w:rPr>
          <w:rFonts w:ascii="Times New Roman" w:eastAsia="Times New Roman" w:hAnsi="Times New Roman" w:cs="Times New Roman"/>
          <w:noProof/>
          <w:color w:val="000000" w:themeColor="text1"/>
          <w:sz w:val="24"/>
          <w:szCs w:val="24"/>
        </w:rPr>
        <w:t xml:space="preserve"> does not have separate facilities for unaccompanied minors. Albania should approve a contingency plan for a possible substantial number of arrivals of migrants and asylum seekers, with a budget </w:t>
      </w:r>
      <w:r>
        <w:rPr>
          <w:rFonts w:ascii="Times New Roman" w:eastAsia="Times New Roman" w:hAnsi="Times New Roman" w:cs="Times New Roman"/>
          <w:noProof/>
          <w:color w:val="000000" w:themeColor="text1"/>
          <w:sz w:val="24"/>
          <w:szCs w:val="24"/>
        </w:rPr>
        <w:t>and clear modalities for its triggering.</w:t>
      </w:r>
      <w:r>
        <w:rPr>
          <w:rFonts w:ascii="Times New Roman" w:eastAsia="TimesNewRomanPSMT" w:hAnsi="Times New Roman" w:cs="Times New Roman"/>
          <w:noProof/>
          <w:color w:val="000000" w:themeColor="text1"/>
          <w:sz w:val="24"/>
          <w:szCs w:val="24"/>
        </w:rPr>
        <w:t xml:space="preserve">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 overall </w:t>
      </w:r>
      <w:r>
        <w:rPr>
          <w:rFonts w:ascii="Times New Roman" w:eastAsia="Times New Roman" w:hAnsi="Times New Roman" w:cs="Times New Roman"/>
          <w:b/>
          <w:noProof/>
          <w:color w:val="000000" w:themeColor="text1"/>
          <w:sz w:val="24"/>
          <w:szCs w:val="24"/>
        </w:rPr>
        <w:t>staffing</w:t>
      </w:r>
      <w:r>
        <w:rPr>
          <w:rFonts w:ascii="Times New Roman" w:eastAsia="Times New Roman" w:hAnsi="Times New Roman" w:cs="Times New Roman"/>
          <w:noProof/>
          <w:color w:val="000000" w:themeColor="text1"/>
          <w:sz w:val="24"/>
          <w:szCs w:val="24"/>
        </w:rPr>
        <w:t xml:space="preserve"> of the ASP’s Department for Border and Migration is limited (1,635 employees) and needs to be increased. Comprehensive training and joint exercises have been organised for key border officials </w:t>
      </w:r>
      <w:r>
        <w:rPr>
          <w:rFonts w:ascii="Times New Roman" w:eastAsia="Times New Roman" w:hAnsi="Times New Roman" w:cs="Times New Roman"/>
          <w:noProof/>
          <w:color w:val="000000" w:themeColor="text1"/>
          <w:sz w:val="24"/>
          <w:szCs w:val="24"/>
        </w:rPr>
        <w:t>and frontline officers. However, permanent training structures should be established in compliance with basic training standards for EU border guards. Specific training should be conducted on a regular basis. The high turnover of officers is a constraint t</w:t>
      </w:r>
      <w:r>
        <w:rPr>
          <w:rFonts w:ascii="Times New Roman" w:eastAsia="Times New Roman" w:hAnsi="Times New Roman" w:cs="Times New Roman"/>
          <w:noProof/>
          <w:color w:val="000000" w:themeColor="text1"/>
          <w:sz w:val="24"/>
          <w:szCs w:val="24"/>
        </w:rPr>
        <w:t>hat should be addressed. There were n</w:t>
      </w:r>
      <w:r>
        <w:rPr>
          <w:rFonts w:ascii="Times New Roman" w:eastAsia="Calibri" w:hAnsi="Times New Roman" w:cs="Times New Roman"/>
          <w:noProof/>
          <w:color w:val="000000" w:themeColor="text1"/>
          <w:sz w:val="24"/>
          <w:szCs w:val="24"/>
          <w:lang w:eastAsia="en-US"/>
        </w:rPr>
        <w:t>o cases of assisted voluntary return to countries of origin. Most irregular migrants returned to the country from which they entered Albania (mainly Greece), but th</w:t>
      </w:r>
      <w:r>
        <w:rPr>
          <w:rFonts w:ascii="Times New Roman" w:eastAsia="Times New Roman" w:hAnsi="Times New Roman" w:cs="Times New Roman"/>
          <w:noProof/>
          <w:color w:val="000000" w:themeColor="text1"/>
          <w:sz w:val="24"/>
          <w:szCs w:val="24"/>
        </w:rPr>
        <w:t xml:space="preserve">e overall number </w:t>
      </w:r>
      <w:r>
        <w:rPr>
          <w:rFonts w:ascii="Times New Roman" w:eastAsia="Calibri" w:hAnsi="Times New Roman" w:cs="Times New Roman"/>
          <w:noProof/>
          <w:color w:val="000000" w:themeColor="text1"/>
          <w:sz w:val="24"/>
          <w:szCs w:val="24"/>
          <w:lang w:eastAsia="en-US"/>
        </w:rPr>
        <w:t>remained low.</w:t>
      </w:r>
      <w:r>
        <w:rPr>
          <w:rFonts w:ascii="Times New Roman" w:eastAsia="Times New Roman" w:hAnsi="Times New Roman" w:cs="Times New Roman"/>
          <w:noProof/>
          <w:color w:val="000000" w:themeColor="text1"/>
          <w:sz w:val="24"/>
          <w:szCs w:val="24"/>
        </w:rPr>
        <w:t xml:space="preserve"> In 2019, 4,098 irregular migrants received an order to return to their country of origin, almost four times more than in 2018. There were reports of migrants being returned to Greece outside a legal and/or procedural framework, before pre-screening could </w:t>
      </w:r>
      <w:r>
        <w:rPr>
          <w:rFonts w:ascii="Times New Roman" w:eastAsia="Times New Roman" w:hAnsi="Times New Roman" w:cs="Times New Roman"/>
          <w:noProof/>
          <w:color w:val="000000" w:themeColor="text1"/>
          <w:sz w:val="24"/>
          <w:szCs w:val="24"/>
        </w:rPr>
        <w:t xml:space="preserve">be conducted. Albania should apply return procedures in compliance with the Law on foreigners and ensure that its return mechanism for irregular migrants is in line with the EU </w:t>
      </w:r>
      <w:r>
        <w:rPr>
          <w:rFonts w:ascii="Times New Roman" w:eastAsia="Times New Roman" w:hAnsi="Times New Roman" w:cs="Times New Roman"/>
          <w:i/>
          <w:noProof/>
          <w:color w:val="000000" w:themeColor="text1"/>
          <w:sz w:val="24"/>
          <w:szCs w:val="24"/>
        </w:rPr>
        <w:t xml:space="preserve">acquis. </w:t>
      </w:r>
      <w:r>
        <w:rPr>
          <w:rFonts w:ascii="Times New Roman" w:eastAsia="Times New Roman" w:hAnsi="Times New Roman" w:cs="Times New Roman"/>
          <w:noProof/>
          <w:color w:val="000000" w:themeColor="text1"/>
          <w:sz w:val="24"/>
          <w:szCs w:val="24"/>
        </w:rPr>
        <w:t xml:space="preserve"> </w:t>
      </w:r>
    </w:p>
    <w:p w:rsidR="00EE1719" w:rsidRDefault="000E39BA">
      <w:pPr>
        <w:spacing w:after="120" w:line="240" w:lineRule="auto"/>
        <w:jc w:val="both"/>
        <w:rPr>
          <w:rFonts w:ascii="Times New Roman" w:eastAsia="TimesNewRomanPSMT"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 </w:t>
      </w:r>
      <w:r>
        <w:rPr>
          <w:rFonts w:ascii="Times New Roman" w:eastAsia="Times New Roman" w:hAnsi="Times New Roman" w:cs="Times New Roman"/>
          <w:b/>
          <w:noProof/>
          <w:color w:val="000000" w:themeColor="text1"/>
          <w:sz w:val="24"/>
          <w:szCs w:val="24"/>
        </w:rPr>
        <w:t>readmission agreement</w:t>
      </w:r>
      <w:r>
        <w:rPr>
          <w:rFonts w:ascii="Times New Roman" w:eastAsia="Times New Roman" w:hAnsi="Times New Roman" w:cs="Times New Roman"/>
          <w:noProof/>
          <w:color w:val="000000" w:themeColor="text1"/>
          <w:sz w:val="24"/>
          <w:szCs w:val="24"/>
        </w:rPr>
        <w:t xml:space="preserve"> with the EU is functioning well, with Albania swiftly honouring requests from Member States for the readmission of both its own and third country nationals. The overall return rate was </w:t>
      </w:r>
      <w:r>
        <w:rPr>
          <w:rFonts w:ascii="Times New Roman" w:eastAsia="Calibri" w:hAnsi="Times New Roman" w:cs="Times New Roman"/>
          <w:noProof/>
          <w:color w:val="000000" w:themeColor="text1"/>
          <w:sz w:val="24"/>
          <w:szCs w:val="24"/>
          <w:lang w:eastAsia="en-US"/>
        </w:rPr>
        <w:t>66% in 2018, but it dropped to 47% in 2019. Since EU Member States rep</w:t>
      </w:r>
      <w:r>
        <w:rPr>
          <w:rFonts w:ascii="Times New Roman" w:eastAsia="Calibri" w:hAnsi="Times New Roman" w:cs="Times New Roman"/>
          <w:noProof/>
          <w:color w:val="000000" w:themeColor="text1"/>
          <w:sz w:val="24"/>
          <w:szCs w:val="24"/>
          <w:lang w:eastAsia="en-US"/>
        </w:rPr>
        <w:t>ort good cooperation, this decrease may be due to the processing of exceptionally large volumes of decisions, a backlog in previous years and possibly secondary movements. C</w:t>
      </w:r>
      <w:r>
        <w:rPr>
          <w:rFonts w:ascii="Times New Roman" w:eastAsia="Times New Roman" w:hAnsi="Times New Roman" w:cs="Times New Roman"/>
          <w:noProof/>
          <w:color w:val="000000" w:themeColor="text1"/>
          <w:sz w:val="24"/>
          <w:szCs w:val="24"/>
        </w:rPr>
        <w:t>ooperation between Albania and the European Border and Coast Guard Agency (Frontex)</w:t>
      </w:r>
      <w:r>
        <w:rPr>
          <w:rFonts w:ascii="Times New Roman" w:eastAsia="Times New Roman" w:hAnsi="Times New Roman" w:cs="Times New Roman"/>
          <w:noProof/>
          <w:color w:val="000000" w:themeColor="text1"/>
          <w:sz w:val="24"/>
          <w:szCs w:val="24"/>
        </w:rPr>
        <w:t xml:space="preserve"> on return operations is very good. In 2019, Frontex coordinated 73 return operations, returning 2 414 Albanian citizens. About 1,565 Albanian citizens were readmitted and returned in January and February 2020. Albania should train more police officers to </w:t>
      </w:r>
      <w:r>
        <w:rPr>
          <w:rFonts w:ascii="Times New Roman" w:eastAsia="Times New Roman" w:hAnsi="Times New Roman" w:cs="Times New Roman"/>
          <w:noProof/>
          <w:color w:val="000000" w:themeColor="text1"/>
          <w:sz w:val="24"/>
          <w:szCs w:val="24"/>
        </w:rPr>
        <w:t>escort returnees to Albania, step up its efforts to provide</w:t>
      </w:r>
      <w:r>
        <w:rPr>
          <w:rFonts w:ascii="Times New Roman" w:eastAsia="TimesNewRomanPSMT" w:hAnsi="Times New Roman" w:cs="Times New Roman"/>
          <w:noProof/>
          <w:color w:val="000000" w:themeColor="text1"/>
          <w:sz w:val="24"/>
          <w:szCs w:val="24"/>
        </w:rPr>
        <w:t xml:space="preserve"> reintegration support for returned nationals and improve the training of staff working at the migration desks</w:t>
      </w:r>
      <w:r>
        <w:rPr>
          <w:rFonts w:ascii="Times New Roman" w:eastAsia="Times New Roman" w:hAnsi="Times New Roman" w:cs="Times New Roman"/>
          <w:noProof/>
          <w:color w:val="000000" w:themeColor="text1"/>
          <w:sz w:val="24"/>
          <w:szCs w:val="24"/>
        </w:rPr>
        <w:t xml:space="preserve"> and </w:t>
      </w:r>
      <w:r>
        <w:rPr>
          <w:rFonts w:ascii="Times New Roman" w:eastAsia="TimesNewRomanPSMT" w:hAnsi="Times New Roman" w:cs="Times New Roman"/>
          <w:noProof/>
          <w:color w:val="000000" w:themeColor="text1"/>
          <w:sz w:val="24"/>
          <w:szCs w:val="24"/>
        </w:rPr>
        <w:t xml:space="preserve">regional employment offices. </w:t>
      </w:r>
    </w:p>
    <w:p w:rsidR="00EE1719" w:rsidRDefault="000E39BA">
      <w:pPr>
        <w:keepNext/>
        <w:spacing w:after="120" w:line="240" w:lineRule="auto"/>
        <w:jc w:val="both"/>
        <w:rPr>
          <w:rFonts w:ascii="Times New Roman" w:eastAsia="Times New Roman" w:hAnsi="Times New Roman" w:cs="Times New Roman"/>
          <w:bCs/>
          <w:noProof/>
          <w:color w:val="000000" w:themeColor="text1"/>
          <w:sz w:val="24"/>
          <w:szCs w:val="24"/>
          <w:u w:val="single"/>
        </w:rPr>
      </w:pPr>
      <w:r>
        <w:rPr>
          <w:rFonts w:ascii="Times New Roman" w:eastAsia="Times New Roman" w:hAnsi="Times New Roman" w:cs="Times New Roman"/>
          <w:b/>
          <w:noProof/>
          <w:color w:val="000000" w:themeColor="text1"/>
          <w:sz w:val="24"/>
          <w:szCs w:val="24"/>
        </w:rPr>
        <w:t>Asylum</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Cs/>
          <w:noProof/>
          <w:color w:val="000000" w:themeColor="text1"/>
          <w:sz w:val="24"/>
          <w:szCs w:val="24"/>
          <w:u w:val="single"/>
        </w:rPr>
        <w:t>Institutional set-up and legal alignment</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Legi</w:t>
      </w:r>
      <w:r>
        <w:rPr>
          <w:rFonts w:ascii="Times New Roman" w:eastAsia="Times New Roman" w:hAnsi="Times New Roman" w:cs="Times New Roman"/>
          <w:noProof/>
          <w:color w:val="000000" w:themeColor="text1"/>
          <w:sz w:val="24"/>
          <w:szCs w:val="24"/>
        </w:rPr>
        <w:t xml:space="preserve">slation on asylum generally complies with European standards. However, gaps remain in the development of secondary legislation and internal guidelines to regulate procedures and guide competent authorities. A new Law on asylum is under finalisation. </w:t>
      </w:r>
    </w:p>
    <w:p w:rsidR="00EE1719" w:rsidRDefault="000E39BA">
      <w:pPr>
        <w:spacing w:after="120" w:line="240" w:lineRule="auto"/>
        <w:jc w:val="both"/>
        <w:rPr>
          <w:rFonts w:ascii="Times New Roman" w:eastAsia="Cambria"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Albania has the necessary institutions in place to handle asylum claims. In principle appeals can be lodged with the National Commission for Refugees and Asylum. However, the Commission was not functional in 2018 and 2019. This issue should be addressed sw</w:t>
      </w:r>
      <w:r>
        <w:rPr>
          <w:rFonts w:ascii="Times New Roman" w:eastAsia="Times New Roman" w:hAnsi="Times New Roman" w:cs="Times New Roman"/>
          <w:noProof/>
          <w:color w:val="000000" w:themeColor="text1"/>
          <w:sz w:val="24"/>
          <w:szCs w:val="24"/>
        </w:rPr>
        <w:t>iftly and the Commission reactivated. Judicial appeals can be lodged at the administrative courts.</w:t>
      </w:r>
      <w:r>
        <w:rPr>
          <w:rFonts w:ascii="Times New Roman" w:eastAsia="Cambria" w:hAnsi="Times New Roman" w:cs="Times New Roman"/>
          <w:noProof/>
          <w:color w:val="000000" w:themeColor="text1"/>
          <w:sz w:val="24"/>
          <w:szCs w:val="24"/>
        </w:rPr>
        <w:t xml:space="preserve"> The requisite resources should be allocated for full-time qualified interpreters during and after pre-screening. The exclusion of refugees from social housin</w:t>
      </w:r>
      <w:r>
        <w:rPr>
          <w:rFonts w:ascii="Times New Roman" w:eastAsia="Cambria" w:hAnsi="Times New Roman" w:cs="Times New Roman"/>
          <w:noProof/>
          <w:color w:val="000000" w:themeColor="text1"/>
          <w:sz w:val="24"/>
          <w:szCs w:val="24"/>
        </w:rPr>
        <w:t xml:space="preserve">g and asylum seekers from social assistance still needs to be addressed, as efforts to provide integration assistance remain rather limited. </w:t>
      </w:r>
    </w:p>
    <w:p w:rsidR="00EE1719" w:rsidRDefault="000E39BA">
      <w:pPr>
        <w:keepNext/>
        <w:spacing w:after="120" w:line="240" w:lineRule="auto"/>
        <w:jc w:val="both"/>
        <w:rPr>
          <w:rFonts w:ascii="Times New Roman" w:eastAsia="Times New Roman" w:hAnsi="Times New Roman" w:cs="Times New Roman"/>
          <w:noProof/>
          <w:color w:val="000000" w:themeColor="text1"/>
          <w:sz w:val="24"/>
          <w:szCs w:val="24"/>
          <w:u w:val="single"/>
        </w:rPr>
      </w:pPr>
      <w:r>
        <w:rPr>
          <w:rFonts w:ascii="Times New Roman" w:eastAsia="Times New Roman" w:hAnsi="Times New Roman" w:cs="Times New Roman"/>
          <w:noProof/>
          <w:color w:val="000000" w:themeColor="text1"/>
          <w:sz w:val="24"/>
          <w:szCs w:val="24"/>
          <w:u w:val="single"/>
        </w:rPr>
        <w:t>Implementation and enforcement capacity</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In 2019, 6,677 individuals applied for asylum in Albania, 52% more than in</w:t>
      </w:r>
      <w:r>
        <w:rPr>
          <w:rFonts w:ascii="Times New Roman" w:eastAsia="Times New Roman" w:hAnsi="Times New Roman" w:cs="Times New Roman"/>
          <w:noProof/>
          <w:color w:val="000000" w:themeColor="text1"/>
          <w:sz w:val="24"/>
          <w:szCs w:val="24"/>
        </w:rPr>
        <w:t xml:space="preserve"> 2018 (4,386). In the first five months of 2020, there were 2,057 applications, 129 less than in the same period of 2019. </w:t>
      </w:r>
      <w:r>
        <w:rPr>
          <w:rFonts w:ascii="Times New Roman" w:eastAsia="Calibri" w:hAnsi="Times New Roman" w:cs="Times New Roman"/>
          <w:noProof/>
          <w:color w:val="000000" w:themeColor="text1"/>
          <w:sz w:val="24"/>
          <w:szCs w:val="24"/>
          <w:lang w:eastAsia="en-US"/>
        </w:rPr>
        <w:t xml:space="preserve">Albania remains a </w:t>
      </w:r>
      <w:r>
        <w:rPr>
          <w:rFonts w:ascii="Times New Roman" w:eastAsia="Times New Roman" w:hAnsi="Times New Roman" w:cs="Times New Roman"/>
          <w:noProof/>
          <w:color w:val="000000" w:themeColor="text1"/>
          <w:sz w:val="24"/>
          <w:szCs w:val="24"/>
        </w:rPr>
        <w:t xml:space="preserve">transit country for asylum seekers. As most asylum seekers leave the country after a few days, the vast majority of </w:t>
      </w:r>
      <w:r>
        <w:rPr>
          <w:rFonts w:ascii="Times New Roman" w:eastAsia="Times New Roman" w:hAnsi="Times New Roman" w:cs="Times New Roman"/>
          <w:noProof/>
          <w:color w:val="000000" w:themeColor="text1"/>
          <w:sz w:val="24"/>
          <w:szCs w:val="24"/>
        </w:rPr>
        <w:t xml:space="preserve">asylum applications were withdrawn. In 2019, 60 applications were formally lodged. One applicant was granted refugee status and 23 were granted subsidiary protection. During the outbreak of the COVID-19 pandemic, asylum procedures and interviews have been </w:t>
      </w:r>
      <w:r>
        <w:rPr>
          <w:rFonts w:ascii="Times New Roman" w:eastAsia="Times New Roman" w:hAnsi="Times New Roman" w:cs="Times New Roman"/>
          <w:noProof/>
          <w:color w:val="000000" w:themeColor="text1"/>
          <w:sz w:val="24"/>
          <w:szCs w:val="24"/>
        </w:rPr>
        <w:t>limited.</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On </w:t>
      </w:r>
      <w:r>
        <w:rPr>
          <w:rFonts w:ascii="Times New Roman" w:eastAsia="Times New Roman" w:hAnsi="Times New Roman" w:cs="Times New Roman"/>
          <w:b/>
          <w:noProof/>
          <w:color w:val="000000" w:themeColor="text1"/>
          <w:sz w:val="24"/>
          <w:szCs w:val="24"/>
        </w:rPr>
        <w:t>asylum procedure</w:t>
      </w:r>
      <w:r>
        <w:rPr>
          <w:rFonts w:ascii="Times New Roman" w:eastAsia="Times New Roman" w:hAnsi="Times New Roman" w:cs="Times New Roman"/>
          <w:noProof/>
          <w:color w:val="000000" w:themeColor="text1"/>
          <w:sz w:val="24"/>
          <w:szCs w:val="24"/>
        </w:rPr>
        <w:t xml:space="preserve">, the Border and Migration Police registers requests during pre-screening and then refers them to the Directorate for Asylum and Citizenship. Although authorities’ response to the sharp increase in arrivals in 2018 and 2019 was </w:t>
      </w:r>
      <w:r>
        <w:rPr>
          <w:rFonts w:ascii="Times New Roman" w:eastAsia="Times New Roman" w:hAnsi="Times New Roman" w:cs="Times New Roman"/>
          <w:noProof/>
          <w:color w:val="000000" w:themeColor="text1"/>
          <w:sz w:val="24"/>
          <w:szCs w:val="24"/>
        </w:rPr>
        <w:t>generally adequate, the Directorate needs greater capacity and more staff. More training is needed on how to assess individual claims, particularly the information on country of origin and cases involving vulnerable people. A database for managing registra</w:t>
      </w:r>
      <w:r>
        <w:rPr>
          <w:rFonts w:ascii="Times New Roman" w:eastAsia="Times New Roman" w:hAnsi="Times New Roman" w:cs="Times New Roman"/>
          <w:noProof/>
          <w:color w:val="000000" w:themeColor="text1"/>
          <w:sz w:val="24"/>
          <w:szCs w:val="24"/>
        </w:rPr>
        <w:t xml:space="preserve">tions and allowing for follow-up of individual cases became operational in 2019. However, data management still needs to be strengthened and border crossing points interconnected.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pre-screening instructions should be amended to include additional safe</w:t>
      </w:r>
      <w:r>
        <w:rPr>
          <w:rFonts w:ascii="Times New Roman" w:eastAsia="Times New Roman" w:hAnsi="Times New Roman" w:cs="Times New Roman"/>
          <w:noProof/>
          <w:color w:val="000000" w:themeColor="text1"/>
          <w:sz w:val="24"/>
          <w:szCs w:val="24"/>
        </w:rPr>
        <w:t xml:space="preserve">guards, in particular for vulnerable people and those with specific needs, including the early identification of children at risk. The whole asylum procedure could be improved with more direct input from the Directorate for Asylum and Citizenship, regular </w:t>
      </w:r>
      <w:r>
        <w:rPr>
          <w:rFonts w:ascii="Times New Roman" w:eastAsia="Times New Roman" w:hAnsi="Times New Roman" w:cs="Times New Roman"/>
          <w:noProof/>
          <w:color w:val="000000" w:themeColor="text1"/>
          <w:sz w:val="24"/>
          <w:szCs w:val="24"/>
        </w:rPr>
        <w:t xml:space="preserve">attendance at interviews and support for the police.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status of about 2 700 Iranians (from the People’s Mujahedeen of Iran) relocated to Albania in 2015 and 2016 has yet to be decided. They currently hold temporary residence permits on humanitarian gro</w:t>
      </w:r>
      <w:r>
        <w:rPr>
          <w:rFonts w:ascii="Times New Roman" w:eastAsia="Times New Roman" w:hAnsi="Times New Roman" w:cs="Times New Roman"/>
          <w:noProof/>
          <w:color w:val="000000" w:themeColor="text1"/>
          <w:sz w:val="24"/>
          <w:szCs w:val="24"/>
        </w:rPr>
        <w:t xml:space="preserve">unds.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Albania cooperates with the </w:t>
      </w:r>
      <w:r>
        <w:rPr>
          <w:rFonts w:ascii="Times New Roman" w:eastAsia="Times New Roman" w:hAnsi="Times New Roman" w:cs="Times New Roman"/>
          <w:iCs/>
          <w:noProof/>
          <w:color w:val="000000" w:themeColor="text1"/>
          <w:sz w:val="24"/>
          <w:szCs w:val="24"/>
        </w:rPr>
        <w:t>European Asylum Support Office</w:t>
      </w:r>
      <w:r>
        <w:rPr>
          <w:rFonts w:ascii="Times New Roman" w:eastAsia="Times New Roman" w:hAnsi="Times New Roman" w:cs="Times New Roman"/>
          <w:noProof/>
          <w:color w:val="000000" w:themeColor="text1"/>
          <w:sz w:val="24"/>
          <w:szCs w:val="24"/>
        </w:rPr>
        <w:t>.</w:t>
      </w:r>
    </w:p>
    <w:p w:rsidR="00EE1719" w:rsidRDefault="000E39BA">
      <w:pPr>
        <w:keepNext/>
        <w:spacing w:after="120" w:line="240" w:lineRule="auto"/>
        <w:jc w:val="both"/>
        <w:rPr>
          <w:rFonts w:ascii="Times New Roman" w:eastAsia="Times New Roman" w:hAnsi="Times New Roman" w:cs="Times New Roman"/>
          <w:i/>
          <w:noProof/>
          <w:color w:val="000000" w:themeColor="text1"/>
          <w:sz w:val="24"/>
          <w:szCs w:val="24"/>
        </w:rPr>
      </w:pPr>
      <w:r>
        <w:rPr>
          <w:rFonts w:ascii="Times New Roman" w:eastAsia="Times New Roman" w:hAnsi="Times New Roman" w:cs="Times New Roman"/>
          <w:b/>
          <w:noProof/>
          <w:color w:val="000000" w:themeColor="text1"/>
          <w:sz w:val="24"/>
          <w:szCs w:val="24"/>
        </w:rPr>
        <w:t>Visa policy</w:t>
      </w:r>
    </w:p>
    <w:p w:rsidR="00EE1719" w:rsidRDefault="000E39BA">
      <w:pPr>
        <w:keepNext/>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Albania’s visa policy is not fully aligned with the EU’s, e.g. as regards the lists of countries whose nationals require a visa and those who are exempt. Further alignment is </w:t>
      </w:r>
      <w:r>
        <w:rPr>
          <w:rFonts w:ascii="Times New Roman" w:eastAsia="Times New Roman" w:hAnsi="Times New Roman" w:cs="Times New Roman"/>
          <w:noProof/>
          <w:color w:val="000000" w:themeColor="text1"/>
          <w:sz w:val="24"/>
          <w:szCs w:val="24"/>
        </w:rPr>
        <w:t>needed, as Albania has visa</w:t>
      </w:r>
      <w:r>
        <w:rPr>
          <w:rFonts w:ascii="Times New Roman" w:eastAsia="Times New Roman" w:hAnsi="Times New Roman" w:cs="Times New Roman"/>
          <w:noProof/>
          <w:color w:val="000000" w:themeColor="text1"/>
          <w:sz w:val="24"/>
          <w:szCs w:val="24"/>
        </w:rPr>
        <w:noBreakHyphen/>
        <w:t>free arrangements with Kazakhstan, Kuwait, and Turkey, which are not on the EU’s visa</w:t>
      </w:r>
      <w:r>
        <w:rPr>
          <w:rFonts w:ascii="Times New Roman" w:eastAsia="Times New Roman" w:hAnsi="Times New Roman" w:cs="Times New Roman"/>
          <w:noProof/>
          <w:color w:val="000000" w:themeColor="text1"/>
          <w:sz w:val="24"/>
          <w:szCs w:val="24"/>
        </w:rPr>
        <w:noBreakHyphen/>
        <w:t>free list. In addition, between April and October each year, Albania lifts its visa requirement for nationals of Bahrain, Belarus, Oman, Qatar</w:t>
      </w:r>
      <w:r>
        <w:rPr>
          <w:rFonts w:ascii="Times New Roman" w:eastAsia="Times New Roman" w:hAnsi="Times New Roman" w:cs="Times New Roman"/>
          <w:noProof/>
          <w:color w:val="000000" w:themeColor="text1"/>
          <w:sz w:val="24"/>
          <w:szCs w:val="24"/>
        </w:rPr>
        <w:t xml:space="preserve">, Russia, Saudi Arabia and Thailand, which is not in line with the EU </w:t>
      </w:r>
      <w:r>
        <w:rPr>
          <w:rFonts w:ascii="Times New Roman" w:eastAsia="Times New Roman" w:hAnsi="Times New Roman" w:cs="Times New Roman"/>
          <w:i/>
          <w:noProof/>
          <w:color w:val="000000" w:themeColor="text1"/>
          <w:sz w:val="24"/>
          <w:szCs w:val="24"/>
        </w:rPr>
        <w:t>acquis</w:t>
      </w:r>
      <w:r>
        <w:rPr>
          <w:rFonts w:ascii="Times New Roman" w:eastAsia="Times New Roman" w:hAnsi="Times New Roman" w:cs="Times New Roman"/>
          <w:noProof/>
          <w:color w:val="000000" w:themeColor="text1"/>
          <w:sz w:val="24"/>
          <w:szCs w:val="24"/>
        </w:rPr>
        <w:t xml:space="preserve">. In December 2019, it also decided to exempt Chinese nationals from visa requirement with no time limit. </w:t>
      </w:r>
      <w:r>
        <w:rPr>
          <w:rFonts w:ascii="Times New Roman" w:eastAsia="Times New Roman" w:hAnsi="Times New Roman" w:cs="Times New Roman"/>
          <w:iCs/>
          <w:noProof/>
          <w:color w:val="000000" w:themeColor="text1"/>
          <w:sz w:val="24"/>
          <w:szCs w:val="24"/>
        </w:rPr>
        <w:t>The country needs to ensure full alignment with EU visa policy. It</w:t>
      </w:r>
      <w:r>
        <w:rPr>
          <w:rFonts w:ascii="Times New Roman" w:eastAsia="Times New Roman" w:hAnsi="Times New Roman" w:cs="Times New Roman"/>
          <w:noProof/>
          <w:color w:val="000000" w:themeColor="text1"/>
          <w:sz w:val="24"/>
          <w:szCs w:val="24"/>
        </w:rPr>
        <w:t xml:space="preserve"> has an </w:t>
      </w:r>
      <w:r>
        <w:rPr>
          <w:rFonts w:ascii="Times New Roman" w:eastAsia="Times New Roman" w:hAnsi="Times New Roman" w:cs="Times New Roman"/>
          <w:noProof/>
          <w:color w:val="000000" w:themeColor="text1"/>
          <w:sz w:val="24"/>
          <w:szCs w:val="24"/>
        </w:rPr>
        <w:t xml:space="preserve">e-visa system, based on total information management system (TIMS) software, which is used to register all foreign nationals applying for a visa when entering Albania. </w:t>
      </w:r>
    </w:p>
    <w:p w:rsidR="00EE1719" w:rsidRDefault="000E39BA">
      <w:pPr>
        <w:spacing w:after="120" w:line="240" w:lineRule="auto"/>
        <w:jc w:val="both"/>
        <w:rPr>
          <w:rFonts w:ascii="Times New Roman" w:eastAsiaTheme="minorHAnsi"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Commission’s third Report under the Visa Suspension Mechanism of July 2020</w:t>
      </w:r>
      <w:r>
        <w:rPr>
          <w:rStyle w:val="FootnoteReference"/>
          <w:rFonts w:ascii="Times New Roman" w:eastAsia="Times New Roman" w:hAnsi="Times New Roman" w:cs="Times New Roman"/>
          <w:noProof/>
          <w:color w:val="000000" w:themeColor="text1"/>
          <w:sz w:val="24"/>
          <w:szCs w:val="24"/>
        </w:rPr>
        <w:footnoteReference w:id="5"/>
      </w:r>
      <w:r>
        <w:rPr>
          <w:rFonts w:ascii="Times New Roman" w:eastAsia="Times New Roman" w:hAnsi="Times New Roman" w:cs="Times New Roman"/>
          <w:noProof/>
          <w:color w:val="000000" w:themeColor="text1"/>
          <w:sz w:val="24"/>
          <w:szCs w:val="24"/>
        </w:rPr>
        <w:t xml:space="preserve"> conclud</w:t>
      </w:r>
      <w:r>
        <w:rPr>
          <w:rFonts w:ascii="Times New Roman" w:eastAsia="Times New Roman" w:hAnsi="Times New Roman" w:cs="Times New Roman"/>
          <w:noProof/>
          <w:color w:val="000000" w:themeColor="text1"/>
          <w:sz w:val="24"/>
          <w:szCs w:val="24"/>
        </w:rPr>
        <w:t>ed that Albania continues to meet the visa liberalisation requirements.</w:t>
      </w:r>
      <w:r>
        <w:rPr>
          <w:rFonts w:ascii="Times New Roman" w:hAnsi="Times New Roman" w:cs="Times New Roman"/>
          <w:noProof/>
          <w:color w:val="000000" w:themeColor="text1"/>
          <w:sz w:val="24"/>
          <w:szCs w:val="24"/>
          <w:shd w:val="clear" w:color="auto" w:fill="FFFFFF"/>
        </w:rPr>
        <w:t xml:space="preserve"> </w:t>
      </w:r>
      <w:r>
        <w:rPr>
          <w:rFonts w:ascii="Times New Roman" w:eastAsia="Times New Roman" w:hAnsi="Times New Roman" w:cs="Times New Roman"/>
          <w:noProof/>
          <w:color w:val="000000" w:themeColor="text1"/>
          <w:sz w:val="24"/>
          <w:szCs w:val="24"/>
        </w:rPr>
        <w:t>Albania stepped up actions to tackle irregular migration and continued to strengthen operational cooperation with the Member States most affected by irregular migration from Albania. I</w:t>
      </w:r>
      <w:r>
        <w:rPr>
          <w:rFonts w:ascii="Times New Roman" w:eastAsia="Times New Roman" w:hAnsi="Times New Roman" w:cs="Times New Roman"/>
          <w:noProof/>
          <w:color w:val="000000" w:themeColor="text1"/>
          <w:sz w:val="24"/>
          <w:szCs w:val="24"/>
        </w:rPr>
        <w:t>t also strengthened efforts to raise awareness among the population on the rights and obligations of the visa-free regime as well as penalties for their violations.</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lang w:eastAsia="en-US"/>
        </w:rPr>
        <w:t>The issue of Albanian nationals making unfounded asylum applications to EU Member States</w:t>
      </w:r>
      <w:r>
        <w:rPr>
          <w:rFonts w:ascii="Times New Roman" w:eastAsia="Calibri" w:hAnsi="Times New Roman" w:cs="Times New Roman"/>
          <w:noProof/>
          <w:color w:val="000000" w:themeColor="text1"/>
          <w:sz w:val="24"/>
          <w:szCs w:val="24"/>
          <w:vertAlign w:val="superscript"/>
          <w:lang w:eastAsia="en-US"/>
        </w:rPr>
        <w:footnoteReference w:id="6"/>
      </w:r>
      <w:r>
        <w:rPr>
          <w:rFonts w:ascii="Times New Roman" w:eastAsia="Calibri" w:hAnsi="Times New Roman" w:cs="Times New Roman"/>
          <w:noProof/>
          <w:color w:val="000000" w:themeColor="text1"/>
          <w:sz w:val="24"/>
          <w:szCs w:val="24"/>
          <w:lang w:eastAsia="en-US"/>
        </w:rPr>
        <w:t xml:space="preserve"> and Schengen-associated countries remains one that requires substantial efforts from the Albanian authorities. In addition to information campaigns, thorough border checks, awareness-raising </w:t>
      </w:r>
      <w:r>
        <w:rPr>
          <w:rFonts w:ascii="Times New Roman" w:eastAsia="Times New Roman" w:hAnsi="Times New Roman" w:cs="Times New Roman"/>
          <w:noProof/>
          <w:color w:val="000000" w:themeColor="text1"/>
          <w:sz w:val="24"/>
          <w:szCs w:val="24"/>
        </w:rPr>
        <w:t xml:space="preserve">on rights and obligations under the visa-free regime </w:t>
      </w:r>
      <w:r>
        <w:rPr>
          <w:rFonts w:ascii="Times New Roman" w:eastAsia="Calibri" w:hAnsi="Times New Roman" w:cs="Times New Roman"/>
          <w:noProof/>
          <w:color w:val="000000" w:themeColor="text1"/>
          <w:sz w:val="24"/>
          <w:szCs w:val="24"/>
          <w:lang w:eastAsia="en-US"/>
        </w:rPr>
        <w:t>and identif</w:t>
      </w:r>
      <w:r>
        <w:rPr>
          <w:rFonts w:ascii="Times New Roman" w:eastAsia="Calibri" w:hAnsi="Times New Roman" w:cs="Times New Roman"/>
          <w:noProof/>
          <w:color w:val="000000" w:themeColor="text1"/>
          <w:sz w:val="24"/>
          <w:szCs w:val="24"/>
          <w:lang w:eastAsia="en-US"/>
        </w:rPr>
        <w:t>ying and addressing the underlying reasons, they have sought to improve dialogue and cooperation with the countries most affected</w:t>
      </w:r>
      <w:r>
        <w:rPr>
          <w:rFonts w:ascii="Times New Roman" w:eastAsia="Times New Roman" w:hAnsi="Times New Roman" w:cs="Times New Roman"/>
          <w:noProof/>
          <w:color w:val="000000" w:themeColor="text1"/>
          <w:sz w:val="24"/>
          <w:szCs w:val="24"/>
        </w:rPr>
        <w:t xml:space="preserve">. They </w:t>
      </w:r>
      <w:r>
        <w:rPr>
          <w:rFonts w:ascii="Times New Roman" w:eastAsia="Calibri" w:hAnsi="Times New Roman" w:cs="Times New Roman"/>
          <w:noProof/>
          <w:color w:val="000000" w:themeColor="text1"/>
          <w:sz w:val="24"/>
          <w:szCs w:val="24"/>
          <w:lang w:eastAsia="en-US"/>
        </w:rPr>
        <w:t>have deployed t</w:t>
      </w:r>
      <w:r>
        <w:rPr>
          <w:rFonts w:ascii="Times New Roman" w:eastAsia="Times New Roman" w:hAnsi="Times New Roman" w:cs="Times New Roman"/>
          <w:noProof/>
          <w:color w:val="000000" w:themeColor="text1"/>
          <w:sz w:val="24"/>
          <w:szCs w:val="24"/>
        </w:rPr>
        <w:t xml:space="preserve">hree police liaison officers </w:t>
      </w:r>
      <w:r>
        <w:rPr>
          <w:rFonts w:ascii="Times New Roman" w:eastAsia="Calibri" w:hAnsi="Times New Roman" w:cs="Times New Roman"/>
          <w:noProof/>
          <w:color w:val="000000" w:themeColor="text1"/>
          <w:sz w:val="24"/>
          <w:szCs w:val="24"/>
          <w:lang w:eastAsia="en-US"/>
        </w:rPr>
        <w:t>to the EU</w:t>
      </w:r>
      <w:r>
        <w:rPr>
          <w:rFonts w:ascii="Times New Roman" w:eastAsia="Times New Roman" w:hAnsi="Times New Roman" w:cs="Times New Roman"/>
          <w:noProof/>
          <w:color w:val="000000" w:themeColor="text1"/>
          <w:sz w:val="24"/>
          <w:szCs w:val="24"/>
        </w:rPr>
        <w:t xml:space="preserve"> and a</w:t>
      </w:r>
      <w:r>
        <w:rPr>
          <w:rFonts w:ascii="Times New Roman" w:eastAsia="Calibri" w:hAnsi="Times New Roman" w:cs="Times New Roman"/>
          <w:noProof/>
          <w:color w:val="000000" w:themeColor="text1"/>
          <w:sz w:val="24"/>
          <w:szCs w:val="24"/>
          <w:lang w:eastAsia="en-US"/>
        </w:rPr>
        <w:t xml:space="preserve"> liaison officer from the EU works in Tirana to help with exi</w:t>
      </w:r>
      <w:r>
        <w:rPr>
          <w:rFonts w:ascii="Times New Roman" w:eastAsia="Calibri" w:hAnsi="Times New Roman" w:cs="Times New Roman"/>
          <w:noProof/>
          <w:color w:val="000000" w:themeColor="text1"/>
          <w:sz w:val="24"/>
          <w:szCs w:val="24"/>
          <w:lang w:eastAsia="en-US"/>
        </w:rPr>
        <w:t>t checks. The cooperation and dialogue should be continued. The Commission is monitoring the trend very closely in the framework of the post-visa liberalisation monitoring mechanism.</w:t>
      </w:r>
    </w:p>
    <w:p w:rsidR="00EE1719" w:rsidRDefault="000E39BA">
      <w:pPr>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Eurostat data indicate that in 2019 there were around 2,7% fewer of these</w:t>
      </w:r>
      <w:r>
        <w:rPr>
          <w:rFonts w:ascii="Times New Roman" w:eastAsia="Calibri" w:hAnsi="Times New Roman" w:cs="Times New Roman"/>
          <w:noProof/>
          <w:color w:val="000000" w:themeColor="text1"/>
          <w:sz w:val="24"/>
          <w:szCs w:val="24"/>
          <w:lang w:eastAsia="en-US"/>
        </w:rPr>
        <w:t xml:space="preserve"> unfounded asylum applications than in 2018 and almost 20% fewer than in 2017. The decrease continued in the first two months of 2020 (pre COVID-19), with 35% fewer than in the same period in 2019. In the period January-May 2020, there were 3 305 applicati</w:t>
      </w:r>
      <w:r>
        <w:rPr>
          <w:rFonts w:ascii="Times New Roman" w:eastAsia="Calibri" w:hAnsi="Times New Roman" w:cs="Times New Roman"/>
          <w:noProof/>
          <w:color w:val="000000" w:themeColor="text1"/>
          <w:sz w:val="24"/>
          <w:szCs w:val="24"/>
          <w:lang w:eastAsia="en-US"/>
        </w:rPr>
        <w:t xml:space="preserve">ons lodged, against 10 375 in the same period in 2019, which represents a decrease of around 74% in applications. </w:t>
      </w:r>
      <w:r>
        <w:rPr>
          <w:rFonts w:ascii="Times New Roman" w:eastAsia="Times New Roman" w:hAnsi="Times New Roman" w:cs="Times New Roman"/>
          <w:noProof/>
          <w:color w:val="000000" w:themeColor="text1"/>
          <w:sz w:val="24"/>
          <w:szCs w:val="24"/>
        </w:rPr>
        <w:t>The ‘recognition rate’ (i.e. the number of successful applications expressed as a percentage of all decisions) was around 6%, 1,6 pps less tha</w:t>
      </w:r>
      <w:r>
        <w:rPr>
          <w:rFonts w:ascii="Times New Roman" w:eastAsia="Times New Roman" w:hAnsi="Times New Roman" w:cs="Times New Roman"/>
          <w:noProof/>
          <w:color w:val="000000" w:themeColor="text1"/>
          <w:sz w:val="24"/>
          <w:szCs w:val="24"/>
        </w:rPr>
        <w:t>n in 2018.</w:t>
      </w:r>
    </w:p>
    <w:p w:rsidR="00EE1719" w:rsidRDefault="000E39BA">
      <w:pPr>
        <w:rPr>
          <w:rFonts w:ascii="Times New Roman" w:eastAsia="Times New Roman" w:hAnsi="Times New Roman" w:cs="Times New Roman"/>
          <w:noProof/>
          <w:sz w:val="24"/>
          <w:szCs w:val="24"/>
        </w:rPr>
      </w:pPr>
      <w:r>
        <w:rPr>
          <w:rFonts w:ascii="Times New Roman" w:eastAsia="Calibri" w:hAnsi="Times New Roman" w:cs="Times New Roman"/>
          <w:noProof/>
          <w:sz w:val="24"/>
          <w:szCs w:val="24"/>
          <w:lang w:eastAsia="en-US"/>
        </w:rPr>
        <w:t>Since a marked peak of applications in 2017 in the Member State most affected, Albania’s efforts have resulted in a 26,6% decrease from 7 633 applications in 2017 to 5 599 in 2019</w:t>
      </w:r>
      <w:r>
        <w:rPr>
          <w:rFonts w:ascii="Times New Roman" w:eastAsia="Calibri" w:hAnsi="Times New Roman" w:cs="Times New Roman"/>
          <w:noProof/>
          <w:sz w:val="24"/>
          <w:szCs w:val="24"/>
          <w:vertAlign w:val="superscript"/>
          <w:lang w:eastAsia="en-US"/>
        </w:rPr>
        <w:footnoteReference w:id="7"/>
      </w:r>
      <w:r>
        <w:rPr>
          <w:rFonts w:ascii="Times New Roman" w:eastAsia="Times New Roman" w:hAnsi="Times New Roman" w:cs="Times New Roman"/>
          <w:noProof/>
          <w:sz w:val="24"/>
          <w:szCs w:val="24"/>
        </w:rPr>
        <w:t>.</w:t>
      </w:r>
      <w:r>
        <w:rPr>
          <w:rFonts w:ascii="Times New Roman" w:eastAsia="Calibri" w:hAnsi="Times New Roman" w:cs="Times New Roman"/>
          <w:noProof/>
          <w:sz w:val="24"/>
          <w:szCs w:val="24"/>
          <w:lang w:eastAsia="en-US"/>
        </w:rPr>
        <w:t xml:space="preserve"> In the first two months of 2020 the decreasing trend continued.</w:t>
      </w:r>
      <w:r>
        <w:rPr>
          <w:rFonts w:ascii="Times New Roman" w:eastAsia="Calibri" w:hAnsi="Times New Roman" w:cs="Times New Roman"/>
          <w:noProof/>
          <w:sz w:val="24"/>
          <w:szCs w:val="24"/>
          <w:lang w:eastAsia="en-US"/>
        </w:rPr>
        <w:t xml:space="preserve"> In the period January-May 2020, there were around 75% fewer unfounded asylum applications than in the same period in 2019 (respectively, 1235 applications, compared to 4</w:t>
      </w:r>
      <w:r>
        <w:rPr>
          <w:rFonts w:ascii="Times New Roman" w:eastAsia="Times New Roman" w:hAnsi="Times New Roman" w:cs="Times New Roman"/>
          <w:noProof/>
          <w:sz w:val="24"/>
          <w:szCs w:val="24"/>
        </w:rPr>
        <w:t>,370</w:t>
      </w:r>
      <w:r>
        <w:rPr>
          <w:rFonts w:ascii="Times New Roman" w:eastAsia="Calibri" w:hAnsi="Times New Roman" w:cs="Times New Roman"/>
          <w:noProof/>
          <w:sz w:val="24"/>
          <w:szCs w:val="24"/>
          <w:lang w:eastAsia="en-US"/>
        </w:rPr>
        <w:t xml:space="preserve"> in the same period of 2019). </w:t>
      </w:r>
      <w:r>
        <w:rPr>
          <w:rFonts w:ascii="Times New Roman" w:eastAsia="Times New Roman" w:hAnsi="Times New Roman" w:cs="Times New Roman"/>
          <w:noProof/>
          <w:sz w:val="24"/>
          <w:szCs w:val="24"/>
        </w:rPr>
        <w:t xml:space="preserve">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In 2019, 14,224 Albanian nationals were refused pe</w:t>
      </w:r>
      <w:r>
        <w:rPr>
          <w:rFonts w:ascii="Times New Roman" w:eastAsia="Times New Roman" w:hAnsi="Times New Roman" w:cs="Times New Roman"/>
          <w:noProof/>
          <w:color w:val="000000" w:themeColor="text1"/>
          <w:sz w:val="24"/>
          <w:szCs w:val="24"/>
        </w:rPr>
        <w:t>rmission to exit Albanian territory at border crossings compared, with 20 268 in 2018 (a reduction of about 30%). This decline can be explained by travellers’ increased awareness on the documents required to travel abroad. Border surveillance was intensifi</w:t>
      </w:r>
      <w:r>
        <w:rPr>
          <w:rFonts w:ascii="Times New Roman" w:eastAsia="Times New Roman" w:hAnsi="Times New Roman" w:cs="Times New Roman"/>
          <w:noProof/>
          <w:color w:val="000000" w:themeColor="text1"/>
          <w:sz w:val="24"/>
          <w:szCs w:val="24"/>
        </w:rPr>
        <w:t xml:space="preserve">ed to prevent illegal border crossing. In March 2019, Albania started a new project to facilitate the reintegration of returnees in 13 municipalities. It should maintain and step up its efforts to </w:t>
      </w:r>
      <w:r>
        <w:rPr>
          <w:rFonts w:ascii="Times New Roman" w:eastAsia="Calibri" w:hAnsi="Times New Roman" w:cs="Times New Roman"/>
          <w:noProof/>
          <w:color w:val="000000" w:themeColor="text1"/>
          <w:sz w:val="24"/>
          <w:szCs w:val="24"/>
          <w:lang w:eastAsia="zh-CN"/>
        </w:rPr>
        <w:t>address the issue of unfounded asylum applications</w:t>
      </w:r>
      <w:r>
        <w:rPr>
          <w:rFonts w:ascii="Times New Roman" w:eastAsia="Times New Roman" w:hAnsi="Times New Roman" w:cs="Times New Roman"/>
          <w:noProof/>
          <w:color w:val="000000" w:themeColor="text1"/>
          <w:sz w:val="24"/>
          <w:szCs w:val="24"/>
        </w:rPr>
        <w:t>.</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There was a sharp increase in the number of seized forged documents, including EU passports, used mostly by Albanian nationals to reach destinations in the EU. The detection of Albanian nationals using fraudulent documents increased by 64% between 2018 and</w:t>
      </w:r>
      <w:r>
        <w:rPr>
          <w:rFonts w:ascii="Times New Roman" w:eastAsia="Times New Roman" w:hAnsi="Times New Roman" w:cs="Times New Roman"/>
          <w:noProof/>
          <w:color w:val="000000" w:themeColor="text1"/>
          <w:sz w:val="24"/>
          <w:szCs w:val="24"/>
        </w:rPr>
        <w:t xml:space="preserve"> 2019. In March 2020 in cooperation with Italian and UK law enforcement agencies, the ASP arrested 12 people and seized a laboratory used for producing counterfeit ID documents to be used for travel to EU Member States and UK. </w:t>
      </w:r>
    </w:p>
    <w:p w:rsidR="00EE1719" w:rsidRDefault="000E39BA">
      <w:pPr>
        <w:spacing w:after="120" w:line="240" w:lineRule="auto"/>
        <w:jc w:val="both"/>
        <w:rPr>
          <w:rFonts w:ascii="Times New Roman" w:eastAsia="TimesNewRomanPSMT" w:hAnsi="Times New Roman" w:cs="Times New Roman"/>
          <w:noProof/>
          <w:color w:val="000000" w:themeColor="text1"/>
          <w:sz w:val="24"/>
          <w:szCs w:val="24"/>
        </w:rPr>
      </w:pPr>
      <w:r>
        <w:rPr>
          <w:rFonts w:ascii="Times New Roman" w:eastAsia="TimesNewRomanPSMT" w:hAnsi="Times New Roman" w:cs="Times New Roman"/>
          <w:noProof/>
          <w:color w:val="000000" w:themeColor="text1"/>
          <w:sz w:val="24"/>
          <w:szCs w:val="24"/>
        </w:rPr>
        <w:t>Unaccompanied minors travell</w:t>
      </w:r>
      <w:r>
        <w:rPr>
          <w:rFonts w:ascii="Times New Roman" w:eastAsia="TimesNewRomanPSMT" w:hAnsi="Times New Roman" w:cs="Times New Roman"/>
          <w:noProof/>
          <w:color w:val="000000" w:themeColor="text1"/>
          <w:sz w:val="24"/>
          <w:szCs w:val="24"/>
        </w:rPr>
        <w:t>ing from Albania to EU Member States remain a source of concern. The ASP continued to carry out tight checks on children travelling abroad with one or both parents. These were intensified following an order of the Minister for the Interior in January 2020.</w:t>
      </w:r>
      <w:r>
        <w:rPr>
          <w:rFonts w:ascii="Times New Roman" w:eastAsia="TimesNewRomanPSMT"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rPr>
        <w:t xml:space="preserve">The Albanian authorities should continue to work closely with the Member States most affected. </w:t>
      </w:r>
      <w:r>
        <w:rPr>
          <w:rFonts w:ascii="Times New Roman" w:eastAsia="TimesNewRomanPSMT" w:hAnsi="Times New Roman" w:cs="Times New Roman"/>
          <w:noProof/>
          <w:color w:val="000000" w:themeColor="text1"/>
          <w:sz w:val="24"/>
          <w:szCs w:val="24"/>
        </w:rPr>
        <w:t>Greater attention should be given to the successful reintegration of returnees, especially the most vulnerable, such as Roma and Egyptians. A new strategy on th</w:t>
      </w:r>
      <w:r>
        <w:rPr>
          <w:rFonts w:ascii="Times New Roman" w:eastAsia="TimesNewRomanPSMT" w:hAnsi="Times New Roman" w:cs="Times New Roman"/>
          <w:noProof/>
          <w:color w:val="000000" w:themeColor="text1"/>
          <w:sz w:val="24"/>
          <w:szCs w:val="24"/>
        </w:rPr>
        <w:t>e reintegration of returnees is needed, as well as clear attributions of responsibilities for its implementation.</w:t>
      </w:r>
    </w:p>
    <w:p w:rsidR="00EE1719" w:rsidRDefault="000E39BA">
      <w:pPr>
        <w:keepNext/>
        <w:spacing w:after="120" w:line="240" w:lineRule="auto"/>
        <w:jc w:val="both"/>
        <w:rPr>
          <w:rFonts w:ascii="Times New Roman" w:eastAsia="Times New Roman" w:hAnsi="Times New Roman" w:cs="Times New Roman"/>
          <w:b/>
          <w:noProof/>
          <w:color w:val="000000" w:themeColor="text1"/>
          <w:sz w:val="24"/>
          <w:szCs w:val="24"/>
        </w:rPr>
      </w:pPr>
      <w:r>
        <w:rPr>
          <w:rFonts w:ascii="Times New Roman" w:eastAsia="Times New Roman" w:hAnsi="Times New Roman" w:cs="Times New Roman"/>
          <w:b/>
          <w:noProof/>
          <w:color w:val="000000" w:themeColor="text1"/>
          <w:sz w:val="24"/>
          <w:szCs w:val="24"/>
        </w:rPr>
        <w:t>Schengen and external borders</w:t>
      </w:r>
    </w:p>
    <w:p w:rsidR="00EE1719" w:rsidRDefault="000E39BA">
      <w:pPr>
        <w:keepNext/>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u w:val="single"/>
        </w:rPr>
        <w:t>Institutional set-up and legal alignment</w:t>
      </w:r>
    </w:p>
    <w:p w:rsidR="00EE1719" w:rsidRDefault="000E39BA">
      <w:pPr>
        <w:keepNext/>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Law on border control and its</w:t>
      </w:r>
      <w:r>
        <w:rPr>
          <w:rFonts w:ascii="Times New Roman" w:eastAsia="Times New Roman" w:hAnsi="Times New Roman" w:cs="Times New Roman"/>
          <w:bCs/>
          <w:noProof/>
          <w:color w:val="000000" w:themeColor="text1"/>
          <w:sz w:val="24"/>
          <w:szCs w:val="24"/>
        </w:rPr>
        <w:t xml:space="preserve"> implementing acts</w:t>
      </w:r>
      <w:r>
        <w:rPr>
          <w:rFonts w:ascii="Times New Roman" w:eastAsia="Times New Roman" w:hAnsi="Times New Roman" w:cs="Times New Roman"/>
          <w:noProof/>
          <w:color w:val="000000" w:themeColor="text1"/>
          <w:sz w:val="24"/>
          <w:szCs w:val="24"/>
        </w:rPr>
        <w:t xml:space="preserve"> are broadly aligned</w:t>
      </w:r>
      <w:r>
        <w:rPr>
          <w:rFonts w:ascii="Times New Roman" w:eastAsia="Times New Roman" w:hAnsi="Times New Roman" w:cs="Times New Roman"/>
          <w:noProof/>
          <w:color w:val="000000" w:themeColor="text1"/>
          <w:sz w:val="24"/>
          <w:szCs w:val="24"/>
        </w:rPr>
        <w:t xml:space="preserve"> with the EU </w:t>
      </w:r>
      <w:r>
        <w:rPr>
          <w:rFonts w:ascii="Times New Roman" w:eastAsia="Times New Roman" w:hAnsi="Times New Roman" w:cs="Times New Roman"/>
          <w:i/>
          <w:noProof/>
          <w:color w:val="000000" w:themeColor="text1"/>
          <w:sz w:val="24"/>
          <w:szCs w:val="24"/>
        </w:rPr>
        <w:t xml:space="preserve">acquis. </w:t>
      </w:r>
      <w:r>
        <w:rPr>
          <w:rFonts w:ascii="Times New Roman" w:eastAsia="Times New Roman" w:hAnsi="Times New Roman" w:cs="Times New Roman"/>
          <w:iCs/>
          <w:noProof/>
          <w:color w:val="000000" w:themeColor="text1"/>
          <w:sz w:val="24"/>
          <w:szCs w:val="24"/>
        </w:rPr>
        <w:t xml:space="preserve">The amendments to the Law on border control on Advance Passenger Information and Passenger Name Record (PNR) made in March 2020 are not in line with the EU </w:t>
      </w:r>
      <w:r>
        <w:rPr>
          <w:rFonts w:ascii="Times New Roman" w:eastAsia="Times New Roman" w:hAnsi="Times New Roman" w:cs="Times New Roman"/>
          <w:i/>
          <w:iCs/>
          <w:noProof/>
          <w:color w:val="000000" w:themeColor="text1"/>
          <w:sz w:val="24"/>
          <w:szCs w:val="24"/>
        </w:rPr>
        <w:t>acquis</w:t>
      </w:r>
      <w:r>
        <w:rPr>
          <w:rFonts w:ascii="Times New Roman" w:eastAsia="Times New Roman" w:hAnsi="Times New Roman" w:cs="Times New Roman"/>
          <w:iCs/>
          <w:noProof/>
          <w:color w:val="000000" w:themeColor="text1"/>
          <w:sz w:val="24"/>
          <w:szCs w:val="24"/>
        </w:rPr>
        <w:t xml:space="preserve">. The </w:t>
      </w:r>
      <w:r>
        <w:rPr>
          <w:rFonts w:ascii="Times New Roman" w:eastAsia="Calibri" w:hAnsi="Times New Roman" w:cs="Times New Roman"/>
          <w:noProof/>
          <w:color w:val="000000" w:themeColor="text1"/>
          <w:sz w:val="24"/>
          <w:szCs w:val="24"/>
          <w:lang w:eastAsia="en-US"/>
        </w:rPr>
        <w:t xml:space="preserve">memorandum of cooperation on PNR with the US, signed in May 2020, required further analysis as regards its implications for Albania's alignment with the EU </w:t>
      </w:r>
      <w:r>
        <w:rPr>
          <w:rFonts w:ascii="Times New Roman" w:eastAsia="Calibri" w:hAnsi="Times New Roman" w:cs="Times New Roman"/>
          <w:i/>
          <w:iCs/>
          <w:noProof/>
          <w:color w:val="000000" w:themeColor="text1"/>
          <w:sz w:val="24"/>
          <w:szCs w:val="24"/>
          <w:lang w:eastAsia="en-US"/>
        </w:rPr>
        <w:t>acquis</w:t>
      </w:r>
      <w:r>
        <w:rPr>
          <w:rFonts w:ascii="Times New Roman" w:eastAsia="Calibri" w:hAnsi="Times New Roman" w:cs="Times New Roman"/>
          <w:noProof/>
          <w:color w:val="000000" w:themeColor="text1"/>
          <w:sz w:val="24"/>
          <w:szCs w:val="24"/>
          <w:lang w:eastAsia="en-US"/>
        </w:rPr>
        <w:t>.  </w:t>
      </w:r>
      <w:r>
        <w:rPr>
          <w:rFonts w:ascii="Times New Roman" w:eastAsia="Times New Roman" w:hAnsi="Times New Roman" w:cs="Times New Roman"/>
          <w:noProof/>
          <w:color w:val="000000" w:themeColor="text1"/>
          <w:sz w:val="24"/>
          <w:szCs w:val="24"/>
        </w:rPr>
        <w:t xml:space="preserve">The </w:t>
      </w:r>
      <w:r>
        <w:rPr>
          <w:rFonts w:ascii="Times New Roman" w:eastAsia="Times New Roman" w:hAnsi="Times New Roman" w:cs="Times New Roman"/>
          <w:b/>
          <w:noProof/>
          <w:color w:val="000000" w:themeColor="text1"/>
          <w:sz w:val="24"/>
          <w:szCs w:val="24"/>
        </w:rPr>
        <w:t>legislative framework</w:t>
      </w:r>
      <w:r>
        <w:rPr>
          <w:rFonts w:ascii="Times New Roman" w:eastAsia="Times New Roman" w:hAnsi="Times New Roman" w:cs="Times New Roman"/>
          <w:noProof/>
          <w:color w:val="000000" w:themeColor="text1"/>
          <w:sz w:val="24"/>
          <w:szCs w:val="24"/>
        </w:rPr>
        <w:t xml:space="preserve"> for the management of Albania’s external borders is not yet fully</w:t>
      </w:r>
      <w:r>
        <w:rPr>
          <w:rFonts w:ascii="Times New Roman" w:eastAsia="Times New Roman" w:hAnsi="Times New Roman" w:cs="Times New Roman"/>
          <w:noProof/>
          <w:color w:val="000000" w:themeColor="text1"/>
          <w:sz w:val="24"/>
          <w:szCs w:val="24"/>
        </w:rPr>
        <w:t xml:space="preserve"> in line with EU standards. The 2014-2020 integrated border-management strategy and action plan are broadly in line with European standards. </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u w:val="single"/>
        </w:rPr>
        <w:t>Implementation and enforcement capacity</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Implementation of the </w:t>
      </w:r>
      <w:r>
        <w:rPr>
          <w:rFonts w:ascii="Times New Roman" w:eastAsia="Times New Roman" w:hAnsi="Times New Roman" w:cs="Times New Roman"/>
          <w:b/>
          <w:noProof/>
          <w:color w:val="000000" w:themeColor="text1"/>
          <w:sz w:val="24"/>
          <w:szCs w:val="24"/>
        </w:rPr>
        <w:t>integrated border-management</w:t>
      </w:r>
      <w:r>
        <w:rPr>
          <w:rFonts w:ascii="Times New Roman" w:eastAsia="Times New Roman" w:hAnsi="Times New Roman" w:cs="Times New Roman"/>
          <w:noProof/>
          <w:color w:val="000000" w:themeColor="text1"/>
          <w:sz w:val="24"/>
          <w:szCs w:val="24"/>
        </w:rPr>
        <w:t xml:space="preserve"> strategy and action pla</w:t>
      </w:r>
      <w:r>
        <w:rPr>
          <w:rFonts w:ascii="Times New Roman" w:eastAsia="Times New Roman" w:hAnsi="Times New Roman" w:cs="Times New Roman"/>
          <w:noProof/>
          <w:color w:val="000000" w:themeColor="text1"/>
          <w:sz w:val="24"/>
          <w:szCs w:val="24"/>
        </w:rPr>
        <w:t>n continued smoothly. Albania ratified the 2018 agreement on border checks and joint control activities with Kosovo</w:t>
      </w:r>
      <w:r>
        <w:rPr>
          <w:rStyle w:val="FootnoteReference"/>
          <w:rFonts w:ascii="Times New Roman" w:eastAsia="Times New Roman" w:hAnsi="Times New Roman" w:cs="Times New Roman"/>
          <w:noProof/>
          <w:color w:val="000000" w:themeColor="text1"/>
          <w:sz w:val="24"/>
          <w:szCs w:val="24"/>
        </w:rPr>
        <w:footnoteReference w:customMarkFollows="1" w:id="8"/>
        <w:sym w:font="Symbol" w:char="F02A"/>
      </w:r>
      <w:r>
        <w:rPr>
          <w:rFonts w:ascii="Times New Roman" w:eastAsia="Times New Roman" w:hAnsi="Times New Roman" w:cs="Times New Roman"/>
          <w:noProof/>
          <w:color w:val="000000" w:themeColor="text1"/>
          <w:sz w:val="24"/>
          <w:szCs w:val="24"/>
        </w:rPr>
        <w:t xml:space="preserve"> in April 2019. The integrated radar system for the surveillance of the ‘blue’ (sea) border is operational. Albania should invest more resources to modernise border infrastructure and improve surveillance of the ‘green’ (land) and ‘blue’ borders. The TIMS </w:t>
      </w:r>
      <w:r>
        <w:rPr>
          <w:rFonts w:ascii="Times New Roman" w:eastAsia="Times New Roman" w:hAnsi="Times New Roman" w:cs="Times New Roman"/>
          <w:noProof/>
          <w:color w:val="000000" w:themeColor="text1"/>
          <w:sz w:val="24"/>
          <w:szCs w:val="24"/>
        </w:rPr>
        <w:t>database system is connected with Interpol’s system, enabling the border police to identify internationally wanted persons, stolen vehicles and lost/stolen travel documents. Further risk</w:t>
      </w:r>
      <w:r>
        <w:rPr>
          <w:rFonts w:ascii="Times New Roman" w:eastAsia="Times New Roman" w:hAnsi="Times New Roman" w:cs="Times New Roman"/>
          <w:noProof/>
          <w:color w:val="000000" w:themeColor="text1"/>
          <w:sz w:val="24"/>
          <w:szCs w:val="24"/>
        </w:rPr>
        <w:noBreakHyphen/>
        <w:t xml:space="preserve">analysis </w:t>
      </w:r>
      <w:r>
        <w:rPr>
          <w:rFonts w:ascii="Times New Roman" w:eastAsia="Times New Roman" w:hAnsi="Times New Roman" w:cs="Times New Roman"/>
          <w:b/>
          <w:noProof/>
          <w:color w:val="000000" w:themeColor="text1"/>
          <w:sz w:val="24"/>
          <w:szCs w:val="24"/>
        </w:rPr>
        <w:t>training</w:t>
      </w:r>
      <w:r>
        <w:rPr>
          <w:rFonts w:ascii="Times New Roman" w:eastAsia="Times New Roman" w:hAnsi="Times New Roman" w:cs="Times New Roman"/>
          <w:noProof/>
          <w:color w:val="000000" w:themeColor="text1"/>
          <w:sz w:val="24"/>
          <w:szCs w:val="24"/>
        </w:rPr>
        <w:t xml:space="preserve"> should be organised for the border police. Albania </w:t>
      </w:r>
      <w:r>
        <w:rPr>
          <w:rFonts w:ascii="Times New Roman" w:eastAsia="Times New Roman" w:hAnsi="Times New Roman" w:cs="Times New Roman"/>
          <w:noProof/>
          <w:color w:val="000000" w:themeColor="text1"/>
          <w:sz w:val="24"/>
          <w:szCs w:val="24"/>
        </w:rPr>
        <w:t>should establish a risk</w:t>
      </w:r>
      <w:r>
        <w:rPr>
          <w:rFonts w:ascii="Times New Roman" w:eastAsia="Times New Roman" w:hAnsi="Times New Roman" w:cs="Times New Roman"/>
          <w:noProof/>
          <w:color w:val="000000" w:themeColor="text1"/>
          <w:sz w:val="24"/>
          <w:szCs w:val="24"/>
        </w:rPr>
        <w:noBreakHyphen/>
        <w:t xml:space="preserve">analysis system based on the Common Integrated Risk Analysis model (CIRAM) developed by Frontex. It participates in the </w:t>
      </w:r>
      <w:r>
        <w:rPr>
          <w:rFonts w:ascii="Times New Roman" w:eastAsia="Calibri" w:hAnsi="Times New Roman" w:cs="Times New Roman"/>
          <w:noProof/>
          <w:color w:val="000000" w:themeColor="text1"/>
          <w:sz w:val="24"/>
          <w:szCs w:val="24"/>
        </w:rPr>
        <w:t>Western Balkan Risk</w:t>
      </w:r>
      <w:r>
        <w:rPr>
          <w:rFonts w:ascii="Times New Roman" w:eastAsia="Times New Roman" w:hAnsi="Times New Roman" w:cs="Times New Roman"/>
          <w:noProof/>
          <w:color w:val="000000" w:themeColor="text1"/>
          <w:sz w:val="24"/>
          <w:szCs w:val="24"/>
        </w:rPr>
        <w:noBreakHyphen/>
      </w:r>
      <w:r>
        <w:rPr>
          <w:rFonts w:ascii="Times New Roman" w:eastAsia="Calibri" w:hAnsi="Times New Roman" w:cs="Times New Roman"/>
          <w:noProof/>
          <w:color w:val="000000" w:themeColor="text1"/>
          <w:sz w:val="24"/>
          <w:szCs w:val="24"/>
        </w:rPr>
        <w:t>Analysis Network.</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
          <w:noProof/>
          <w:color w:val="000000" w:themeColor="text1"/>
          <w:sz w:val="24"/>
          <w:szCs w:val="24"/>
        </w:rPr>
        <w:t>Inter-agency cooperation</w:t>
      </w:r>
      <w:r>
        <w:rPr>
          <w:rFonts w:ascii="Times New Roman" w:eastAsia="Times New Roman" w:hAnsi="Times New Roman" w:cs="Times New Roman"/>
          <w:noProof/>
          <w:color w:val="000000" w:themeColor="text1"/>
          <w:sz w:val="24"/>
          <w:szCs w:val="24"/>
        </w:rPr>
        <w:t xml:space="preserve"> improved. The Navy, Coast Guard and Border and Mi</w:t>
      </w:r>
      <w:r>
        <w:rPr>
          <w:rFonts w:ascii="Times New Roman" w:eastAsia="Times New Roman" w:hAnsi="Times New Roman" w:cs="Times New Roman"/>
          <w:noProof/>
          <w:color w:val="000000" w:themeColor="text1"/>
          <w:sz w:val="24"/>
          <w:szCs w:val="24"/>
        </w:rPr>
        <w:t>gration Police conducted regular joint, integrated ‘blue’ border patrols. Cooperation between the Border</w:t>
      </w:r>
      <w:r>
        <w:rPr>
          <w:rFonts w:ascii="Times New Roman" w:eastAsia="Calibri" w:hAnsi="Times New Roman" w:cs="Times New Roman"/>
          <w:noProof/>
          <w:color w:val="000000" w:themeColor="text1"/>
          <w:sz w:val="24"/>
          <w:szCs w:val="24"/>
          <w:lang w:eastAsia="en-US"/>
        </w:rPr>
        <w:t xml:space="preserve"> </w:t>
      </w:r>
      <w:r>
        <w:rPr>
          <w:rFonts w:ascii="Times New Roman" w:eastAsia="Times New Roman" w:hAnsi="Times New Roman" w:cs="Times New Roman"/>
          <w:noProof/>
          <w:color w:val="000000" w:themeColor="text1"/>
          <w:sz w:val="24"/>
          <w:szCs w:val="24"/>
        </w:rPr>
        <w:t>and Migration Police and customs should be formalised in an agreement providing for structured information exchanges and mutual access to databases. Th</w:t>
      </w:r>
      <w:r>
        <w:rPr>
          <w:rFonts w:ascii="Times New Roman" w:eastAsia="Times New Roman" w:hAnsi="Times New Roman" w:cs="Times New Roman"/>
          <w:noProof/>
          <w:color w:val="000000" w:themeColor="text1"/>
          <w:sz w:val="24"/>
          <w:szCs w:val="24"/>
        </w:rPr>
        <w:t>e border police’s investigative powers need to be strengthened, in particular to detect cases of people</w:t>
      </w:r>
      <w:r>
        <w:rPr>
          <w:rFonts w:ascii="Times New Roman" w:eastAsia="Times New Roman" w:hAnsi="Times New Roman" w:cs="Times New Roman"/>
          <w:noProof/>
          <w:color w:val="000000" w:themeColor="text1"/>
          <w:sz w:val="24"/>
          <w:szCs w:val="24"/>
        </w:rPr>
        <w:noBreakHyphen/>
        <w:t>smuggling and trafficking. Albania is the first of the Western Balkan countries to have signed the European Border and Coast Guard Status Agreement with</w:t>
      </w:r>
      <w:r>
        <w:rPr>
          <w:rFonts w:ascii="Times New Roman" w:eastAsia="Times New Roman" w:hAnsi="Times New Roman" w:cs="Times New Roman"/>
          <w:noProof/>
          <w:color w:val="000000" w:themeColor="text1"/>
          <w:sz w:val="24"/>
          <w:szCs w:val="24"/>
        </w:rPr>
        <w:t xml:space="preserve"> the EU. With the entry into force of the agreement in May 2019, Frontex launched its first fully-fledged joint operation outside the EU, deploying teams, together with Albanian border guards, at the Greek</w:t>
      </w:r>
      <w:r>
        <w:rPr>
          <w:rFonts w:ascii="Times New Roman" w:eastAsia="Times New Roman" w:hAnsi="Times New Roman" w:cs="Times New Roman"/>
          <w:noProof/>
          <w:color w:val="000000" w:themeColor="text1"/>
          <w:sz w:val="24"/>
          <w:szCs w:val="24"/>
        </w:rPr>
        <w:noBreakHyphen/>
        <w:t>Albanian border. This proved successful in strengt</w:t>
      </w:r>
      <w:r>
        <w:rPr>
          <w:rFonts w:ascii="Times New Roman" w:eastAsia="Times New Roman" w:hAnsi="Times New Roman" w:cs="Times New Roman"/>
          <w:noProof/>
          <w:color w:val="000000" w:themeColor="text1"/>
          <w:sz w:val="24"/>
          <w:szCs w:val="24"/>
        </w:rPr>
        <w:t>hening border controls, enhancing security at the EU’s external borders and combating migrant smuggling. A second Frontex liaison officer to the Western Balkans with a mandate covering Albania, Kosovo, and North Macedonia will work in Tirana and be deploye</w:t>
      </w:r>
      <w:r>
        <w:rPr>
          <w:rFonts w:ascii="Times New Roman" w:eastAsia="Times New Roman" w:hAnsi="Times New Roman" w:cs="Times New Roman"/>
          <w:noProof/>
          <w:color w:val="000000" w:themeColor="text1"/>
          <w:sz w:val="24"/>
          <w:szCs w:val="24"/>
        </w:rPr>
        <w:t>d in the course of 2020.</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Albania participated actively in the Western Balkan risk</w:t>
      </w:r>
      <w:r>
        <w:rPr>
          <w:rFonts w:ascii="Times New Roman" w:eastAsia="Times New Roman" w:hAnsi="Times New Roman" w:cs="Times New Roman"/>
          <w:noProof/>
          <w:color w:val="000000" w:themeColor="text1"/>
          <w:sz w:val="24"/>
          <w:szCs w:val="24"/>
        </w:rPr>
        <w:noBreakHyphen/>
        <w:t xml:space="preserve">analysis network. </w:t>
      </w:r>
      <w:r>
        <w:rPr>
          <w:rFonts w:ascii="Times New Roman" w:eastAsia="Times New Roman" w:hAnsi="Times New Roman" w:cs="Times New Roman"/>
          <w:b/>
          <w:noProof/>
          <w:color w:val="000000" w:themeColor="text1"/>
          <w:sz w:val="24"/>
          <w:szCs w:val="24"/>
        </w:rPr>
        <w:t>Operational cooperation with neighbouring countries</w:t>
      </w:r>
      <w:r>
        <w:rPr>
          <w:rFonts w:ascii="Times New Roman" w:eastAsia="Times New Roman" w:hAnsi="Times New Roman" w:cs="Times New Roman"/>
          <w:noProof/>
          <w:color w:val="000000" w:themeColor="text1"/>
          <w:sz w:val="24"/>
          <w:szCs w:val="24"/>
        </w:rPr>
        <w:t xml:space="preserve"> continued to be good, although it </w:t>
      </w:r>
      <w:r>
        <w:rPr>
          <w:rFonts w:ascii="Times New Roman" w:eastAsia="Calibri" w:hAnsi="Times New Roman" w:cs="Times New Roman"/>
          <w:noProof/>
          <w:color w:val="000000" w:themeColor="text1"/>
          <w:sz w:val="24"/>
          <w:szCs w:val="24"/>
          <w:lang w:eastAsia="en-US"/>
        </w:rPr>
        <w:t>should step up</w:t>
      </w:r>
      <w:r>
        <w:rPr>
          <w:rFonts w:ascii="Times New Roman" w:eastAsia="Times New Roman" w:hAnsi="Times New Roman" w:cs="Times New Roman"/>
          <w:noProof/>
          <w:color w:val="000000" w:themeColor="text1"/>
          <w:sz w:val="24"/>
          <w:szCs w:val="24"/>
        </w:rPr>
        <w:t xml:space="preserve"> its e</w:t>
      </w:r>
      <w:r>
        <w:rPr>
          <w:rFonts w:ascii="Times New Roman" w:eastAsia="Calibri" w:hAnsi="Times New Roman" w:cs="Times New Roman"/>
          <w:noProof/>
          <w:color w:val="000000" w:themeColor="text1"/>
          <w:sz w:val="24"/>
          <w:szCs w:val="24"/>
          <w:lang w:eastAsia="en-US"/>
        </w:rPr>
        <w:t>fforts to improve bilateral cooperation</w:t>
      </w:r>
      <w:r>
        <w:rPr>
          <w:rFonts w:ascii="Times New Roman" w:eastAsia="Times New Roman" w:hAnsi="Times New Roman" w:cs="Times New Roman"/>
          <w:noProof/>
          <w:color w:val="000000" w:themeColor="text1"/>
          <w:sz w:val="24"/>
          <w:szCs w:val="24"/>
        </w:rPr>
        <w:t>. In Januar</w:t>
      </w:r>
      <w:r>
        <w:rPr>
          <w:rFonts w:ascii="Times New Roman" w:eastAsia="Times New Roman" w:hAnsi="Times New Roman" w:cs="Times New Roman"/>
          <w:noProof/>
          <w:color w:val="000000" w:themeColor="text1"/>
          <w:sz w:val="24"/>
          <w:szCs w:val="24"/>
        </w:rPr>
        <w:t>y 2020, it started to deploy the US</w:t>
      </w:r>
      <w:r>
        <w:rPr>
          <w:rFonts w:ascii="Times New Roman" w:eastAsia="Times New Roman" w:hAnsi="Times New Roman" w:cs="Times New Roman"/>
          <w:noProof/>
          <w:color w:val="000000" w:themeColor="text1"/>
          <w:sz w:val="24"/>
          <w:szCs w:val="24"/>
        </w:rPr>
        <w:noBreakHyphen/>
        <w:t xml:space="preserve">sponsored personal identification secure comparison and evaluation system (PISCES) at its border crossing points. It will have to ensure that PISCES is operated in line with the EU </w:t>
      </w:r>
      <w:r>
        <w:rPr>
          <w:rFonts w:ascii="Times New Roman" w:eastAsia="Times New Roman" w:hAnsi="Times New Roman" w:cs="Times New Roman"/>
          <w:i/>
          <w:noProof/>
          <w:color w:val="000000" w:themeColor="text1"/>
          <w:sz w:val="24"/>
          <w:szCs w:val="24"/>
        </w:rPr>
        <w:t xml:space="preserve">acquis </w:t>
      </w:r>
      <w:r>
        <w:rPr>
          <w:rFonts w:ascii="Times New Roman" w:eastAsia="Times New Roman" w:hAnsi="Times New Roman" w:cs="Times New Roman"/>
          <w:noProof/>
          <w:color w:val="000000" w:themeColor="text1"/>
          <w:sz w:val="24"/>
          <w:szCs w:val="24"/>
        </w:rPr>
        <w:t>on personal data protection. Act</w:t>
      </w:r>
      <w:r>
        <w:rPr>
          <w:rFonts w:ascii="Times New Roman" w:eastAsia="Times New Roman" w:hAnsi="Times New Roman" w:cs="Times New Roman"/>
          <w:noProof/>
          <w:color w:val="000000" w:themeColor="text1"/>
          <w:sz w:val="24"/>
          <w:szCs w:val="24"/>
        </w:rPr>
        <w:t>ions to reduce corruption at the borders included the installation of cameras at crossing points and the adoption and application of standard operating procedures setting out detailed procedures and strict deadlines for service delivery. In 2019, the Depar</w:t>
      </w:r>
      <w:r>
        <w:rPr>
          <w:rFonts w:ascii="Times New Roman" w:eastAsia="Times New Roman" w:hAnsi="Times New Roman" w:cs="Times New Roman"/>
          <w:noProof/>
          <w:color w:val="000000" w:themeColor="text1"/>
          <w:sz w:val="24"/>
          <w:szCs w:val="24"/>
        </w:rPr>
        <w:t xml:space="preserve">tment for Border and Migration issued 149 disciplinary measures against police and migration officers, 16 of whom were relieved of their duties and 70 demoted. A total of 139 disciplinary measures were taken in 2018. </w:t>
      </w:r>
    </w:p>
    <w:p w:rsidR="00EE1719" w:rsidRDefault="000E39BA">
      <w:pPr>
        <w:spacing w:after="120" w:line="240" w:lineRule="auto"/>
        <w:jc w:val="both"/>
        <w:rPr>
          <w:rFonts w:ascii="Times New Roman" w:eastAsia="Times New Roman" w:hAnsi="Times New Roman" w:cs="Times New Roman"/>
          <w:b/>
          <w:noProof/>
          <w:color w:val="000000" w:themeColor="text1"/>
          <w:sz w:val="24"/>
          <w:szCs w:val="24"/>
        </w:rPr>
      </w:pPr>
      <w:r>
        <w:rPr>
          <w:rFonts w:ascii="Times New Roman" w:eastAsia="Times New Roman" w:hAnsi="Times New Roman" w:cs="Times New Roman"/>
          <w:b/>
          <w:noProof/>
          <w:color w:val="000000" w:themeColor="text1"/>
          <w:sz w:val="24"/>
          <w:szCs w:val="24"/>
        </w:rPr>
        <w:t>Judicial co</w:t>
      </w:r>
      <w:r>
        <w:rPr>
          <w:rFonts w:ascii="Times New Roman" w:eastAsia="Times New Roman" w:hAnsi="Times New Roman" w:cs="Times New Roman"/>
          <w:b/>
          <w:noProof/>
          <w:color w:val="000000" w:themeColor="text1"/>
          <w:spacing w:val="-1"/>
          <w:sz w:val="24"/>
          <w:szCs w:val="24"/>
        </w:rPr>
        <w:t>o</w:t>
      </w:r>
      <w:r>
        <w:rPr>
          <w:rFonts w:ascii="Times New Roman" w:eastAsia="Times New Roman" w:hAnsi="Times New Roman" w:cs="Times New Roman"/>
          <w:b/>
          <w:noProof/>
          <w:color w:val="000000" w:themeColor="text1"/>
          <w:sz w:val="24"/>
          <w:szCs w:val="24"/>
        </w:rPr>
        <w:t>peration in</w:t>
      </w:r>
      <w:r>
        <w:rPr>
          <w:rFonts w:ascii="Times New Roman" w:eastAsia="Times New Roman" w:hAnsi="Times New Roman" w:cs="Times New Roman"/>
          <w:b/>
          <w:noProof/>
          <w:color w:val="000000" w:themeColor="text1"/>
          <w:spacing w:val="-1"/>
          <w:sz w:val="24"/>
          <w:szCs w:val="24"/>
        </w:rPr>
        <w:t xml:space="preserve"> </w:t>
      </w:r>
      <w:r>
        <w:rPr>
          <w:rFonts w:ascii="Times New Roman" w:eastAsia="Times New Roman" w:hAnsi="Times New Roman" w:cs="Times New Roman"/>
          <w:b/>
          <w:noProof/>
          <w:color w:val="000000" w:themeColor="text1"/>
          <w:sz w:val="24"/>
          <w:szCs w:val="24"/>
        </w:rPr>
        <w:t xml:space="preserve">civil and </w:t>
      </w:r>
      <w:r>
        <w:rPr>
          <w:rFonts w:ascii="Times New Roman" w:eastAsia="Times New Roman" w:hAnsi="Times New Roman" w:cs="Times New Roman"/>
          <w:b/>
          <w:noProof/>
          <w:color w:val="000000" w:themeColor="text1"/>
          <w:sz w:val="24"/>
          <w:szCs w:val="24"/>
        </w:rPr>
        <w:t>criminal m</w:t>
      </w:r>
      <w:r>
        <w:rPr>
          <w:rFonts w:ascii="Times New Roman" w:eastAsia="Times New Roman" w:hAnsi="Times New Roman" w:cs="Times New Roman"/>
          <w:b/>
          <w:noProof/>
          <w:color w:val="000000" w:themeColor="text1"/>
          <w:spacing w:val="-1"/>
          <w:sz w:val="24"/>
          <w:szCs w:val="24"/>
        </w:rPr>
        <w:t>a</w:t>
      </w:r>
      <w:r>
        <w:rPr>
          <w:rFonts w:ascii="Times New Roman" w:eastAsia="Times New Roman" w:hAnsi="Times New Roman" w:cs="Times New Roman"/>
          <w:b/>
          <w:noProof/>
          <w:color w:val="000000" w:themeColor="text1"/>
          <w:sz w:val="24"/>
          <w:szCs w:val="24"/>
        </w:rPr>
        <w:t>tters</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Albania continued to cooperate well on criminal matters, including with EU Member States. Its cooperation agreement with Eurojust, which entered into force on 1 November 2019,</w:t>
      </w:r>
      <w:r>
        <w:rPr>
          <w:rFonts w:ascii="Times New Roman" w:eastAsia="Calibri" w:hAnsi="Times New Roman" w:cs="Times New Roman"/>
          <w:noProof/>
          <w:color w:val="000000" w:themeColor="text1"/>
          <w:sz w:val="24"/>
          <w:szCs w:val="24"/>
        </w:rPr>
        <w:t xml:space="preserve"> will further facilitate judicial cooperation between EU and Alb</w:t>
      </w:r>
      <w:r>
        <w:rPr>
          <w:rFonts w:ascii="Times New Roman" w:eastAsia="Calibri" w:hAnsi="Times New Roman" w:cs="Times New Roman"/>
          <w:noProof/>
          <w:color w:val="000000" w:themeColor="text1"/>
          <w:sz w:val="24"/>
          <w:szCs w:val="24"/>
        </w:rPr>
        <w:t>anian practitioners, and the fight against transnational organised crime. The appointment of an Albanian Liaison Prosecutor to Eurojust should be finalised shortly in order to ease this cooperation further. Albania</w:t>
      </w:r>
      <w:r>
        <w:rPr>
          <w:rFonts w:ascii="Times New Roman" w:eastAsia="Times New Roman" w:hAnsi="Times New Roman" w:cs="Times New Roman"/>
          <w:noProof/>
          <w:color w:val="000000" w:themeColor="text1"/>
          <w:sz w:val="24"/>
          <w:szCs w:val="24"/>
        </w:rPr>
        <w:t xml:space="preserve"> was involved in significantly more transn</w:t>
      </w:r>
      <w:r>
        <w:rPr>
          <w:rFonts w:ascii="Times New Roman" w:eastAsia="Times New Roman" w:hAnsi="Times New Roman" w:cs="Times New Roman"/>
          <w:noProof/>
          <w:color w:val="000000" w:themeColor="text1"/>
          <w:sz w:val="24"/>
          <w:szCs w:val="24"/>
        </w:rPr>
        <w:t>ational cases at Eurojust level than in previous years (27 as against nine in 2018). The top crimes featuring in Eurojust’s case</w:t>
      </w:r>
      <w:r>
        <w:rPr>
          <w:rFonts w:ascii="Times New Roman" w:eastAsia="Times New Roman" w:hAnsi="Times New Roman" w:cs="Times New Roman"/>
          <w:noProof/>
          <w:color w:val="000000" w:themeColor="text1"/>
          <w:sz w:val="24"/>
          <w:szCs w:val="24"/>
        </w:rPr>
        <w:noBreakHyphen/>
        <w:t>management system in relation to Albania are drug trafficking and organised crime. Albania participated in five joint investiga</w:t>
      </w:r>
      <w:r>
        <w:rPr>
          <w:rFonts w:ascii="Times New Roman" w:eastAsia="Times New Roman" w:hAnsi="Times New Roman" w:cs="Times New Roman"/>
          <w:noProof/>
          <w:color w:val="000000" w:themeColor="text1"/>
          <w:sz w:val="24"/>
          <w:szCs w:val="24"/>
        </w:rPr>
        <w:t>tion teams supported by Eurojust. It should appoint a liaison prosecutor to Eurojust</w:t>
      </w:r>
      <w:r>
        <w:rPr>
          <w:rFonts w:ascii="Times New Roman" w:eastAsia="Calibri" w:hAnsi="Times New Roman" w:cs="Times New Roman"/>
          <w:noProof/>
          <w:color w:val="000000" w:themeColor="text1"/>
          <w:sz w:val="24"/>
          <w:szCs w:val="24"/>
        </w:rPr>
        <w:t xml:space="preserve"> as soon as possible</w:t>
      </w:r>
      <w:r>
        <w:rPr>
          <w:rFonts w:ascii="Times New Roman" w:eastAsia="Times New Roman" w:hAnsi="Times New Roman" w:cs="Times New Roman"/>
          <w:noProof/>
          <w:color w:val="000000" w:themeColor="text1"/>
          <w:sz w:val="24"/>
          <w:szCs w:val="24"/>
        </w:rPr>
        <w:t>.</w:t>
      </w:r>
    </w:p>
    <w:p w:rsidR="00EE1719" w:rsidRDefault="000E39BA">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On judicial cooperation in civil matters, in 2018 Albania received 383 requests for mutual legal assistance and sent out 218 requests, as against 250 </w:t>
      </w:r>
      <w:r>
        <w:rPr>
          <w:rFonts w:ascii="Times New Roman" w:eastAsia="Times New Roman" w:hAnsi="Times New Roman" w:cs="Times New Roman"/>
          <w:noProof/>
          <w:color w:val="000000" w:themeColor="text1"/>
          <w:sz w:val="24"/>
          <w:szCs w:val="24"/>
        </w:rPr>
        <w:t>and 124 respectively in 2019. On judicial cooperation in criminal matters, in 2018 it received 1,096 requests and sent out 1,330 requests (981 and 1,182 in 2019). It issued 160 extradition requests and received 115 in 2018 (2019: 186 and 84). There were 22</w:t>
      </w:r>
      <w:r>
        <w:rPr>
          <w:rFonts w:ascii="Times New Roman" w:eastAsia="Times New Roman" w:hAnsi="Times New Roman" w:cs="Times New Roman"/>
          <w:noProof/>
          <w:color w:val="000000" w:themeColor="text1"/>
          <w:sz w:val="24"/>
          <w:szCs w:val="24"/>
        </w:rPr>
        <w:t xml:space="preserve"> incoming and 14 outgoing requests for transfers of criminal proceedings in 2019 (eight for both kinds of request in 2018).</w:t>
      </w:r>
    </w:p>
    <w:p w:rsidR="00EE1719" w:rsidRDefault="000E39BA">
      <w:pPr>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Times New Roman" w:hAnsi="Times New Roman" w:cs="Times New Roman"/>
          <w:noProof/>
          <w:color w:val="000000" w:themeColor="text1"/>
          <w:sz w:val="24"/>
          <w:szCs w:val="24"/>
        </w:rPr>
        <w:t>On civil matters, Albania should finalise the internal procedures for acceding to the 2005 Hague Convention on Choice of Court Agree</w:t>
      </w:r>
      <w:r>
        <w:rPr>
          <w:rFonts w:ascii="Times New Roman" w:eastAsia="Times New Roman" w:hAnsi="Times New Roman" w:cs="Times New Roman"/>
          <w:noProof/>
          <w:color w:val="000000" w:themeColor="text1"/>
          <w:sz w:val="24"/>
          <w:szCs w:val="24"/>
        </w:rPr>
        <w:t>ments and the 2007 Protocol on the Law Applicable to Maintenance Obligations. It should further improve international cooperation, the timely implementation of multilateral instruments, and its institutional capacity. Further efforts are needed to align le</w:t>
      </w:r>
      <w:r>
        <w:rPr>
          <w:rFonts w:ascii="Times New Roman" w:eastAsia="Times New Roman" w:hAnsi="Times New Roman" w:cs="Times New Roman"/>
          <w:noProof/>
          <w:color w:val="000000" w:themeColor="text1"/>
          <w:sz w:val="24"/>
          <w:szCs w:val="24"/>
        </w:rPr>
        <w:t xml:space="preserve">gislation with the EU </w:t>
      </w:r>
      <w:r>
        <w:rPr>
          <w:rFonts w:ascii="Times New Roman" w:eastAsia="Times New Roman" w:hAnsi="Times New Roman" w:cs="Times New Roman"/>
          <w:i/>
          <w:noProof/>
          <w:color w:val="000000" w:themeColor="text1"/>
          <w:sz w:val="24"/>
          <w:szCs w:val="24"/>
        </w:rPr>
        <w:t>acquis</w:t>
      </w:r>
      <w:r>
        <w:rPr>
          <w:rFonts w:ascii="Times New Roman" w:eastAsia="Times New Roman" w:hAnsi="Times New Roman" w:cs="Times New Roman"/>
          <w:noProof/>
          <w:color w:val="000000" w:themeColor="text1"/>
          <w:sz w:val="24"/>
          <w:szCs w:val="24"/>
        </w:rPr>
        <w:t xml:space="preserve"> and promote the exchange of best practices in judicial cooperation. </w:t>
      </w:r>
    </w:p>
    <w:p w:rsidR="00EE1719" w:rsidRDefault="000E39BA">
      <w:pPr>
        <w:spacing w:after="120" w:line="240" w:lineRule="auto"/>
        <w:jc w:val="both"/>
        <w:rPr>
          <w:rFonts w:ascii="Times New Roman" w:eastAsia="Times New Roman" w:hAnsi="Times New Roman" w:cs="Times New Roman"/>
          <w:i/>
          <w:noProof/>
          <w:color w:val="000000" w:themeColor="text1"/>
          <w:sz w:val="24"/>
          <w:szCs w:val="24"/>
        </w:rPr>
      </w:pPr>
      <w:r>
        <w:rPr>
          <w:rFonts w:ascii="Times New Roman" w:eastAsia="Times New Roman" w:hAnsi="Times New Roman" w:cs="Times New Roman"/>
          <w:i/>
          <w:noProof/>
          <w:color w:val="000000" w:themeColor="text1"/>
          <w:sz w:val="24"/>
          <w:szCs w:val="24"/>
        </w:rPr>
        <w:t>All aspects of customs cooperation are now covered in Chapter 29 – Customs Union.</w:t>
      </w:r>
      <w:bookmarkEnd w:id="35"/>
      <w:bookmarkEnd w:id="36"/>
    </w:p>
    <w:p w:rsidR="00EE1719" w:rsidRDefault="000E39BA">
      <w:pPr>
        <w:pStyle w:val="Heading1"/>
      </w:pPr>
      <w:bookmarkStart w:id="38" w:name="_Toc9441918"/>
      <w:bookmarkStart w:id="39" w:name="_Toc9595471"/>
      <w:bookmarkStart w:id="40" w:name="_Toc52745509"/>
      <w:r>
        <w:t>3.</w:t>
      </w:r>
      <w:r>
        <w:tab/>
        <w:t>Fundamentals first: economic development and competitiveness</w:t>
      </w:r>
      <w:bookmarkEnd w:id="38"/>
      <w:bookmarkEnd w:id="39"/>
      <w:bookmarkEnd w:id="40"/>
    </w:p>
    <w:p w:rsidR="00EE1719" w:rsidRDefault="000E39BA">
      <w:pPr>
        <w:autoSpaceDE w:val="0"/>
        <w:autoSpaceDN w:val="0"/>
        <w:adjustRightInd w:val="0"/>
        <w:spacing w:after="120" w:line="240" w:lineRule="auto"/>
        <w:jc w:val="both"/>
        <w:rPr>
          <w:rFonts w:ascii="Times New Roman" w:eastAsia="Times New Roman" w:hAnsi="Times New Roman" w:cs="Times New Roman"/>
          <w:i/>
          <w:noProof/>
          <w:sz w:val="24"/>
          <w:szCs w:val="24"/>
        </w:rPr>
      </w:pPr>
      <w:r>
        <w:rPr>
          <w:rFonts w:ascii="Times New Roman" w:eastAsia="Calibri" w:hAnsi="Times New Roman" w:cs="Times New Roman"/>
          <w:noProof/>
          <w:sz w:val="24"/>
          <w:szCs w:val="24"/>
        </w:rPr>
        <w:drawing>
          <wp:inline distT="0" distB="0" distL="0" distR="0">
            <wp:extent cx="5744845" cy="3991291"/>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7920" cy="4000375"/>
                    </a:xfrm>
                    <a:prstGeom prst="rect">
                      <a:avLst/>
                    </a:prstGeom>
                    <a:noFill/>
                    <a:ln>
                      <a:noFill/>
                    </a:ln>
                  </pic:spPr>
                </pic:pic>
              </a:graphicData>
            </a:graphic>
          </wp:inline>
        </w:drawing>
      </w:r>
    </w:p>
    <w:p w:rsidR="00EE1719" w:rsidRDefault="000E39BA">
      <w:pPr>
        <w:autoSpaceDE w:val="0"/>
        <w:autoSpaceDN w:val="0"/>
        <w:adjustRightInd w:val="0"/>
        <w:spacing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 xml:space="preserve">'In line </w:t>
      </w:r>
      <w:r>
        <w:rPr>
          <w:rFonts w:ascii="Times New Roman" w:eastAsia="Times New Roman" w:hAnsi="Times New Roman" w:cs="Times New Roman"/>
          <w:i/>
          <w:noProof/>
          <w:sz w:val="24"/>
          <w:szCs w:val="24"/>
        </w:rPr>
        <w:t>with the conclusions of the European Council in Copenhagen in June 1993, EU accession requires the existence of a functioning market economy and the capacity to cope with competitive pressure and market forces within the Union.</w:t>
      </w:r>
    </w:p>
    <w:p w:rsidR="00EE1719" w:rsidRDefault="000E39BA">
      <w:pPr>
        <w:spacing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Economic governance has beco</w:t>
      </w:r>
      <w:r>
        <w:rPr>
          <w:rFonts w:ascii="Times New Roman" w:eastAsia="Times New Roman" w:hAnsi="Times New Roman" w:cs="Times New Roman"/>
          <w:i/>
          <w:noProof/>
          <w:sz w:val="24"/>
          <w:szCs w:val="24"/>
        </w:rPr>
        <w:t>me even more central in the enlargement process in recent years. The Commission's monitoring takes place in two processes: the Economic Reform Programme exercise and the below assessment of compliance with the economic criteria for accession. Each enlargem</w:t>
      </w:r>
      <w:r>
        <w:rPr>
          <w:rFonts w:ascii="Times New Roman" w:eastAsia="Times New Roman" w:hAnsi="Times New Roman" w:cs="Times New Roman"/>
          <w:i/>
          <w:noProof/>
          <w:sz w:val="24"/>
          <w:szCs w:val="24"/>
        </w:rPr>
        <w:t xml:space="preserve">ent country prepares an Economic Reform Programme (ERP) annually, which sets out a medium-term macro-fiscal policy framework and a structural reform agenda aimed at ensuring competitiveness and inclusive growth. The ERPs are the basis for country-specific </w:t>
      </w:r>
      <w:r>
        <w:rPr>
          <w:rFonts w:ascii="Times New Roman" w:eastAsia="Times New Roman" w:hAnsi="Times New Roman" w:cs="Times New Roman"/>
          <w:i/>
          <w:noProof/>
          <w:sz w:val="24"/>
          <w:szCs w:val="24"/>
        </w:rPr>
        <w:t>policy guidance jointly adopted by the EU and the Western Balkans and Turkey at ministerial level in May each year.'</w:t>
      </w:r>
    </w:p>
    <w:p w:rsidR="00EE1719" w:rsidRDefault="00EE1719">
      <w:pPr>
        <w:spacing w:after="120" w:line="240" w:lineRule="auto"/>
        <w:jc w:val="both"/>
        <w:rPr>
          <w:rFonts w:ascii="Times New Roman" w:eastAsia="Times New Roman" w:hAnsi="Times New Roman" w:cs="Times New Roman"/>
          <w:i/>
          <w:noProof/>
          <w:sz w:val="24"/>
          <w:szCs w:val="24"/>
        </w:rPr>
      </w:pPr>
    </w:p>
    <w:p w:rsidR="00EE1719" w:rsidRDefault="000E39BA">
      <w:pPr>
        <w:pStyle w:val="Heading2"/>
        <w:rPr>
          <w:rFonts w:eastAsia="Calibri"/>
          <w:lang w:eastAsia="en-US"/>
        </w:rPr>
      </w:pPr>
      <w:bookmarkStart w:id="41" w:name="_Toc52745510"/>
      <w:r>
        <w:rPr>
          <w:rStyle w:val="Heading2Char"/>
          <w:rFonts w:eastAsia="Calibri"/>
        </w:rPr>
        <w:t>3.1.</w:t>
      </w:r>
      <w:r>
        <w:rPr>
          <w:rFonts w:eastAsia="Calibri"/>
          <w:lang w:eastAsia="en-US"/>
        </w:rPr>
        <w:tab/>
        <w:t>The existence of a functioning market economy</w:t>
      </w:r>
      <w:bookmarkEnd w:id="41"/>
    </w:p>
    <w:tbl>
      <w:tblPr>
        <w:tblStyle w:val="TableGrid1"/>
        <w:tblW w:w="0" w:type="auto"/>
        <w:tblLook w:val="04A0" w:firstRow="1" w:lastRow="0" w:firstColumn="1" w:lastColumn="0" w:noHBand="0" w:noVBand="1"/>
      </w:tblPr>
      <w:tblGrid>
        <w:gridCol w:w="9288"/>
      </w:tblGrid>
      <w:tr w:rsidR="00EE1719">
        <w:tc>
          <w:tcPr>
            <w:tcW w:w="9288" w:type="dxa"/>
            <w:shd w:val="clear" w:color="auto" w:fill="D9D9D9" w:themeFill="background1" w:themeFillShade="D9"/>
          </w:tcPr>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 xml:space="preserve">Albania has made </w:t>
            </w:r>
            <w:r>
              <w:rPr>
                <w:rFonts w:ascii="Times New Roman" w:eastAsia="Calibri" w:hAnsi="Times New Roman" w:cs="Times New Roman"/>
                <w:b/>
                <w:noProof/>
                <w:sz w:val="24"/>
                <w:szCs w:val="24"/>
                <w:lang w:eastAsia="en-US"/>
              </w:rPr>
              <w:t>some progress</w:t>
            </w:r>
            <w:r>
              <w:rPr>
                <w:rFonts w:ascii="Times New Roman" w:eastAsia="Calibri" w:hAnsi="Times New Roman" w:cs="Times New Roman"/>
                <w:noProof/>
                <w:sz w:val="24"/>
                <w:szCs w:val="24"/>
                <w:lang w:eastAsia="en-US"/>
              </w:rPr>
              <w:t xml:space="preserve"> and is </w:t>
            </w:r>
            <w:r>
              <w:rPr>
                <w:rFonts w:ascii="Times New Roman" w:eastAsia="Calibri" w:hAnsi="Times New Roman" w:cs="Times New Roman"/>
                <w:b/>
                <w:noProof/>
                <w:sz w:val="24"/>
                <w:szCs w:val="24"/>
                <w:lang w:eastAsia="en-US"/>
              </w:rPr>
              <w:t>moderately prepared</w:t>
            </w:r>
            <w:r>
              <w:rPr>
                <w:rFonts w:ascii="Times New Roman" w:eastAsia="Calibri" w:hAnsi="Times New Roman" w:cs="Times New Roman"/>
                <w:noProof/>
                <w:sz w:val="24"/>
                <w:szCs w:val="24"/>
                <w:lang w:eastAsia="en-US"/>
              </w:rPr>
              <w:t xml:space="preserve"> for developing a functioning </w:t>
            </w:r>
            <w:r>
              <w:rPr>
                <w:rFonts w:ascii="Times New Roman" w:eastAsia="Calibri" w:hAnsi="Times New Roman" w:cs="Times New Roman"/>
                <w:noProof/>
                <w:sz w:val="24"/>
                <w:szCs w:val="24"/>
                <w:lang w:eastAsia="en-US"/>
              </w:rPr>
              <w:t>market economy. In 2019, GDP growth slowed down due to lower hydropower production, a drop in investment following the conclusion of some very large infrastructure projects and the shock of the strong earthquake. Unemployment continued to decrease to recor</w:t>
            </w:r>
            <w:r>
              <w:rPr>
                <w:rFonts w:ascii="Times New Roman" w:eastAsia="Calibri" w:hAnsi="Times New Roman" w:cs="Times New Roman"/>
                <w:noProof/>
                <w:sz w:val="24"/>
                <w:szCs w:val="24"/>
                <w:lang w:eastAsia="en-US"/>
              </w:rPr>
              <w:t>d lows, even though it remains high. The fiscal deficit remained contained and the public-debt-to-GDP ratio continued to decline but remained high. Banks further reduced non</w:t>
            </w:r>
            <w:r>
              <w:rPr>
                <w:rFonts w:ascii="Times New Roman" w:eastAsia="Calibri" w:hAnsi="Times New Roman" w:cs="Times New Roman"/>
                <w:noProof/>
                <w:sz w:val="24"/>
                <w:szCs w:val="24"/>
                <w:lang w:eastAsia="en-US"/>
              </w:rPr>
              <w:noBreakHyphen/>
              <w:t>performing loans and lending to the private sector picked up. The comprehensive ju</w:t>
            </w:r>
            <w:r>
              <w:rPr>
                <w:rFonts w:ascii="Times New Roman" w:eastAsia="Calibri" w:hAnsi="Times New Roman" w:cs="Times New Roman"/>
                <w:noProof/>
                <w:sz w:val="24"/>
                <w:szCs w:val="24"/>
                <w:lang w:eastAsia="en-US"/>
              </w:rPr>
              <w:t>dicial reform advanced well, but has not yet effectively improved the legal security for businesses. Comprehensive structural reforms to support the business environment and the liberalisation of the energy sector have made limited progress. The COVID-19 p</w:t>
            </w:r>
            <w:r>
              <w:rPr>
                <w:rFonts w:ascii="Times New Roman" w:eastAsia="Calibri" w:hAnsi="Times New Roman" w:cs="Times New Roman"/>
                <w:noProof/>
                <w:sz w:val="24"/>
                <w:szCs w:val="24"/>
                <w:lang w:eastAsia="en-US"/>
              </w:rPr>
              <w:t xml:space="preserve">andemic has exacerbated the structural weaknesses and its economic fall-out erases some of the progress described above. </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In order to improve the functioning of the market economy, Albania should in particular:</w:t>
            </w:r>
          </w:p>
          <w:p w:rsidR="00EE1719" w:rsidRDefault="000E39BA">
            <w:pPr>
              <w:numPr>
                <w:ilvl w:val="0"/>
                <w:numId w:val="37"/>
              </w:num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Keep the increase of fiscal deficit and publi</w:t>
            </w:r>
            <w:r>
              <w:rPr>
                <w:rFonts w:ascii="Times New Roman" w:eastAsia="Calibri" w:hAnsi="Times New Roman" w:cs="Times New Roman"/>
                <w:noProof/>
                <w:sz w:val="24"/>
                <w:szCs w:val="24"/>
                <w:lang w:eastAsia="en-US"/>
              </w:rPr>
              <w:t xml:space="preserve">c debt temporary, increase revenue in a growth-friendly way and strengthen fiscal governance; </w:t>
            </w:r>
          </w:p>
          <w:p w:rsidR="00EE1719" w:rsidRDefault="000E39BA">
            <w:pPr>
              <w:numPr>
                <w:ilvl w:val="0"/>
                <w:numId w:val="37"/>
              </w:num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Resolve legal impediments to NPL resolution, collateral execution and insolvency procedures;</w:t>
            </w:r>
          </w:p>
          <w:p w:rsidR="00EE1719" w:rsidRDefault="000E39BA">
            <w:pPr>
              <w:numPr>
                <w:ilvl w:val="0"/>
                <w:numId w:val="37"/>
              </w:num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Take short-term measures to preserve employment and improve active l</w:t>
            </w:r>
            <w:r>
              <w:rPr>
                <w:rFonts w:ascii="Times New Roman" w:eastAsia="Calibri" w:hAnsi="Times New Roman" w:cs="Times New Roman"/>
                <w:noProof/>
                <w:sz w:val="24"/>
                <w:szCs w:val="24"/>
                <w:lang w:eastAsia="en-US"/>
              </w:rPr>
              <w:t xml:space="preserve">abour market policies and upskilling of adults. </w:t>
            </w:r>
          </w:p>
        </w:tc>
      </w:tr>
    </w:tbl>
    <w:p w:rsidR="00EE1719" w:rsidRDefault="000E39BA">
      <w:pPr>
        <w:spacing w:after="120" w:line="240" w:lineRule="auto"/>
        <w:jc w:val="both"/>
        <w:rPr>
          <w:rFonts w:ascii="Times New Roman" w:eastAsia="Calibri" w:hAnsi="Times New Roman" w:cs="Times New Roman"/>
          <w:noProof/>
          <w:sz w:val="24"/>
          <w:szCs w:val="24"/>
          <w:u w:val="single"/>
          <w:lang w:eastAsia="en-US"/>
        </w:rPr>
      </w:pPr>
      <w:r>
        <w:rPr>
          <w:rFonts w:ascii="Times New Roman" w:eastAsia="Calibri" w:hAnsi="Times New Roman" w:cs="Times New Roman"/>
          <w:noProof/>
          <w:sz w:val="24"/>
          <w:szCs w:val="24"/>
          <w:u w:val="single"/>
          <w:lang w:eastAsia="en-US"/>
        </w:rPr>
        <w:t xml:space="preserve">Economic governance </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 xml:space="preserve">Albania remained committed to strengthening macroeconomic stability and fiscal consolidation, but institutional capacity is still insufficient to provide for improved quality of </w:t>
      </w:r>
      <w:r>
        <w:rPr>
          <w:rFonts w:ascii="Times New Roman" w:eastAsia="Calibri" w:hAnsi="Times New Roman" w:cs="Times New Roman"/>
          <w:b/>
          <w:noProof/>
          <w:sz w:val="24"/>
          <w:szCs w:val="24"/>
          <w:lang w:eastAsia="en-US"/>
        </w:rPr>
        <w:t>governance.</w:t>
      </w:r>
      <w:r>
        <w:rPr>
          <w:rFonts w:ascii="Times New Roman" w:eastAsia="Calibri" w:hAnsi="Times New Roman" w:cs="Times New Roman"/>
          <w:noProof/>
          <w:sz w:val="24"/>
          <w:szCs w:val="24"/>
          <w:lang w:eastAsia="en-US"/>
        </w:rPr>
        <w:t xml:space="preserve"> In 2019, the government continued to reduce the still-high level of public debt, albeit slowly. Frequent turnover in senior management positions in the Ministry of Finance and Economy and its sub-ordinated agencies and delays in filling vacanci</w:t>
      </w:r>
      <w:r>
        <w:rPr>
          <w:rFonts w:ascii="Times New Roman" w:eastAsia="Calibri" w:hAnsi="Times New Roman" w:cs="Times New Roman"/>
          <w:noProof/>
          <w:sz w:val="24"/>
          <w:szCs w:val="24"/>
          <w:lang w:eastAsia="en-US"/>
        </w:rPr>
        <w:t xml:space="preserve">es in key departments in the ministry continued to weaken administrative capacity for more credible and effective implementation of economic reforms. </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 xml:space="preserve"> On 26 November 2019, Albania was hit by a devastating earthquake that caused loss of lives and substanti</w:t>
      </w:r>
      <w:r>
        <w:rPr>
          <w:rFonts w:ascii="Times New Roman" w:eastAsia="Calibri" w:hAnsi="Times New Roman" w:cs="Times New Roman"/>
          <w:noProof/>
          <w:sz w:val="24"/>
          <w:szCs w:val="24"/>
          <w:lang w:eastAsia="en-US"/>
        </w:rPr>
        <w:t xml:space="preserve">al damages estimated at EUR 1 billion. In response to the reconstruction and humanitarian needs, the 2020 budget, which was amended and adopted in December and in the wake of the COVID-19 pandemic was revised again in March, in April and in July 2020. </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Fac</w:t>
      </w:r>
      <w:r>
        <w:rPr>
          <w:rFonts w:ascii="Times New Roman" w:eastAsia="Calibri" w:hAnsi="Times New Roman" w:cs="Times New Roman"/>
          <w:b/>
          <w:noProof/>
          <w:sz w:val="24"/>
          <w:szCs w:val="24"/>
          <w:lang w:eastAsia="en-US"/>
        </w:rPr>
        <w:t xml:space="preserve">ed with the spread of COVID-19, the government put strong social distancing measures in place from March to June 2020, accompanied by financial support schemes for the economy. </w:t>
      </w:r>
      <w:r>
        <w:rPr>
          <w:rFonts w:ascii="Times New Roman" w:eastAsia="Calibri" w:hAnsi="Times New Roman" w:cs="Times New Roman"/>
          <w:noProof/>
          <w:sz w:val="24"/>
          <w:szCs w:val="24"/>
          <w:lang w:eastAsia="en-US"/>
        </w:rPr>
        <w:t>The state of emergency was announced on 24 March 2020</w:t>
      </w:r>
      <w:r>
        <w:rPr>
          <w:rFonts w:ascii="Times New Roman" w:eastAsia="Calibri" w:hAnsi="Times New Roman" w:cs="Times New Roman"/>
          <w:b/>
          <w:noProof/>
          <w:sz w:val="24"/>
          <w:szCs w:val="24"/>
          <w:lang w:eastAsia="en-US"/>
        </w:rPr>
        <w:t>.</w:t>
      </w:r>
      <w:r>
        <w:rPr>
          <w:rFonts w:ascii="Times New Roman" w:eastAsia="Calibri" w:hAnsi="Times New Roman" w:cs="Times New Roman"/>
          <w:noProof/>
          <w:sz w:val="24"/>
          <w:szCs w:val="24"/>
          <w:lang w:eastAsia="en-US"/>
        </w:rPr>
        <w:t xml:space="preserve"> To counter the economic </w:t>
      </w:r>
      <w:r>
        <w:rPr>
          <w:rFonts w:ascii="Times New Roman" w:eastAsia="Calibri" w:hAnsi="Times New Roman" w:cs="Times New Roman"/>
          <w:noProof/>
          <w:sz w:val="24"/>
          <w:szCs w:val="24"/>
          <w:lang w:eastAsia="en-US"/>
        </w:rPr>
        <w:t>impact of the pandemic and the resulting confinement measures, the government has introduced financial support schemes for affected businesses and their employees, for low-income households and for the health sector so far amounting to 2.8 % of GDP. The go</w:t>
      </w:r>
      <w:r>
        <w:rPr>
          <w:rFonts w:ascii="Times New Roman" w:eastAsia="Calibri" w:hAnsi="Times New Roman" w:cs="Times New Roman"/>
          <w:noProof/>
          <w:sz w:val="24"/>
          <w:szCs w:val="24"/>
          <w:lang w:eastAsia="en-US"/>
        </w:rPr>
        <w:t>vernment requested financial support from the IMF (EUR 174 million from the Rapid Financing Instrument) and the EU, which approved EUR 180 million of macro-financial assistance in the form of a loan to cover the increased external and budgetary financing n</w:t>
      </w:r>
      <w:r>
        <w:rPr>
          <w:rFonts w:ascii="Times New Roman" w:eastAsia="Calibri" w:hAnsi="Times New Roman" w:cs="Times New Roman"/>
          <w:noProof/>
          <w:sz w:val="24"/>
          <w:szCs w:val="24"/>
          <w:lang w:eastAsia="en-US"/>
        </w:rPr>
        <w:t xml:space="preserve">eeds.  </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Albania has partially implemented t</w:t>
      </w:r>
      <w:r>
        <w:rPr>
          <w:rFonts w:ascii="Times New Roman" w:eastAsia="Calibri" w:hAnsi="Times New Roman" w:cs="Times New Roman"/>
          <w:bCs/>
          <w:noProof/>
          <w:sz w:val="24"/>
          <w:szCs w:val="24"/>
          <w:lang w:eastAsia="en-US"/>
        </w:rPr>
        <w:t>he policy guidance jointly agreed at the May 2019</w:t>
      </w:r>
      <w:r>
        <w:rPr>
          <w:rFonts w:ascii="Times New Roman" w:eastAsia="Calibri" w:hAnsi="Times New Roman" w:cs="Times New Roman"/>
          <w:bCs/>
          <w:noProof/>
          <w:sz w:val="24"/>
          <w:szCs w:val="24"/>
          <w:vertAlign w:val="superscript"/>
          <w:lang w:eastAsia="en-US"/>
        </w:rPr>
        <w:footnoteReference w:id="9"/>
      </w:r>
      <w:r>
        <w:rPr>
          <w:rFonts w:ascii="Times New Roman" w:eastAsia="Calibri" w:hAnsi="Times New Roman" w:cs="Times New Roman"/>
          <w:bCs/>
          <w:noProof/>
          <w:sz w:val="24"/>
          <w:szCs w:val="24"/>
          <w:lang w:eastAsia="en-US"/>
        </w:rPr>
        <w:t xml:space="preserve"> Economic and Financial Dialogue between the EU and the Western Balkans and Turkey.</w:t>
      </w:r>
      <w:r>
        <w:rPr>
          <w:rFonts w:ascii="Times New Roman" w:eastAsia="Calibri" w:hAnsi="Times New Roman" w:cs="Times New Roman"/>
          <w:noProof/>
          <w:sz w:val="24"/>
          <w:szCs w:val="24"/>
          <w:lang w:eastAsia="en-US"/>
        </w:rPr>
        <w:t xml:space="preserve"> </w:t>
      </w:r>
    </w:p>
    <w:p w:rsidR="00EE1719" w:rsidRDefault="000E39BA">
      <w:pPr>
        <w:keepNext/>
        <w:spacing w:after="120" w:line="240" w:lineRule="auto"/>
        <w:jc w:val="both"/>
        <w:rPr>
          <w:rFonts w:ascii="Times New Roman" w:eastAsia="Calibri" w:hAnsi="Times New Roman" w:cs="Times New Roman"/>
          <w:noProof/>
          <w:sz w:val="24"/>
          <w:szCs w:val="24"/>
          <w:u w:val="single"/>
          <w:lang w:eastAsia="en-US"/>
        </w:rPr>
      </w:pPr>
      <w:r>
        <w:rPr>
          <w:rFonts w:ascii="Times New Roman" w:eastAsia="Calibri" w:hAnsi="Times New Roman" w:cs="Times New Roman"/>
          <w:noProof/>
          <w:sz w:val="24"/>
          <w:szCs w:val="24"/>
          <w:u w:val="single"/>
          <w:lang w:eastAsia="en-US"/>
        </w:rPr>
        <w:t>Macroeconomic stability</w:t>
      </w:r>
    </w:p>
    <w:p w:rsidR="00EE1719" w:rsidRDefault="000E39BA">
      <w:pPr>
        <w:keepNext/>
        <w:spacing w:after="120" w:line="240" w:lineRule="auto"/>
        <w:jc w:val="both"/>
        <w:rPr>
          <w:rFonts w:ascii="Times New Roman" w:eastAsia="Calibri" w:hAnsi="Times New Roman" w:cs="Times New Roman"/>
          <w:b/>
          <w:noProof/>
          <w:sz w:val="24"/>
          <w:szCs w:val="24"/>
          <w:lang w:eastAsia="en-US"/>
        </w:rPr>
      </w:pPr>
      <w:r>
        <w:rPr>
          <w:rFonts w:ascii="Times New Roman" w:eastAsia="Calibri" w:hAnsi="Times New Roman" w:cs="Times New Roman"/>
          <w:noProof/>
          <w:sz w:val="24"/>
          <w:szCs w:val="24"/>
        </w:rPr>
        <w:drawing>
          <wp:anchor distT="0" distB="0" distL="114300" distR="114300" simplePos="0" relativeHeight="251653632" behindDoc="0" locked="0" layoutInCell="1" allowOverlap="1">
            <wp:simplePos x="0" y="0"/>
            <wp:positionH relativeFrom="margin">
              <wp:align>left</wp:align>
            </wp:positionH>
            <wp:positionV relativeFrom="paragraph">
              <wp:posOffset>776159</wp:posOffset>
            </wp:positionV>
            <wp:extent cx="3240000" cy="1911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0000" cy="191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noProof/>
          <w:sz w:val="24"/>
          <w:szCs w:val="24"/>
          <w:lang w:eastAsia="en-US"/>
        </w:rPr>
        <w:t>Already before the outbreak of the COVID-19 crisis, a</w:t>
      </w:r>
      <w:r>
        <w:rPr>
          <w:rFonts w:ascii="Times New Roman" w:eastAsia="Calibri" w:hAnsi="Times New Roman" w:cs="Times New Roman"/>
          <w:b/>
          <w:noProof/>
          <w:sz w:val="24"/>
          <w:szCs w:val="24"/>
          <w:lang w:eastAsia="en-US"/>
        </w:rPr>
        <w:t>nnual GDP growth slowed considerably in 2019 due to lower hydro-electricity production, a drop in investment and the fallout from the earthquake</w:t>
      </w:r>
      <w:r>
        <w:rPr>
          <w:rFonts w:ascii="Times New Roman" w:eastAsia="Calibri" w:hAnsi="Times New Roman" w:cs="Times New Roman"/>
          <w:noProof/>
          <w:sz w:val="24"/>
          <w:szCs w:val="24"/>
          <w:lang w:eastAsia="en-US"/>
        </w:rPr>
        <w:t xml:space="preserve">. Economic growth averaged 2.4 % over 2013-2017, accelerated to 4.1 % in 2018before it slowed to 2.2 % in 2019, </w:t>
      </w:r>
      <w:r>
        <w:rPr>
          <w:rFonts w:ascii="Times New Roman" w:eastAsia="Calibri" w:hAnsi="Times New Roman" w:cs="Times New Roman"/>
          <w:noProof/>
          <w:sz w:val="24"/>
          <w:szCs w:val="24"/>
          <w:lang w:eastAsia="en-US"/>
        </w:rPr>
        <w:t>mainly because of low hydroelectric production due to below-average rainfall, aggravated by the earthquake. In addition, the completion of some large infrastructure projects caused a contraction in investment. Household consumption continued to be the main</w:t>
      </w:r>
      <w:r>
        <w:rPr>
          <w:rFonts w:ascii="Times New Roman" w:eastAsia="Calibri" w:hAnsi="Times New Roman" w:cs="Times New Roman"/>
          <w:noProof/>
          <w:sz w:val="24"/>
          <w:szCs w:val="24"/>
          <w:lang w:eastAsia="en-US"/>
        </w:rPr>
        <w:t xml:space="preserve"> growth driver (+3.3 % y-o-y), based on growing wages and employment. Strong growth of services exports off-set the fall of electricity exports and net exports contributed 0.6 pps to growth. Per capita GDP (at purchasing power parity) increased from 29 % o</w:t>
      </w:r>
      <w:r>
        <w:rPr>
          <w:rFonts w:ascii="Times New Roman" w:eastAsia="Calibri" w:hAnsi="Times New Roman" w:cs="Times New Roman"/>
          <w:noProof/>
          <w:sz w:val="24"/>
          <w:szCs w:val="24"/>
          <w:lang w:eastAsia="en-US"/>
        </w:rPr>
        <w:t xml:space="preserve">f the EU-28 average in 2016 to 31 % in 2019, still representing a very slow pace of convergence. </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Subdued economic growth and the earthquake weakened the resilience of Albania, which is particularly vulnerable to the economic fallout from the pandemic.</w:t>
      </w:r>
      <w:r>
        <w:rPr>
          <w:rFonts w:ascii="Times New Roman" w:eastAsia="Calibri" w:hAnsi="Times New Roman" w:cs="Times New Roman"/>
          <w:noProof/>
          <w:sz w:val="24"/>
          <w:szCs w:val="24"/>
          <w:lang w:eastAsia="en-US"/>
        </w:rPr>
        <w:t xml:space="preserve"> Hig</w:t>
      </w:r>
      <w:r>
        <w:rPr>
          <w:rFonts w:ascii="Times New Roman" w:eastAsia="Calibri" w:hAnsi="Times New Roman" w:cs="Times New Roman"/>
          <w:noProof/>
          <w:sz w:val="24"/>
          <w:szCs w:val="24"/>
          <w:lang w:eastAsia="en-US"/>
        </w:rPr>
        <w:t>h reliance on tourism and the limited capacity of the health sector aggravates the situation. Albania faces a sharp economic contraction in 2020, because the domestic and international restrictions are depressing private consumption and tourism exports, wi</w:t>
      </w:r>
      <w:r>
        <w:rPr>
          <w:rFonts w:ascii="Times New Roman" w:eastAsia="Calibri" w:hAnsi="Times New Roman" w:cs="Times New Roman"/>
          <w:noProof/>
          <w:sz w:val="24"/>
          <w:szCs w:val="24"/>
          <w:lang w:eastAsia="en-US"/>
        </w:rPr>
        <w:t xml:space="preserve">th knock-on effects on investment. </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 xml:space="preserve">The high current-account deficit widened slightly, but remained fully financed by foreign direct investment (FDI) in 2019. </w:t>
      </w:r>
      <w:r>
        <w:rPr>
          <w:rFonts w:ascii="Times New Roman" w:eastAsia="Calibri" w:hAnsi="Times New Roman" w:cs="Times New Roman"/>
          <w:noProof/>
          <w:sz w:val="24"/>
          <w:szCs w:val="24"/>
          <w:lang w:eastAsia="en-US"/>
        </w:rPr>
        <w:t xml:space="preserve">In 2013-2018, rising exports helped the current-account deficit to narrow gradually, before it widened again to about 7.6 % of GDP in 2019, mainly because of the worsening balance of –the electricity trade compared with </w:t>
      </w:r>
      <w:r>
        <w:rPr>
          <w:rFonts w:ascii="Times New Roman" w:eastAsia="Calibri" w:hAnsi="Times New Roman" w:cs="Times New Roman"/>
          <w:noProof/>
          <w:sz w:val="24"/>
          <w:szCs w:val="24"/>
        </w:rPr>
        <w:drawing>
          <wp:anchor distT="0" distB="0" distL="114300" distR="114300" simplePos="0" relativeHeight="251661824" behindDoc="0" locked="0" layoutInCell="1" allowOverlap="1">
            <wp:simplePos x="0" y="0"/>
            <wp:positionH relativeFrom="margin">
              <wp:align>right</wp:align>
            </wp:positionH>
            <wp:positionV relativeFrom="paragraph">
              <wp:posOffset>279570</wp:posOffset>
            </wp:positionV>
            <wp:extent cx="3240000" cy="1944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0000" cy="194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noProof/>
          <w:sz w:val="24"/>
          <w:szCs w:val="24"/>
          <w:lang w:eastAsia="en-US"/>
        </w:rPr>
        <w:t>2018. Remittances fell steadily fro</w:t>
      </w:r>
      <w:r>
        <w:rPr>
          <w:rFonts w:ascii="Times New Roman" w:eastAsia="Calibri" w:hAnsi="Times New Roman" w:cs="Times New Roman"/>
          <w:noProof/>
          <w:sz w:val="24"/>
          <w:szCs w:val="24"/>
          <w:lang w:eastAsia="en-US"/>
        </w:rPr>
        <w:t>m 5.9 % of GDP in 2014 to 5.2% in 2019. Net FDI inflows fell as a proportion of GDP, from 8.7 % in 2018 to 7.9 % in 2019, but still covered the current</w:t>
      </w:r>
      <w:r>
        <w:rPr>
          <w:rFonts w:ascii="Times New Roman" w:eastAsia="Calibri" w:hAnsi="Times New Roman" w:cs="Times New Roman"/>
          <w:noProof/>
          <w:sz w:val="24"/>
          <w:szCs w:val="24"/>
          <w:lang w:eastAsia="en-US"/>
        </w:rPr>
        <w:noBreakHyphen/>
        <w:t>account deficit. Foreign exchange reserves covering more than 6 months of imports at the end of 2019 pro</w:t>
      </w:r>
      <w:r>
        <w:rPr>
          <w:rFonts w:ascii="Times New Roman" w:eastAsia="Calibri" w:hAnsi="Times New Roman" w:cs="Times New Roman"/>
          <w:noProof/>
          <w:sz w:val="24"/>
          <w:szCs w:val="24"/>
          <w:lang w:eastAsia="en-US"/>
        </w:rPr>
        <w:t xml:space="preserve">vided some safeguard against adverse shocks. External debt declined by 2 pps to 60 % of GDP at the end of 2019.  </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The recession in the EU in the wake of the pandemic affects remittances and FDI inflows and puts pressure on the balance of payments.</w:t>
      </w:r>
      <w:r>
        <w:rPr>
          <w:rFonts w:ascii="Times New Roman" w:eastAsia="Calibri" w:hAnsi="Times New Roman" w:cs="Times New Roman"/>
          <w:noProof/>
          <w:sz w:val="24"/>
          <w:szCs w:val="24"/>
          <w:lang w:eastAsia="en-US"/>
        </w:rPr>
        <w:t xml:space="preserve"> FDI infl</w:t>
      </w:r>
      <w:r>
        <w:rPr>
          <w:rFonts w:ascii="Times New Roman" w:eastAsia="Calibri" w:hAnsi="Times New Roman" w:cs="Times New Roman"/>
          <w:noProof/>
          <w:sz w:val="24"/>
          <w:szCs w:val="24"/>
          <w:lang w:eastAsia="en-US"/>
        </w:rPr>
        <w:t xml:space="preserve">ows dropped 18 % y-o-y in the first quarter of 2020. The freely floating exchange rate of the Albanian currency, which appreciated by 3.5 % against the euro in 2019, lost about 1 % of its value in the first five months of 2020. </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Inflation remained below ta</w:t>
      </w:r>
      <w:r>
        <w:rPr>
          <w:rFonts w:ascii="Times New Roman" w:eastAsia="Calibri" w:hAnsi="Times New Roman" w:cs="Times New Roman"/>
          <w:b/>
          <w:noProof/>
          <w:sz w:val="24"/>
          <w:szCs w:val="24"/>
          <w:lang w:eastAsia="en-US"/>
        </w:rPr>
        <w:t>rget and the central bank eased its policy stance.</w:t>
      </w:r>
      <w:r>
        <w:rPr>
          <w:rFonts w:ascii="Times New Roman" w:eastAsia="Calibri" w:hAnsi="Times New Roman" w:cs="Times New Roman"/>
          <w:noProof/>
          <w:sz w:val="24"/>
          <w:szCs w:val="24"/>
          <w:lang w:eastAsia="en-US"/>
        </w:rPr>
        <w:t xml:space="preserve"> The annual inflation averaged 1.7 % over the last five years but dropped to 1.4 % in 2019, thus moving further away from the Bank of Albania’s (BoA) 3 % inflation target. Since March 2020, a strong rise in</w:t>
      </w:r>
      <w:r>
        <w:rPr>
          <w:rFonts w:ascii="Times New Roman" w:eastAsia="Calibri" w:hAnsi="Times New Roman" w:cs="Times New Roman"/>
          <w:noProof/>
          <w:sz w:val="24"/>
          <w:szCs w:val="24"/>
          <w:lang w:eastAsia="en-US"/>
        </w:rPr>
        <w:t xml:space="preserve"> food prices in combination with the depreciation has pushed the inflation rate to 2.1% (y-o-y), which lasted until May and later slowed down to 1.4% in July, reflecting also seasonal effect. The BoA maintained its very accommodative monetary policy stance</w:t>
      </w:r>
      <w:r>
        <w:rPr>
          <w:rFonts w:ascii="Times New Roman" w:eastAsia="Calibri" w:hAnsi="Times New Roman" w:cs="Times New Roman"/>
          <w:noProof/>
          <w:sz w:val="24"/>
          <w:szCs w:val="24"/>
          <w:lang w:eastAsia="en-US"/>
        </w:rPr>
        <w:t xml:space="preserve"> unchanged over 2019, but lowered the already record-low key policy rate (the repo rate) of 1 % to 0.5 % in March 2020 in view of the economic impact of the pandemic.</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In 2019, the fiscal deficit narrowed to less than half of its 2014-2018 average but fisca</w:t>
      </w:r>
      <w:r>
        <w:rPr>
          <w:rFonts w:ascii="Times New Roman" w:eastAsia="Calibri" w:hAnsi="Times New Roman" w:cs="Times New Roman"/>
          <w:b/>
          <w:noProof/>
          <w:sz w:val="24"/>
          <w:szCs w:val="24"/>
          <w:lang w:eastAsia="en-US"/>
        </w:rPr>
        <w:t>l governance still showed weaknesses and revenue mobilisation remained below potential.</w:t>
      </w:r>
      <w:r>
        <w:rPr>
          <w:rFonts w:ascii="Times New Roman" w:eastAsia="Calibri" w:hAnsi="Times New Roman" w:cs="Times New Roman"/>
          <w:noProof/>
          <w:sz w:val="24"/>
          <w:szCs w:val="24"/>
          <w:lang w:eastAsia="en-US"/>
        </w:rPr>
        <w:t xml:space="preserve"> Lower expenditure and higher revenues helped to lower the cash-based deficit in the last 5 years. Expenditure declined from 31.5 % of GDP in 2014 to 29.2 % of GDP in 20</w:t>
      </w:r>
      <w:r>
        <w:rPr>
          <w:rFonts w:ascii="Times New Roman" w:eastAsia="Calibri" w:hAnsi="Times New Roman" w:cs="Times New Roman"/>
          <w:noProof/>
          <w:sz w:val="24"/>
          <w:szCs w:val="24"/>
          <w:lang w:eastAsia="en-US"/>
        </w:rPr>
        <w:t>19, while revenue increased from 26.2 % of GDP to 27.6 % over the same period, helped by increasing formalisation of the economy and the modernisation of tax collection. The fiscal deficit in 2019 turned out slightly lower than planned mainly due to an und</w:t>
      </w:r>
      <w:r>
        <w:rPr>
          <w:rFonts w:ascii="Times New Roman" w:eastAsia="Calibri" w:hAnsi="Times New Roman" w:cs="Times New Roman"/>
          <w:noProof/>
          <w:sz w:val="24"/>
          <w:szCs w:val="24"/>
          <w:lang w:eastAsia="en-US"/>
        </w:rPr>
        <w:t>erspending of the capital budget</w:t>
      </w:r>
      <w:r>
        <w:rPr>
          <w:rFonts w:ascii="Times New Roman" w:eastAsia="Calibri" w:hAnsi="Times New Roman" w:cs="Times New Roman"/>
          <w:noProof/>
          <w:sz w:val="24"/>
          <w:szCs w:val="24"/>
          <w:vertAlign w:val="superscript"/>
          <w:lang w:eastAsia="en-US"/>
        </w:rPr>
        <w:footnoteReference w:id="10"/>
      </w:r>
      <w:r>
        <w:rPr>
          <w:rFonts w:ascii="Times New Roman" w:eastAsia="Calibri" w:hAnsi="Times New Roman" w:cs="Times New Roman"/>
          <w:noProof/>
          <w:sz w:val="24"/>
          <w:szCs w:val="24"/>
          <w:lang w:eastAsia="en-US"/>
        </w:rPr>
        <w:t xml:space="preserve"> and savings on social insurance outlays. Revenue mobilisation also fell short of plans, because of an increasing number of tax exemptions and slowing reforms. The stock of outstanding payments and in particular of VAT refu</w:t>
      </w:r>
      <w:r>
        <w:rPr>
          <w:rFonts w:ascii="Times New Roman" w:eastAsia="Calibri" w:hAnsi="Times New Roman" w:cs="Times New Roman"/>
          <w:noProof/>
          <w:sz w:val="24"/>
          <w:szCs w:val="24"/>
          <w:lang w:eastAsia="en-US"/>
        </w:rPr>
        <w:t xml:space="preserve">nds in arrears declined moderately but the systemic issues of weak expenditure plans and controls and too optimistic VAT revenue forecasts remained unresolved. </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Additional expenses in response to the earthquake and the pandemic’s impact on both revenue and</w:t>
      </w:r>
      <w:r>
        <w:rPr>
          <w:rFonts w:ascii="Times New Roman" w:eastAsia="Calibri" w:hAnsi="Times New Roman" w:cs="Times New Roman"/>
          <w:b/>
          <w:noProof/>
          <w:sz w:val="24"/>
          <w:szCs w:val="24"/>
          <w:lang w:eastAsia="en-US"/>
        </w:rPr>
        <w:t xml:space="preserve"> expenditure led to an increase of the expected fiscal deficit.</w:t>
      </w:r>
      <w:r>
        <w:rPr>
          <w:rFonts w:ascii="Times New Roman" w:eastAsia="Calibri" w:hAnsi="Times New Roman" w:cs="Times New Roman"/>
          <w:noProof/>
          <w:sz w:val="24"/>
          <w:szCs w:val="24"/>
          <w:lang w:eastAsia="en-US"/>
        </w:rPr>
        <w:t xml:space="preserve"> In response to the earthquake, the government had planned to increase the fiscal deficit to 2.2% of GDP in 2020. In view of the additional expenses related to the COVID-19 pandemic combined wi</w:t>
      </w:r>
      <w:r>
        <w:rPr>
          <w:rFonts w:ascii="Times New Roman" w:eastAsia="Calibri" w:hAnsi="Times New Roman" w:cs="Times New Roman"/>
          <w:noProof/>
          <w:sz w:val="24"/>
          <w:szCs w:val="24"/>
          <w:lang w:eastAsia="en-US"/>
        </w:rPr>
        <w:t xml:space="preserve">th the expected strong fall in revenue and GDP, the budget amendment of April 2020 projected a fiscal deficit of 3.9 % of GDP. In the first seven months of 2020, tax revenue fell by 12.3 % y-o-y. </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Following years of moderate debt reduction,</w:t>
      </w:r>
      <w:r>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drawing>
          <wp:anchor distT="0" distB="0" distL="114300" distR="114300" simplePos="0" relativeHeight="251659776" behindDoc="0" locked="0" layoutInCell="1" allowOverlap="1">
            <wp:simplePos x="0" y="0"/>
            <wp:positionH relativeFrom="margin">
              <wp:align>left</wp:align>
            </wp:positionH>
            <wp:positionV relativeFrom="paragraph">
              <wp:posOffset>468941</wp:posOffset>
            </wp:positionV>
            <wp:extent cx="3240000" cy="190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40000" cy="190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noProof/>
          <w:sz w:val="24"/>
          <w:szCs w:val="24"/>
          <w:lang w:eastAsia="en-US"/>
        </w:rPr>
        <w:t>high deficit f</w:t>
      </w:r>
      <w:r>
        <w:rPr>
          <w:rFonts w:ascii="Times New Roman" w:eastAsia="Calibri" w:hAnsi="Times New Roman" w:cs="Times New Roman"/>
          <w:b/>
          <w:noProof/>
          <w:sz w:val="24"/>
          <w:szCs w:val="24"/>
          <w:lang w:eastAsia="en-US"/>
        </w:rPr>
        <w:t>inancing needs and the fall in GDP will sharply increase the public debt ratio in 2020, possibly to 80% of GDP according to estimates by the authorities</w:t>
      </w:r>
      <w:r>
        <w:rPr>
          <w:rFonts w:ascii="Times New Roman" w:eastAsia="Calibri" w:hAnsi="Times New Roman" w:cs="Times New Roman"/>
          <w:noProof/>
          <w:sz w:val="24"/>
          <w:szCs w:val="24"/>
          <w:lang w:eastAsia="en-US"/>
        </w:rPr>
        <w:t>. Supported by the appreciation of the lek, a lower primary deficit and decreasing interest payments, th</w:t>
      </w:r>
      <w:r>
        <w:rPr>
          <w:rFonts w:ascii="Times New Roman" w:eastAsia="Calibri" w:hAnsi="Times New Roman" w:cs="Times New Roman"/>
          <w:noProof/>
          <w:sz w:val="24"/>
          <w:szCs w:val="24"/>
          <w:lang w:eastAsia="en-US"/>
        </w:rPr>
        <w:t xml:space="preserve">e gross public-debt-to-GDP ratio declined from 67.7 % in 2018 to 66.3 % at the end of 2019, broadly in line with the government’s plans. Between 2014 and 2019, the government reduced the high annual rollover needs from 20.5 % of GDP to 12.5 %, and reduced </w:t>
      </w:r>
      <w:r>
        <w:rPr>
          <w:rFonts w:ascii="Times New Roman" w:eastAsia="Calibri" w:hAnsi="Times New Roman" w:cs="Times New Roman"/>
          <w:noProof/>
          <w:sz w:val="24"/>
          <w:szCs w:val="24"/>
          <w:lang w:eastAsia="en-US"/>
        </w:rPr>
        <w:t xml:space="preserve">the share of external debt. </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Public investment management remained weak, while gaps in the governance of public</w:t>
      </w:r>
      <w:r>
        <w:rPr>
          <w:rFonts w:ascii="Times New Roman" w:eastAsia="Calibri" w:hAnsi="Times New Roman" w:cs="Times New Roman"/>
          <w:b/>
          <w:noProof/>
          <w:sz w:val="24"/>
          <w:szCs w:val="24"/>
          <w:lang w:eastAsia="en-US"/>
        </w:rPr>
        <w:noBreakHyphen/>
        <w:t>private partnerships (PPPs) pose continuing risks to public finances.</w:t>
      </w:r>
      <w:r>
        <w:rPr>
          <w:rFonts w:ascii="Times New Roman" w:eastAsia="Calibri" w:hAnsi="Times New Roman" w:cs="Times New Roman"/>
          <w:noProof/>
          <w:sz w:val="24"/>
          <w:szCs w:val="24"/>
          <w:lang w:eastAsia="en-US"/>
        </w:rPr>
        <w:t xml:space="preserve"> Between 2014 and 2018, public investment increased from 5.2% to 5.7% of GD</w:t>
      </w:r>
      <w:r>
        <w:rPr>
          <w:rFonts w:ascii="Times New Roman" w:eastAsia="Calibri" w:hAnsi="Times New Roman" w:cs="Times New Roman"/>
          <w:noProof/>
          <w:sz w:val="24"/>
          <w:szCs w:val="24"/>
          <w:lang w:eastAsia="en-US"/>
        </w:rPr>
        <w:t>P, but declined to 5% in 2019. Public investment efficiency remained low, because the large number of PPPs is not integrated into the overall investment management framework and their exemption from regular public procurement rules in some sectors fails to</w:t>
      </w:r>
      <w:r>
        <w:rPr>
          <w:rFonts w:ascii="Times New Roman" w:eastAsia="Calibri" w:hAnsi="Times New Roman" w:cs="Times New Roman"/>
          <w:noProof/>
          <w:sz w:val="24"/>
          <w:szCs w:val="24"/>
          <w:lang w:eastAsia="en-US"/>
        </w:rPr>
        <w:t xml:space="preserve"> secure appropriate value for money. In accordance with the amendment of the PPP Law in October 2019, the Ministry of Finance and Economy (MOFE) has begun to report on the fiscal implications of PPPs</w:t>
      </w:r>
      <w:r>
        <w:rPr>
          <w:rFonts w:ascii="Times New Roman" w:eastAsia="Calibri" w:hAnsi="Times New Roman" w:cs="Times New Roman"/>
          <w:noProof/>
          <w:sz w:val="24"/>
          <w:szCs w:val="24"/>
          <w:vertAlign w:val="superscript"/>
          <w:lang w:eastAsia="en-US"/>
        </w:rPr>
        <w:footnoteReference w:id="11"/>
      </w:r>
      <w:r>
        <w:rPr>
          <w:rFonts w:ascii="Times New Roman" w:eastAsia="Calibri" w:hAnsi="Times New Roman" w:cs="Times New Roman"/>
          <w:noProof/>
          <w:sz w:val="24"/>
          <w:szCs w:val="24"/>
          <w:lang w:eastAsia="en-US"/>
        </w:rPr>
        <w:t>, but a full fiscal risk assessment might require additi</w:t>
      </w:r>
      <w:r>
        <w:rPr>
          <w:rFonts w:ascii="Times New Roman" w:eastAsia="Calibri" w:hAnsi="Times New Roman" w:cs="Times New Roman"/>
          <w:noProof/>
          <w:sz w:val="24"/>
          <w:szCs w:val="24"/>
          <w:lang w:eastAsia="en-US"/>
        </w:rPr>
        <w:t>onal institutional capacity.</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In an increasingly difficult environment, the macroeconomic policy mix has been broadly appropriate but the high debt burden limits fiscal space.</w:t>
      </w:r>
      <w:r>
        <w:rPr>
          <w:rFonts w:ascii="Times New Roman" w:eastAsia="Calibri" w:hAnsi="Times New Roman" w:cs="Times New Roman"/>
          <w:noProof/>
          <w:sz w:val="24"/>
          <w:szCs w:val="24"/>
          <w:lang w:eastAsia="en-US"/>
        </w:rPr>
        <w:t xml:space="preserve"> In 2019, Albania has complied with the main fiscal rule, i.e. to ensure that the </w:t>
      </w:r>
      <w:r>
        <w:rPr>
          <w:rFonts w:ascii="Times New Roman" w:eastAsia="Calibri" w:hAnsi="Times New Roman" w:cs="Times New Roman"/>
          <w:noProof/>
          <w:sz w:val="24"/>
          <w:szCs w:val="24"/>
          <w:lang w:eastAsia="en-US"/>
        </w:rPr>
        <w:t>reduction of the public</w:t>
      </w:r>
      <w:r>
        <w:rPr>
          <w:rFonts w:ascii="Times New Roman" w:eastAsia="Calibri" w:hAnsi="Times New Roman" w:cs="Times New Roman"/>
          <w:noProof/>
          <w:sz w:val="24"/>
          <w:szCs w:val="24"/>
          <w:lang w:eastAsia="en-US"/>
        </w:rPr>
        <w:noBreakHyphen/>
        <w:t>debt</w:t>
      </w:r>
      <w:r>
        <w:rPr>
          <w:rFonts w:ascii="Times New Roman" w:eastAsia="Calibri" w:hAnsi="Times New Roman" w:cs="Times New Roman"/>
          <w:noProof/>
          <w:sz w:val="24"/>
          <w:szCs w:val="24"/>
          <w:lang w:eastAsia="en-US"/>
        </w:rPr>
        <w:noBreakHyphen/>
        <w:t>to</w:t>
      </w:r>
      <w:r>
        <w:rPr>
          <w:rFonts w:ascii="Times New Roman" w:eastAsia="Calibri" w:hAnsi="Times New Roman" w:cs="Times New Roman"/>
          <w:noProof/>
          <w:sz w:val="24"/>
          <w:szCs w:val="24"/>
          <w:lang w:eastAsia="en-US"/>
        </w:rPr>
        <w:noBreakHyphen/>
        <w:t xml:space="preserve">GDP ratio continues (until it reaches 45 %). However, the lack of operational rules and intermediate targets on the pace of debt reduction or on the fiscal deficit remains a major weakness of the fiscal rules. The high debt </w:t>
      </w:r>
      <w:r>
        <w:rPr>
          <w:rFonts w:ascii="Times New Roman" w:eastAsia="Calibri" w:hAnsi="Times New Roman" w:cs="Times New Roman"/>
          <w:noProof/>
          <w:sz w:val="24"/>
          <w:szCs w:val="24"/>
          <w:lang w:eastAsia="en-US"/>
        </w:rPr>
        <w:t>burden limits fiscal space to cope with shocks and finance long-term infrastructure development. The BoA’s loose monetary policy stance has been appropriate in view of the persistently below-target inflation rate. Considering the limited fiscal and monetar</w:t>
      </w:r>
      <w:r>
        <w:rPr>
          <w:rFonts w:ascii="Times New Roman" w:eastAsia="Calibri" w:hAnsi="Times New Roman" w:cs="Times New Roman"/>
          <w:noProof/>
          <w:sz w:val="24"/>
          <w:szCs w:val="24"/>
          <w:lang w:eastAsia="en-US"/>
        </w:rPr>
        <w:t xml:space="preserve">y policy space, the policy mix in response to the pandemic has so far been appropriate and supportive to economic stability. </w:t>
      </w:r>
    </w:p>
    <w:p w:rsidR="00EE1719" w:rsidRDefault="000E39BA">
      <w:pPr>
        <w:spacing w:after="120" w:line="240" w:lineRule="auto"/>
        <w:jc w:val="both"/>
        <w:rPr>
          <w:rFonts w:ascii="Times New Roman" w:eastAsia="Calibri" w:hAnsi="Times New Roman" w:cs="Times New Roman"/>
          <w:b/>
          <w:noProof/>
          <w:sz w:val="24"/>
          <w:szCs w:val="24"/>
          <w:u w:val="single"/>
          <w:lang w:eastAsia="en-US"/>
        </w:rPr>
      </w:pPr>
      <w:r>
        <w:rPr>
          <w:rFonts w:ascii="Times New Roman" w:eastAsia="Calibri" w:hAnsi="Times New Roman" w:cs="Times New Roman"/>
          <w:noProof/>
          <w:sz w:val="24"/>
          <w:szCs w:val="24"/>
          <w:u w:val="single"/>
          <w:lang w:eastAsia="en-US"/>
        </w:rPr>
        <w:t>Functioning of product markets</w:t>
      </w:r>
    </w:p>
    <w:p w:rsidR="00EE1719" w:rsidRDefault="000E39BA">
      <w:pPr>
        <w:spacing w:after="120" w:line="240" w:lineRule="auto"/>
        <w:jc w:val="both"/>
        <w:rPr>
          <w:rFonts w:ascii="Times New Roman" w:eastAsia="Calibri" w:hAnsi="Times New Roman" w:cs="Times New Roman"/>
          <w:i/>
          <w:noProof/>
          <w:sz w:val="24"/>
          <w:szCs w:val="24"/>
          <w:lang w:eastAsia="en-US"/>
        </w:rPr>
      </w:pPr>
      <w:r>
        <w:rPr>
          <w:rFonts w:ascii="Times New Roman" w:eastAsia="Calibri" w:hAnsi="Times New Roman" w:cs="Times New Roman"/>
          <w:i/>
          <w:noProof/>
          <w:sz w:val="24"/>
          <w:szCs w:val="24"/>
          <w:lang w:eastAsia="en-US"/>
        </w:rPr>
        <w:t xml:space="preserve">Business environment </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 xml:space="preserve">Moderate efforts to improve the business environment have yet to yield tangible results. </w:t>
      </w:r>
      <w:r>
        <w:rPr>
          <w:rFonts w:ascii="Times New Roman" w:eastAsia="Calibri" w:hAnsi="Times New Roman" w:cs="Times New Roman"/>
          <w:noProof/>
          <w:sz w:val="24"/>
          <w:szCs w:val="24"/>
          <w:lang w:eastAsia="en-US"/>
        </w:rPr>
        <w:t>The overall number of active domestic enterprises hardly increased in 2018 and new registrations of enterprises were 18.6% fewer than in 2017, despite the introduction</w:t>
      </w:r>
      <w:r>
        <w:rPr>
          <w:rFonts w:ascii="Times New Roman" w:eastAsia="Calibri" w:hAnsi="Times New Roman" w:cs="Times New Roman"/>
          <w:noProof/>
          <w:sz w:val="24"/>
          <w:szCs w:val="24"/>
          <w:lang w:eastAsia="en-US"/>
        </w:rPr>
        <w:t xml:space="preserve"> of e</w:t>
      </w:r>
      <w:r>
        <w:rPr>
          <w:rFonts w:ascii="Times New Roman" w:eastAsia="Calibri" w:hAnsi="Times New Roman" w:cs="Times New Roman"/>
          <w:noProof/>
          <w:sz w:val="24"/>
          <w:szCs w:val="24"/>
          <w:lang w:eastAsia="en-US"/>
        </w:rPr>
        <w:noBreakHyphen/>
        <w:t>services for registering businesses. The delivery of public services and the administrative burden on business continued to improve with the expansion of e-services in 2019, but it took longer to receive tax refunds. Implementation of the business in</w:t>
      </w:r>
      <w:r>
        <w:rPr>
          <w:rFonts w:ascii="Times New Roman" w:eastAsia="Calibri" w:hAnsi="Times New Roman" w:cs="Times New Roman"/>
          <w:noProof/>
          <w:sz w:val="24"/>
          <w:szCs w:val="24"/>
          <w:lang w:eastAsia="en-US"/>
        </w:rPr>
        <w:t>vestment development strategy progressed only slowly and most business surveys indicate that reforms have slowed down in the past 2-3 years. Businesses highlighted problems</w:t>
      </w:r>
      <w:r>
        <w:rPr>
          <w:rFonts w:ascii="Times New Roman" w:eastAsia="Calibri" w:hAnsi="Times New Roman" w:cs="Times New Roman"/>
          <w:noProof/>
          <w:sz w:val="24"/>
          <w:szCs w:val="24"/>
          <w:vertAlign w:val="superscript"/>
          <w:lang w:eastAsia="en-US"/>
        </w:rPr>
        <w:footnoteReference w:id="12"/>
      </w:r>
      <w:r>
        <w:rPr>
          <w:rFonts w:ascii="Times New Roman" w:eastAsia="Calibri" w:hAnsi="Times New Roman" w:cs="Times New Roman"/>
          <w:noProof/>
          <w:sz w:val="24"/>
          <w:szCs w:val="24"/>
          <w:lang w:eastAsia="en-US"/>
        </w:rPr>
        <w:t xml:space="preserve"> in finding skilled staff and still considered corruption and informality (despite </w:t>
      </w:r>
      <w:r>
        <w:rPr>
          <w:rFonts w:ascii="Times New Roman" w:eastAsia="Calibri" w:hAnsi="Times New Roman" w:cs="Times New Roman"/>
          <w:noProof/>
          <w:sz w:val="24"/>
          <w:szCs w:val="24"/>
          <w:lang w:eastAsia="en-US"/>
        </w:rPr>
        <w:t xml:space="preserve">its perceived decline) to be widespread. Other major concerns raised by the business community include a failure to implement legislation effectively, </w:t>
      </w:r>
      <w:r>
        <w:rPr>
          <w:rFonts w:ascii="Times New Roman" w:eastAsia="Calibri" w:hAnsi="Times New Roman" w:cs="Times New Roman"/>
          <w:i/>
          <w:noProof/>
          <w:sz w:val="24"/>
          <w:szCs w:val="24"/>
          <w:lang w:eastAsia="en-US"/>
        </w:rPr>
        <w:t>ad hoc</w:t>
      </w:r>
      <w:r>
        <w:rPr>
          <w:rFonts w:ascii="Times New Roman" w:eastAsia="Calibri" w:hAnsi="Times New Roman" w:cs="Times New Roman"/>
          <w:noProof/>
          <w:sz w:val="24"/>
          <w:szCs w:val="24"/>
          <w:lang w:eastAsia="en-US"/>
        </w:rPr>
        <w:t xml:space="preserve"> regulatory and taxation changes, and the controversial use of public procurement procedures.</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The f</w:t>
      </w:r>
      <w:r>
        <w:rPr>
          <w:rFonts w:ascii="Times New Roman" w:eastAsia="Calibri" w:hAnsi="Times New Roman" w:cs="Times New Roman"/>
          <w:b/>
          <w:noProof/>
          <w:sz w:val="24"/>
          <w:szCs w:val="24"/>
          <w:lang w:eastAsia="en-US"/>
        </w:rPr>
        <w:t xml:space="preserve">ar-reaching overhaul of the justice system progressed well, but is still to translate into improved legal security for business. </w:t>
      </w:r>
      <w:r>
        <w:rPr>
          <w:rFonts w:ascii="Times New Roman" w:eastAsia="Calibri" w:hAnsi="Times New Roman" w:cs="Times New Roman"/>
          <w:noProof/>
          <w:sz w:val="24"/>
          <w:szCs w:val="24"/>
          <w:lang w:eastAsia="en-US"/>
        </w:rPr>
        <w:t>In addition to</w:t>
      </w:r>
      <w:r>
        <w:rPr>
          <w:rFonts w:ascii="Times New Roman" w:eastAsia="Calibri" w:hAnsi="Times New Roman" w:cs="Times New Roman"/>
          <w:b/>
          <w:bCs/>
          <w:noProof/>
          <w:sz w:val="24"/>
          <w:szCs w:val="24"/>
          <w:lang w:eastAsia="en-US"/>
        </w:rPr>
        <w:t xml:space="preserve"> </w:t>
      </w:r>
      <w:r>
        <w:rPr>
          <w:rFonts w:ascii="Times New Roman" w:eastAsia="Calibri" w:hAnsi="Times New Roman" w:cs="Times New Roman"/>
          <w:noProof/>
          <w:sz w:val="24"/>
          <w:szCs w:val="24"/>
          <w:lang w:eastAsia="en-US"/>
        </w:rPr>
        <w:t>informality, weak contract enforcement continued to pose major challenges for businesses. The controversy over t</w:t>
      </w:r>
      <w:r>
        <w:rPr>
          <w:rFonts w:ascii="Times New Roman" w:eastAsia="Calibri" w:hAnsi="Times New Roman" w:cs="Times New Roman"/>
          <w:noProof/>
          <w:sz w:val="24"/>
          <w:szCs w:val="24"/>
          <w:lang w:eastAsia="en-US"/>
        </w:rPr>
        <w:t xml:space="preserve">he regulation of private bailiff services, which are key for smooth collateral execution, was brought to the High Court, which is expected to take a decision on the matter. Efficiency of in-court dispute resolution is affected by issues such as the length </w:t>
      </w:r>
      <w:r>
        <w:rPr>
          <w:rFonts w:ascii="Times New Roman" w:eastAsia="Calibri" w:hAnsi="Times New Roman" w:cs="Times New Roman"/>
          <w:noProof/>
          <w:sz w:val="24"/>
          <w:szCs w:val="24"/>
          <w:lang w:eastAsia="en-US"/>
        </w:rPr>
        <w:t xml:space="preserve">of proceedings, the clearance rate and the backlog of cases and the impact of </w:t>
      </w:r>
      <w:r>
        <w:rPr>
          <w:rFonts w:ascii="Times New Roman" w:eastAsia="Calibri" w:hAnsi="Times New Roman" w:cs="Times New Roman"/>
          <w:bCs/>
          <w:noProof/>
          <w:sz w:val="24"/>
          <w:szCs w:val="24"/>
          <w:lang w:eastAsia="en-US"/>
        </w:rPr>
        <w:t>alternative dispute resolution</w:t>
      </w:r>
      <w:r>
        <w:rPr>
          <w:rFonts w:ascii="Times New Roman" w:eastAsia="Calibri" w:hAnsi="Times New Roman" w:cs="Times New Roman"/>
          <w:noProof/>
          <w:sz w:val="24"/>
          <w:szCs w:val="24"/>
          <w:lang w:eastAsia="en-US"/>
        </w:rPr>
        <w:t xml:space="preserve"> continues to be low. Delays in the courts persist, while the vetting of judges continues and the courts face staff shortages. The implementing legi</w:t>
      </w:r>
      <w:r>
        <w:rPr>
          <w:rFonts w:ascii="Times New Roman" w:eastAsia="Calibri" w:hAnsi="Times New Roman" w:cs="Times New Roman"/>
          <w:noProof/>
          <w:sz w:val="24"/>
          <w:szCs w:val="24"/>
          <w:lang w:eastAsia="en-US"/>
        </w:rPr>
        <w:t>slation for the Bankruptcy Law is still not complete, but the National Bankruptcy Agency has begun to process applications for bankruptcy. Consultations progressed on the draft Unified Law on investment, which will align Albanian legislation with internati</w:t>
      </w:r>
      <w:r>
        <w:rPr>
          <w:rFonts w:ascii="Times New Roman" w:eastAsia="Calibri" w:hAnsi="Times New Roman" w:cs="Times New Roman"/>
          <w:noProof/>
          <w:sz w:val="24"/>
          <w:szCs w:val="24"/>
          <w:lang w:eastAsia="en-US"/>
        </w:rPr>
        <w:t>onal standards and improve legal certainty for both foreign and domestic investors. Despite recent institutional changes in the state cadastre, only limited progress has been made in clearing ownership conflicts over land titles.</w:t>
      </w:r>
    </w:p>
    <w:p w:rsidR="00EE1719" w:rsidRDefault="000E39BA">
      <w:pPr>
        <w:spacing w:after="120" w:line="240" w:lineRule="auto"/>
        <w:jc w:val="both"/>
        <w:rPr>
          <w:rFonts w:ascii="Times New Roman" w:eastAsia="Calibri" w:hAnsi="Times New Roman" w:cs="Times New Roman"/>
          <w:i/>
          <w:noProof/>
          <w:sz w:val="24"/>
          <w:szCs w:val="24"/>
          <w:lang w:eastAsia="en-US"/>
        </w:rPr>
      </w:pPr>
      <w:r>
        <w:rPr>
          <w:rFonts w:ascii="Times New Roman" w:eastAsia="Calibri" w:hAnsi="Times New Roman" w:cs="Times New Roman"/>
          <w:i/>
          <w:noProof/>
          <w:sz w:val="24"/>
          <w:szCs w:val="24"/>
          <w:lang w:eastAsia="en-US"/>
        </w:rPr>
        <w:t>State influence on product</w:t>
      </w:r>
      <w:r>
        <w:rPr>
          <w:rFonts w:ascii="Times New Roman" w:eastAsia="Calibri" w:hAnsi="Times New Roman" w:cs="Times New Roman"/>
          <w:i/>
          <w:noProof/>
          <w:sz w:val="24"/>
          <w:szCs w:val="24"/>
          <w:lang w:eastAsia="en-US"/>
        </w:rPr>
        <w:t xml:space="preserve"> markets</w:t>
      </w:r>
    </w:p>
    <w:p w:rsidR="00EE1719" w:rsidRDefault="000E39BA">
      <w:pPr>
        <w:spacing w:after="120" w:line="240" w:lineRule="auto"/>
        <w:jc w:val="both"/>
        <w:rPr>
          <w:rFonts w:ascii="Times New Roman" w:eastAsia="Calibri" w:hAnsi="Times New Roman" w:cs="Times New Roman"/>
          <w:i/>
          <w:noProof/>
          <w:sz w:val="24"/>
          <w:szCs w:val="24"/>
          <w:lang w:eastAsia="en-US"/>
        </w:rPr>
      </w:pPr>
      <w:r>
        <w:rPr>
          <w:rFonts w:ascii="Times New Roman" w:eastAsia="Calibri" w:hAnsi="Times New Roman" w:cs="Times New Roman"/>
          <w:b/>
          <w:noProof/>
          <w:sz w:val="24"/>
          <w:szCs w:val="24"/>
          <w:lang w:eastAsia="en-US"/>
        </w:rPr>
        <w:t xml:space="preserve">State involvement in the economy is generally low, with the exception of certain markets where the growing potential for state influence could weaken fair competition. </w:t>
      </w:r>
      <w:r>
        <w:rPr>
          <w:rFonts w:ascii="Times New Roman" w:eastAsia="Calibri" w:hAnsi="Times New Roman" w:cs="Times New Roman"/>
          <w:noProof/>
          <w:sz w:val="24"/>
          <w:szCs w:val="24"/>
          <w:lang w:eastAsia="en-US"/>
        </w:rPr>
        <w:t>The government has increasingly engaged in PPPs, which were involved in 222 pro</w:t>
      </w:r>
      <w:r>
        <w:rPr>
          <w:rFonts w:ascii="Times New Roman" w:eastAsia="Calibri" w:hAnsi="Times New Roman" w:cs="Times New Roman"/>
          <w:noProof/>
          <w:sz w:val="24"/>
          <w:szCs w:val="24"/>
          <w:lang w:eastAsia="en-US"/>
        </w:rPr>
        <w:t>jects in 2019</w:t>
      </w:r>
      <w:r>
        <w:rPr>
          <w:rFonts w:ascii="Times New Roman" w:eastAsia="Calibri" w:hAnsi="Times New Roman" w:cs="Times New Roman"/>
          <w:noProof/>
          <w:sz w:val="24"/>
          <w:szCs w:val="24"/>
          <w:vertAlign w:val="superscript"/>
          <w:lang w:eastAsia="en-US"/>
        </w:rPr>
        <w:footnoteReference w:id="13"/>
      </w:r>
      <w:r>
        <w:rPr>
          <w:rFonts w:ascii="Times New Roman" w:eastAsia="Calibri" w:hAnsi="Times New Roman" w:cs="Times New Roman"/>
          <w:noProof/>
          <w:sz w:val="24"/>
          <w:szCs w:val="24"/>
          <w:lang w:eastAsia="en-US"/>
        </w:rPr>
        <w:t xml:space="preserve"> for a total contracted investment value of about 31% of GDP, mostly in energy (48%) and transport (38%). These contracts typically include price or volume agreements for investments, services and goods, for which government payments reached </w:t>
      </w:r>
      <w:r>
        <w:rPr>
          <w:rFonts w:ascii="Times New Roman" w:eastAsia="Calibri" w:hAnsi="Times New Roman" w:cs="Times New Roman"/>
          <w:noProof/>
          <w:sz w:val="24"/>
          <w:szCs w:val="24"/>
          <w:lang w:eastAsia="en-US"/>
        </w:rPr>
        <w:t>3% of the previous year’s tax revenue in 2019 (5% is the legal limit). Albania adopted the legislation for establishing an Albanian Investment Corporation, with vague governance and oversight arrangements, which is supposed to be partly owned and funded by</w:t>
      </w:r>
      <w:r>
        <w:rPr>
          <w:rFonts w:ascii="Times New Roman" w:eastAsia="Calibri" w:hAnsi="Times New Roman" w:cs="Times New Roman"/>
          <w:noProof/>
          <w:sz w:val="24"/>
          <w:szCs w:val="24"/>
          <w:lang w:eastAsia="en-US"/>
        </w:rPr>
        <w:t xml:space="preserve"> the state and to develop investment projects of public interest, in particular by making state-owned property available to private investors. The unclear delineation between public and private use and ownership of assets in such projects, the large number</w:t>
      </w:r>
      <w:r>
        <w:rPr>
          <w:rFonts w:ascii="Times New Roman" w:eastAsia="Calibri" w:hAnsi="Times New Roman" w:cs="Times New Roman"/>
          <w:noProof/>
          <w:sz w:val="24"/>
          <w:szCs w:val="24"/>
          <w:lang w:eastAsia="en-US"/>
        </w:rPr>
        <w:t xml:space="preserve"> of PPPs and the continued partial exemption from regular public procurement rules of PPPs in the energy sector, as well as airports and ports, is likely to restrict fair competition in the respective markets.</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Albania reported very low levels of state aid,</w:t>
      </w:r>
      <w:r>
        <w:rPr>
          <w:rFonts w:ascii="Times New Roman" w:eastAsia="Calibri" w:hAnsi="Times New Roman" w:cs="Times New Roman"/>
          <w:b/>
          <w:noProof/>
          <w:sz w:val="24"/>
          <w:szCs w:val="24"/>
          <w:lang w:eastAsia="en-US"/>
        </w:rPr>
        <w:t xml:space="preserve"> but the incomplete recording of support and implicit subsidies make it difficult to evaluate their effects on competition.</w:t>
      </w:r>
      <w:r>
        <w:rPr>
          <w:rFonts w:ascii="Times New Roman" w:eastAsia="Calibri" w:hAnsi="Times New Roman" w:cs="Times New Roman"/>
          <w:noProof/>
          <w:sz w:val="24"/>
          <w:szCs w:val="24"/>
          <w:lang w:eastAsia="en-US"/>
        </w:rPr>
        <w:t xml:space="preserve"> According to the State Aid Commission (SAC)</w:t>
      </w:r>
      <w:r>
        <w:rPr>
          <w:rFonts w:ascii="Times New Roman" w:eastAsia="Calibri" w:hAnsi="Times New Roman" w:cs="Times New Roman"/>
          <w:noProof/>
          <w:sz w:val="24"/>
          <w:szCs w:val="24"/>
          <w:vertAlign w:val="superscript"/>
          <w:lang w:eastAsia="en-US"/>
        </w:rPr>
        <w:footnoteReference w:id="14"/>
      </w:r>
      <w:r>
        <w:rPr>
          <w:rFonts w:ascii="Times New Roman" w:eastAsia="Calibri" w:hAnsi="Times New Roman" w:cs="Times New Roman"/>
          <w:noProof/>
          <w:sz w:val="24"/>
          <w:szCs w:val="24"/>
          <w:lang w:eastAsia="en-US"/>
        </w:rPr>
        <w:t>, State aid rose to 0.22% of GDP in 2018, from 0.14% a year before, with the majority sp</w:t>
      </w:r>
      <w:r>
        <w:rPr>
          <w:rFonts w:ascii="Times New Roman" w:eastAsia="Calibri" w:hAnsi="Times New Roman" w:cs="Times New Roman"/>
          <w:noProof/>
          <w:sz w:val="24"/>
          <w:szCs w:val="24"/>
          <w:lang w:eastAsia="en-US"/>
        </w:rPr>
        <w:t>ent on tax reductions and 0.1% of GDP on subsidies for railway and water-supply companies. In addition to the reported State aid, state-owned enterprises (SOEs), mostly in the electricity sector, benefited from public guarantees amounting to 3.3% of GDP an</w:t>
      </w:r>
      <w:r>
        <w:rPr>
          <w:rFonts w:ascii="Times New Roman" w:eastAsia="Calibri" w:hAnsi="Times New Roman" w:cs="Times New Roman"/>
          <w:noProof/>
          <w:sz w:val="24"/>
          <w:szCs w:val="24"/>
          <w:lang w:eastAsia="en-US"/>
        </w:rPr>
        <w:t>d from direct budget support, and the MOFE reported tax expenditure of 5.6% of GDP for 2018 in its first report on tax expenditure</w:t>
      </w:r>
      <w:r>
        <w:rPr>
          <w:rFonts w:ascii="Times New Roman" w:eastAsia="Calibri" w:hAnsi="Times New Roman" w:cs="Times New Roman"/>
          <w:noProof/>
          <w:sz w:val="24"/>
          <w:szCs w:val="24"/>
          <w:vertAlign w:val="superscript"/>
          <w:lang w:eastAsia="en-US"/>
        </w:rPr>
        <w:footnoteReference w:id="15"/>
      </w:r>
      <w:r>
        <w:rPr>
          <w:rFonts w:ascii="Times New Roman" w:eastAsia="Calibri" w:hAnsi="Times New Roman" w:cs="Times New Roman"/>
          <w:noProof/>
          <w:sz w:val="24"/>
          <w:szCs w:val="24"/>
          <w:lang w:eastAsia="en-US"/>
        </w:rPr>
        <w:t>. The under-reporting of state aid by SAC reflects its lack of capacity to monitor state aid appropriately.</w:t>
      </w:r>
    </w:p>
    <w:p w:rsidR="00EE1719" w:rsidRDefault="000E39BA">
      <w:pPr>
        <w:spacing w:after="120" w:line="240" w:lineRule="auto"/>
        <w:jc w:val="both"/>
        <w:rPr>
          <w:rFonts w:ascii="Times New Roman" w:eastAsia="Calibri" w:hAnsi="Times New Roman" w:cs="Times New Roman"/>
          <w:i/>
          <w:noProof/>
          <w:sz w:val="24"/>
          <w:szCs w:val="24"/>
          <w:lang w:eastAsia="en-US"/>
        </w:rPr>
      </w:pPr>
      <w:r>
        <w:rPr>
          <w:rFonts w:ascii="Times New Roman" w:eastAsia="Calibri" w:hAnsi="Times New Roman" w:cs="Times New Roman"/>
          <w:i/>
          <w:noProof/>
          <w:sz w:val="24"/>
          <w:szCs w:val="24"/>
          <w:lang w:eastAsia="en-US"/>
        </w:rPr>
        <w:t>Privatisation and</w:t>
      </w:r>
      <w:r>
        <w:rPr>
          <w:rFonts w:ascii="Times New Roman" w:eastAsia="Calibri" w:hAnsi="Times New Roman" w:cs="Times New Roman"/>
          <w:i/>
          <w:noProof/>
          <w:sz w:val="24"/>
          <w:szCs w:val="24"/>
          <w:lang w:eastAsia="en-US"/>
        </w:rPr>
        <w:t xml:space="preserve"> restructuring</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 xml:space="preserve">State-owned enterprises (SOEs) lack transparency and effective oversight, and rely on state funding; liberalisation of the energy market progresses with delays. </w:t>
      </w:r>
      <w:r>
        <w:rPr>
          <w:rFonts w:ascii="Times New Roman" w:eastAsia="Calibri" w:hAnsi="Times New Roman" w:cs="Times New Roman"/>
          <w:noProof/>
          <w:sz w:val="24"/>
          <w:szCs w:val="24"/>
          <w:lang w:eastAsia="en-US"/>
        </w:rPr>
        <w:t>Enterprises in public ownership are concentrated in the energy sector, but the i</w:t>
      </w:r>
      <w:r>
        <w:rPr>
          <w:rFonts w:ascii="Times New Roman" w:eastAsia="Calibri" w:hAnsi="Times New Roman" w:cs="Times New Roman"/>
          <w:noProof/>
          <w:sz w:val="24"/>
          <w:szCs w:val="24"/>
          <w:lang w:eastAsia="en-US"/>
        </w:rPr>
        <w:t>nventory of state-owned assets and companies seems to be incomplete. Using ESA 2010 methodology, the Institute of Statistics identified</w:t>
      </w:r>
      <w:r>
        <w:rPr>
          <w:rFonts w:ascii="Times New Roman" w:eastAsia="Calibri" w:hAnsi="Times New Roman" w:cs="Times New Roman"/>
          <w:bCs/>
          <w:noProof/>
          <w:sz w:val="24"/>
          <w:szCs w:val="24"/>
          <w:lang w:eastAsia="en-US"/>
        </w:rPr>
        <w:t xml:space="preserve"> about</w:t>
      </w:r>
      <w:r>
        <w:rPr>
          <w:rFonts w:ascii="Times New Roman" w:eastAsia="Calibri" w:hAnsi="Times New Roman" w:cs="Times New Roman"/>
          <w:noProof/>
          <w:sz w:val="24"/>
          <w:szCs w:val="24"/>
          <w:lang w:eastAsia="en-US"/>
        </w:rPr>
        <w:t xml:space="preserve"> 17 non-financial public corporations</w:t>
      </w:r>
      <w:r>
        <w:rPr>
          <w:rFonts w:ascii="Times New Roman" w:eastAsia="Calibri" w:hAnsi="Times New Roman" w:cs="Times New Roman"/>
          <w:noProof/>
          <w:sz w:val="24"/>
          <w:szCs w:val="24"/>
          <w:vertAlign w:val="superscript"/>
          <w:lang w:eastAsia="en-US"/>
        </w:rPr>
        <w:footnoteReference w:id="16"/>
      </w:r>
      <w:r>
        <w:rPr>
          <w:rFonts w:ascii="Times New Roman" w:eastAsia="Calibri" w:hAnsi="Times New Roman" w:cs="Times New Roman"/>
          <w:noProof/>
          <w:sz w:val="24"/>
          <w:szCs w:val="24"/>
          <w:lang w:eastAsia="en-US"/>
        </w:rPr>
        <w:t>, not including about 53 joint stock companies with state ownership in the en</w:t>
      </w:r>
      <w:r>
        <w:rPr>
          <w:rFonts w:ascii="Times New Roman" w:eastAsia="Calibri" w:hAnsi="Times New Roman" w:cs="Times New Roman"/>
          <w:noProof/>
          <w:sz w:val="24"/>
          <w:szCs w:val="24"/>
          <w:lang w:eastAsia="en-US"/>
        </w:rPr>
        <w:t>ergy and infrastructure sectors and about 57 municipal water</w:t>
      </w:r>
      <w:r>
        <w:rPr>
          <w:rFonts w:ascii="Times New Roman" w:eastAsia="Calibri" w:hAnsi="Times New Roman" w:cs="Times New Roman"/>
          <w:noProof/>
          <w:sz w:val="24"/>
          <w:szCs w:val="24"/>
          <w:lang w:eastAsia="en-US"/>
        </w:rPr>
        <w:noBreakHyphen/>
        <w:t>supply and sewerage companies. The SOEs rely on the budget and pose significant fiscal risks, exacerbated by the lack of oversight of their financial performance, with potential liabilities estim</w:t>
      </w:r>
      <w:r>
        <w:rPr>
          <w:rFonts w:ascii="Times New Roman" w:eastAsia="Calibri" w:hAnsi="Times New Roman" w:cs="Times New Roman"/>
          <w:noProof/>
          <w:sz w:val="24"/>
          <w:szCs w:val="24"/>
          <w:lang w:eastAsia="en-US"/>
        </w:rPr>
        <w:t>ated by the IMF at about 18% of GDP in 2018</w:t>
      </w:r>
      <w:r>
        <w:rPr>
          <w:rFonts w:ascii="Times New Roman" w:eastAsia="Calibri" w:hAnsi="Times New Roman" w:cs="Times New Roman"/>
          <w:noProof/>
          <w:sz w:val="24"/>
          <w:szCs w:val="24"/>
          <w:vertAlign w:val="superscript"/>
          <w:lang w:eastAsia="en-US"/>
        </w:rPr>
        <w:footnoteReference w:id="17"/>
      </w:r>
      <w:r>
        <w:rPr>
          <w:rFonts w:ascii="Times New Roman" w:eastAsia="Calibri" w:hAnsi="Times New Roman" w:cs="Times New Roman"/>
          <w:noProof/>
          <w:sz w:val="24"/>
          <w:szCs w:val="24"/>
          <w:lang w:eastAsia="en-US"/>
        </w:rPr>
        <w:t xml:space="preserve">. </w:t>
      </w:r>
    </w:p>
    <w:p w:rsidR="00EE1719" w:rsidRDefault="000E39BA">
      <w:pPr>
        <w:spacing w:after="120" w:line="240" w:lineRule="auto"/>
        <w:jc w:val="both"/>
        <w:rPr>
          <w:rFonts w:ascii="Times New Roman" w:eastAsia="Calibri" w:hAnsi="Times New Roman" w:cs="Times New Roman"/>
          <w:noProof/>
          <w:sz w:val="24"/>
          <w:szCs w:val="24"/>
          <w:u w:val="single"/>
          <w:lang w:eastAsia="en-US"/>
        </w:rPr>
      </w:pPr>
      <w:r>
        <w:rPr>
          <w:rFonts w:ascii="Times New Roman" w:eastAsia="Calibri" w:hAnsi="Times New Roman" w:cs="Times New Roman"/>
          <w:noProof/>
          <w:sz w:val="24"/>
          <w:szCs w:val="24"/>
          <w:u w:val="single"/>
          <w:lang w:eastAsia="en-US"/>
        </w:rPr>
        <w:t>Functioning of the financial market</w:t>
      </w:r>
    </w:p>
    <w:p w:rsidR="00EE1719" w:rsidRDefault="000E39BA">
      <w:pPr>
        <w:spacing w:after="120" w:line="240" w:lineRule="auto"/>
        <w:jc w:val="both"/>
        <w:rPr>
          <w:rFonts w:ascii="Times New Roman" w:eastAsia="Calibri" w:hAnsi="Times New Roman" w:cs="Times New Roman"/>
          <w:i/>
          <w:noProof/>
          <w:sz w:val="24"/>
          <w:szCs w:val="24"/>
          <w:lang w:eastAsia="en-US"/>
        </w:rPr>
      </w:pPr>
      <w:r>
        <w:rPr>
          <w:rFonts w:ascii="Times New Roman" w:eastAsia="Calibri" w:hAnsi="Times New Roman" w:cs="Times New Roman"/>
          <w:i/>
          <w:noProof/>
          <w:sz w:val="24"/>
          <w:szCs w:val="24"/>
          <w:lang w:eastAsia="en-US"/>
        </w:rPr>
        <w:t>Financial stability</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 xml:space="preserve">The stock of non-performing loans (NPLs) continued to decline and the banking sector remained well-capitalised, but the widespread use of the euro creates risks. </w:t>
      </w:r>
      <w:r>
        <w:rPr>
          <w:rFonts w:ascii="Times New Roman" w:eastAsia="Calibri" w:hAnsi="Times New Roman" w:cs="Times New Roman"/>
          <w:noProof/>
          <w:sz w:val="24"/>
          <w:szCs w:val="24"/>
          <w:lang w:eastAsia="en-US"/>
        </w:rPr>
        <w:t>The banking sector’s capital adequacy and liquidity ratios remained well above minimum regulat</w:t>
      </w:r>
      <w:r>
        <w:rPr>
          <w:rFonts w:ascii="Times New Roman" w:eastAsia="Calibri" w:hAnsi="Times New Roman" w:cs="Times New Roman"/>
          <w:noProof/>
          <w:sz w:val="24"/>
          <w:szCs w:val="24"/>
          <w:lang w:eastAsia="en-US"/>
        </w:rPr>
        <w:t>ory levels, and return on equity increased by 2 pps year-on-year, to 15% at the end of 2019.</w:t>
      </w:r>
      <w:r>
        <w:rPr>
          <w:rFonts w:ascii="Times New Roman" w:eastAsia="Calibri" w:hAnsi="Times New Roman" w:cs="Times New Roman"/>
          <w:b/>
          <w:noProof/>
          <w:sz w:val="24"/>
          <w:szCs w:val="24"/>
          <w:lang w:eastAsia="en-US"/>
        </w:rPr>
        <w:t xml:space="preserve"> </w:t>
      </w:r>
      <w:r>
        <w:rPr>
          <w:rFonts w:ascii="Times New Roman" w:eastAsia="Calibri" w:hAnsi="Times New Roman" w:cs="Times New Roman"/>
          <w:noProof/>
          <w:sz w:val="24"/>
          <w:szCs w:val="24"/>
          <w:lang w:eastAsia="en-US"/>
        </w:rPr>
        <w:t>The ratio of NPLs to total loans fell from 13 % in 2018 to a still relatively high 8.2 % by the end of 2019. Banks’ relatively large exposure to government securit</w:t>
      </w:r>
      <w:r>
        <w:rPr>
          <w:rFonts w:ascii="Times New Roman" w:eastAsia="Calibri" w:hAnsi="Times New Roman" w:cs="Times New Roman"/>
          <w:noProof/>
          <w:sz w:val="24"/>
          <w:szCs w:val="24"/>
          <w:lang w:eastAsia="en-US"/>
        </w:rPr>
        <w:t>ies (averaging 25% of their assets) and the fact that about half of all bank loans and deposits are denominated in euro, continue to pose risks to the banking sector and complicates the transmission of monetary policy. The non-bank financial sector with ab</w:t>
      </w:r>
      <w:r>
        <w:rPr>
          <w:rFonts w:ascii="Times New Roman" w:eastAsia="Calibri" w:hAnsi="Times New Roman" w:cs="Times New Roman"/>
          <w:noProof/>
          <w:sz w:val="24"/>
          <w:szCs w:val="24"/>
          <w:lang w:eastAsia="en-US"/>
        </w:rPr>
        <w:t>out 31 institutions (including 11 insurance companies, 5 investment funds and 3 pension funds) increased its share in total financial sector assets from 6.7 % in 2014 to 7.5 % in 2019 but remains small.</w:t>
      </w:r>
      <w:r>
        <w:rPr>
          <w:rFonts w:ascii="Times New Roman" w:eastAsia="Calibri" w:hAnsi="Times New Roman" w:cs="Times New Roman"/>
          <w:bCs/>
          <w:noProof/>
          <w:sz w:val="24"/>
          <w:szCs w:val="24"/>
          <w:lang w:eastAsia="en-US"/>
        </w:rPr>
        <w:t xml:space="preserve">  </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i/>
          <w:noProof/>
          <w:sz w:val="24"/>
          <w:szCs w:val="24"/>
          <w:lang w:eastAsia="en-US"/>
        </w:rPr>
        <w:t>Access to finance</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Following several years of sluggi</w:t>
      </w:r>
      <w:r>
        <w:rPr>
          <w:rFonts w:ascii="Times New Roman" w:eastAsia="Calibri" w:hAnsi="Times New Roman" w:cs="Times New Roman"/>
          <w:b/>
          <w:noProof/>
          <w:sz w:val="24"/>
          <w:szCs w:val="24"/>
          <w:lang w:eastAsia="en-US"/>
        </w:rPr>
        <w:t xml:space="preserve">sh performance, credit growth picked up but financial intermediation and financial inclusion remained very low. </w:t>
      </w:r>
      <w:r>
        <w:rPr>
          <w:rFonts w:ascii="Times New Roman" w:eastAsia="Calibri" w:hAnsi="Times New Roman" w:cs="Times New Roman"/>
          <w:noProof/>
          <w:sz w:val="24"/>
          <w:szCs w:val="24"/>
          <w:lang w:eastAsia="en-US"/>
        </w:rPr>
        <w:t>After several years of low growth rates, the recovery of credit growth to 7.8% by the end of 2019 is a positive development. Lending to househol</w:t>
      </w:r>
      <w:r>
        <w:rPr>
          <w:rFonts w:ascii="Times New Roman" w:eastAsia="Calibri" w:hAnsi="Times New Roman" w:cs="Times New Roman"/>
          <w:noProof/>
          <w:sz w:val="24"/>
          <w:szCs w:val="24"/>
          <w:lang w:eastAsia="en-US"/>
        </w:rPr>
        <w:t>ds and recently to SMEs has driven the credit growth, also stimulated by an increased weight of domestic banks, which doubled their share of the sector's assets to 21%, while the number of banks declined from 16 to 12. In response to the COVID-19 pandemic,</w:t>
      </w:r>
      <w:r>
        <w:rPr>
          <w:rFonts w:ascii="Times New Roman" w:eastAsia="Calibri" w:hAnsi="Times New Roman" w:cs="Times New Roman"/>
          <w:noProof/>
          <w:sz w:val="24"/>
          <w:szCs w:val="24"/>
          <w:lang w:eastAsia="en-US"/>
        </w:rPr>
        <w:t xml:space="preserve"> the BoA facilitated the temporary suspension of loan repayments and the use of internet banking to support social distancing. Two sovereign guarantee loans were also mobilised and became operational.  </w:t>
      </w:r>
    </w:p>
    <w:p w:rsidR="00EE1719" w:rsidRDefault="000E39BA">
      <w:pPr>
        <w:keepNext/>
        <w:keepLines/>
        <w:spacing w:after="120" w:line="240" w:lineRule="auto"/>
        <w:jc w:val="both"/>
        <w:rPr>
          <w:rFonts w:ascii="Times New Roman" w:eastAsia="Calibri" w:hAnsi="Times New Roman" w:cs="Times New Roman"/>
          <w:b/>
          <w:noProof/>
          <w:sz w:val="24"/>
          <w:szCs w:val="24"/>
          <w:u w:val="single"/>
          <w:lang w:eastAsia="en-US"/>
        </w:rPr>
      </w:pPr>
      <w:r>
        <w:rPr>
          <w:rFonts w:ascii="Times New Roman" w:eastAsia="Calibri" w:hAnsi="Times New Roman" w:cs="Times New Roman"/>
          <w:noProof/>
          <w:sz w:val="24"/>
          <w:szCs w:val="24"/>
          <w:u w:val="single"/>
          <w:lang w:eastAsia="en-US"/>
        </w:rPr>
        <w:t xml:space="preserve">The functioning of the labour market </w:t>
      </w:r>
    </w:p>
    <w:p w:rsidR="00EE1719" w:rsidRDefault="000E39BA">
      <w:pPr>
        <w:keepNext/>
        <w:keepLines/>
        <w:spacing w:after="120" w:line="240" w:lineRule="auto"/>
        <w:jc w:val="both"/>
        <w:rPr>
          <w:rFonts w:ascii="Times New Roman" w:eastAsia="Calibri" w:hAnsi="Times New Roman" w:cs="Times New Roman"/>
          <w:b/>
          <w:noProof/>
          <w:sz w:val="24"/>
          <w:szCs w:val="24"/>
          <w:u w:val="single"/>
          <w:lang w:eastAsia="en-US"/>
        </w:rPr>
      </w:pPr>
      <w:r>
        <w:rPr>
          <w:rFonts w:ascii="Times New Roman" w:eastAsia="Calibri" w:hAnsi="Times New Roman" w:cs="Times New Roman"/>
          <w:b/>
          <w:noProof/>
          <w:sz w:val="24"/>
          <w:szCs w:val="24"/>
          <w:lang w:eastAsia="en-US"/>
        </w:rPr>
        <w:t xml:space="preserve">Despite muted </w:t>
      </w:r>
      <w:r>
        <w:rPr>
          <w:rFonts w:ascii="Times New Roman" w:eastAsia="Calibri" w:hAnsi="Times New Roman" w:cs="Times New Roman"/>
          <w:b/>
          <w:noProof/>
          <w:sz w:val="24"/>
          <w:szCs w:val="24"/>
          <w:lang w:eastAsia="en-US"/>
        </w:rPr>
        <w:t>GDP growth, employment continued to increase in 2019, but fell</w:t>
      </w:r>
      <w:r>
        <w:rPr>
          <w:rFonts w:ascii="Times New Roman" w:eastAsia="Calibri" w:hAnsi="Times New Roman" w:cs="Times New Roman"/>
          <w:noProof/>
          <w:sz w:val="24"/>
          <w:szCs w:val="24"/>
          <w:lang w:eastAsia="en-US"/>
        </w:rPr>
        <w:t xml:space="preserve"> </w:t>
      </w:r>
      <w:r>
        <w:rPr>
          <w:rFonts w:ascii="Times New Roman" w:eastAsia="Calibri" w:hAnsi="Times New Roman" w:cs="Times New Roman"/>
          <w:b/>
          <w:noProof/>
          <w:sz w:val="24"/>
          <w:szCs w:val="24"/>
          <w:lang w:eastAsia="en-US"/>
        </w:rPr>
        <w:t xml:space="preserve">in the first quarter of 2020. </w:t>
      </w:r>
      <w:r>
        <w:rPr>
          <w:rFonts w:ascii="Times New Roman" w:eastAsia="Calibri" w:hAnsi="Times New Roman" w:cs="Times New Roman"/>
          <w:noProof/>
          <w:sz w:val="24"/>
          <w:szCs w:val="24"/>
          <w:lang w:eastAsia="en-US"/>
        </w:rPr>
        <w:t>Solid</w:t>
      </w:r>
      <w:r>
        <w:rPr>
          <w:rFonts w:ascii="Times New Roman" w:eastAsia="Calibri" w:hAnsi="Times New Roman" w:cs="Times New Roman"/>
          <w:b/>
          <w:noProof/>
          <w:sz w:val="24"/>
          <w:szCs w:val="24"/>
          <w:lang w:eastAsia="en-US"/>
        </w:rPr>
        <w:t xml:space="preserve"> </w:t>
      </w:r>
      <w:r>
        <w:rPr>
          <w:rFonts w:ascii="Times New Roman" w:eastAsia="Calibri" w:hAnsi="Times New Roman" w:cs="Times New Roman"/>
          <w:noProof/>
          <w:sz w:val="24"/>
          <w:szCs w:val="24"/>
          <w:lang w:eastAsia="en-US"/>
        </w:rPr>
        <w:t>employment growth in 2019 (by 2.4% year-on</w:t>
      </w:r>
      <w:r>
        <w:rPr>
          <w:rFonts w:ascii="Times New Roman" w:eastAsia="Calibri" w:hAnsi="Times New Roman" w:cs="Times New Roman"/>
          <w:noProof/>
          <w:sz w:val="24"/>
          <w:szCs w:val="24"/>
          <w:lang w:eastAsia="en-US"/>
        </w:rPr>
        <w:noBreakHyphen/>
        <w:t>year) helped to lower the unemployment rate from its peak of close to 18 % in 2014 to a record</w:t>
      </w:r>
      <w:r>
        <w:rPr>
          <w:rFonts w:ascii="Times New Roman" w:eastAsia="Calibri" w:hAnsi="Times New Roman" w:cs="Times New Roman"/>
          <w:noProof/>
          <w:sz w:val="24"/>
          <w:szCs w:val="24"/>
          <w:lang w:eastAsia="en-US"/>
        </w:rPr>
        <w:noBreakHyphen/>
        <w:t>low 12 % in 2019, b</w:t>
      </w:r>
      <w:r>
        <w:rPr>
          <w:rFonts w:ascii="Times New Roman" w:eastAsia="Calibri" w:hAnsi="Times New Roman" w:cs="Times New Roman"/>
          <w:noProof/>
          <w:sz w:val="24"/>
          <w:szCs w:val="24"/>
          <w:lang w:eastAsia="en-US"/>
        </w:rPr>
        <w:t>ut preliminary data from the COVID-19-related wage support scheme indicate a stark increase in unemployment in 2020. The high youth unemployment rate (15-29 age-group) decreased even more, by 1.6 pps, to 21.5 %, from as high as 32.5% in 2014. Rising labour</w:t>
      </w:r>
      <w:r>
        <w:rPr>
          <w:rFonts w:ascii="Times New Roman" w:eastAsia="Calibri" w:hAnsi="Times New Roman" w:cs="Times New Roman"/>
          <w:noProof/>
          <w:sz w:val="24"/>
          <w:szCs w:val="24"/>
          <w:lang w:eastAsia="en-US"/>
        </w:rPr>
        <w:noBreakHyphen/>
        <w:t>force participation (from 61.5 % in 2014 to 69.6 % in 2019) has driven growth in labour supply, as the working</w:t>
      </w:r>
      <w:r>
        <w:rPr>
          <w:rFonts w:ascii="Times New Roman" w:eastAsia="Calibri" w:hAnsi="Times New Roman" w:cs="Times New Roman"/>
          <w:noProof/>
          <w:sz w:val="24"/>
          <w:szCs w:val="24"/>
          <w:lang w:eastAsia="en-US"/>
        </w:rPr>
        <w:noBreakHyphen/>
        <w:t>age population continued to decrease from 2015 due to lower fertility rates and emigration. The gap between the participation rates of men and w</w:t>
      </w:r>
      <w:r>
        <w:rPr>
          <w:rFonts w:ascii="Times New Roman" w:eastAsia="Calibri" w:hAnsi="Times New Roman" w:cs="Times New Roman"/>
          <w:noProof/>
          <w:sz w:val="24"/>
          <w:szCs w:val="24"/>
          <w:lang w:eastAsia="en-US"/>
        </w:rPr>
        <w:t xml:space="preserve">omen narrowed from 20.9 pps in 2014 to 16 pps in 2019. </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rPr>
        <w:drawing>
          <wp:anchor distT="0" distB="0" distL="114300" distR="114300" simplePos="0" relativeHeight="251655680" behindDoc="0" locked="0" layoutInCell="1" allowOverlap="1">
            <wp:simplePos x="0" y="0"/>
            <wp:positionH relativeFrom="margin">
              <wp:posOffset>2371725</wp:posOffset>
            </wp:positionH>
            <wp:positionV relativeFrom="paragraph">
              <wp:posOffset>10795</wp:posOffset>
            </wp:positionV>
            <wp:extent cx="3239770" cy="1864360"/>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9770" cy="1864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noProof/>
          <w:sz w:val="24"/>
          <w:szCs w:val="24"/>
          <w:lang w:eastAsia="en-US"/>
        </w:rPr>
        <w:t xml:space="preserve">Nominal wage growth accelerated to 3.8 %, but emigration continued to exacerbate shortages of skilled staff. </w:t>
      </w:r>
      <w:r>
        <w:rPr>
          <w:rFonts w:ascii="Times New Roman" w:eastAsia="Calibri" w:hAnsi="Times New Roman" w:cs="Times New Roman"/>
          <w:noProof/>
          <w:sz w:val="24"/>
          <w:szCs w:val="24"/>
          <w:lang w:eastAsia="en-US"/>
        </w:rPr>
        <w:t>Despite solid employment growth, real wages grew by only about 1.3% in 2018, but picked up</w:t>
      </w:r>
      <w:r>
        <w:rPr>
          <w:rFonts w:ascii="Times New Roman" w:eastAsia="Calibri" w:hAnsi="Times New Roman" w:cs="Times New Roman"/>
          <w:noProof/>
          <w:sz w:val="24"/>
          <w:szCs w:val="24"/>
          <w:lang w:eastAsia="en-US"/>
        </w:rPr>
        <w:t xml:space="preserve"> to about 2.4 % in 2019 supported by an increase in the minimum wage and public wages. The overall moderate wage growth masks wide sectoral variations, which might signal shortages of skilled staff. </w:t>
      </w:r>
    </w:p>
    <w:p w:rsidR="00EE1719" w:rsidRDefault="000E39BA">
      <w:pPr>
        <w:pStyle w:val="Heading2"/>
        <w:rPr>
          <w:rFonts w:eastAsia="Calibri"/>
          <w:lang w:eastAsia="en-US"/>
        </w:rPr>
      </w:pPr>
      <w:bookmarkStart w:id="42" w:name="_Toc52745511"/>
      <w:r>
        <w:rPr>
          <w:rStyle w:val="Heading2Char"/>
          <w:rFonts w:eastAsia="Calibri"/>
        </w:rPr>
        <w:t>3.2.</w:t>
      </w:r>
      <w:r>
        <w:rPr>
          <w:rFonts w:eastAsia="Calibri"/>
          <w:lang w:eastAsia="en-US"/>
        </w:rPr>
        <w:tab/>
        <w:t xml:space="preserve">The capacity to cope with competitive pressure and </w:t>
      </w:r>
      <w:r>
        <w:rPr>
          <w:rFonts w:eastAsia="Calibri"/>
          <w:lang w:eastAsia="en-US"/>
        </w:rPr>
        <w:t>market forces within the Union</w:t>
      </w:r>
      <w:bookmarkEnd w:id="42"/>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9072"/>
      </w:tblGrid>
      <w:tr w:rsidR="00EE1719">
        <w:trPr>
          <w:trHeight w:val="1125"/>
        </w:trPr>
        <w:tc>
          <w:tcPr>
            <w:tcW w:w="9072" w:type="dxa"/>
            <w:shd w:val="clear" w:color="auto" w:fill="D9D9D9" w:themeFill="background1" w:themeFillShade="D9"/>
          </w:tcPr>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 xml:space="preserve">Albania has made </w:t>
            </w:r>
            <w:r>
              <w:rPr>
                <w:rFonts w:ascii="Times New Roman" w:eastAsia="Calibri" w:hAnsi="Times New Roman" w:cs="Times New Roman"/>
                <w:b/>
                <w:noProof/>
                <w:sz w:val="24"/>
                <w:szCs w:val="24"/>
                <w:lang w:eastAsia="en-US"/>
              </w:rPr>
              <w:t>some progress</w:t>
            </w:r>
            <w:r>
              <w:rPr>
                <w:rFonts w:ascii="Times New Roman" w:eastAsia="Calibri" w:hAnsi="Times New Roman" w:cs="Times New Roman"/>
                <w:noProof/>
                <w:sz w:val="24"/>
                <w:szCs w:val="24"/>
                <w:lang w:eastAsia="en-US"/>
              </w:rPr>
              <w:t xml:space="preserve"> and has </w:t>
            </w:r>
            <w:r>
              <w:rPr>
                <w:rFonts w:ascii="Times New Roman" w:eastAsia="Calibri" w:hAnsi="Times New Roman" w:cs="Times New Roman"/>
                <w:b/>
                <w:noProof/>
                <w:sz w:val="24"/>
                <w:szCs w:val="24"/>
                <w:lang w:eastAsia="en-US"/>
              </w:rPr>
              <w:t>some level of preparation</w:t>
            </w:r>
            <w:r>
              <w:rPr>
                <w:rFonts w:ascii="Times New Roman" w:eastAsia="Calibri" w:hAnsi="Times New Roman" w:cs="Times New Roman"/>
                <w:noProof/>
                <w:sz w:val="24"/>
                <w:szCs w:val="24"/>
                <w:lang w:eastAsia="en-US"/>
              </w:rPr>
              <w:t xml:space="preserve"> in its capacity to cope with competitive pressure and market forces within the EU. Energy and transport infrastructure, the use of digital communication as well</w:t>
            </w:r>
            <w:r>
              <w:rPr>
                <w:rFonts w:ascii="Times New Roman" w:eastAsia="Calibri" w:hAnsi="Times New Roman" w:cs="Times New Roman"/>
                <w:noProof/>
                <w:sz w:val="24"/>
                <w:szCs w:val="24"/>
                <w:lang w:eastAsia="en-US"/>
              </w:rPr>
              <w:t xml:space="preserve"> as education outcomes have improved, but significant gaps to regional peers and European levels remain. Albania’s competitiveness is hindered by a lack of entrepreneurial and technological know-how, a significant skills gap, weak institutions and low leve</w:t>
            </w:r>
            <w:r>
              <w:rPr>
                <w:rFonts w:ascii="Times New Roman" w:eastAsia="Calibri" w:hAnsi="Times New Roman" w:cs="Times New Roman"/>
                <w:noProof/>
                <w:sz w:val="24"/>
                <w:szCs w:val="24"/>
                <w:lang w:eastAsia="en-US"/>
              </w:rPr>
              <w:t>ls of investment and infrastructure quality. These factors are holding back industrial and agricultural production and limit Albania’s integration into global value chains. Regional integration and exports increased but remained below potential. The lack o</w:t>
            </w:r>
            <w:r>
              <w:rPr>
                <w:rFonts w:ascii="Times New Roman" w:eastAsia="Calibri" w:hAnsi="Times New Roman" w:cs="Times New Roman"/>
                <w:noProof/>
                <w:sz w:val="24"/>
                <w:szCs w:val="24"/>
                <w:lang w:eastAsia="en-US"/>
              </w:rPr>
              <w:t>f product and geographical diversification of exports add to Albania’s vulnerability to external shocks such as the current pandemic. The hard hit SMEs and self-employed receive support, but the effective outreach of support measures is limited by the larg</w:t>
            </w:r>
            <w:r>
              <w:rPr>
                <w:rFonts w:ascii="Times New Roman" w:eastAsia="Calibri" w:hAnsi="Times New Roman" w:cs="Times New Roman"/>
                <w:noProof/>
                <w:sz w:val="24"/>
                <w:szCs w:val="24"/>
                <w:lang w:eastAsia="en-US"/>
              </w:rPr>
              <w:t xml:space="preserve">e informality in the economy. </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In order to improve competitiveness and long-term growth, Albania should:</w:t>
            </w:r>
          </w:p>
          <w:p w:rsidR="00EE1719" w:rsidRDefault="000E39BA">
            <w:pPr>
              <w:numPr>
                <w:ilvl w:val="0"/>
                <w:numId w:val="38"/>
              </w:num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Establish effective consultation mechanisms with businesses and social partners to ensure the transparency and predictability of support measures and l</w:t>
            </w:r>
            <w:r>
              <w:rPr>
                <w:rFonts w:ascii="Times New Roman" w:eastAsia="Calibri" w:hAnsi="Times New Roman" w:cs="Times New Roman"/>
                <w:noProof/>
                <w:sz w:val="24"/>
                <w:szCs w:val="24"/>
                <w:lang w:eastAsia="en-US"/>
              </w:rPr>
              <w:t xml:space="preserve">egislation; </w:t>
            </w:r>
          </w:p>
          <w:p w:rsidR="00EE1719" w:rsidRDefault="000E39BA">
            <w:pPr>
              <w:numPr>
                <w:ilvl w:val="0"/>
                <w:numId w:val="38"/>
              </w:num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 xml:space="preserve">Provide incentives for businesses and employees in the informal economy sector for transferring to the formal economy; </w:t>
            </w:r>
          </w:p>
          <w:p w:rsidR="00EE1719" w:rsidRDefault="000E39BA">
            <w:pPr>
              <w:numPr>
                <w:ilvl w:val="0"/>
                <w:numId w:val="38"/>
              </w:num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Ensure that legislation on energy efficiency and energy performance of buildings is applied to the earthquake-related recon</w:t>
            </w:r>
            <w:r>
              <w:rPr>
                <w:rFonts w:ascii="Times New Roman" w:eastAsia="Calibri" w:hAnsi="Times New Roman" w:cs="Times New Roman"/>
                <w:noProof/>
                <w:sz w:val="24"/>
                <w:szCs w:val="24"/>
                <w:lang w:eastAsia="en-US"/>
              </w:rPr>
              <w:t>struction;</w:t>
            </w:r>
          </w:p>
          <w:p w:rsidR="00EE1719" w:rsidRDefault="000E39BA">
            <w:pPr>
              <w:numPr>
                <w:ilvl w:val="0"/>
                <w:numId w:val="38"/>
              </w:num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 xml:space="preserve">Improve the relevance of vocational education and training for employment. </w:t>
            </w:r>
          </w:p>
        </w:tc>
      </w:tr>
    </w:tbl>
    <w:p w:rsidR="00EE1719" w:rsidRDefault="000E39BA">
      <w:pPr>
        <w:spacing w:after="120" w:line="240" w:lineRule="auto"/>
        <w:jc w:val="both"/>
        <w:rPr>
          <w:rFonts w:ascii="Times New Roman" w:eastAsia="Calibri" w:hAnsi="Times New Roman" w:cs="Times New Roman"/>
          <w:b/>
          <w:noProof/>
          <w:sz w:val="24"/>
          <w:szCs w:val="24"/>
          <w:lang w:eastAsia="en-US"/>
        </w:rPr>
      </w:pPr>
      <w:r>
        <w:rPr>
          <w:rFonts w:ascii="Times New Roman" w:eastAsia="Calibri" w:hAnsi="Times New Roman" w:cs="Times New Roman"/>
          <w:noProof/>
          <w:sz w:val="24"/>
          <w:szCs w:val="24"/>
          <w:u w:val="single"/>
          <w:lang w:eastAsia="en-US"/>
        </w:rPr>
        <w:t>Education and innovation</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Secondary school and university enrolments and outcomes have improved steadily over the past decade,</w:t>
      </w:r>
      <w:r>
        <w:rPr>
          <w:rFonts w:ascii="Times New Roman" w:eastAsia="Calibri" w:hAnsi="Times New Roman" w:cs="Times New Roman"/>
          <w:noProof/>
          <w:sz w:val="24"/>
          <w:szCs w:val="24"/>
          <w:lang w:eastAsia="en-US"/>
        </w:rPr>
        <w:t xml:space="preserve"> </w:t>
      </w:r>
      <w:r>
        <w:rPr>
          <w:rFonts w:ascii="Times New Roman" w:eastAsia="Calibri" w:hAnsi="Times New Roman" w:cs="Times New Roman"/>
          <w:b/>
          <w:noProof/>
          <w:sz w:val="24"/>
          <w:szCs w:val="24"/>
          <w:lang w:eastAsia="en-US"/>
        </w:rPr>
        <w:t xml:space="preserve">but overall education levels and public </w:t>
      </w:r>
      <w:r>
        <w:rPr>
          <w:rFonts w:ascii="Times New Roman" w:eastAsia="Calibri" w:hAnsi="Times New Roman" w:cs="Times New Roman"/>
          <w:b/>
          <w:noProof/>
          <w:sz w:val="24"/>
          <w:szCs w:val="24"/>
          <w:lang w:eastAsia="en-US"/>
        </w:rPr>
        <w:t>spending on education remained below OECD and EU averages.</w:t>
      </w:r>
      <w:r>
        <w:rPr>
          <w:rFonts w:ascii="Times New Roman" w:eastAsia="Calibri" w:hAnsi="Times New Roman" w:cs="Times New Roman"/>
          <w:noProof/>
          <w:sz w:val="24"/>
          <w:szCs w:val="24"/>
          <w:lang w:eastAsia="en-US"/>
        </w:rPr>
        <w:t xml:space="preserve"> According to the 2018 results of the OECD’s Programme for International Student Assessment (PISA), outcomes for mathematics improved again compared with 2015’s assessment. However, outcomes in the </w:t>
      </w:r>
      <w:r>
        <w:rPr>
          <w:rFonts w:ascii="Times New Roman" w:eastAsia="Calibri" w:hAnsi="Times New Roman" w:cs="Times New Roman"/>
          <w:noProof/>
          <w:sz w:val="24"/>
          <w:szCs w:val="24"/>
          <w:lang w:eastAsia="en-US"/>
        </w:rPr>
        <w:t>competence of reading have not changed, while they got worse in science. Over the last 2 years, enrolments in pre-primary, secondary and tertiary education have declined slightly. Albania has the lowest rate (24%) of tertiary</w:t>
      </w:r>
      <w:r>
        <w:rPr>
          <w:rFonts w:ascii="Times New Roman" w:eastAsia="Calibri" w:hAnsi="Times New Roman" w:cs="Times New Roman"/>
          <w:noProof/>
          <w:sz w:val="24"/>
          <w:szCs w:val="24"/>
          <w:lang w:eastAsia="en-US"/>
        </w:rPr>
        <w:noBreakHyphen/>
        <w:t>educated young adults (30-34 y</w:t>
      </w:r>
      <w:r>
        <w:rPr>
          <w:rFonts w:ascii="Times New Roman" w:eastAsia="Calibri" w:hAnsi="Times New Roman" w:cs="Times New Roman"/>
          <w:noProof/>
          <w:sz w:val="24"/>
          <w:szCs w:val="24"/>
          <w:lang w:eastAsia="en-US"/>
        </w:rPr>
        <w:t>ear</w:t>
      </w:r>
      <w:r>
        <w:rPr>
          <w:rFonts w:ascii="Times New Roman" w:eastAsia="Calibri" w:hAnsi="Times New Roman" w:cs="Times New Roman"/>
          <w:noProof/>
          <w:sz w:val="24"/>
          <w:szCs w:val="24"/>
          <w:lang w:eastAsia="en-US"/>
        </w:rPr>
        <w:noBreakHyphen/>
        <w:t>olds) in the Western Balkans, partly due to the continuing emigration of educated Albanians (‘brain drain’).</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The capacity for research, development and innovation remained very low, as public spending on research (though up slightly) remained negligibl</w:t>
      </w:r>
      <w:r>
        <w:rPr>
          <w:rFonts w:ascii="Times New Roman" w:eastAsia="Calibri" w:hAnsi="Times New Roman" w:cs="Times New Roman"/>
          <w:noProof/>
          <w:sz w:val="24"/>
          <w:szCs w:val="24"/>
          <w:lang w:eastAsia="en-US"/>
        </w:rPr>
        <w:t>e at 0.03% of GDP and the proportion of companies investing in R&amp;D (about 18%) was the second lowest in the region</w:t>
      </w:r>
      <w:r>
        <w:rPr>
          <w:rFonts w:ascii="Times New Roman" w:eastAsia="Calibri" w:hAnsi="Times New Roman" w:cs="Times New Roman"/>
          <w:noProof/>
          <w:sz w:val="24"/>
          <w:szCs w:val="24"/>
          <w:vertAlign w:val="superscript"/>
          <w:lang w:eastAsia="en-US"/>
        </w:rPr>
        <w:footnoteReference w:id="18"/>
      </w:r>
      <w:r>
        <w:rPr>
          <w:rFonts w:ascii="Times New Roman" w:eastAsia="Calibri" w:hAnsi="Times New Roman" w:cs="Times New Roman"/>
          <w:noProof/>
          <w:sz w:val="24"/>
          <w:szCs w:val="24"/>
          <w:lang w:eastAsia="en-US"/>
        </w:rPr>
        <w:t>. In the global competitiveness index, Albania ranks particularly low for innovation capability (110th of 141) and R&amp;D (126th), with increasi</w:t>
      </w:r>
      <w:r>
        <w:rPr>
          <w:rFonts w:ascii="Times New Roman" w:eastAsia="Calibri" w:hAnsi="Times New Roman" w:cs="Times New Roman"/>
          <w:noProof/>
          <w:sz w:val="24"/>
          <w:szCs w:val="24"/>
          <w:lang w:eastAsia="en-US"/>
        </w:rPr>
        <w:t xml:space="preserve">ng numbers of publications in scientific journals and patents the only positive developments in this area.  </w:t>
      </w:r>
    </w:p>
    <w:p w:rsidR="00EE1719" w:rsidRDefault="000E39BA">
      <w:pPr>
        <w:spacing w:after="120" w:line="240" w:lineRule="auto"/>
        <w:jc w:val="both"/>
        <w:rPr>
          <w:rFonts w:ascii="Times New Roman" w:eastAsia="Calibri" w:hAnsi="Times New Roman" w:cs="Times New Roman"/>
          <w:noProof/>
          <w:sz w:val="24"/>
          <w:szCs w:val="24"/>
          <w:u w:val="single"/>
          <w:lang w:eastAsia="en-US"/>
        </w:rPr>
      </w:pPr>
      <w:r>
        <w:rPr>
          <w:rFonts w:ascii="Times New Roman" w:eastAsia="Calibri" w:hAnsi="Times New Roman" w:cs="Times New Roman"/>
          <w:noProof/>
          <w:sz w:val="24"/>
          <w:szCs w:val="24"/>
          <w:u w:val="single"/>
          <w:lang w:eastAsia="en-US"/>
        </w:rPr>
        <w:t>Physical capital and quality of infrastructure</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Albania’s annual public investment has averaged 5.4 % of GDP since 2014 and its infrastructure has i</w:t>
      </w:r>
      <w:r>
        <w:rPr>
          <w:rFonts w:ascii="Times New Roman" w:eastAsia="Calibri" w:hAnsi="Times New Roman" w:cs="Times New Roman"/>
          <w:b/>
          <w:noProof/>
          <w:sz w:val="24"/>
          <w:szCs w:val="24"/>
          <w:lang w:eastAsia="en-US"/>
        </w:rPr>
        <w:t xml:space="preserve">mproved significantly, but it still lags well behind regional and EU averages. </w:t>
      </w:r>
      <w:r>
        <w:rPr>
          <w:rFonts w:ascii="Times New Roman" w:eastAsia="Calibri" w:hAnsi="Times New Roman" w:cs="Times New Roman"/>
          <w:noProof/>
          <w:sz w:val="24"/>
          <w:szCs w:val="24"/>
          <w:lang w:eastAsia="en-US"/>
        </w:rPr>
        <w:t>Investment has accounted for roughly one quarter of GDP in the five years up to 2018 and has grown in average 2 % p.a. in the same period. In 2019, it contracted by 4 %, reducin</w:t>
      </w:r>
      <w:r>
        <w:rPr>
          <w:rFonts w:ascii="Times New Roman" w:eastAsia="Calibri" w:hAnsi="Times New Roman" w:cs="Times New Roman"/>
          <w:noProof/>
          <w:sz w:val="24"/>
          <w:szCs w:val="24"/>
          <w:lang w:eastAsia="en-US"/>
        </w:rPr>
        <w:t>g its share to 22 % of GDP. In the global competitiveness index, Albania’s infrastructure ranks 98 out of 141, despite improvements, with transport infrastructure and road connectivity ranking only 122nd. On the positive side, digital infrastructure improv</w:t>
      </w:r>
      <w:r>
        <w:rPr>
          <w:rFonts w:ascii="Times New Roman" w:eastAsia="Calibri" w:hAnsi="Times New Roman" w:cs="Times New Roman"/>
          <w:noProof/>
          <w:sz w:val="24"/>
          <w:szCs w:val="24"/>
          <w:lang w:eastAsia="en-US"/>
        </w:rPr>
        <w:t>ed, with a growing proportion of households enjoying internet access (up from 80.7% in 2017 to 82.2% in 2018), water supply extended in the coastal regions that attract the most tourists and installed electricity generation capacity increased and outages d</w:t>
      </w:r>
      <w:r>
        <w:rPr>
          <w:rFonts w:ascii="Times New Roman" w:eastAsia="Calibri" w:hAnsi="Times New Roman" w:cs="Times New Roman"/>
          <w:noProof/>
          <w:sz w:val="24"/>
          <w:szCs w:val="24"/>
          <w:lang w:eastAsia="en-US"/>
        </w:rPr>
        <w:t>eclined significantly. However, the implementation of the action plan to increase energy efficiency is delayed and Albania’s economy remains three times more energy-intensive than the EU average. The inefficient use of energy, in particular in the transpor</w:t>
      </w:r>
      <w:r>
        <w:rPr>
          <w:rFonts w:ascii="Times New Roman" w:eastAsia="Calibri" w:hAnsi="Times New Roman" w:cs="Times New Roman"/>
          <w:noProof/>
          <w:sz w:val="24"/>
          <w:szCs w:val="24"/>
          <w:lang w:eastAsia="en-US"/>
        </w:rPr>
        <w:t xml:space="preserve">t and residential sectors, which account for up to 70% of energy consumption, weighs on energy security and on the trade deficit.  </w:t>
      </w:r>
    </w:p>
    <w:p w:rsidR="00EE1719" w:rsidRDefault="000E39BA">
      <w:pPr>
        <w:spacing w:after="120" w:line="240" w:lineRule="auto"/>
        <w:jc w:val="both"/>
        <w:rPr>
          <w:rFonts w:ascii="Times New Roman" w:eastAsia="Calibri" w:hAnsi="Times New Roman" w:cs="Times New Roman"/>
          <w:noProof/>
          <w:sz w:val="24"/>
          <w:szCs w:val="24"/>
          <w:u w:val="single"/>
          <w:lang w:eastAsia="en-US"/>
        </w:rPr>
      </w:pPr>
      <w:r>
        <w:rPr>
          <w:rFonts w:ascii="Times New Roman" w:eastAsia="Calibri" w:hAnsi="Times New Roman" w:cs="Times New Roman"/>
          <w:noProof/>
          <w:sz w:val="24"/>
          <w:szCs w:val="24"/>
          <w:u w:val="single"/>
          <w:lang w:eastAsia="en-US"/>
        </w:rPr>
        <w:t>Sector and enterprise structure</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The Albanian economy shifted further to services, but agriculture remains important.</w:t>
      </w:r>
      <w:r>
        <w:rPr>
          <w:rFonts w:ascii="Times New Roman" w:eastAsia="Calibri" w:hAnsi="Times New Roman" w:cs="Times New Roman"/>
          <w:noProof/>
          <w:sz w:val="24"/>
          <w:szCs w:val="24"/>
          <w:lang w:eastAsia="en-US"/>
        </w:rPr>
        <w:t xml:space="preserve"> The rel</w:t>
      </w:r>
      <w:r>
        <w:rPr>
          <w:rFonts w:ascii="Times New Roman" w:eastAsia="Calibri" w:hAnsi="Times New Roman" w:cs="Times New Roman"/>
          <w:noProof/>
          <w:sz w:val="24"/>
          <w:szCs w:val="24"/>
          <w:lang w:eastAsia="en-US"/>
        </w:rPr>
        <w:t>ative weight of the agricultural sector in the economy declined from almost 19.6 % of GDP in 2014 to 18.3 % in 2019, but remained far greater than in the wider region and the EU.</w:t>
      </w:r>
      <w:r>
        <w:rPr>
          <w:rFonts w:ascii="Times New Roman" w:eastAsia="Calibri" w:hAnsi="Times New Roman" w:cs="Times New Roman"/>
          <w:b/>
          <w:noProof/>
          <w:sz w:val="24"/>
          <w:szCs w:val="24"/>
          <w:lang w:eastAsia="en-US"/>
        </w:rPr>
        <w:t xml:space="preserve"> </w:t>
      </w:r>
      <w:r>
        <w:rPr>
          <w:rFonts w:ascii="Times New Roman" w:eastAsia="Calibri" w:hAnsi="Times New Roman" w:cs="Times New Roman"/>
          <w:noProof/>
          <w:sz w:val="24"/>
          <w:szCs w:val="24"/>
          <w:lang w:eastAsia="en-US"/>
        </w:rPr>
        <w:t>Services further increased their share of GDP from 46 % to 48.2 %, led by tra</w:t>
      </w:r>
      <w:r>
        <w:rPr>
          <w:rFonts w:ascii="Times New Roman" w:eastAsia="Calibri" w:hAnsi="Times New Roman" w:cs="Times New Roman"/>
          <w:noProof/>
          <w:sz w:val="24"/>
          <w:szCs w:val="24"/>
          <w:lang w:eastAsia="en-US"/>
        </w:rPr>
        <w:t>de, tourism, education and health. Tourism has continued to grow steadily over the last 3 years, a trend which is expected to be reversed in 2020 due to the COVID-19 pandemic while industry lost slightly ground, with its share in GDP decreasing from 12.6 %</w:t>
      </w:r>
      <w:r>
        <w:rPr>
          <w:rFonts w:ascii="Times New Roman" w:eastAsia="Calibri" w:hAnsi="Times New Roman" w:cs="Times New Roman"/>
          <w:noProof/>
          <w:sz w:val="24"/>
          <w:szCs w:val="24"/>
          <w:lang w:eastAsia="en-US"/>
        </w:rPr>
        <w:t xml:space="preserve"> to 12.3 %, as increasing manufacturing and the recovery of construction largely offset a  strong decline in mining. More employment in services (up from 39.8% to 42.9%) and manufacturing (up from 8.6% to 10.6%) and less in agriculture (down from 42.7% to </w:t>
      </w:r>
      <w:r>
        <w:rPr>
          <w:rFonts w:ascii="Times New Roman" w:eastAsia="Calibri" w:hAnsi="Times New Roman" w:cs="Times New Roman"/>
          <w:noProof/>
          <w:sz w:val="24"/>
          <w:szCs w:val="24"/>
          <w:lang w:eastAsia="en-US"/>
        </w:rPr>
        <w:t xml:space="preserve">37.4%) also reflect the continuing transformation of the Albanian economy.  </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 xml:space="preserve">More SMEs engaged in exporting, but their entrepreneurial skills and financial literacy remained weak and public support insufficient. </w:t>
      </w:r>
      <w:r>
        <w:rPr>
          <w:rFonts w:ascii="Times New Roman" w:eastAsia="Calibri" w:hAnsi="Times New Roman" w:cs="Times New Roman"/>
          <w:noProof/>
          <w:sz w:val="24"/>
          <w:szCs w:val="24"/>
          <w:lang w:eastAsia="en-US"/>
        </w:rPr>
        <w:t>SMEs accounted for 99.8% of all firms in Alb</w:t>
      </w:r>
      <w:r>
        <w:rPr>
          <w:rFonts w:ascii="Times New Roman" w:eastAsia="Calibri" w:hAnsi="Times New Roman" w:cs="Times New Roman"/>
          <w:noProof/>
          <w:sz w:val="24"/>
          <w:szCs w:val="24"/>
          <w:lang w:eastAsia="en-US"/>
        </w:rPr>
        <w:t>ania, with a very high proportion of micro-enterprises (1-10 employees). Between 2013 and 2016, their contribution to exports increased from 41% to 61%</w:t>
      </w:r>
      <w:r>
        <w:rPr>
          <w:rFonts w:ascii="Times New Roman" w:eastAsia="Calibri" w:hAnsi="Times New Roman" w:cs="Times New Roman"/>
          <w:noProof/>
          <w:sz w:val="24"/>
          <w:szCs w:val="24"/>
          <w:vertAlign w:val="superscript"/>
          <w:lang w:eastAsia="en-US"/>
        </w:rPr>
        <w:footnoteReference w:id="19"/>
      </w:r>
      <w:r>
        <w:rPr>
          <w:rFonts w:ascii="Times New Roman" w:eastAsia="Calibri" w:hAnsi="Times New Roman" w:cs="Times New Roman"/>
          <w:noProof/>
          <w:sz w:val="24"/>
          <w:szCs w:val="24"/>
          <w:lang w:eastAsia="en-US"/>
        </w:rPr>
        <w:t>. In 2017 and 2018, the number of SMEs continued to grow, in particular in services, and they recorded s</w:t>
      </w:r>
      <w:r>
        <w:rPr>
          <w:rFonts w:ascii="Times New Roman" w:eastAsia="Calibri" w:hAnsi="Times New Roman" w:cs="Times New Roman"/>
          <w:noProof/>
          <w:sz w:val="24"/>
          <w:szCs w:val="24"/>
          <w:lang w:eastAsia="en-US"/>
        </w:rPr>
        <w:t>trong growth in added value and employment. Low levels of entrepreneurial skills and financial literacy remained the major weaknesses, exacerbated by a paucity of public support services for investment and exports. Access to finance has begun to improve an</w:t>
      </w:r>
      <w:r>
        <w:rPr>
          <w:rFonts w:ascii="Times New Roman" w:eastAsia="Calibri" w:hAnsi="Times New Roman" w:cs="Times New Roman"/>
          <w:noProof/>
          <w:sz w:val="24"/>
          <w:szCs w:val="24"/>
          <w:lang w:eastAsia="en-US"/>
        </w:rPr>
        <w:t>d a few initiatives have been launched to improve lifelong and entrepreneurial learning. As for agriculture, scarce technical support and unclear land titles are keeping investment, productivity and incomes of the mostly small farms at very low levels.</w:t>
      </w:r>
    </w:p>
    <w:p w:rsidR="00EE1719" w:rsidRDefault="000E39BA">
      <w:pPr>
        <w:spacing w:after="120" w:line="240" w:lineRule="auto"/>
        <w:jc w:val="both"/>
        <w:rPr>
          <w:rFonts w:ascii="Times New Roman" w:eastAsia="Calibri" w:hAnsi="Times New Roman" w:cs="Times New Roman"/>
          <w:noProof/>
          <w:sz w:val="24"/>
          <w:szCs w:val="24"/>
          <w:u w:val="single"/>
          <w:lang w:eastAsia="en-US"/>
        </w:rPr>
      </w:pPr>
      <w:r>
        <w:rPr>
          <w:rFonts w:ascii="Times New Roman" w:eastAsia="Calibri" w:hAnsi="Times New Roman" w:cs="Times New Roman"/>
          <w:noProof/>
          <w:sz w:val="24"/>
          <w:szCs w:val="24"/>
          <w:u w:val="single"/>
          <w:lang w:eastAsia="en-US"/>
        </w:rPr>
        <w:t>Eco</w:t>
      </w:r>
      <w:r>
        <w:rPr>
          <w:rFonts w:ascii="Times New Roman" w:eastAsia="Calibri" w:hAnsi="Times New Roman" w:cs="Times New Roman"/>
          <w:noProof/>
          <w:sz w:val="24"/>
          <w:szCs w:val="24"/>
          <w:u w:val="single"/>
          <w:lang w:eastAsia="en-US"/>
        </w:rPr>
        <w:t>nomic integration with the EU and price competitiveness</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rPr>
        <w:drawing>
          <wp:anchor distT="0" distB="0" distL="114300" distR="114300" simplePos="0" relativeHeight="251657728" behindDoc="0" locked="0" layoutInCell="1" allowOverlap="1">
            <wp:simplePos x="0" y="0"/>
            <wp:positionH relativeFrom="margin">
              <wp:posOffset>2674</wp:posOffset>
            </wp:positionH>
            <wp:positionV relativeFrom="paragraph">
              <wp:posOffset>1565910</wp:posOffset>
            </wp:positionV>
            <wp:extent cx="5760000" cy="171000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000" cy="171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noProof/>
          <w:sz w:val="24"/>
          <w:szCs w:val="24"/>
          <w:lang w:eastAsia="en-US"/>
        </w:rPr>
        <w:t xml:space="preserve">Albania continued to narrow its large goods trade deficit with the EU, which remained its main trading partner. </w:t>
      </w:r>
      <w:r>
        <w:rPr>
          <w:rFonts w:ascii="Times New Roman" w:eastAsia="Calibri" w:hAnsi="Times New Roman" w:cs="Times New Roman"/>
          <w:noProof/>
          <w:sz w:val="24"/>
          <w:szCs w:val="24"/>
          <w:lang w:eastAsia="en-US"/>
        </w:rPr>
        <w:t>In 2019, the EU accounted for 76.6 % of Albania’s goods exports, a slight increase comp</w:t>
      </w:r>
      <w:r>
        <w:rPr>
          <w:rFonts w:ascii="Times New Roman" w:eastAsia="Calibri" w:hAnsi="Times New Roman" w:cs="Times New Roman"/>
          <w:noProof/>
          <w:sz w:val="24"/>
          <w:szCs w:val="24"/>
          <w:lang w:eastAsia="en-US"/>
        </w:rPr>
        <w:t>ared with 2018, and for 58.5 % of its goods imports, a 2.5 pps decline. The goods trade deficit with the EU narrowed from 10.6 % of GDP in 2014 to 9 % of GDP in 2019 or to about EUR 1.2 billion, and was to some extent offset by Albania’s growing surplus in</w:t>
      </w:r>
      <w:r>
        <w:rPr>
          <w:rFonts w:ascii="Times New Roman" w:eastAsia="Calibri" w:hAnsi="Times New Roman" w:cs="Times New Roman"/>
          <w:noProof/>
          <w:sz w:val="24"/>
          <w:szCs w:val="24"/>
          <w:lang w:eastAsia="en-US"/>
        </w:rPr>
        <w:t xml:space="preserve"> services. Italy remained the main destination for Albanian exports and a major source of remittances. Overall trade remained well below potential, in particular for a small economy, and decreased slightly from 76.9% of GDP in 2018 to 76.7% in 2019 (in rea</w:t>
      </w:r>
      <w:r>
        <w:rPr>
          <w:rFonts w:ascii="Times New Roman" w:eastAsia="Calibri" w:hAnsi="Times New Roman" w:cs="Times New Roman"/>
          <w:noProof/>
          <w:sz w:val="24"/>
          <w:szCs w:val="24"/>
          <w:lang w:eastAsia="en-US"/>
        </w:rPr>
        <w:t>l terms), up from 75.4 % in 2014.</w:t>
      </w:r>
      <w:r>
        <w:rPr>
          <w:rFonts w:ascii="Times New Roman" w:eastAsia="Calibri" w:hAnsi="Times New Roman" w:cs="Times New Roman"/>
          <w:b/>
          <w:noProof/>
          <w:sz w:val="24"/>
          <w:szCs w:val="24"/>
          <w:lang w:eastAsia="en-US"/>
        </w:rPr>
        <w:t xml:space="preserve"> </w:t>
      </w:r>
      <w:r>
        <w:rPr>
          <w:rFonts w:ascii="Times New Roman" w:eastAsia="Calibri" w:hAnsi="Times New Roman" w:cs="Times New Roman"/>
          <w:noProof/>
          <w:sz w:val="24"/>
          <w:szCs w:val="24"/>
          <w:lang w:eastAsia="en-US"/>
        </w:rPr>
        <w:t>The appreciation of the real-effective-exchange-rate index practically halted in 2019 (+0.3 %), after the steep climb of 9 % in 2018. Albania’s comparatively low integration into global value chains is based on textile and</w:t>
      </w:r>
      <w:r>
        <w:rPr>
          <w:rFonts w:ascii="Times New Roman" w:eastAsia="Calibri" w:hAnsi="Times New Roman" w:cs="Times New Roman"/>
          <w:noProof/>
          <w:sz w:val="24"/>
          <w:szCs w:val="24"/>
          <w:lang w:eastAsia="en-US"/>
        </w:rPr>
        <w:t xml:space="preserve"> footwear manufacturing services and this is reflected</w:t>
      </w:r>
      <w:r>
        <w:rPr>
          <w:rFonts w:ascii="Times New Roman" w:eastAsia="Calibri" w:hAnsi="Times New Roman" w:cs="Times New Roman"/>
          <w:b/>
          <w:noProof/>
          <w:sz w:val="24"/>
          <w:szCs w:val="24"/>
          <w:lang w:eastAsia="en-US"/>
        </w:rPr>
        <w:t xml:space="preserve"> </w:t>
      </w:r>
      <w:r>
        <w:rPr>
          <w:rFonts w:ascii="Times New Roman" w:eastAsia="Calibri" w:hAnsi="Times New Roman" w:cs="Times New Roman"/>
          <w:noProof/>
          <w:sz w:val="24"/>
          <w:szCs w:val="24"/>
          <w:lang w:eastAsia="en-US"/>
        </w:rPr>
        <w:t xml:space="preserve">in the limited diversification of goods exports. </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 xml:space="preserve">Exports of goods to Central European Free Trade Agreement (CEFTA) countries increased, while imports from CEFTA countries declined. </w:t>
      </w:r>
      <w:r>
        <w:rPr>
          <w:rFonts w:ascii="Times New Roman" w:eastAsia="Calibri" w:hAnsi="Times New Roman" w:cs="Times New Roman"/>
          <w:noProof/>
          <w:sz w:val="24"/>
          <w:szCs w:val="24"/>
          <w:lang w:eastAsia="en-US"/>
        </w:rPr>
        <w:t>Merchandise exports</w:t>
      </w:r>
      <w:r>
        <w:rPr>
          <w:rFonts w:ascii="Times New Roman" w:eastAsia="Calibri" w:hAnsi="Times New Roman" w:cs="Times New Roman"/>
          <w:noProof/>
          <w:sz w:val="24"/>
          <w:szCs w:val="24"/>
          <w:lang w:eastAsia="en-US"/>
        </w:rPr>
        <w:t xml:space="preserve"> to CEFTA countries increased their share from 11.6% of exports in 2014 significantly to 17.2 % in 2019, while exports to the rest of the world (excl. EU) declined. In contrast, imports from CEFTA countries gradually declined and fell back from 7.9 % in 20</w:t>
      </w:r>
      <w:r>
        <w:rPr>
          <w:rFonts w:ascii="Times New Roman" w:eastAsia="Calibri" w:hAnsi="Times New Roman" w:cs="Times New Roman"/>
          <w:noProof/>
          <w:sz w:val="24"/>
          <w:szCs w:val="24"/>
          <w:lang w:eastAsia="en-US"/>
        </w:rPr>
        <w:t>14 to 6.9% of total Albanian imports, while the proportion of imports from other countries increased from 31% to 34.5%. The low imports from CEFTA countries reflect the dominance of machinery and equipment in the composition of Albania’s imports, which are</w:t>
      </w:r>
      <w:r>
        <w:rPr>
          <w:rFonts w:ascii="Times New Roman" w:eastAsia="Calibri" w:hAnsi="Times New Roman" w:cs="Times New Roman"/>
          <w:noProof/>
          <w:sz w:val="24"/>
          <w:szCs w:val="24"/>
          <w:lang w:eastAsia="en-US"/>
        </w:rPr>
        <w:t xml:space="preserve"> not key export goods of CEFTA countries. </w:t>
      </w:r>
    </w:p>
    <w:p w:rsidR="00EE1719" w:rsidRDefault="000E39BA">
      <w:pPr>
        <w:spacing w:after="12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Albania attracted increasing FDI flows from the EU and elsewhere, but only in a limited range of sectors.</w:t>
      </w:r>
      <w:r>
        <w:rPr>
          <w:rFonts w:ascii="Times New Roman" w:eastAsia="Calibri" w:hAnsi="Times New Roman" w:cs="Times New Roman"/>
          <w:noProof/>
          <w:sz w:val="24"/>
          <w:szCs w:val="24"/>
          <w:lang w:eastAsia="en-US"/>
        </w:rPr>
        <w:t xml:space="preserve"> FDI inflows from the EU grew by 16% year-on-year in 2018, after a record 44% increase in 2017. Nevertheless</w:t>
      </w:r>
      <w:r>
        <w:rPr>
          <w:rFonts w:ascii="Times New Roman" w:eastAsia="Calibri" w:hAnsi="Times New Roman" w:cs="Times New Roman"/>
          <w:noProof/>
          <w:sz w:val="24"/>
          <w:szCs w:val="24"/>
          <w:lang w:eastAsia="en-US"/>
        </w:rPr>
        <w:t>, the EU lost some of its dominant position in Albanian FDI stocks, accounting for only 53.9% in 2018 and 53% in 2019 (down from a peak of 66% in 2015), partly due to a large build-up of non</w:t>
      </w:r>
      <w:r>
        <w:rPr>
          <w:rFonts w:ascii="Times New Roman" w:eastAsia="Calibri" w:hAnsi="Times New Roman" w:cs="Times New Roman"/>
          <w:noProof/>
          <w:sz w:val="24"/>
          <w:szCs w:val="24"/>
          <w:lang w:eastAsia="en-US"/>
        </w:rPr>
        <w:noBreakHyphen/>
        <w:t>EU FDI stocks in the energy and mineral sector. At the same time,</w:t>
      </w:r>
      <w:r>
        <w:rPr>
          <w:rFonts w:ascii="Times New Roman" w:eastAsia="Calibri" w:hAnsi="Times New Roman" w:cs="Times New Roman"/>
          <w:noProof/>
          <w:sz w:val="24"/>
          <w:szCs w:val="24"/>
          <w:lang w:eastAsia="en-US"/>
        </w:rPr>
        <w:t xml:space="preserve"> the number of medium</w:t>
      </w:r>
      <w:r>
        <w:rPr>
          <w:rFonts w:ascii="Times New Roman" w:eastAsia="Calibri" w:hAnsi="Times New Roman" w:cs="Times New Roman"/>
          <w:noProof/>
          <w:sz w:val="24"/>
          <w:szCs w:val="24"/>
          <w:lang w:eastAsia="en-US"/>
        </w:rPr>
        <w:noBreakHyphen/>
        <w:t>sized and large enterprises from the EU (or with investment from a EU</w:t>
      </w:r>
      <w:r>
        <w:rPr>
          <w:rFonts w:ascii="Times New Roman" w:eastAsia="Calibri" w:hAnsi="Times New Roman" w:cs="Times New Roman"/>
          <w:noProof/>
          <w:sz w:val="24"/>
          <w:szCs w:val="24"/>
          <w:lang w:eastAsia="en-US"/>
        </w:rPr>
        <w:noBreakHyphen/>
        <w:t>based company) declined strongly.</w:t>
      </w:r>
    </w:p>
    <w:p w:rsidR="00EE1719" w:rsidRDefault="000E39BA">
      <w:pPr>
        <w:pStyle w:val="Heading1"/>
        <w:rPr>
          <w:rFonts w:eastAsia="Calibri"/>
        </w:rPr>
      </w:pPr>
      <w:bookmarkStart w:id="43" w:name="_Toc9328484"/>
      <w:bookmarkStart w:id="44" w:name="_Toc9331917"/>
      <w:bookmarkStart w:id="45" w:name="_Toc9430009"/>
      <w:bookmarkStart w:id="46" w:name="_Toc29803509"/>
      <w:bookmarkStart w:id="47" w:name="_Toc52745512"/>
      <w:r>
        <w:t>4.</w:t>
      </w:r>
      <w:r>
        <w:tab/>
        <w:t>Good neighbourly relations and regional cooperation</w:t>
      </w:r>
      <w:bookmarkEnd w:id="43"/>
      <w:bookmarkEnd w:id="44"/>
      <w:bookmarkEnd w:id="45"/>
      <w:bookmarkEnd w:id="46"/>
      <w:bookmarkEnd w:id="47"/>
      <w:r>
        <w:t xml:space="preserve">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b/>
          <w:bCs/>
          <w:noProof/>
          <w:color w:val="000000" w:themeColor="text1"/>
          <w:sz w:val="24"/>
          <w:szCs w:val="24"/>
          <w:lang w:eastAsia="en-US"/>
        </w:rPr>
        <w:t xml:space="preserve">Good neighbourly relations and regional cooperation </w:t>
      </w:r>
      <w:r>
        <w:rPr>
          <w:rFonts w:ascii="Times New Roman" w:eastAsia="Calibri" w:hAnsi="Times New Roman" w:cs="Times New Roman"/>
          <w:bCs/>
          <w:noProof/>
          <w:color w:val="000000" w:themeColor="text1"/>
          <w:sz w:val="24"/>
          <w:szCs w:val="24"/>
          <w:lang w:eastAsia="en-US"/>
        </w:rPr>
        <w:t>form an essential part</w:t>
      </w:r>
      <w:r>
        <w:rPr>
          <w:rFonts w:ascii="Times New Roman" w:eastAsia="Calibri" w:hAnsi="Times New Roman" w:cs="Times New Roman"/>
          <w:bCs/>
          <w:noProof/>
          <w:color w:val="000000" w:themeColor="text1"/>
          <w:sz w:val="24"/>
          <w:szCs w:val="24"/>
          <w:lang w:eastAsia="en-US"/>
        </w:rPr>
        <w:t xml:space="preserve"> of the country’s process of moving towards the EU. They contribute to stability, reconciliation and a climate conducive to addressing open bilateral issues and the legacies of the past. </w:t>
      </w:r>
      <w:r>
        <w:rPr>
          <w:rFonts w:ascii="Times New Roman" w:hAnsi="Times New Roman" w:cs="Times New Roman"/>
          <w:noProof/>
          <w:color w:val="000000" w:themeColor="text1"/>
          <w:sz w:val="24"/>
          <w:szCs w:val="24"/>
        </w:rPr>
        <w:t xml:space="preserve">The government has taken a positive approach to regional cooperation </w:t>
      </w:r>
      <w:r>
        <w:rPr>
          <w:rFonts w:ascii="Times New Roman" w:hAnsi="Times New Roman" w:cs="Times New Roman"/>
          <w:noProof/>
          <w:color w:val="000000" w:themeColor="text1"/>
          <w:sz w:val="24"/>
          <w:szCs w:val="24"/>
        </w:rPr>
        <w:t xml:space="preserve">and good neighbourly relations. </w:t>
      </w:r>
      <w:r>
        <w:rPr>
          <w:rFonts w:ascii="Times New Roman" w:eastAsia="Calibri" w:hAnsi="Times New Roman" w:cs="Times New Roman"/>
          <w:noProof/>
          <w:color w:val="000000" w:themeColor="text1"/>
          <w:sz w:val="24"/>
          <w:szCs w:val="24"/>
          <w:lang w:eastAsia="en-US"/>
        </w:rPr>
        <w:t>Albania participates actively in around 35 regional organisations and initiatives, such as the Central European Free Trade Agreement (CEFTA), the Energy Community, the Transport Community, the South East European Cooperation</w:t>
      </w:r>
      <w:r>
        <w:rPr>
          <w:rFonts w:ascii="Times New Roman" w:eastAsia="Calibri" w:hAnsi="Times New Roman" w:cs="Times New Roman"/>
          <w:noProof/>
          <w:color w:val="000000" w:themeColor="text1"/>
          <w:sz w:val="24"/>
          <w:szCs w:val="24"/>
          <w:lang w:eastAsia="en-US"/>
        </w:rPr>
        <w:t xml:space="preserve"> Process (SEECP) and the Regional Cooperation Council.</w:t>
      </w:r>
      <w:r>
        <w:rPr>
          <w:rFonts w:ascii="Times New Roman" w:eastAsia="Calibri" w:hAnsi="Times New Roman" w:cs="Times New Roman"/>
          <w:noProof/>
          <w:color w:val="000000" w:themeColor="text1"/>
          <w:sz w:val="24"/>
          <w:szCs w:val="24"/>
          <w:vertAlign w:val="superscript"/>
          <w:lang w:eastAsia="en-US"/>
        </w:rPr>
        <w:footnoteReference w:id="20"/>
      </w:r>
      <w:r>
        <w:rPr>
          <w:rFonts w:ascii="Times New Roman" w:eastAsia="Calibri" w:hAnsi="Times New Roman" w:cs="Times New Roman"/>
          <w:noProof/>
          <w:color w:val="000000" w:themeColor="text1"/>
          <w:sz w:val="24"/>
          <w:szCs w:val="24"/>
          <w:lang w:eastAsia="en-US"/>
        </w:rPr>
        <w:t xml:space="preserve"> In April 2020, Albania hosted the Brdo-Brijuni Summit at the level of Presidents.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With the outbreak of COVID-19 pandemic, Albania like other Western Balkan countries opted for temporary closure of th</w:t>
      </w:r>
      <w:r>
        <w:rPr>
          <w:rFonts w:ascii="Times New Roman" w:eastAsia="Calibri" w:hAnsi="Times New Roman" w:cs="Times New Roman"/>
          <w:noProof/>
          <w:color w:val="000000" w:themeColor="text1"/>
          <w:sz w:val="24"/>
          <w:szCs w:val="24"/>
          <w:lang w:eastAsia="en-US"/>
        </w:rPr>
        <w:t xml:space="preserve">e borders for passengers aiming at preventing the virus from spreading. Albania took part in EU-initiated "Green Lanes" initiative, aimed at ensuring the fast flow of essential goods across the region. </w:t>
      </w:r>
    </w:p>
    <w:p w:rsidR="00EE1719" w:rsidRDefault="000E39BA">
      <w:pPr>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During the COVID-19 crisis, inclusive regional cooper</w:t>
      </w:r>
      <w:r>
        <w:rPr>
          <w:rFonts w:ascii="Times New Roman" w:eastAsia="Calibri" w:hAnsi="Times New Roman" w:cs="Times New Roman"/>
          <w:noProof/>
          <w:color w:val="000000" w:themeColor="text1"/>
          <w:sz w:val="24"/>
          <w:szCs w:val="24"/>
          <w:lang w:eastAsia="en-US"/>
        </w:rPr>
        <w:t xml:space="preserve">ation has proven to be essential. </w:t>
      </w:r>
      <w:r>
        <w:rPr>
          <w:rFonts w:ascii="Times New Roman" w:hAnsi="Times New Roman" w:cs="Times New Roman"/>
          <w:noProof/>
          <w:color w:val="000000" w:themeColor="text1"/>
          <w:sz w:val="24"/>
          <w:szCs w:val="24"/>
        </w:rPr>
        <w:t xml:space="preserve">The establishment of green lanes within the region has proven the capacity of the region to </w:t>
      </w:r>
      <w:r>
        <w:rPr>
          <w:rFonts w:ascii="Times New Roman" w:eastAsia="Calibri" w:hAnsi="Times New Roman" w:cs="Times New Roman"/>
          <w:noProof/>
          <w:color w:val="000000" w:themeColor="text1"/>
          <w:sz w:val="24"/>
          <w:szCs w:val="24"/>
          <w:lang w:eastAsia="en-US"/>
        </w:rPr>
        <w:t xml:space="preserve">address common challenges swiftly and efficiently. Inclusive regional organisations – the Regional Cooperation Council, the </w:t>
      </w:r>
      <w:r>
        <w:rPr>
          <w:rFonts w:ascii="Times New Roman" w:eastAsia="Calibri" w:hAnsi="Times New Roman" w:cs="Times New Roman"/>
          <w:noProof/>
          <w:color w:val="000000" w:themeColor="text1"/>
          <w:sz w:val="24"/>
          <w:szCs w:val="24"/>
          <w:lang w:eastAsia="en-US"/>
        </w:rPr>
        <w:t>Transport Community, and CEFTA – have been instrumental in responding to the COVID-19 crisis. These achievements need to be turned into sustainable improvements.</w:t>
      </w:r>
    </w:p>
    <w:p w:rsidR="00EE1719" w:rsidRDefault="000E39BA">
      <w:pPr>
        <w:spacing w:after="120" w:line="240" w:lineRule="auto"/>
        <w:jc w:val="both"/>
        <w:rPr>
          <w:rFonts w:ascii="Times New Roman" w:eastAsia="Calibri" w:hAnsi="Times New Roman" w:cs="Times New Roman"/>
          <w:iCs/>
          <w:noProof/>
          <w:color w:val="000000" w:themeColor="text1"/>
          <w:sz w:val="24"/>
          <w:szCs w:val="24"/>
          <w:lang w:eastAsia="en-US"/>
        </w:rPr>
      </w:pPr>
      <w:r>
        <w:rPr>
          <w:rFonts w:ascii="Times New Roman" w:eastAsia="Calibri" w:hAnsi="Times New Roman" w:cs="Times New Roman"/>
          <w:iCs/>
          <w:noProof/>
          <w:color w:val="000000" w:themeColor="text1"/>
          <w:sz w:val="24"/>
          <w:szCs w:val="24"/>
          <w:lang w:eastAsia="en-US"/>
        </w:rPr>
        <w:t>In September 2019, Serbia's President and the Prime Ministers of North Macedonia and Albania a</w:t>
      </w:r>
      <w:r>
        <w:rPr>
          <w:rFonts w:ascii="Times New Roman" w:eastAsia="Calibri" w:hAnsi="Times New Roman" w:cs="Times New Roman"/>
          <w:iCs/>
          <w:noProof/>
          <w:color w:val="000000" w:themeColor="text1"/>
          <w:sz w:val="24"/>
          <w:szCs w:val="24"/>
          <w:lang w:eastAsia="en-US"/>
        </w:rPr>
        <w:t>greed to launch an initiative to enhance regional cooperation. This was followed by leaders’ summits in October in Novi Sad, November in Ohrid and December in Tirana. The meetings produced Chairs’ conclusions on tripartite cooperation on free movement of p</w:t>
      </w:r>
      <w:r>
        <w:rPr>
          <w:rFonts w:ascii="Times New Roman" w:eastAsia="Calibri" w:hAnsi="Times New Roman" w:cs="Times New Roman"/>
          <w:iCs/>
          <w:noProof/>
          <w:color w:val="000000" w:themeColor="text1"/>
          <w:sz w:val="24"/>
          <w:szCs w:val="24"/>
          <w:lang w:eastAsia="en-US"/>
        </w:rPr>
        <w:t>eople, goods, services and capital. The initiative provided a renewed impetus to regional cooperation and enhanced regional ownership. It is important that regional initiatives include all partners in the Western Balkans and are based on EU rules, building</w:t>
      </w:r>
      <w:r>
        <w:rPr>
          <w:rFonts w:ascii="Times New Roman" w:eastAsia="Calibri" w:hAnsi="Times New Roman" w:cs="Times New Roman"/>
          <w:iCs/>
          <w:noProof/>
          <w:color w:val="000000" w:themeColor="text1"/>
          <w:sz w:val="24"/>
          <w:szCs w:val="24"/>
          <w:lang w:eastAsia="en-US"/>
        </w:rPr>
        <w:t xml:space="preserve"> on commitments previously taken in the framework of CEFTA, the Regional Economic Area (REA) or the Transport Community Treaty. Many commitments and decisions have already been taken in these regional frameworks and they need to be swiftly implemented. </w:t>
      </w:r>
    </w:p>
    <w:p w:rsidR="00EE1719" w:rsidRDefault="000E39BA">
      <w:pPr>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Building on the results of the previous summits with the region, the Western Balkans summit in Poznan focussed on strengthening regional cooperation in the fields of economy and trade, the digital agenda, connectivity, security, fight against corruption, p</w:t>
      </w:r>
      <w:r>
        <w:rPr>
          <w:rFonts w:ascii="Times New Roman" w:eastAsia="Calibri" w:hAnsi="Times New Roman" w:cs="Times New Roman"/>
          <w:noProof/>
          <w:color w:val="000000" w:themeColor="text1"/>
          <w:sz w:val="24"/>
          <w:szCs w:val="24"/>
          <w:lang w:eastAsia="en-US"/>
        </w:rPr>
        <w:t>romoting reconciliation and youth. The summit endorsed a number of achievements in these fields, in particular the clean energy transition declaration signed in Podgorica, the regional roaming agreement signed in Belgrade, a substantial connectivity packag</w:t>
      </w:r>
      <w:r>
        <w:rPr>
          <w:rFonts w:ascii="Times New Roman" w:eastAsia="Calibri" w:hAnsi="Times New Roman" w:cs="Times New Roman"/>
          <w:noProof/>
          <w:color w:val="000000" w:themeColor="text1"/>
          <w:sz w:val="24"/>
          <w:szCs w:val="24"/>
          <w:lang w:eastAsia="en-US"/>
        </w:rPr>
        <w:t>e and the Roma</w:t>
      </w:r>
      <w:r>
        <w:rPr>
          <w:rStyle w:val="FootnoteReference"/>
          <w:rFonts w:ascii="Times New Roman" w:eastAsia="Calibri" w:hAnsi="Times New Roman" w:cs="Times New Roman"/>
          <w:noProof/>
          <w:color w:val="000000" w:themeColor="text1"/>
          <w:sz w:val="24"/>
          <w:szCs w:val="24"/>
          <w:lang w:eastAsia="en-US"/>
        </w:rPr>
        <w:footnoteReference w:id="21"/>
      </w:r>
      <w:r>
        <w:rPr>
          <w:rFonts w:ascii="Times New Roman" w:eastAsia="Calibri" w:hAnsi="Times New Roman" w:cs="Times New Roman"/>
          <w:noProof/>
          <w:color w:val="000000" w:themeColor="text1"/>
          <w:sz w:val="24"/>
          <w:szCs w:val="24"/>
          <w:lang w:eastAsia="en-US"/>
        </w:rPr>
        <w:t xml:space="preserve"> integration declaration.  It was also the occasion to kick-start the preparation of a Green Agenda for the Western Balkans.</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hAnsi="Times New Roman" w:cs="Times New Roman"/>
          <w:noProof/>
          <w:color w:val="000000" w:themeColor="text1"/>
          <w:sz w:val="24"/>
          <w:szCs w:val="24"/>
        </w:rPr>
        <w:t>At the Zagreb Summit on 6 May 2020, EU and Western Balkans leaders agreed that deepening regional economic integrati</w:t>
      </w:r>
      <w:r>
        <w:rPr>
          <w:rFonts w:ascii="Times New Roman" w:hAnsi="Times New Roman" w:cs="Times New Roman"/>
          <w:noProof/>
          <w:color w:val="000000" w:themeColor="text1"/>
          <w:sz w:val="24"/>
          <w:szCs w:val="24"/>
        </w:rPr>
        <w:t xml:space="preserve">on has to be a prominent part of recovery efforts of the Western Balkans. </w:t>
      </w:r>
      <w:r>
        <w:rPr>
          <w:rFonts w:ascii="Times New Roman" w:eastAsia="Calibri" w:hAnsi="Times New Roman" w:cs="Times New Roman"/>
          <w:noProof/>
          <w:color w:val="000000" w:themeColor="text1"/>
          <w:sz w:val="24"/>
          <w:szCs w:val="24"/>
          <w:lang w:eastAsia="en-US"/>
        </w:rPr>
        <w:t>To do so, Albania needs to continue playing a constructive role in building a common regional market, which will be critical to increase the attractiveness and competitiveness of the</w:t>
      </w:r>
      <w:r>
        <w:rPr>
          <w:rFonts w:ascii="Times New Roman" w:eastAsia="Calibri" w:hAnsi="Times New Roman" w:cs="Times New Roman"/>
          <w:noProof/>
          <w:color w:val="000000" w:themeColor="text1"/>
          <w:sz w:val="24"/>
          <w:szCs w:val="24"/>
          <w:lang w:eastAsia="en-US"/>
        </w:rPr>
        <w:t xml:space="preserve"> region. It will help Albania to speed up the recovery from the aftermath of the pandemic – notably by attracting investors looking for diversification of supply and shorter value chains. Such a common regional market has to be inclusive, based on EU rules</w:t>
      </w:r>
      <w:r>
        <w:rPr>
          <w:rFonts w:ascii="Times New Roman" w:eastAsia="Calibri" w:hAnsi="Times New Roman" w:cs="Times New Roman"/>
          <w:noProof/>
          <w:color w:val="000000" w:themeColor="text1"/>
          <w:sz w:val="24"/>
          <w:szCs w:val="24"/>
          <w:lang w:eastAsia="en-US"/>
        </w:rPr>
        <w:t xml:space="preserve"> and built on the achievements of the regional economic area multiannual action plan.</w:t>
      </w:r>
    </w:p>
    <w:p w:rsidR="00EE1719" w:rsidRDefault="000E39BA">
      <w:pPr>
        <w:spacing w:after="120" w:line="240" w:lineRule="auto"/>
        <w:jc w:val="both"/>
        <w:rPr>
          <w:rFonts w:ascii="Times New Roman" w:eastAsia="Calibri" w:hAnsi="Times New Roman" w:cs="Times New Roman"/>
          <w:iCs/>
          <w:noProof/>
          <w:color w:val="000000" w:themeColor="text1"/>
          <w:sz w:val="24"/>
          <w:szCs w:val="24"/>
          <w:lang w:eastAsia="en-US"/>
        </w:rPr>
      </w:pPr>
      <w:r>
        <w:rPr>
          <w:rFonts w:ascii="Times New Roman" w:eastAsia="Calibri" w:hAnsi="Times New Roman" w:cs="Times New Roman"/>
          <w:iCs/>
          <w:noProof/>
          <w:color w:val="000000" w:themeColor="text1"/>
          <w:sz w:val="24"/>
          <w:szCs w:val="24"/>
          <w:lang w:eastAsia="en-US"/>
        </w:rPr>
        <w:t>Concerning the implementation of the multiannual action plan (MAP) for the development of a regional economic area (REA) in the Western Balkans, despite persisting challe</w:t>
      </w:r>
      <w:r>
        <w:rPr>
          <w:rFonts w:ascii="Times New Roman" w:eastAsia="Calibri" w:hAnsi="Times New Roman" w:cs="Times New Roman"/>
          <w:iCs/>
          <w:noProof/>
          <w:color w:val="000000" w:themeColor="text1"/>
          <w:sz w:val="24"/>
          <w:szCs w:val="24"/>
          <w:lang w:eastAsia="en-US"/>
        </w:rPr>
        <w:t xml:space="preserve">nges, achievements have included the adoption of overdue decisions in the framework of CEFTA in Tirana in December 2019. Albania maintains a strong commitment to the successful implementation of MAP REA and is advised to continue implementing all measures </w:t>
      </w:r>
      <w:r>
        <w:rPr>
          <w:rFonts w:ascii="Times New Roman" w:eastAsia="Calibri" w:hAnsi="Times New Roman" w:cs="Times New Roman"/>
          <w:iCs/>
          <w:noProof/>
          <w:color w:val="000000" w:themeColor="text1"/>
          <w:sz w:val="24"/>
          <w:szCs w:val="24"/>
          <w:lang w:eastAsia="en-US"/>
        </w:rPr>
        <w:t xml:space="preserve">under the MAP REA and the regional investment reform agenda to reap the benefits of regional economic integration. This process is based on the EU </w:t>
      </w:r>
      <w:r>
        <w:rPr>
          <w:rFonts w:ascii="Times New Roman" w:eastAsia="Calibri" w:hAnsi="Times New Roman" w:cs="Times New Roman"/>
          <w:i/>
          <w:iCs/>
          <w:noProof/>
          <w:color w:val="000000" w:themeColor="text1"/>
          <w:sz w:val="24"/>
          <w:szCs w:val="24"/>
          <w:lang w:eastAsia="en-US"/>
        </w:rPr>
        <w:t>acquis</w:t>
      </w:r>
      <w:r>
        <w:rPr>
          <w:rFonts w:ascii="Times New Roman" w:eastAsia="Calibri" w:hAnsi="Times New Roman" w:cs="Times New Roman"/>
          <w:iCs/>
          <w:noProof/>
          <w:color w:val="000000" w:themeColor="text1"/>
          <w:sz w:val="24"/>
          <w:szCs w:val="24"/>
          <w:lang w:eastAsia="en-US"/>
        </w:rPr>
        <w:t xml:space="preserve"> and the EU accession process, which are mutually reinforcing. </w:t>
      </w:r>
    </w:p>
    <w:p w:rsidR="00EE1719" w:rsidRDefault="000E39BA">
      <w:pPr>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 xml:space="preserve">Albania has continued to strengthen </w:t>
      </w:r>
      <w:r>
        <w:rPr>
          <w:rFonts w:ascii="Times New Roman" w:eastAsia="Calibri" w:hAnsi="Times New Roman" w:cs="Times New Roman"/>
          <w:b/>
          <w:noProof/>
          <w:color w:val="000000" w:themeColor="text1"/>
          <w:sz w:val="24"/>
          <w:szCs w:val="24"/>
          <w:lang w:eastAsia="en-US"/>
        </w:rPr>
        <w:t>bil</w:t>
      </w:r>
      <w:r>
        <w:rPr>
          <w:rFonts w:ascii="Times New Roman" w:eastAsia="Calibri" w:hAnsi="Times New Roman" w:cs="Times New Roman"/>
          <w:b/>
          <w:noProof/>
          <w:color w:val="000000" w:themeColor="text1"/>
          <w:sz w:val="24"/>
          <w:szCs w:val="24"/>
          <w:lang w:eastAsia="en-US"/>
        </w:rPr>
        <w:t>ateral relations</w:t>
      </w:r>
      <w:r>
        <w:rPr>
          <w:rFonts w:ascii="Times New Roman" w:eastAsia="Calibri" w:hAnsi="Times New Roman" w:cs="Times New Roman"/>
          <w:noProof/>
          <w:color w:val="000000" w:themeColor="text1"/>
          <w:sz w:val="24"/>
          <w:szCs w:val="24"/>
          <w:lang w:eastAsia="en-US"/>
        </w:rPr>
        <w:t xml:space="preserve"> with the countries of the region.</w:t>
      </w:r>
    </w:p>
    <w:p w:rsidR="00EE1719" w:rsidRDefault="000E39BA">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Relations with </w:t>
      </w:r>
      <w:r>
        <w:rPr>
          <w:rFonts w:ascii="Times New Roman" w:eastAsia="Calibri" w:hAnsi="Times New Roman" w:cs="Times New Roman"/>
          <w:b/>
          <w:bCs/>
          <w:i/>
          <w:noProof/>
          <w:color w:val="000000" w:themeColor="text1"/>
          <w:sz w:val="24"/>
          <w:szCs w:val="24"/>
        </w:rPr>
        <w:t>Bosnia and Herzegovina</w:t>
      </w:r>
      <w:r>
        <w:rPr>
          <w:rFonts w:ascii="Times New Roman" w:eastAsia="Calibri"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lang w:eastAsia="zh-CN"/>
        </w:rPr>
        <w:t>are friendly and without open issues</w:t>
      </w:r>
      <w:r>
        <w:rPr>
          <w:rFonts w:ascii="Times New Roman" w:eastAsia="Calibri" w:hAnsi="Times New Roman" w:cs="Times New Roman"/>
          <w:noProof/>
          <w:color w:val="000000" w:themeColor="text1"/>
          <w:sz w:val="24"/>
          <w:szCs w:val="24"/>
        </w:rPr>
        <w:t xml:space="preserve">, with occasional high-level bilateral visits. The countries initialled an agreement on cooperation in the EU accession process and an agreement on economic cooperation. Trade flows remain low. </w:t>
      </w:r>
    </w:p>
    <w:p w:rsidR="00EE1719" w:rsidRDefault="000E39BA">
      <w:pPr>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 xml:space="preserve">Overall, Albania continues to have good relations with </w:t>
      </w:r>
      <w:r>
        <w:rPr>
          <w:rFonts w:ascii="Times New Roman" w:eastAsia="Calibri" w:hAnsi="Times New Roman" w:cs="Times New Roman"/>
          <w:b/>
          <w:i/>
          <w:noProof/>
          <w:color w:val="000000" w:themeColor="text1"/>
          <w:sz w:val="24"/>
          <w:szCs w:val="24"/>
          <w:lang w:eastAsia="en-US"/>
        </w:rPr>
        <w:t>Kosovo</w:t>
      </w:r>
      <w:r>
        <w:rPr>
          <w:rFonts w:ascii="Times New Roman" w:eastAsia="Calibri" w:hAnsi="Times New Roman" w:cs="Times New Roman"/>
          <w:noProof/>
          <w:color w:val="000000" w:themeColor="text1"/>
          <w:sz w:val="24"/>
          <w:szCs w:val="24"/>
          <w:lang w:eastAsia="en-US"/>
        </w:rPr>
        <w:t>. In July 2019, an agreement on strategic and diplomatic cooperation was signed between the two governments aimed at extending the mechanism of the joint diplomatic missions and economic diplomacy. Albania continued to advocate for Kosovo’s full participat</w:t>
      </w:r>
      <w:r>
        <w:rPr>
          <w:rFonts w:ascii="Times New Roman" w:eastAsia="Calibri" w:hAnsi="Times New Roman" w:cs="Times New Roman"/>
          <w:noProof/>
          <w:color w:val="000000" w:themeColor="text1"/>
          <w:sz w:val="24"/>
          <w:szCs w:val="24"/>
          <w:lang w:eastAsia="en-US"/>
        </w:rPr>
        <w:t xml:space="preserve">ion to regional processes. </w:t>
      </w:r>
      <w:r>
        <w:rPr>
          <w:rFonts w:ascii="Times New Roman" w:hAnsi="Times New Roman" w:cs="Times New Roman"/>
          <w:noProof/>
          <w:color w:val="000000" w:themeColor="text1"/>
          <w:sz w:val="24"/>
          <w:szCs w:val="24"/>
        </w:rPr>
        <w:t xml:space="preserve">In 2019, Kosovo and Albania signed a number of bilateral sectoral agreements (including on roaming, common border crossing points, mutual recognition of driver’s licences). </w:t>
      </w:r>
      <w:r>
        <w:rPr>
          <w:rFonts w:ascii="Times New Roman" w:eastAsia="Calibri" w:hAnsi="Times New Roman" w:cs="Times New Roman"/>
          <w:noProof/>
          <w:color w:val="000000" w:themeColor="text1"/>
          <w:sz w:val="24"/>
          <w:szCs w:val="24"/>
          <w:lang w:eastAsia="en-US"/>
        </w:rPr>
        <w:t xml:space="preserve">However, the momentum of these relations fluctuated due </w:t>
      </w:r>
      <w:r>
        <w:rPr>
          <w:rFonts w:ascii="Times New Roman" w:eastAsia="Calibri" w:hAnsi="Times New Roman" w:cs="Times New Roman"/>
          <w:noProof/>
          <w:color w:val="000000" w:themeColor="text1"/>
          <w:sz w:val="24"/>
          <w:szCs w:val="24"/>
          <w:lang w:eastAsia="en-US"/>
        </w:rPr>
        <w:t xml:space="preserve">to internal political dynamics in Albania and Kosovo, and to the positioning of respective leadership on the EU-facilitated Dialogue between Belgrade and Pristina. </w:t>
      </w:r>
    </w:p>
    <w:p w:rsidR="00EE1719" w:rsidRDefault="000E39BA">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lang w:eastAsia="en-US"/>
        </w:rPr>
        <w:t xml:space="preserve">Relations with </w:t>
      </w:r>
      <w:r>
        <w:rPr>
          <w:rFonts w:ascii="Times New Roman" w:eastAsia="Calibri" w:hAnsi="Times New Roman" w:cs="Times New Roman"/>
          <w:b/>
          <w:bCs/>
          <w:i/>
          <w:iCs/>
          <w:noProof/>
          <w:color w:val="000000" w:themeColor="text1"/>
          <w:sz w:val="24"/>
          <w:szCs w:val="24"/>
          <w:lang w:eastAsia="en-US"/>
        </w:rPr>
        <w:t>Montenegr</w:t>
      </w:r>
      <w:r>
        <w:rPr>
          <w:rFonts w:ascii="Times New Roman" w:eastAsia="Calibri" w:hAnsi="Times New Roman" w:cs="Times New Roman"/>
          <w:b/>
          <w:bCs/>
          <w:noProof/>
          <w:color w:val="000000" w:themeColor="text1"/>
          <w:sz w:val="24"/>
          <w:szCs w:val="24"/>
          <w:lang w:eastAsia="en-US"/>
        </w:rPr>
        <w:t xml:space="preserve">o </w:t>
      </w:r>
      <w:r>
        <w:rPr>
          <w:rFonts w:ascii="Times New Roman" w:eastAsia="Calibri" w:hAnsi="Times New Roman" w:cs="Times New Roman"/>
          <w:noProof/>
          <w:color w:val="000000" w:themeColor="text1"/>
          <w:sz w:val="24"/>
          <w:szCs w:val="24"/>
          <w:lang w:eastAsia="en-US"/>
        </w:rPr>
        <w:t xml:space="preserve">remain good with some further improvement in infrastructure and </w:t>
      </w:r>
      <w:r>
        <w:rPr>
          <w:rFonts w:ascii="Times New Roman" w:eastAsia="Calibri" w:hAnsi="Times New Roman" w:cs="Times New Roman"/>
          <w:noProof/>
          <w:color w:val="000000" w:themeColor="text1"/>
          <w:sz w:val="24"/>
          <w:szCs w:val="24"/>
          <w:lang w:eastAsia="en-US"/>
        </w:rPr>
        <w:t>cross-border cooperation.</w:t>
      </w:r>
      <w:r>
        <w:rPr>
          <w:rFonts w:ascii="Times New Roman" w:eastAsia="Calibri" w:hAnsi="Times New Roman" w:cs="Times New Roman"/>
          <w:noProof/>
          <w:color w:val="000000" w:themeColor="text1"/>
          <w:sz w:val="24"/>
          <w:szCs w:val="24"/>
        </w:rPr>
        <w:t xml:space="preserve"> Maritime delimitation between the two countries remain pending. The first meeting of the Interstate Commission for water management was held in September 2019.</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 xml:space="preserve">Relations with </w:t>
      </w:r>
      <w:r>
        <w:rPr>
          <w:rFonts w:ascii="Times New Roman" w:eastAsia="Calibri" w:hAnsi="Times New Roman" w:cs="Times New Roman"/>
          <w:b/>
          <w:bCs/>
          <w:i/>
          <w:iCs/>
          <w:noProof/>
          <w:color w:val="000000" w:themeColor="text1"/>
          <w:sz w:val="24"/>
          <w:szCs w:val="24"/>
          <w:lang w:eastAsia="en-US"/>
        </w:rPr>
        <w:t xml:space="preserve">North Macedonia </w:t>
      </w:r>
      <w:r>
        <w:rPr>
          <w:rFonts w:ascii="Times New Roman" w:eastAsia="Calibri" w:hAnsi="Times New Roman" w:cs="Times New Roman"/>
          <w:noProof/>
          <w:color w:val="000000" w:themeColor="text1"/>
          <w:sz w:val="24"/>
          <w:szCs w:val="24"/>
          <w:lang w:eastAsia="en-US"/>
        </w:rPr>
        <w:t xml:space="preserve">have intensified. </w:t>
      </w:r>
      <w:r>
        <w:rPr>
          <w:rFonts w:ascii="Times New Roman" w:hAnsi="Times New Roman" w:cs="Times New Roman"/>
          <w:bCs/>
          <w:noProof/>
          <w:color w:val="000000" w:themeColor="text1"/>
          <w:sz w:val="24"/>
          <w:szCs w:val="24"/>
        </w:rPr>
        <w:t xml:space="preserve">During the reporting </w:t>
      </w:r>
      <w:r>
        <w:rPr>
          <w:rFonts w:ascii="Times New Roman" w:hAnsi="Times New Roman" w:cs="Times New Roman"/>
          <w:bCs/>
          <w:noProof/>
          <w:color w:val="000000" w:themeColor="text1"/>
          <w:sz w:val="24"/>
          <w:szCs w:val="24"/>
        </w:rPr>
        <w:t xml:space="preserve">period, the two sides agreed to establish a commission for joint management of natural and cultural heritage of the Ohrid region, and to improve implementation of UNESCO recommendations. Frequent bilateral visits took place during the reporting period. In </w:t>
      </w:r>
      <w:r>
        <w:rPr>
          <w:rFonts w:ascii="Times New Roman" w:hAnsi="Times New Roman" w:cs="Times New Roman"/>
          <w:bCs/>
          <w:noProof/>
          <w:color w:val="000000" w:themeColor="text1"/>
          <w:sz w:val="24"/>
          <w:szCs w:val="24"/>
        </w:rPr>
        <w:t>October 2019, President Pendarovski paid his first official visit to Albania in the context of the Southeast Europe Peace Summit. In November 2019, Albania opened an Honorary Consulate in Bitola. In the context of the COVID-19 crisis, the Presidents of bot</w:t>
      </w:r>
      <w:r>
        <w:rPr>
          <w:rFonts w:ascii="Times New Roman" w:hAnsi="Times New Roman" w:cs="Times New Roman"/>
          <w:bCs/>
          <w:noProof/>
          <w:color w:val="000000" w:themeColor="text1"/>
          <w:sz w:val="24"/>
          <w:szCs w:val="24"/>
        </w:rPr>
        <w:t>h countries had a telephone conversation in February 2020 and the Ministers of Foreign Affairs also maintained close communication.</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 xml:space="preserve">The relationship with </w:t>
      </w:r>
      <w:r>
        <w:rPr>
          <w:rFonts w:ascii="Times New Roman" w:eastAsia="Calibri" w:hAnsi="Times New Roman" w:cs="Times New Roman"/>
          <w:b/>
          <w:bCs/>
          <w:i/>
          <w:iCs/>
          <w:noProof/>
          <w:color w:val="000000" w:themeColor="text1"/>
          <w:sz w:val="24"/>
          <w:szCs w:val="24"/>
          <w:lang w:eastAsia="en-US"/>
        </w:rPr>
        <w:t xml:space="preserve">Serbia </w:t>
      </w:r>
      <w:r>
        <w:rPr>
          <w:rFonts w:ascii="Times New Roman" w:eastAsia="Calibri" w:hAnsi="Times New Roman" w:cs="Times New Roman"/>
          <w:bCs/>
          <w:iCs/>
          <w:noProof/>
          <w:color w:val="000000" w:themeColor="text1"/>
          <w:sz w:val="24"/>
          <w:szCs w:val="24"/>
          <w:lang w:eastAsia="en-US"/>
        </w:rPr>
        <w:t xml:space="preserve">are good. </w:t>
      </w:r>
      <w:r>
        <w:rPr>
          <w:rFonts w:ascii="Times New Roman" w:eastAsia="Calibri" w:hAnsi="Times New Roman" w:cs="Times New Roman"/>
          <w:noProof/>
          <w:color w:val="000000" w:themeColor="text1"/>
          <w:sz w:val="24"/>
          <w:szCs w:val="24"/>
          <w:lang w:eastAsia="en-US"/>
        </w:rPr>
        <w:t>Leaders of both countries regularly meet in the framework of regional and internation</w:t>
      </w:r>
      <w:r>
        <w:rPr>
          <w:rFonts w:ascii="Times New Roman" w:eastAsia="Calibri" w:hAnsi="Times New Roman" w:cs="Times New Roman"/>
          <w:noProof/>
          <w:color w:val="000000" w:themeColor="text1"/>
          <w:sz w:val="24"/>
          <w:szCs w:val="24"/>
          <w:lang w:eastAsia="en-US"/>
        </w:rPr>
        <w:t xml:space="preserve">al events. The two countries signed a memorandum of understanding in the field of pre-university education.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 xml:space="preserve">Albania strengthened its relations with </w:t>
      </w:r>
      <w:r>
        <w:rPr>
          <w:rFonts w:ascii="Times New Roman" w:eastAsia="Calibri" w:hAnsi="Times New Roman" w:cs="Times New Roman"/>
          <w:b/>
          <w:i/>
          <w:noProof/>
          <w:color w:val="000000" w:themeColor="text1"/>
          <w:sz w:val="24"/>
          <w:szCs w:val="24"/>
          <w:lang w:eastAsia="en-US"/>
        </w:rPr>
        <w:t>Turkey</w:t>
      </w:r>
      <w:r>
        <w:rPr>
          <w:rFonts w:ascii="Times New Roman" w:eastAsia="Calibri" w:hAnsi="Times New Roman" w:cs="Times New Roman"/>
          <w:noProof/>
          <w:color w:val="000000" w:themeColor="text1"/>
          <w:sz w:val="24"/>
          <w:szCs w:val="24"/>
          <w:lang w:eastAsia="en-US"/>
        </w:rPr>
        <w:t>. Turkish President Erdogan met Albania's President Meta in May and July 2019 and Prime Minister Rama</w:t>
      </w:r>
      <w:r>
        <w:rPr>
          <w:rFonts w:ascii="Times New Roman" w:eastAsia="Calibri" w:hAnsi="Times New Roman" w:cs="Times New Roman"/>
          <w:noProof/>
          <w:color w:val="000000" w:themeColor="text1"/>
          <w:sz w:val="24"/>
          <w:szCs w:val="24"/>
          <w:lang w:eastAsia="en-US"/>
        </w:rPr>
        <w:t xml:space="preserve"> in July 2019. Economic cooperation increased in areas such as energy, banking system, telecommunication and infrastructure. In April 2019, the country's flagship airline, Air Albania, a joint venture with Turkish Airlines, started commercial flights. The </w:t>
      </w:r>
      <w:r>
        <w:rPr>
          <w:rFonts w:ascii="Times New Roman" w:eastAsia="Calibri" w:hAnsi="Times New Roman" w:cs="Times New Roman"/>
          <w:noProof/>
          <w:color w:val="000000" w:themeColor="text1"/>
          <w:sz w:val="24"/>
          <w:szCs w:val="24"/>
          <w:lang w:eastAsia="en-US"/>
        </w:rPr>
        <w:t>two countries have strengthened cooperation in the security field and the 11</w:t>
      </w:r>
      <w:r>
        <w:rPr>
          <w:rFonts w:ascii="Times New Roman" w:eastAsia="Calibri" w:hAnsi="Times New Roman" w:cs="Times New Roman"/>
          <w:noProof/>
          <w:color w:val="000000" w:themeColor="text1"/>
          <w:sz w:val="24"/>
          <w:szCs w:val="24"/>
          <w:vertAlign w:val="superscript"/>
          <w:lang w:eastAsia="en-US"/>
        </w:rPr>
        <w:t>th</w:t>
      </w:r>
      <w:r>
        <w:rPr>
          <w:rFonts w:ascii="Times New Roman" w:eastAsia="Calibri" w:hAnsi="Times New Roman" w:cs="Times New Roman"/>
          <w:noProof/>
          <w:color w:val="000000" w:themeColor="text1"/>
          <w:sz w:val="24"/>
          <w:szCs w:val="24"/>
          <w:lang w:eastAsia="en-US"/>
        </w:rPr>
        <w:t xml:space="preserve"> joint commissions meeting between ministries of interior took place in Tirana in September 2019. An agreement has been signed for Turkey to support the restructuring of the Alba</w:t>
      </w:r>
      <w:r>
        <w:rPr>
          <w:rFonts w:ascii="Times New Roman" w:eastAsia="Calibri" w:hAnsi="Times New Roman" w:cs="Times New Roman"/>
          <w:noProof/>
          <w:color w:val="000000" w:themeColor="text1"/>
          <w:sz w:val="24"/>
          <w:szCs w:val="24"/>
          <w:lang w:eastAsia="en-US"/>
        </w:rPr>
        <w:t xml:space="preserve">nian Army, for a five-year span. Turkey was also very present and supportive of Albania in the aftermath of the 26 November earthquake. Turkey has been increasing pressure on Albania to deliver on dismantling the so-called </w:t>
      </w:r>
      <w:r>
        <w:rPr>
          <w:rFonts w:ascii="Times New Roman" w:eastAsia="Times New Roman" w:hAnsi="Times New Roman" w:cs="Times New Roman"/>
          <w:noProof/>
          <w:color w:val="000000" w:themeColor="text1"/>
          <w:sz w:val="24"/>
          <w:szCs w:val="24"/>
          <w:lang w:eastAsia="en-US"/>
        </w:rPr>
        <w:t xml:space="preserve">Gülen movement </w:t>
      </w:r>
      <w:r>
        <w:rPr>
          <w:rFonts w:ascii="Times New Roman" w:eastAsia="Calibri" w:hAnsi="Times New Roman" w:cs="Times New Roman"/>
          <w:noProof/>
          <w:color w:val="000000" w:themeColor="text1"/>
          <w:sz w:val="24"/>
          <w:szCs w:val="24"/>
          <w:lang w:eastAsia="en-US"/>
        </w:rPr>
        <w:t xml:space="preserve">in the country. In January 2020, a Turkish citizen was expelled from the country under controversial procedures. His lawyers claimed after the expulsion that he did seek asylum.  </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 xml:space="preserve">Relations with </w:t>
      </w:r>
      <w:r>
        <w:rPr>
          <w:rFonts w:ascii="Times New Roman" w:eastAsia="Calibri" w:hAnsi="Times New Roman" w:cs="Times New Roman"/>
          <w:b/>
          <w:bCs/>
          <w:i/>
          <w:iCs/>
          <w:noProof/>
          <w:color w:val="000000" w:themeColor="text1"/>
          <w:sz w:val="24"/>
          <w:szCs w:val="24"/>
          <w:lang w:eastAsia="en-US"/>
        </w:rPr>
        <w:t xml:space="preserve">Greece </w:t>
      </w:r>
      <w:r>
        <w:rPr>
          <w:rFonts w:ascii="Times New Roman" w:eastAsia="Calibri" w:hAnsi="Times New Roman" w:cs="Times New Roman"/>
          <w:noProof/>
          <w:color w:val="000000" w:themeColor="text1"/>
          <w:sz w:val="24"/>
          <w:szCs w:val="24"/>
          <w:lang w:eastAsia="en-US"/>
        </w:rPr>
        <w:t>remained generally good and marked a peak with the mee</w:t>
      </w:r>
      <w:r>
        <w:rPr>
          <w:rFonts w:ascii="Times New Roman" w:eastAsia="Calibri" w:hAnsi="Times New Roman" w:cs="Times New Roman"/>
          <w:noProof/>
          <w:color w:val="000000" w:themeColor="text1"/>
          <w:sz w:val="24"/>
          <w:szCs w:val="24"/>
          <w:lang w:eastAsia="en-US"/>
        </w:rPr>
        <w:t>ting of the two Prime Ministers in October 2019. Progress on outstanding bilateral issues has, however, been limited. Greek minority rights in general and more particularly property rights of this minority continue to remain a subject of disagreement in th</w:t>
      </w:r>
      <w:r>
        <w:rPr>
          <w:rFonts w:ascii="Times New Roman" w:eastAsia="Calibri" w:hAnsi="Times New Roman" w:cs="Times New Roman"/>
          <w:noProof/>
          <w:color w:val="000000" w:themeColor="text1"/>
          <w:sz w:val="24"/>
          <w:szCs w:val="24"/>
          <w:lang w:eastAsia="en-US"/>
        </w:rPr>
        <w:t>e bilateral relation. Economic relations are to be improved.</w:t>
      </w:r>
    </w:p>
    <w:p w:rsidR="00EE1719" w:rsidRDefault="000E39BA">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r>
        <w:rPr>
          <w:rFonts w:ascii="Times New Roman" w:eastAsia="Calibri" w:hAnsi="Times New Roman" w:cs="Times New Roman"/>
          <w:noProof/>
          <w:color w:val="000000" w:themeColor="text1"/>
          <w:sz w:val="24"/>
          <w:szCs w:val="24"/>
          <w:lang w:eastAsia="en-US"/>
        </w:rPr>
        <w:t xml:space="preserve">Relations with </w:t>
      </w:r>
      <w:r>
        <w:rPr>
          <w:rFonts w:ascii="Times New Roman" w:eastAsia="Calibri" w:hAnsi="Times New Roman" w:cs="Times New Roman"/>
          <w:b/>
          <w:i/>
          <w:noProof/>
          <w:color w:val="000000" w:themeColor="text1"/>
          <w:sz w:val="24"/>
          <w:szCs w:val="24"/>
          <w:lang w:eastAsia="en-US"/>
        </w:rPr>
        <w:t>Italy</w:t>
      </w:r>
      <w:r>
        <w:rPr>
          <w:rFonts w:ascii="Times New Roman" w:eastAsia="Calibri" w:hAnsi="Times New Roman" w:cs="Times New Roman"/>
          <w:noProof/>
          <w:color w:val="000000" w:themeColor="text1"/>
          <w:sz w:val="24"/>
          <w:szCs w:val="24"/>
          <w:lang w:eastAsia="en-US"/>
        </w:rPr>
        <w:t xml:space="preserve"> remained very good. Political dialogue intensified with high-level visits on both sides. In April, Albania's Speaker of Parliament visited Rome. Italian Prime Minister Conte </w:t>
      </w:r>
      <w:r>
        <w:rPr>
          <w:rFonts w:ascii="Times New Roman" w:eastAsia="Calibri" w:hAnsi="Times New Roman" w:cs="Times New Roman"/>
          <w:noProof/>
          <w:color w:val="000000" w:themeColor="text1"/>
          <w:sz w:val="24"/>
          <w:szCs w:val="24"/>
          <w:lang w:eastAsia="en-US"/>
        </w:rPr>
        <w:t>visited Tirana in October and Prime Minister Rama visited Rome in November. Cooperation on justice and home affairs was further strengthened, in particular in the fight against organised crime, drug trafficking, trafficking of human beings, irregular migra</w:t>
      </w:r>
      <w:r>
        <w:rPr>
          <w:rFonts w:ascii="Times New Roman" w:eastAsia="Calibri" w:hAnsi="Times New Roman" w:cs="Times New Roman"/>
          <w:noProof/>
          <w:color w:val="000000" w:themeColor="text1"/>
          <w:sz w:val="24"/>
          <w:szCs w:val="24"/>
          <w:lang w:eastAsia="en-US"/>
        </w:rPr>
        <w:t>tion as well as on asylum. Italy remained Albania's first trading partner and one of Albania’s leading bilateral donors. At the onset of the COVID-19 crisis, Albania sent support to Italy by deploying doctors and a pool of nurses to the most affected areas</w:t>
      </w:r>
      <w:r>
        <w:rPr>
          <w:rFonts w:ascii="Times New Roman" w:eastAsia="Calibri" w:hAnsi="Times New Roman" w:cs="Times New Roman"/>
          <w:noProof/>
          <w:color w:val="000000" w:themeColor="text1"/>
          <w:sz w:val="24"/>
          <w:szCs w:val="24"/>
          <w:lang w:eastAsia="en-US"/>
        </w:rPr>
        <w:t xml:space="preserve"> in the north of the country.  </w:t>
      </w:r>
    </w:p>
    <w:p w:rsidR="00EE1719" w:rsidRDefault="00EE1719">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p>
    <w:p w:rsidR="00EE1719" w:rsidRDefault="00EE1719">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eastAsia="en-US"/>
        </w:rPr>
      </w:pPr>
    </w:p>
    <w:p w:rsidR="00EE1719" w:rsidRDefault="000E39BA">
      <w:pPr>
        <w:pStyle w:val="Heading1"/>
      </w:pPr>
      <w:bookmarkStart w:id="48" w:name="_Toc52745513"/>
      <w:r>
        <w:t>5.</w:t>
      </w:r>
      <w:r>
        <w:tab/>
        <w:t>Ability to assume the obligations of membership</w:t>
      </w:r>
      <w:bookmarkEnd w:id="48"/>
    </w:p>
    <w:p w:rsidR="00EE1719" w:rsidRDefault="000E39BA">
      <w:pPr>
        <w:pStyle w:val="Heading2"/>
        <w:rPr>
          <w:rFonts w:ascii="Times New Roman" w:hAnsi="Times New Roman"/>
          <w:szCs w:val="24"/>
        </w:rPr>
      </w:pPr>
      <w:bookmarkStart w:id="49" w:name="_Toc52745514"/>
      <w:bookmarkStart w:id="50" w:name="_Toc510686856"/>
      <w:r>
        <w:rPr>
          <w:rStyle w:val="Heading2Char"/>
          <w:rFonts w:eastAsiaTheme="minorEastAsia"/>
        </w:rPr>
        <w:t>5.1</w:t>
      </w:r>
      <w:r>
        <w:rPr>
          <w:rFonts w:ascii="Times New Roman" w:hAnsi="Times New Roman"/>
          <w:szCs w:val="24"/>
        </w:rPr>
        <w:t>.</w:t>
      </w:r>
      <w:r>
        <w:rPr>
          <w:rFonts w:ascii="Times New Roman" w:hAnsi="Times New Roman"/>
          <w:szCs w:val="24"/>
        </w:rPr>
        <w:tab/>
      </w:r>
      <w:r>
        <w:rPr>
          <w:rStyle w:val="Heading2Char"/>
        </w:rPr>
        <w:t>Chapter 1: Free movement of goods</w:t>
      </w:r>
      <w:bookmarkEnd w:id="49"/>
    </w:p>
    <w:p w:rsidR="00EE1719" w:rsidRDefault="000E39BA">
      <w:pPr>
        <w:spacing w:after="120" w:line="240" w:lineRule="auto"/>
        <w:jc w:val="both"/>
        <w:rPr>
          <w:rFonts w:ascii="Times New Roman" w:eastAsia="Times New Roman" w:hAnsi="Times New Roman" w:cs="Times New Roman"/>
          <w:i/>
          <w:iCs/>
          <w:noProof/>
          <w:sz w:val="24"/>
          <w:szCs w:val="24"/>
        </w:rPr>
      </w:pPr>
      <w:bookmarkStart w:id="51" w:name="_Toc9430012"/>
      <w:bookmarkStart w:id="52" w:name="_Toc9331920"/>
      <w:bookmarkStart w:id="53" w:name="_Toc9328487"/>
      <w:bookmarkStart w:id="54" w:name="_Toc530733572"/>
      <w:bookmarkEnd w:id="50"/>
      <w:r>
        <w:rPr>
          <w:rFonts w:ascii="Times New Roman" w:eastAsia="Times New Roman" w:hAnsi="Times New Roman" w:cs="Times New Roman"/>
          <w:i/>
          <w:iCs/>
          <w:noProof/>
          <w:sz w:val="24"/>
          <w:szCs w:val="24"/>
        </w:rPr>
        <w:t>The free movement of goods ensures that many products can be traded freely across the EU based on common rules and procedures. Where</w:t>
      </w:r>
      <w:r>
        <w:rPr>
          <w:rFonts w:ascii="Times New Roman" w:eastAsia="Times New Roman" w:hAnsi="Times New Roman" w:cs="Times New Roman"/>
          <w:i/>
          <w:iCs/>
          <w:noProof/>
          <w:sz w:val="24"/>
          <w:szCs w:val="24"/>
        </w:rPr>
        <w:t xml:space="preserve"> products are governed by national rules the principle of the free movement of goods prevents these creating unjustified barriers to trade.</w:t>
      </w:r>
    </w:p>
    <w:p w:rsidR="00EE1719" w:rsidRDefault="000E39B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Albania has </w:t>
      </w:r>
      <w:r>
        <w:rPr>
          <w:rFonts w:ascii="Times New Roman" w:eastAsia="Calibri" w:hAnsi="Times New Roman" w:cs="Times New Roman"/>
          <w:b/>
          <w:bCs/>
          <w:noProof/>
          <w:sz w:val="24"/>
          <w:szCs w:val="24"/>
        </w:rPr>
        <w:t>some level of preparation</w:t>
      </w:r>
      <w:r>
        <w:rPr>
          <w:rFonts w:ascii="Times New Roman" w:eastAsia="Calibri" w:hAnsi="Times New Roman" w:cs="Times New Roman"/>
          <w:noProof/>
          <w:sz w:val="24"/>
          <w:szCs w:val="24"/>
        </w:rPr>
        <w:t xml:space="preserve">/is </w:t>
      </w:r>
      <w:r>
        <w:rPr>
          <w:rFonts w:ascii="Times New Roman" w:eastAsia="Calibri" w:hAnsi="Times New Roman" w:cs="Times New Roman"/>
          <w:b/>
          <w:bCs/>
          <w:noProof/>
          <w:sz w:val="24"/>
          <w:szCs w:val="24"/>
        </w:rPr>
        <w:t xml:space="preserve">moderately prepared </w:t>
      </w:r>
      <w:r>
        <w:rPr>
          <w:rFonts w:ascii="Times New Roman" w:eastAsia="Calibri" w:hAnsi="Times New Roman" w:cs="Times New Roman"/>
          <w:noProof/>
          <w:sz w:val="24"/>
          <w:szCs w:val="24"/>
        </w:rPr>
        <w:t xml:space="preserve">in the area of free movement of goods. There was </w:t>
      </w:r>
      <w:r>
        <w:rPr>
          <w:rFonts w:ascii="Times New Roman" w:eastAsia="Calibri" w:hAnsi="Times New Roman" w:cs="Times New Roman"/>
          <w:b/>
          <w:noProof/>
          <w:sz w:val="24"/>
          <w:szCs w:val="24"/>
        </w:rPr>
        <w:t>limited</w:t>
      </w:r>
      <w:r>
        <w:rPr>
          <w:rFonts w:ascii="Times New Roman" w:eastAsia="Calibri" w:hAnsi="Times New Roman" w:cs="Times New Roman"/>
          <w:b/>
          <w:bCs/>
          <w:noProof/>
          <w:sz w:val="24"/>
          <w:szCs w:val="24"/>
        </w:rPr>
        <w:t xml:space="preserve"> progress </w:t>
      </w:r>
      <w:r>
        <w:rPr>
          <w:rFonts w:ascii="Times New Roman" w:eastAsia="Calibri" w:hAnsi="Times New Roman" w:cs="Times New Roman"/>
          <w:noProof/>
          <w:sz w:val="24"/>
          <w:szCs w:val="24"/>
        </w:rPr>
        <w:t xml:space="preserve">over the reporting period on the sectoral alignment with the "new and global approach" product legislation and the accreditation of additional conformity assessment bodies. However, last year’s recommendations remain valid, as efforts are </w:t>
      </w:r>
      <w:r>
        <w:rPr>
          <w:rFonts w:ascii="Times New Roman" w:eastAsia="Calibri" w:hAnsi="Times New Roman" w:cs="Times New Roman"/>
          <w:noProof/>
          <w:sz w:val="24"/>
          <w:szCs w:val="24"/>
        </w:rPr>
        <w:t>needed to ensure more legislative alignment and to strengthen enforcement.</w:t>
      </w:r>
    </w:p>
    <w:p w:rsidR="00EE1719" w:rsidRDefault="000E39BA">
      <w:pPr>
        <w:pBdr>
          <w:top w:val="single" w:sz="4" w:space="1" w:color="auto"/>
          <w:left w:val="single" w:sz="4" w:space="4" w:color="auto"/>
          <w:bottom w:val="single" w:sz="4" w:space="1" w:color="auto"/>
          <w:right w:val="single" w:sz="4" w:space="4" w:color="auto"/>
        </w:pBdr>
        <w:shd w:val="clear" w:color="auto" w:fill="D9D9D9"/>
        <w:tabs>
          <w:tab w:val="left" w:pos="5676"/>
        </w:tabs>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coming year, the country should in particular:</w:t>
      </w:r>
      <w:r>
        <w:rPr>
          <w:rFonts w:ascii="Times New Roman" w:eastAsia="Calibri" w:hAnsi="Times New Roman" w:cs="Times New Roman"/>
          <w:noProof/>
          <w:sz w:val="24"/>
          <w:szCs w:val="24"/>
        </w:rPr>
        <w:tab/>
      </w:r>
    </w:p>
    <w:p w:rsidR="00EE1719" w:rsidRDefault="000E39B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continue to align its legislation with both the horizontal and sectoral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further strengthen the enforcement </w:t>
      </w:r>
      <w:r>
        <w:rPr>
          <w:rFonts w:ascii="Times New Roman" w:eastAsia="Times New Roman" w:hAnsi="Times New Roman" w:cs="Times New Roman"/>
          <w:noProof/>
          <w:sz w:val="24"/>
          <w:szCs w:val="24"/>
        </w:rPr>
        <w:t>capacity of the Market Surveillance Inspectorate.</w:t>
      </w:r>
    </w:p>
    <w:p w:rsidR="00EE1719" w:rsidRDefault="000E39BA">
      <w:pPr>
        <w:spacing w:after="120" w:line="240" w:lineRule="auto"/>
        <w:jc w:val="both"/>
        <w:rPr>
          <w:rFonts w:ascii="Times New Roman" w:eastAsia="Times New Roman" w:hAnsi="Times New Roman" w:cs="Times New Roman"/>
          <w:iCs/>
          <w:noProof/>
          <w:sz w:val="24"/>
          <w:szCs w:val="24"/>
          <w:u w:val="single"/>
        </w:rPr>
      </w:pPr>
      <w:r>
        <w:rPr>
          <w:rFonts w:ascii="Times New Roman" w:eastAsia="Times New Roman" w:hAnsi="Times New Roman" w:cs="Times New Roman"/>
          <w:iCs/>
          <w:noProof/>
          <w:sz w:val="24"/>
          <w:szCs w:val="24"/>
          <w:u w:val="single"/>
        </w:rPr>
        <w:t>General principles</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Albania still has measures in place that affect the </w:t>
      </w:r>
      <w:r>
        <w:rPr>
          <w:rFonts w:ascii="Times New Roman" w:eastAsia="Calibri" w:hAnsi="Times New Roman" w:cs="Times New Roman"/>
          <w:b/>
          <w:bCs/>
          <w:noProof/>
          <w:sz w:val="24"/>
          <w:szCs w:val="24"/>
        </w:rPr>
        <w:t>production, distribution and marketing of industrial products</w:t>
      </w:r>
      <w:r>
        <w:rPr>
          <w:rFonts w:ascii="Times New Roman" w:eastAsia="Calibri" w:hAnsi="Times New Roman" w:cs="Times New Roman"/>
          <w:noProof/>
          <w:sz w:val="24"/>
          <w:szCs w:val="24"/>
        </w:rPr>
        <w:t>, in particular as regards</w:t>
      </w:r>
      <w:r>
        <w:rPr>
          <w:rFonts w:ascii="Times New Roman" w:eastAsia="Calibri" w:hAnsi="Times New Roman" w:cs="Times New Roman"/>
          <w:bCs/>
          <w:noProof/>
          <w:sz w:val="24"/>
          <w:szCs w:val="24"/>
        </w:rPr>
        <w:t xml:space="preserve">: </w:t>
      </w:r>
      <w:r>
        <w:rPr>
          <w:rFonts w:ascii="Times New Roman" w:eastAsia="Calibri" w:hAnsi="Times New Roman" w:cs="Times New Roman"/>
          <w:noProof/>
          <w:sz w:val="24"/>
          <w:szCs w:val="24"/>
        </w:rPr>
        <w:t>(i) price of products; (ii) import licences or</w:t>
      </w:r>
      <w:r>
        <w:rPr>
          <w:rFonts w:ascii="Times New Roman" w:eastAsia="Calibri" w:hAnsi="Times New Roman" w:cs="Times New Roman"/>
          <w:noProof/>
          <w:sz w:val="24"/>
          <w:szCs w:val="24"/>
        </w:rPr>
        <w:t xml:space="preserve"> permits for imported goods; and (iii) the obligation to have storage facilities in specific areas. Plans for further alignment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are set out in the 2019-2021 national plan for European integration, and the 2020 consumer protection and market surveillance strategy.</w:t>
      </w:r>
    </w:p>
    <w:p w:rsidR="00EE1719" w:rsidRDefault="000E39BA">
      <w:pPr>
        <w:keepNext/>
        <w:autoSpaceDE w:val="0"/>
        <w:autoSpaceDN w:val="0"/>
        <w:adjustRightInd w:val="0"/>
        <w:spacing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Non-harmonised area</w:t>
      </w:r>
    </w:p>
    <w:p w:rsidR="00EE1719" w:rsidRDefault="000E39BA">
      <w:pPr>
        <w:keepNext/>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Albania still has no action plan for screening national technical regulations for </w:t>
      </w:r>
      <w:r>
        <w:rPr>
          <w:rFonts w:ascii="Times New Roman" w:eastAsia="Calibri" w:hAnsi="Times New Roman" w:cs="Times New Roman"/>
          <w:bCs/>
          <w:noProof/>
          <w:sz w:val="24"/>
          <w:szCs w:val="24"/>
        </w:rPr>
        <w:t>compliance with</w:t>
      </w:r>
      <w:r>
        <w:rPr>
          <w:rFonts w:ascii="Times New Roman" w:eastAsia="Calibri" w:hAnsi="Times New Roman" w:cs="Times New Roman"/>
          <w:b/>
          <w:bCs/>
          <w:noProof/>
          <w:sz w:val="24"/>
          <w:szCs w:val="24"/>
        </w:rPr>
        <w:t xml:space="preserve"> Articles 34-36 </w:t>
      </w:r>
      <w:r>
        <w:rPr>
          <w:rFonts w:ascii="Times New Roman" w:eastAsia="Calibri" w:hAnsi="Times New Roman" w:cs="Times New Roman"/>
          <w:b/>
          <w:noProof/>
          <w:sz w:val="24"/>
          <w:szCs w:val="24"/>
        </w:rPr>
        <w:t>of the Treaty on the Functioning of the European Union (TFEU)</w:t>
      </w:r>
      <w:r>
        <w:rPr>
          <w:rFonts w:ascii="Times New Roman" w:eastAsia="Calibri" w:hAnsi="Times New Roman" w:cs="Times New Roman"/>
          <w:noProof/>
          <w:sz w:val="24"/>
          <w:szCs w:val="24"/>
        </w:rPr>
        <w:t xml:space="preserve"> in place, despite having completed a methodology for comparative analysis in 2019. There were no developments in the reporting period.</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Harmonised area: quality infrastructure</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Alb</w:t>
      </w:r>
      <w:r>
        <w:rPr>
          <w:rFonts w:ascii="Times New Roman" w:eastAsia="Calibri" w:hAnsi="Times New Roman" w:cs="Times New Roman"/>
          <w:noProof/>
          <w:sz w:val="24"/>
          <w:szCs w:val="24"/>
        </w:rPr>
        <w:t xml:space="preserve">ania’s legislation on accreditation and market surveillance is partially aligned with the EU </w:t>
      </w:r>
      <w:r>
        <w:rPr>
          <w:rFonts w:ascii="Times New Roman" w:eastAsia="Calibri" w:hAnsi="Times New Roman" w:cs="Times New Roman"/>
          <w:i/>
          <w:noProof/>
          <w:sz w:val="24"/>
          <w:szCs w:val="24"/>
        </w:rPr>
        <w:t xml:space="preserve">acquis. </w:t>
      </w:r>
      <w:r>
        <w:rPr>
          <w:rFonts w:ascii="Times New Roman" w:eastAsia="Calibri" w:hAnsi="Times New Roman" w:cs="Times New Roman"/>
          <w:noProof/>
          <w:sz w:val="24"/>
          <w:szCs w:val="24"/>
        </w:rPr>
        <w:t>Administrative structures exist to deal with technical regulations, standardisation, conformity assessment, metrology, accreditation, and market surveillan</w:t>
      </w:r>
      <w:r>
        <w:rPr>
          <w:rFonts w:ascii="Times New Roman" w:eastAsia="Calibri" w:hAnsi="Times New Roman" w:cs="Times New Roman"/>
          <w:noProof/>
          <w:sz w:val="24"/>
          <w:szCs w:val="24"/>
        </w:rPr>
        <w:t>ce. The recruitment of specialised staff to the Market Surveillance Inspectorate is still ongoing. Albania has mutual cooperation agreements on accreditation, standardisation and conformity assessment with countries in the region and other non-EU countries</w:t>
      </w:r>
      <w:r>
        <w:rPr>
          <w:rFonts w:ascii="Times New Roman" w:eastAsia="Calibri" w:hAnsi="Times New Roman" w:cs="Times New Roman"/>
          <w:noProof/>
          <w:sz w:val="24"/>
          <w:szCs w:val="24"/>
        </w:rPr>
        <w:t>.</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standardisation</w:t>
      </w:r>
      <w:r>
        <w:rPr>
          <w:rFonts w:ascii="Times New Roman" w:eastAsia="Calibri" w:hAnsi="Times New Roman" w:cs="Times New Roman"/>
          <w:noProof/>
          <w:sz w:val="24"/>
          <w:szCs w:val="24"/>
        </w:rPr>
        <w:t>, the General Directorate of Standardisation (GDS) is a full member of the European Telecommunication Standards Institute (ETSI), an affiliate member of the European Committee for Standardisation (CEN) and the European Committee for Ele</w:t>
      </w:r>
      <w:r>
        <w:rPr>
          <w:rFonts w:ascii="Times New Roman" w:eastAsia="Calibri" w:hAnsi="Times New Roman" w:cs="Times New Roman"/>
          <w:noProof/>
          <w:sz w:val="24"/>
          <w:szCs w:val="24"/>
        </w:rPr>
        <w:t>ctrotechnical Standardisation (CENELEC), and an associate member of the International Electrotechnical Commission (IEC).</w:t>
      </w:r>
      <w:r>
        <w:rPr>
          <w:rFonts w:ascii="Times New Roman" w:eastAsia="Times New Roman" w:hAnsi="Times New Roman" w:cs="Times New Roman"/>
          <w:noProof/>
          <w:sz w:val="24"/>
          <w:szCs w:val="24"/>
        </w:rPr>
        <w:t xml:space="preserve"> National standards are adopted in conformity with European standards (CEN, CENELEC and ETSI standards). In the reporting period, over 3</w:t>
      </w:r>
      <w:r>
        <w:rPr>
          <w:rFonts w:ascii="Times New Roman" w:eastAsia="Times New Roman" w:hAnsi="Times New Roman" w:cs="Times New Roman"/>
          <w:noProof/>
          <w:sz w:val="24"/>
          <w:szCs w:val="24"/>
        </w:rPr>
        <w:t>,300 European and international standards were adopted (including 1,148 CEN, 678 CENELEC, 700 ETSI, 646 ISO, and 188 IEC standards). In total, the GDS has adopted about 98% of all standards issued by CEN and CENELEC.</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National legislation on the accreditati</w:t>
      </w:r>
      <w:r>
        <w:rPr>
          <w:rFonts w:ascii="Times New Roman" w:eastAsia="Calibri" w:hAnsi="Times New Roman" w:cs="Times New Roman"/>
          <w:noProof/>
          <w:sz w:val="24"/>
          <w:szCs w:val="24"/>
        </w:rPr>
        <w:t xml:space="preserve">on of </w:t>
      </w:r>
      <w:r>
        <w:rPr>
          <w:rFonts w:ascii="Times New Roman" w:eastAsia="Calibri" w:hAnsi="Times New Roman" w:cs="Times New Roman"/>
          <w:b/>
          <w:noProof/>
          <w:sz w:val="24"/>
          <w:szCs w:val="24"/>
        </w:rPr>
        <w:t>conformity assessment</w:t>
      </w:r>
      <w:r>
        <w:rPr>
          <w:rFonts w:ascii="Times New Roman" w:eastAsia="Calibri" w:hAnsi="Times New Roman" w:cs="Times New Roman"/>
          <w:noProof/>
          <w:sz w:val="24"/>
          <w:szCs w:val="24"/>
        </w:rPr>
        <w:t xml:space="preserve"> bodies is partially aligned with the EU </w:t>
      </w:r>
      <w:r>
        <w:rPr>
          <w:rFonts w:ascii="Times New Roman" w:eastAsia="Calibri" w:hAnsi="Times New Roman" w:cs="Times New Roman"/>
          <w:i/>
          <w:noProof/>
          <w:sz w:val="24"/>
          <w:szCs w:val="24"/>
        </w:rPr>
        <w:t xml:space="preserve">acquis. </w:t>
      </w:r>
      <w:r>
        <w:rPr>
          <w:rFonts w:ascii="Times New Roman" w:eastAsia="Calibri" w:hAnsi="Times New Roman" w:cs="Times New Roman"/>
          <w:noProof/>
          <w:sz w:val="24"/>
          <w:szCs w:val="24"/>
        </w:rPr>
        <w:t>It regulates the functioning of the General Directorate of Accreditation (GDA), its accreditation board, its technical committees and various procedural matters. In 2019, there wer</w:t>
      </w:r>
      <w:r>
        <w:rPr>
          <w:rFonts w:ascii="Times New Roman" w:eastAsia="Calibri" w:hAnsi="Times New Roman" w:cs="Times New Roman"/>
          <w:noProof/>
          <w:sz w:val="24"/>
          <w:szCs w:val="24"/>
        </w:rPr>
        <w:t>e 83 accredited conformity assessment bodies (compared with 73 in the previous reporting period): 52 laboratories, 21 inspection bodies and 10 certification bodies. The GDA is a signatory of the European Cooperation for Accreditation Multilateral Agreement</w:t>
      </w:r>
      <w:r>
        <w:rPr>
          <w:rFonts w:ascii="Times New Roman" w:eastAsia="Calibri" w:hAnsi="Times New Roman" w:cs="Times New Roman"/>
          <w:noProof/>
          <w:sz w:val="24"/>
          <w:szCs w:val="24"/>
        </w:rPr>
        <w:t xml:space="preserve"> (EA MLA) in the fields of: inspections and management systems certification, testing and, since 26 May 2020, certification of persons. It is also a full member of the International Laboratory Accreditation Organisation Mutual Recognition Agreement (ILAC M</w:t>
      </w:r>
      <w:r>
        <w:rPr>
          <w:rFonts w:ascii="Times New Roman" w:eastAsia="Calibri" w:hAnsi="Times New Roman" w:cs="Times New Roman"/>
          <w:noProof/>
          <w:sz w:val="24"/>
          <w:szCs w:val="24"/>
        </w:rPr>
        <w:t xml:space="preserve">RA) in the field of inspection and has a mutual recognition agreement with ILAC. Albania launched an electronic system for accreditation procedures in October 2018 and five applications were submitted online in 2019. The General Directorate of </w:t>
      </w:r>
      <w:r>
        <w:rPr>
          <w:rFonts w:ascii="Times New Roman" w:eastAsia="Calibri" w:hAnsi="Times New Roman" w:cs="Times New Roman"/>
          <w:b/>
          <w:noProof/>
          <w:sz w:val="24"/>
          <w:szCs w:val="24"/>
        </w:rPr>
        <w:t>Metrology</w:t>
      </w:r>
      <w:r>
        <w:rPr>
          <w:rFonts w:ascii="Times New Roman" w:eastAsia="Calibri" w:hAnsi="Times New Roman" w:cs="Times New Roman"/>
          <w:noProof/>
          <w:sz w:val="24"/>
          <w:szCs w:val="24"/>
        </w:rPr>
        <w:t xml:space="preserve"> ma</w:t>
      </w:r>
      <w:r>
        <w:rPr>
          <w:rFonts w:ascii="Times New Roman" w:eastAsia="Calibri" w:hAnsi="Times New Roman" w:cs="Times New Roman"/>
          <w:noProof/>
          <w:sz w:val="24"/>
          <w:szCs w:val="24"/>
        </w:rPr>
        <w:t xml:space="preserve">intained its capacity of </w:t>
      </w:r>
      <w:r>
        <w:rPr>
          <w:rFonts w:ascii="Times New Roman" w:eastAsia="Calibri" w:hAnsi="Times New Roman" w:cs="Times New Roman"/>
          <w:bCs/>
          <w:noProof/>
          <w:sz w:val="24"/>
          <w:szCs w:val="24"/>
        </w:rPr>
        <w:t>104 employees</w:t>
      </w:r>
      <w:r>
        <w:rPr>
          <w:rFonts w:ascii="Times New Roman" w:eastAsia="Calibri" w:hAnsi="Times New Roman" w:cs="Times New Roman"/>
          <w:noProof/>
          <w:sz w:val="24"/>
          <w:szCs w:val="24"/>
        </w:rPr>
        <w:t xml:space="preserve">. </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State Inspectorate for </w:t>
      </w:r>
      <w:r>
        <w:rPr>
          <w:rFonts w:ascii="Times New Roman" w:eastAsia="Calibri" w:hAnsi="Times New Roman" w:cs="Times New Roman"/>
          <w:b/>
          <w:noProof/>
          <w:sz w:val="24"/>
          <w:szCs w:val="24"/>
        </w:rPr>
        <w:t>Market Surveillance</w:t>
      </w:r>
      <w:r>
        <w:rPr>
          <w:rFonts w:ascii="Times New Roman" w:eastAsia="Calibri" w:hAnsi="Times New Roman" w:cs="Times New Roman"/>
          <w:noProof/>
          <w:sz w:val="24"/>
          <w:szCs w:val="24"/>
        </w:rPr>
        <w:t xml:space="preserve"> (SIMS) had 54 staff against 45 in the previous year. It should continue to increase staff numbers, including inspectors. It carried out in total 1 151 </w:t>
      </w:r>
      <w:r>
        <w:rPr>
          <w:rFonts w:ascii="Times New Roman" w:eastAsia="Calibri" w:hAnsi="Times New Roman" w:cs="Times New Roman"/>
          <w:b/>
          <w:noProof/>
          <w:sz w:val="24"/>
          <w:szCs w:val="24"/>
        </w:rPr>
        <w:t xml:space="preserve">inspections </w:t>
      </w:r>
      <w:r>
        <w:rPr>
          <w:rFonts w:ascii="Times New Roman" w:eastAsia="Calibri" w:hAnsi="Times New Roman" w:cs="Times New Roman"/>
          <w:noProof/>
          <w:sz w:val="24"/>
          <w:szCs w:val="24"/>
        </w:rPr>
        <w:t xml:space="preserve">in </w:t>
      </w:r>
      <w:r>
        <w:rPr>
          <w:rFonts w:ascii="Times New Roman" w:eastAsia="Calibri" w:hAnsi="Times New Roman" w:cs="Times New Roman"/>
          <w:noProof/>
          <w:sz w:val="24"/>
          <w:szCs w:val="24"/>
        </w:rPr>
        <w:t>2019, as a result, 191 administrative measures were taken, including 22 fines and 56 emergency measures that led to dangerous products (mainly toys and electrical goods) being withdrawn from the market.</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u w:val="single"/>
        </w:rPr>
        <w:t>Harmonised area: sectoral legislation</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Albania’s </w:t>
      </w:r>
      <w:r>
        <w:rPr>
          <w:rFonts w:ascii="Times New Roman" w:eastAsia="Calibri" w:hAnsi="Times New Roman" w:cs="Times New Roman"/>
          <w:b/>
          <w:noProof/>
          <w:sz w:val="24"/>
          <w:szCs w:val="24"/>
        </w:rPr>
        <w:t>‘</w:t>
      </w:r>
      <w:r>
        <w:rPr>
          <w:rFonts w:ascii="Times New Roman" w:eastAsia="Calibri" w:hAnsi="Times New Roman" w:cs="Times New Roman"/>
          <w:b/>
          <w:bCs/>
          <w:noProof/>
          <w:sz w:val="24"/>
          <w:szCs w:val="24"/>
        </w:rPr>
        <w:t xml:space="preserve">new </w:t>
      </w:r>
      <w:r>
        <w:rPr>
          <w:rFonts w:ascii="Times New Roman" w:eastAsia="Calibri" w:hAnsi="Times New Roman" w:cs="Times New Roman"/>
          <w:b/>
          <w:bCs/>
          <w:noProof/>
          <w:sz w:val="24"/>
          <w:szCs w:val="24"/>
        </w:rPr>
        <w:t>and global approach’ product legislation</w:t>
      </w:r>
      <w:r>
        <w:rPr>
          <w:rFonts w:ascii="Times New Roman" w:eastAsia="Calibri" w:hAnsi="Times New Roman" w:cs="Times New Roman"/>
          <w:noProof/>
          <w:sz w:val="24"/>
          <w:szCs w:val="24"/>
        </w:rPr>
        <w:t xml:space="preserve"> is designed to be fully aligned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on non-automatic weighing instruments and low voltage equipment </w:t>
      </w:r>
      <w:r>
        <w:rPr>
          <w:rFonts w:ascii="Times New Roman" w:eastAsia="Calibri" w:hAnsi="Times New Roman" w:cs="Times New Roman"/>
          <w:iCs/>
          <w:noProof/>
          <w:sz w:val="24"/>
          <w:szCs w:val="24"/>
        </w:rPr>
        <w:t xml:space="preserve">(following government decisions adopted in the reporting period). However, </w:t>
      </w:r>
      <w:r>
        <w:rPr>
          <w:rFonts w:ascii="Times New Roman" w:eastAsia="Calibri" w:hAnsi="Times New Roman" w:cs="Times New Roman"/>
          <w:noProof/>
          <w:sz w:val="24"/>
          <w:szCs w:val="24"/>
        </w:rPr>
        <w:t>alignment has not yet sta</w:t>
      </w:r>
      <w:r>
        <w:rPr>
          <w:rFonts w:ascii="Times New Roman" w:eastAsia="Calibri" w:hAnsi="Times New Roman" w:cs="Times New Roman"/>
          <w:noProof/>
          <w:sz w:val="24"/>
          <w:szCs w:val="24"/>
        </w:rPr>
        <w:t>rted on cableways, aerosol dispensers, explosive atmospheres equipment, construction products, recreational craft, and eco-design.</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w:t>
      </w:r>
      <w:r>
        <w:rPr>
          <w:rFonts w:ascii="Times New Roman" w:eastAsia="Calibri" w:hAnsi="Times New Roman" w:cs="Times New Roman"/>
          <w:b/>
          <w:bCs/>
          <w:noProof/>
          <w:sz w:val="24"/>
          <w:szCs w:val="24"/>
        </w:rPr>
        <w:t>‘old approach’ product legislation</w:t>
      </w:r>
      <w:r>
        <w:rPr>
          <w:rFonts w:ascii="Times New Roman" w:eastAsia="Calibri" w:hAnsi="Times New Roman" w:cs="Times New Roman"/>
          <w:noProof/>
          <w:sz w:val="24"/>
          <w:szCs w:val="24"/>
        </w:rPr>
        <w:t xml:space="preserve">, </w:t>
      </w:r>
      <w:r>
        <w:rPr>
          <w:rFonts w:ascii="Times New Roman" w:eastAsia="Times New Roman" w:hAnsi="Times New Roman" w:cs="Times New Roman"/>
          <w:noProof/>
          <w:sz w:val="24"/>
          <w:szCs w:val="24"/>
        </w:rPr>
        <w:t>some positive steps were taken towards further aligning the legal framework wi</w:t>
      </w:r>
      <w:r>
        <w:rPr>
          <w:rFonts w:ascii="Times New Roman" w:eastAsia="Times New Roman" w:hAnsi="Times New Roman" w:cs="Times New Roman"/>
          <w:noProof/>
          <w:sz w:val="24"/>
          <w:szCs w:val="24"/>
        </w:rPr>
        <w:t xml:space="preserve">th the EU Regulation on Registration, Evaluation, Authorisation and Restriction of Chemicals (REACH) </w:t>
      </w:r>
      <w:r>
        <w:rPr>
          <w:rFonts w:ascii="Times New Roman" w:eastAsia="Calibri" w:hAnsi="Times New Roman" w:cs="Times New Roman"/>
          <w:noProof/>
          <w:sz w:val="24"/>
          <w:szCs w:val="24"/>
        </w:rPr>
        <w:t xml:space="preserve">and other related parts of the EU </w:t>
      </w:r>
      <w:r>
        <w:rPr>
          <w:rFonts w:ascii="Times New Roman" w:eastAsia="Calibri" w:hAnsi="Times New Roman" w:cs="Times New Roman"/>
          <w:i/>
          <w:iCs/>
          <w:noProof/>
          <w:sz w:val="24"/>
          <w:szCs w:val="24"/>
        </w:rPr>
        <w:t xml:space="preserve">acquis. </w:t>
      </w:r>
      <w:r>
        <w:rPr>
          <w:rFonts w:ascii="Times New Roman" w:eastAsia="Times New Roman" w:hAnsi="Times New Roman" w:cs="Times New Roman"/>
          <w:noProof/>
          <w:sz w:val="24"/>
          <w:szCs w:val="24"/>
        </w:rPr>
        <w:t xml:space="preserve"> </w:t>
      </w:r>
      <w:r>
        <w:rPr>
          <w:rFonts w:ascii="Times New Roman" w:eastAsia="Calibri" w:hAnsi="Times New Roman" w:cs="Times New Roman"/>
          <w:noProof/>
          <w:sz w:val="24"/>
          <w:szCs w:val="24"/>
        </w:rPr>
        <w:t xml:space="preserve">National legislation on </w:t>
      </w:r>
      <w:r>
        <w:rPr>
          <w:rFonts w:ascii="Times New Roman" w:eastAsia="Calibri" w:hAnsi="Times New Roman" w:cs="Times New Roman"/>
          <w:b/>
          <w:bCs/>
          <w:noProof/>
          <w:sz w:val="24"/>
          <w:szCs w:val="24"/>
        </w:rPr>
        <w:t>chemical classification, labelling and packaging</w:t>
      </w:r>
      <w:r>
        <w:rPr>
          <w:rFonts w:ascii="Times New Roman" w:eastAsia="Calibri" w:hAnsi="Times New Roman" w:cs="Times New Roman"/>
          <w:bCs/>
          <w:noProof/>
          <w:sz w:val="24"/>
          <w:szCs w:val="24"/>
        </w:rPr>
        <w:t xml:space="preserve"> </w:t>
      </w:r>
      <w:r>
        <w:rPr>
          <w:rFonts w:ascii="Times New Roman" w:eastAsia="Calibri" w:hAnsi="Times New Roman" w:cs="Times New Roman"/>
          <w:noProof/>
          <w:sz w:val="24"/>
          <w:szCs w:val="24"/>
        </w:rPr>
        <w:t>is designed to be aligned with the Unit</w:t>
      </w:r>
      <w:r>
        <w:rPr>
          <w:rFonts w:ascii="Times New Roman" w:eastAsia="Calibri" w:hAnsi="Times New Roman" w:cs="Times New Roman"/>
          <w:noProof/>
          <w:sz w:val="24"/>
          <w:szCs w:val="24"/>
        </w:rPr>
        <w:t>ed Nations (UN) Globally Harmonised System of Classification and Labelling of Chemicals. There were no other developments in the reporting period.</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drug precursors</w:t>
      </w:r>
      <w:r>
        <w:rPr>
          <w:rFonts w:ascii="Times New Roman" w:eastAsia="Calibri" w:hAnsi="Times New Roman" w:cs="Times New Roman"/>
          <w:noProof/>
          <w:sz w:val="24"/>
          <w:szCs w:val="24"/>
        </w:rPr>
        <w:t xml:space="preserve">, the list of controlled substances tallies with the relevant lists in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Parti</w:t>
      </w:r>
      <w:r>
        <w:rPr>
          <w:rFonts w:ascii="Times New Roman" w:eastAsia="Calibri" w:hAnsi="Times New Roman" w:cs="Times New Roman"/>
          <w:noProof/>
          <w:sz w:val="24"/>
          <w:szCs w:val="24"/>
        </w:rPr>
        <w:t xml:space="preserve">al alignment was achieved in the area of </w:t>
      </w:r>
      <w:r>
        <w:rPr>
          <w:rFonts w:ascii="Times New Roman" w:eastAsia="Calibri" w:hAnsi="Times New Roman" w:cs="Times New Roman"/>
          <w:b/>
          <w:noProof/>
          <w:sz w:val="24"/>
          <w:szCs w:val="24"/>
        </w:rPr>
        <w:t>procedural measures</w:t>
      </w:r>
      <w:r>
        <w:rPr>
          <w:rFonts w:ascii="Times New Roman" w:eastAsia="Calibri" w:hAnsi="Times New Roman" w:cs="Times New Roman"/>
          <w:noProof/>
          <w:sz w:val="24"/>
          <w:szCs w:val="24"/>
        </w:rPr>
        <w:t xml:space="preserve">, notably on firearms, textile labelling and mixtures, and the pricing of medicinal products. The legislation on defence products and the return of </w:t>
      </w:r>
      <w:r>
        <w:rPr>
          <w:rFonts w:ascii="Times New Roman" w:eastAsia="Calibri" w:hAnsi="Times New Roman" w:cs="Times New Roman"/>
          <w:b/>
          <w:noProof/>
          <w:sz w:val="24"/>
          <w:szCs w:val="24"/>
        </w:rPr>
        <w:t>cultural objects unlawfully removed from the ter</w:t>
      </w:r>
      <w:r>
        <w:rPr>
          <w:rFonts w:ascii="Times New Roman" w:eastAsia="Calibri" w:hAnsi="Times New Roman" w:cs="Times New Roman"/>
          <w:b/>
          <w:noProof/>
          <w:sz w:val="24"/>
          <w:szCs w:val="24"/>
        </w:rPr>
        <w:t>ritory of a Member State</w:t>
      </w:r>
      <w:r>
        <w:rPr>
          <w:rFonts w:ascii="Times New Roman" w:eastAsia="Calibri" w:hAnsi="Times New Roman" w:cs="Times New Roman"/>
          <w:noProof/>
          <w:sz w:val="24"/>
          <w:szCs w:val="24"/>
        </w:rPr>
        <w:t xml:space="preserve"> is still not aligned with the EU </w:t>
      </w:r>
      <w:r>
        <w:rPr>
          <w:rFonts w:ascii="Times New Roman" w:eastAsia="Calibri" w:hAnsi="Times New Roman" w:cs="Times New Roman"/>
          <w:i/>
          <w:noProof/>
          <w:sz w:val="24"/>
          <w:szCs w:val="24"/>
        </w:rPr>
        <w:t>acquis.</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response to COVID-19, upon joint initiative by the Permanent Secretariat of the Transport Community and the CEFTA Secretariat, Albania, alongside all the other governments in the Western </w:t>
      </w:r>
      <w:r>
        <w:rPr>
          <w:rFonts w:ascii="Times New Roman" w:eastAsia="Calibri" w:hAnsi="Times New Roman" w:cs="Times New Roman"/>
          <w:noProof/>
          <w:sz w:val="24"/>
          <w:szCs w:val="24"/>
        </w:rPr>
        <w:t>Balkans, has successfully implemented measures to facilitate the transport and trade of essential goods within the region.</w:t>
      </w:r>
    </w:p>
    <w:p w:rsidR="00EE1719" w:rsidRDefault="000E39BA">
      <w:pPr>
        <w:pStyle w:val="Heading2"/>
        <w:rPr>
          <w:rStyle w:val="Heading2Char"/>
          <w:b/>
          <w:bCs/>
        </w:rPr>
      </w:pPr>
      <w:bookmarkStart w:id="55" w:name="_Toc52745515"/>
      <w:r>
        <w:rPr>
          <w:rStyle w:val="Heading2Char"/>
        </w:rPr>
        <w:t>5.2</w:t>
      </w:r>
      <w:r>
        <w:rPr>
          <w:rStyle w:val="Heading2Char"/>
          <w:b/>
          <w:bCs/>
        </w:rPr>
        <w:t>.</w:t>
      </w:r>
      <w:r>
        <w:rPr>
          <w:rStyle w:val="Heading2Char"/>
          <w:b/>
          <w:bCs/>
        </w:rPr>
        <w:tab/>
        <w:t>Chapter 2: Freedom of movement of workers</w:t>
      </w:r>
      <w:bookmarkEnd w:id="51"/>
      <w:bookmarkEnd w:id="52"/>
      <w:bookmarkEnd w:id="53"/>
      <w:bookmarkEnd w:id="54"/>
      <w:bookmarkEnd w:id="55"/>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i/>
          <w:noProof/>
          <w:sz w:val="24"/>
          <w:szCs w:val="24"/>
        </w:rPr>
        <w:t>Citizens of one Member State have the right to work in another Member State and must b</w:t>
      </w:r>
      <w:r>
        <w:rPr>
          <w:rFonts w:ascii="Times New Roman" w:eastAsia="Times New Roman" w:hAnsi="Times New Roman" w:cs="Times New Roman"/>
          <w:i/>
          <w:noProof/>
          <w:sz w:val="24"/>
          <w:szCs w:val="24"/>
        </w:rPr>
        <w:t xml:space="preserve">e given the same working and social conditions as other workers. </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is at </w:t>
      </w:r>
      <w:r>
        <w:rPr>
          <w:rFonts w:ascii="Times New Roman" w:eastAsia="Times New Roman" w:hAnsi="Times New Roman" w:cs="Times New Roman"/>
          <w:b/>
          <w:noProof/>
          <w:sz w:val="24"/>
          <w:szCs w:val="24"/>
        </w:rPr>
        <w:t>some level of preparation</w:t>
      </w:r>
      <w:r>
        <w:rPr>
          <w:rFonts w:ascii="Times New Roman" w:eastAsia="Times New Roman" w:hAnsi="Times New Roman" w:cs="Times New Roman"/>
          <w:noProof/>
          <w:sz w:val="24"/>
          <w:szCs w:val="24"/>
        </w:rPr>
        <w:t xml:space="preserve"> in freedom of movement for workers. </w:t>
      </w:r>
      <w:r>
        <w:rPr>
          <w:rFonts w:ascii="Times New Roman" w:eastAsia="Times New Roman" w:hAnsi="Times New Roman" w:cs="Times New Roman"/>
          <w:b/>
          <w:noProof/>
          <w:sz w:val="24"/>
          <w:szCs w:val="24"/>
        </w:rPr>
        <w:t>Some progress</w:t>
      </w:r>
      <w:r>
        <w:rPr>
          <w:rFonts w:ascii="Times New Roman" w:eastAsia="Times New Roman" w:hAnsi="Times New Roman" w:cs="Times New Roman"/>
          <w:noProof/>
          <w:sz w:val="24"/>
          <w:szCs w:val="24"/>
        </w:rPr>
        <w:t xml:space="preserve"> was achieved </w:t>
      </w:r>
      <w:r>
        <w:rPr>
          <w:rFonts w:ascii="Times New Roman" w:eastAsia="Calibri" w:hAnsi="Times New Roman" w:cs="Times New Roman"/>
          <w:noProof/>
          <w:sz w:val="24"/>
          <w:szCs w:val="24"/>
        </w:rPr>
        <w:t>on implementing recommendations of the previous report</w:t>
      </w:r>
      <w:r>
        <w:rPr>
          <w:rFonts w:ascii="Times New Roman" w:eastAsia="Times New Roman" w:hAnsi="Times New Roman" w:cs="Times New Roman"/>
          <w:noProof/>
          <w:sz w:val="24"/>
          <w:szCs w:val="24"/>
        </w:rPr>
        <w:t xml:space="preserve">, when it comes to free movement </w:t>
      </w:r>
      <w:r>
        <w:rPr>
          <w:rFonts w:ascii="Times New Roman" w:eastAsia="Times New Roman" w:hAnsi="Times New Roman" w:cs="Times New Roman"/>
          <w:noProof/>
          <w:sz w:val="24"/>
          <w:szCs w:val="24"/>
        </w:rPr>
        <w:t xml:space="preserve">of family members of EU citizens, conclusion of new social security bilateral agreements and with preparation for joining the European network of employment services (EURES) upon accession. </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coming year, Albania should:</w:t>
      </w:r>
    </w:p>
    <w:p w:rsidR="00EE1719" w:rsidRDefault="000E39BA">
      <w:pPr>
        <w:numPr>
          <w:ilvl w:val="0"/>
          <w:numId w:val="39"/>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ind w:left="357"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adopt the law amending the law on foreigners and enabling family members of EU citizens to work in Albania without a work permit in line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in the area of freedom of movement for workers;</w:t>
      </w:r>
    </w:p>
    <w:p w:rsidR="00EE1719" w:rsidRDefault="000E39BA">
      <w:pPr>
        <w:numPr>
          <w:ilvl w:val="0"/>
          <w:numId w:val="39"/>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continue negotiating and implementing new bilateral </w:t>
      </w:r>
      <w:r>
        <w:rPr>
          <w:rFonts w:ascii="Times New Roman" w:eastAsia="Times New Roman" w:hAnsi="Times New Roman" w:cs="Times New Roman"/>
          <w:noProof/>
          <w:sz w:val="24"/>
          <w:szCs w:val="24"/>
        </w:rPr>
        <w:t>agreements on social security, notably with EU Member States;</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regards </w:t>
      </w:r>
      <w:r>
        <w:rPr>
          <w:rFonts w:ascii="Times New Roman" w:eastAsia="Times New Roman" w:hAnsi="Times New Roman" w:cs="Times New Roman"/>
          <w:b/>
          <w:noProof/>
          <w:sz w:val="24"/>
          <w:szCs w:val="24"/>
        </w:rPr>
        <w:t>access to the labour market</w:t>
      </w:r>
      <w:r>
        <w:rPr>
          <w:rFonts w:ascii="Times New Roman" w:eastAsia="Times New Roman" w:hAnsi="Times New Roman" w:cs="Times New Roman"/>
          <w:noProof/>
          <w:sz w:val="24"/>
          <w:szCs w:val="24"/>
        </w:rPr>
        <w:t xml:space="preserve">, EU citizens are eligible to work in Albania without a work permit. This is in line with the Law on foreigners (as amended) under which nationals of an EU </w:t>
      </w:r>
      <w:r>
        <w:rPr>
          <w:rFonts w:ascii="Times New Roman" w:eastAsia="Times New Roman" w:hAnsi="Times New Roman" w:cs="Times New Roman"/>
          <w:noProof/>
          <w:sz w:val="24"/>
          <w:szCs w:val="24"/>
        </w:rPr>
        <w:t xml:space="preserve">Member State or Schengen country, legally residing in Albania do not need a work permit or business registration certificate. </w:t>
      </w:r>
      <w:r>
        <w:rPr>
          <w:rFonts w:ascii="Times New Roman" w:eastAsia="Calibri" w:hAnsi="Times New Roman" w:cs="Times New Roman"/>
          <w:noProof/>
          <w:sz w:val="24"/>
          <w:szCs w:val="24"/>
        </w:rPr>
        <w:t>Immigration admission policies do not present obstacles to the permanent settlement of EU workers’ family members. The draft law a</w:t>
      </w:r>
      <w:r>
        <w:rPr>
          <w:rFonts w:ascii="Times New Roman" w:eastAsia="Calibri" w:hAnsi="Times New Roman" w:cs="Times New Roman"/>
          <w:noProof/>
          <w:sz w:val="24"/>
          <w:szCs w:val="24"/>
        </w:rPr>
        <w:t xml:space="preserve">mending the law on foreigners and enabling family members of EU citizens, who are not EU nationals, to work in Albania without a work permit, was adopted by the government and is currently undergoing the legislative procedure in the Parliament.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In prepara</w:t>
      </w:r>
      <w:r>
        <w:rPr>
          <w:rFonts w:ascii="Times New Roman" w:eastAsia="Calibri" w:hAnsi="Times New Roman" w:cs="Times New Roman"/>
          <w:noProof/>
          <w:sz w:val="24"/>
          <w:szCs w:val="24"/>
        </w:rPr>
        <w:t xml:space="preserve">tion for joining </w:t>
      </w:r>
      <w:r>
        <w:rPr>
          <w:rFonts w:ascii="Times New Roman" w:eastAsia="Calibri" w:hAnsi="Times New Roman" w:cs="Times New Roman"/>
          <w:b/>
          <w:noProof/>
          <w:sz w:val="24"/>
          <w:szCs w:val="24"/>
        </w:rPr>
        <w:t>European network of employment services (EURES)</w:t>
      </w:r>
      <w:r>
        <w:rPr>
          <w:rFonts w:ascii="Times New Roman" w:eastAsia="Times New Roman" w:hAnsi="Times New Roman" w:cs="Times New Roman"/>
          <w:noProof/>
          <w:sz w:val="24"/>
          <w:szCs w:val="24"/>
        </w:rPr>
        <w:t>, Albania has set -up an integrated database for its employment services. This will facilitate exchanges of information between IT departments on civil status, the tax system, the compulsory h</w:t>
      </w:r>
      <w:r>
        <w:rPr>
          <w:rFonts w:ascii="Times New Roman" w:eastAsia="Times New Roman" w:hAnsi="Times New Roman" w:cs="Times New Roman"/>
          <w:noProof/>
          <w:sz w:val="24"/>
          <w:szCs w:val="24"/>
        </w:rPr>
        <w:t>ealthcare system and the economic assistance system.</w:t>
      </w:r>
      <w:r>
        <w:rPr>
          <w:rFonts w:ascii="Times New Roman" w:eastAsia="Calibri" w:hAnsi="Times New Roman" w:cs="Times New Roman"/>
          <w:noProof/>
          <w:sz w:val="24"/>
          <w:szCs w:val="24"/>
        </w:rPr>
        <w:t xml:space="preserve"> </w:t>
      </w:r>
      <w:r>
        <w:rPr>
          <w:rFonts w:ascii="Times New Roman" w:eastAsia="Times New Roman" w:hAnsi="Times New Roman" w:cs="Times New Roman"/>
          <w:noProof/>
          <w:sz w:val="24"/>
          <w:szCs w:val="24"/>
        </w:rPr>
        <w:t>A new service system will be developed to enable connection to EURES, upon accession. The Unit for Migration Services and Labour Relations under the newly established National Agency for Employment and S</w:t>
      </w:r>
      <w:r>
        <w:rPr>
          <w:rFonts w:ascii="Times New Roman" w:eastAsia="Times New Roman" w:hAnsi="Times New Roman" w:cs="Times New Roman"/>
          <w:noProof/>
          <w:sz w:val="24"/>
          <w:szCs w:val="24"/>
        </w:rPr>
        <w:t>kills will have also tasks related to EURES participation. There are plans under the new system of employment services to supplement the national list of occupations with competencies in line with European skills/competences, qualifications and occupations</w:t>
      </w:r>
      <w:r>
        <w:rPr>
          <w:rFonts w:ascii="Times New Roman" w:eastAsia="Times New Roman" w:hAnsi="Times New Roman" w:cs="Times New Roman"/>
          <w:noProof/>
          <w:sz w:val="24"/>
          <w:szCs w:val="24"/>
        </w:rPr>
        <w:t xml:space="preserve"> (ESKO).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the </w:t>
      </w:r>
      <w:r>
        <w:rPr>
          <w:rFonts w:ascii="Times New Roman" w:eastAsia="Times New Roman" w:hAnsi="Times New Roman" w:cs="Times New Roman"/>
          <w:b/>
          <w:noProof/>
          <w:sz w:val="24"/>
          <w:szCs w:val="24"/>
        </w:rPr>
        <w:t>coordination of social security systems</w:t>
      </w:r>
      <w:r>
        <w:rPr>
          <w:rFonts w:ascii="Times New Roman" w:eastAsia="Times New Roman" w:hAnsi="Times New Roman" w:cs="Times New Roman"/>
          <w:noProof/>
          <w:sz w:val="24"/>
          <w:szCs w:val="24"/>
        </w:rPr>
        <w:t xml:space="preserve">, Albania has </w:t>
      </w:r>
      <w:r>
        <w:rPr>
          <w:rFonts w:ascii="Times New Roman" w:eastAsia="Calibri" w:hAnsi="Times New Roman" w:cs="Times New Roman"/>
          <w:noProof/>
          <w:sz w:val="24"/>
          <w:szCs w:val="24"/>
        </w:rPr>
        <w:t>bilateral agreements with Belgium, Czechia, Germany, Luxembourg, Hungary, Austria, Romania,</w:t>
      </w:r>
      <w:r>
        <w:rPr>
          <w:rFonts w:ascii="Times New Roman" w:eastAsia="Times New Roman" w:hAnsi="Times New Roman" w:cs="Times New Roman"/>
          <w:noProof/>
          <w:sz w:val="24"/>
          <w:szCs w:val="24"/>
        </w:rPr>
        <w:t xml:space="preserve"> </w:t>
      </w:r>
      <w:r>
        <w:rPr>
          <w:rFonts w:ascii="Times New Roman" w:eastAsia="Calibri" w:hAnsi="Times New Roman" w:cs="Times New Roman"/>
          <w:noProof/>
          <w:sz w:val="24"/>
          <w:szCs w:val="24"/>
        </w:rPr>
        <w:t>North Macedonia, Turkey and Kosovo. It has concluded new agreements with Switzerland and Canada and negotiations with Bulgaria for a new agreement started. There have been exchanges Montenegro, Spain, France and Croatia on coordinating social security sche</w:t>
      </w:r>
      <w:r>
        <w:rPr>
          <w:rFonts w:ascii="Times New Roman" w:eastAsia="Calibri" w:hAnsi="Times New Roman" w:cs="Times New Roman"/>
          <w:noProof/>
          <w:sz w:val="24"/>
          <w:szCs w:val="24"/>
        </w:rPr>
        <w:t xml:space="preserve">mes. A technical cooperation agreement is in place to continue negotiations for a bilateral agreement with Italy. </w:t>
      </w:r>
      <w:r>
        <w:rPr>
          <w:rFonts w:ascii="Times New Roman" w:eastAsia="Times New Roman" w:hAnsi="Times New Roman" w:cs="Times New Roman"/>
          <w:noProof/>
          <w:sz w:val="24"/>
          <w:szCs w:val="24"/>
        </w:rPr>
        <w:t xml:space="preserve">Negotiations and implementation of new bilateral agreements on social security between Albania and EU Member States remain to be fostered. </w:t>
      </w:r>
    </w:p>
    <w:p w:rsidR="00EE1719" w:rsidRDefault="000E39BA">
      <w:pPr>
        <w:pStyle w:val="Heading2"/>
        <w:rPr>
          <w:rStyle w:val="Heading2Char"/>
          <w:b/>
          <w:bCs/>
        </w:rPr>
      </w:pPr>
      <w:bookmarkStart w:id="56" w:name="_Toc29803513"/>
      <w:bookmarkStart w:id="57" w:name="_Toc9430013"/>
      <w:bookmarkStart w:id="58" w:name="_Toc9331921"/>
      <w:bookmarkStart w:id="59" w:name="_Toc9328488"/>
      <w:bookmarkStart w:id="60" w:name="_Toc510686857"/>
      <w:bookmarkStart w:id="61" w:name="_Toc530733573"/>
      <w:bookmarkStart w:id="62" w:name="_Toc52745516"/>
      <w:r>
        <w:rPr>
          <w:rStyle w:val="Heading2Char"/>
        </w:rPr>
        <w:t>5.</w:t>
      </w:r>
      <w:r>
        <w:rPr>
          <w:rStyle w:val="Heading2Char"/>
        </w:rPr>
        <w:t>3.</w:t>
      </w:r>
      <w:r>
        <w:rPr>
          <w:rStyle w:val="Heading2Char"/>
          <w:b/>
          <w:bCs/>
        </w:rPr>
        <w:tab/>
        <w:t>Chapter 3: Right of establishment and freedom to provide services</w:t>
      </w:r>
      <w:bookmarkEnd w:id="56"/>
      <w:bookmarkEnd w:id="57"/>
      <w:bookmarkEnd w:id="58"/>
      <w:bookmarkEnd w:id="59"/>
      <w:bookmarkEnd w:id="60"/>
      <w:bookmarkEnd w:id="61"/>
      <w:bookmarkEnd w:id="62"/>
    </w:p>
    <w:p w:rsidR="00EE1719" w:rsidRDefault="000E39BA">
      <w:pPr>
        <w:spacing w:after="120" w:line="240" w:lineRule="auto"/>
        <w:jc w:val="both"/>
        <w:rPr>
          <w:rFonts w:ascii="Times New Roman" w:eastAsia="Times New Roman" w:hAnsi="Times New Roman" w:cs="Times New Roman"/>
          <w:i/>
          <w:noProof/>
          <w:sz w:val="24"/>
          <w:szCs w:val="24"/>
        </w:rPr>
      </w:pPr>
      <w:bookmarkStart w:id="63" w:name="_Toc29803514"/>
      <w:bookmarkStart w:id="64" w:name="_Toc9430014"/>
      <w:bookmarkStart w:id="65" w:name="_Toc9331922"/>
      <w:bookmarkStart w:id="66" w:name="_Toc9328490"/>
      <w:bookmarkStart w:id="67" w:name="_Toc530733574"/>
      <w:bookmarkStart w:id="68" w:name="_Toc510686858"/>
      <w:r>
        <w:rPr>
          <w:rFonts w:ascii="Times New Roman" w:eastAsia="Times New Roman" w:hAnsi="Times New Roman" w:cs="Times New Roman"/>
          <w:i/>
          <w:noProof/>
          <w:sz w:val="24"/>
          <w:szCs w:val="24"/>
        </w:rPr>
        <w:t xml:space="preserve">EU natural and legal persons have the right to establish themselves in any Member State and to provide cross-border services. For certain regulated professions, there are rules on mutual </w:t>
      </w:r>
      <w:r>
        <w:rPr>
          <w:rFonts w:ascii="Times New Roman" w:eastAsia="Times New Roman" w:hAnsi="Times New Roman" w:cs="Times New Roman"/>
          <w:i/>
          <w:noProof/>
          <w:sz w:val="24"/>
          <w:szCs w:val="24"/>
        </w:rPr>
        <w:t>recognition of qualifications. Postal services are open to competition since 2017.</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is </w:t>
      </w:r>
      <w:r>
        <w:rPr>
          <w:rFonts w:ascii="Times New Roman" w:eastAsia="Times New Roman" w:hAnsi="Times New Roman" w:cs="Times New Roman"/>
          <w:b/>
          <w:noProof/>
          <w:sz w:val="24"/>
          <w:szCs w:val="24"/>
        </w:rPr>
        <w:t>moderately prepared</w:t>
      </w:r>
      <w:r>
        <w:rPr>
          <w:rFonts w:ascii="Times New Roman" w:eastAsia="Times New Roman" w:hAnsi="Times New Roman" w:cs="Times New Roman"/>
          <w:noProof/>
          <w:sz w:val="24"/>
          <w:szCs w:val="24"/>
        </w:rPr>
        <w:t xml:space="preserve"> in the right of establishment and freedom to provide services. </w:t>
      </w:r>
      <w:r>
        <w:rPr>
          <w:rFonts w:ascii="Times New Roman" w:eastAsia="Times New Roman" w:hAnsi="Times New Roman" w:cs="Times New Roman"/>
          <w:b/>
          <w:noProof/>
          <w:sz w:val="24"/>
          <w:szCs w:val="24"/>
        </w:rPr>
        <w:t>Limited progress</w:t>
      </w:r>
      <w:r>
        <w:rPr>
          <w:rFonts w:ascii="Times New Roman" w:eastAsia="Times New Roman" w:hAnsi="Times New Roman" w:cs="Times New Roman"/>
          <w:noProof/>
          <w:sz w:val="24"/>
          <w:szCs w:val="24"/>
        </w:rPr>
        <w:t xml:space="preserve"> was achieved in the reporting period, in particular on preparing the screening exercise of the legislation to be aligned with the acquis. The country should focus on fully implementing the following</w:t>
      </w:r>
      <w:r>
        <w:rPr>
          <w:rFonts w:ascii="Times New Roman" w:eastAsia="Calibri" w:hAnsi="Times New Roman" w:cs="Times New Roman"/>
          <w:noProof/>
          <w:sz w:val="24"/>
          <w:szCs w:val="24"/>
        </w:rPr>
        <w:t xml:space="preserve"> Commission’s recommendations from 2019, which still</w:t>
      </w:r>
      <w:r>
        <w:rPr>
          <w:rFonts w:ascii="Times New Roman" w:eastAsia="Times New Roman" w:hAnsi="Times New Roman" w:cs="Times New Roman"/>
          <w:noProof/>
          <w:sz w:val="24"/>
          <w:szCs w:val="24"/>
          <w:lang w:bidi="en-US"/>
        </w:rPr>
        <w:t xml:space="preserve"> rema</w:t>
      </w:r>
      <w:r>
        <w:rPr>
          <w:rFonts w:ascii="Times New Roman" w:eastAsia="Times New Roman" w:hAnsi="Times New Roman" w:cs="Times New Roman"/>
          <w:noProof/>
          <w:sz w:val="24"/>
          <w:szCs w:val="24"/>
          <w:lang w:bidi="en-US"/>
        </w:rPr>
        <w:t>in valid.</w:t>
      </w:r>
    </w:p>
    <w:p w:rsidR="00EE1719" w:rsidRDefault="000E39BA">
      <w:pPr>
        <w:numPr>
          <w:ilvl w:val="0"/>
          <w:numId w:val="40"/>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ind w:left="357"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finalise screening of the existing legislation to identify barriers to the freedom of establishment and free movement of services with a view to further aligning its legislation with the Services Directive;</w:t>
      </w:r>
    </w:p>
    <w:p w:rsidR="00EE1719" w:rsidRDefault="000E39BA">
      <w:pPr>
        <w:numPr>
          <w:ilvl w:val="0"/>
          <w:numId w:val="40"/>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ind w:left="357"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step up efforts to align its legislatio</w:t>
      </w:r>
      <w:r>
        <w:rPr>
          <w:rFonts w:ascii="Times New Roman" w:eastAsia="Times New Roman" w:hAnsi="Times New Roman" w:cs="Times New Roman"/>
          <w:noProof/>
          <w:sz w:val="24"/>
          <w:szCs w:val="24"/>
        </w:rPr>
        <w:t>n with the EU acquis and ensure appropriate  institutional capacity in the area of mutual recognition of professional qualifications.</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On the </w:t>
      </w:r>
      <w:r>
        <w:rPr>
          <w:rFonts w:ascii="Times New Roman" w:eastAsia="Calibri" w:hAnsi="Times New Roman" w:cs="Times New Roman"/>
          <w:b/>
          <w:bCs/>
          <w:noProof/>
          <w:sz w:val="24"/>
          <w:szCs w:val="24"/>
        </w:rPr>
        <w:t>freedom of establishment and the free movement of services</w:t>
      </w:r>
      <w:r>
        <w:rPr>
          <w:rFonts w:ascii="Times New Roman" w:eastAsia="Calibri" w:hAnsi="Times New Roman" w:cs="Times New Roman"/>
          <w:noProof/>
          <w:sz w:val="24"/>
          <w:szCs w:val="24"/>
        </w:rPr>
        <w:t xml:space="preserve">, the legislation on mining and social policy is broadly </w:t>
      </w:r>
      <w:r>
        <w:rPr>
          <w:rFonts w:ascii="Times New Roman" w:eastAsia="Calibri" w:hAnsi="Times New Roman" w:cs="Times New Roman"/>
          <w:noProof/>
          <w:sz w:val="24"/>
          <w:szCs w:val="24"/>
        </w:rPr>
        <w:t>in line with the Services Directive. However, the legislation on the veterinary sector still requires amendment to allow for the licensing of private veterinary clinics and hospitals. The legislation regulating the legal profession is partially aligned wit</w:t>
      </w:r>
      <w:r>
        <w:rPr>
          <w:rFonts w:ascii="Times New Roman" w:eastAsia="Calibri" w:hAnsi="Times New Roman" w:cs="Times New Roman"/>
          <w:noProof/>
          <w:sz w:val="24"/>
          <w:szCs w:val="24"/>
        </w:rPr>
        <w:t xml:space="preserve">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while remaining restrictions apply in particular for public notaries and private bailiffs. The screening of legislation is managed and monitored by the Ministry of Finance and Economy (MOFE), which follows a sector-by-sector approach whereby it has identi</w:t>
      </w:r>
      <w:r>
        <w:rPr>
          <w:rFonts w:ascii="Times New Roman" w:eastAsia="Calibri" w:hAnsi="Times New Roman" w:cs="Times New Roman"/>
          <w:noProof/>
          <w:sz w:val="24"/>
          <w:szCs w:val="24"/>
        </w:rPr>
        <w:t>fied 34 service sectors and around 125 subsectors. Currently, the process is focusing on sectors covered by MOFE, the Ministry of Agriculture and Rural Development (MARD) and the Ministry of Tourism and Environment. The first legislative, institutional and</w:t>
      </w:r>
      <w:r>
        <w:rPr>
          <w:rFonts w:ascii="Times New Roman" w:eastAsia="Calibri" w:hAnsi="Times New Roman" w:cs="Times New Roman"/>
          <w:noProof/>
          <w:sz w:val="24"/>
          <w:szCs w:val="24"/>
        </w:rPr>
        <w:t xml:space="preserve"> administrative gap analyses under this chapter were finalised in April-May 2020, paving the way to prioritisation of further alignment actions.</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the </w:t>
      </w:r>
      <w:r>
        <w:rPr>
          <w:rFonts w:ascii="Times New Roman" w:eastAsia="Calibri" w:hAnsi="Times New Roman" w:cs="Times New Roman"/>
          <w:b/>
          <w:bCs/>
          <w:noProof/>
          <w:sz w:val="24"/>
          <w:szCs w:val="24"/>
        </w:rPr>
        <w:t>freedom to provide cross-border services</w:t>
      </w:r>
      <w:r>
        <w:rPr>
          <w:rFonts w:ascii="Times New Roman" w:eastAsia="Calibri" w:hAnsi="Times New Roman" w:cs="Times New Roman"/>
          <w:noProof/>
          <w:sz w:val="24"/>
          <w:szCs w:val="24"/>
        </w:rPr>
        <w:t xml:space="preserve">, the National Business Centre functions as a one-stop-shop for </w:t>
      </w:r>
      <w:r>
        <w:rPr>
          <w:rFonts w:ascii="Times New Roman" w:eastAsia="Calibri" w:hAnsi="Times New Roman" w:cs="Times New Roman"/>
          <w:noProof/>
          <w:sz w:val="24"/>
          <w:szCs w:val="24"/>
        </w:rPr>
        <w:t>registering businesses and issuing licences, authorisations and permits. It operates through service desks throughout the country and virtual desks on the government`s e-Albania portal. In the reporting period, around a million registered e-Albania users b</w:t>
      </w:r>
      <w:r>
        <w:rPr>
          <w:rFonts w:ascii="Times New Roman" w:eastAsia="Calibri" w:hAnsi="Times New Roman" w:cs="Times New Roman"/>
          <w:noProof/>
          <w:sz w:val="24"/>
          <w:szCs w:val="24"/>
        </w:rPr>
        <w:t>enefited from over 500,000 electronic services per month.</w:t>
      </w:r>
    </w:p>
    <w:p w:rsidR="00EE1719" w:rsidRDefault="000E39BA">
      <w:pPr>
        <w:spacing w:after="120" w:line="240" w:lineRule="auto"/>
        <w:jc w:val="both"/>
        <w:rPr>
          <w:rFonts w:ascii="Times New Roman" w:eastAsia="Calibri" w:hAnsi="Times New Roman" w:cs="Times New Roman"/>
          <w:noProof/>
          <w:sz w:val="24"/>
          <w:szCs w:val="24"/>
          <w:lang w:eastAsia="sq-AL"/>
        </w:rPr>
      </w:pP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postal services</w:t>
      </w:r>
      <w:r>
        <w:rPr>
          <w:rFonts w:ascii="Times New Roman" w:eastAsia="Calibri" w:hAnsi="Times New Roman" w:cs="Times New Roman"/>
          <w:bCs/>
          <w:noProof/>
          <w:sz w:val="24"/>
          <w:szCs w:val="24"/>
        </w:rPr>
        <w:t>, the</w:t>
      </w: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 xml:space="preserve">legislation is aligned with EU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 xml:space="preserve"> except for the Regulation on cross-border parcel delivery services.</w:t>
      </w: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lang w:eastAsia="sq-AL"/>
        </w:rPr>
        <w:t>The postal market has been open to competition since 2017.</w:t>
      </w:r>
      <w:r>
        <w:rPr>
          <w:rFonts w:ascii="Times New Roman" w:eastAsia="Calibri" w:hAnsi="Times New Roman" w:cs="Times New Roman"/>
          <w:noProof/>
          <w:sz w:val="24"/>
          <w:szCs w:val="24"/>
        </w:rPr>
        <w:t xml:space="preserve"> There is </w:t>
      </w:r>
      <w:r>
        <w:rPr>
          <w:rFonts w:ascii="Times New Roman" w:eastAsia="Calibri" w:hAnsi="Times New Roman" w:cs="Times New Roman"/>
          <w:noProof/>
          <w:sz w:val="24"/>
          <w:szCs w:val="24"/>
        </w:rPr>
        <w:t>one universal service provider (Albanian Post S.A.) and 17 other postal service providers on the market. The Electronic and Postal Communication Authority (AKEP) is the independent national regulator for the postal market. A new postal strategy 2020-2025 i</w:t>
      </w:r>
      <w:r>
        <w:rPr>
          <w:rFonts w:ascii="Times New Roman" w:eastAsia="Calibri" w:hAnsi="Times New Roman" w:cs="Times New Roman"/>
          <w:noProof/>
          <w:sz w:val="24"/>
          <w:szCs w:val="24"/>
        </w:rPr>
        <w:t>s being prepared.</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No progress was made during the reporting period on aligning the professional qualifications framework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o</w:t>
      </w:r>
      <w:r>
        <w:rPr>
          <w:rFonts w:ascii="Times New Roman" w:eastAsia="Calibri" w:hAnsi="Times New Roman" w:cs="Times New Roman"/>
          <w:bCs/>
          <w:noProof/>
          <w:sz w:val="24"/>
          <w:szCs w:val="24"/>
        </w:rPr>
        <w:t>n the</w:t>
      </w:r>
      <w:r>
        <w:rPr>
          <w:rFonts w:ascii="Times New Roman" w:eastAsia="Calibri" w:hAnsi="Times New Roman" w:cs="Times New Roman"/>
          <w:b/>
          <w:bCs/>
          <w:noProof/>
          <w:sz w:val="24"/>
          <w:szCs w:val="24"/>
        </w:rPr>
        <w:t xml:space="preserve"> mutual recognition of professional qualifications</w:t>
      </w:r>
      <w:r>
        <w:rPr>
          <w:rFonts w:ascii="Times New Roman" w:eastAsia="Calibri" w:hAnsi="Times New Roman" w:cs="Times New Roman"/>
          <w:noProof/>
          <w:sz w:val="24"/>
          <w:szCs w:val="24"/>
        </w:rPr>
        <w:t>. Albania needs to strengthen institutional capacity in this</w:t>
      </w:r>
      <w:r>
        <w:rPr>
          <w:rFonts w:ascii="Times New Roman" w:eastAsia="Calibri" w:hAnsi="Times New Roman" w:cs="Times New Roman"/>
          <w:noProof/>
          <w:sz w:val="24"/>
          <w:szCs w:val="24"/>
        </w:rPr>
        <w:t xml:space="preserve"> area. </w:t>
      </w:r>
    </w:p>
    <w:p w:rsidR="00EE1719" w:rsidRDefault="000E39BA">
      <w:pPr>
        <w:pStyle w:val="Heading2"/>
        <w:rPr>
          <w:rStyle w:val="Heading2Char"/>
          <w:b/>
          <w:bCs/>
        </w:rPr>
      </w:pPr>
      <w:bookmarkStart w:id="69" w:name="_Toc52745517"/>
      <w:r>
        <w:rPr>
          <w:rStyle w:val="Heading2Char"/>
        </w:rPr>
        <w:t>5.4.</w:t>
      </w:r>
      <w:r>
        <w:rPr>
          <w:rStyle w:val="Heading2Char"/>
          <w:b/>
          <w:bCs/>
        </w:rPr>
        <w:tab/>
        <w:t xml:space="preserve"> Chapter 4: Free movement of capital</w:t>
      </w:r>
      <w:bookmarkEnd w:id="63"/>
      <w:bookmarkEnd w:id="64"/>
      <w:bookmarkEnd w:id="65"/>
      <w:bookmarkEnd w:id="66"/>
      <w:bookmarkEnd w:id="67"/>
      <w:bookmarkEnd w:id="68"/>
      <w:bookmarkEnd w:id="69"/>
    </w:p>
    <w:p w:rsidR="00EE1719" w:rsidRDefault="000E39BA">
      <w:pPr>
        <w:spacing w:after="120" w:line="240" w:lineRule="auto"/>
        <w:jc w:val="both"/>
        <w:rPr>
          <w:rFonts w:ascii="Times New Roman" w:eastAsia="Times New Roman" w:hAnsi="Times New Roman" w:cs="Times New Roman"/>
          <w:i/>
          <w:noProof/>
          <w:sz w:val="24"/>
          <w:szCs w:val="24"/>
        </w:rPr>
      </w:pPr>
      <w:bookmarkStart w:id="70" w:name="_Toc510686859"/>
      <w:r>
        <w:rPr>
          <w:rFonts w:ascii="Times New Roman" w:eastAsia="Times New Roman" w:hAnsi="Times New Roman" w:cs="Times New Roman"/>
          <w:i/>
          <w:noProof/>
          <w:sz w:val="24"/>
          <w:szCs w:val="24"/>
        </w:rPr>
        <w:t xml:space="preserve">In the EU, capital and investments must be able to move without restriction and there are common rules for cross-border payments. Banks and other economic operators apply certain rules to support the fight </w:t>
      </w:r>
      <w:r>
        <w:rPr>
          <w:rFonts w:ascii="Times New Roman" w:eastAsia="Times New Roman" w:hAnsi="Times New Roman" w:cs="Times New Roman"/>
          <w:i/>
          <w:noProof/>
          <w:sz w:val="24"/>
          <w:szCs w:val="24"/>
        </w:rPr>
        <w:t>against money laundering and terrorist financing.</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is </w:t>
      </w:r>
      <w:r>
        <w:rPr>
          <w:rFonts w:ascii="Times New Roman" w:eastAsia="Times New Roman" w:hAnsi="Times New Roman" w:cs="Times New Roman"/>
          <w:b/>
          <w:noProof/>
          <w:sz w:val="24"/>
          <w:szCs w:val="24"/>
        </w:rPr>
        <w:t xml:space="preserve">moderately prepared </w:t>
      </w:r>
      <w:r>
        <w:rPr>
          <w:rFonts w:ascii="Times New Roman" w:eastAsia="Times New Roman" w:hAnsi="Times New Roman" w:cs="Times New Roman"/>
          <w:noProof/>
          <w:sz w:val="24"/>
          <w:szCs w:val="24"/>
        </w:rPr>
        <w:t xml:space="preserve">in the area of free movement of capital. </w:t>
      </w:r>
      <w:r>
        <w:rPr>
          <w:rFonts w:ascii="Times New Roman" w:eastAsia="Times New Roman" w:hAnsi="Times New Roman" w:cs="Times New Roman"/>
          <w:b/>
          <w:noProof/>
          <w:sz w:val="24"/>
          <w:szCs w:val="24"/>
        </w:rPr>
        <w:t>Some progress</w:t>
      </w:r>
      <w:r>
        <w:rPr>
          <w:rFonts w:ascii="Times New Roman" w:eastAsia="Times New Roman" w:hAnsi="Times New Roman" w:cs="Times New Roman"/>
          <w:noProof/>
          <w:sz w:val="24"/>
          <w:szCs w:val="24"/>
        </w:rPr>
        <w:t xml:space="preserve"> was made in the reporting period, particularly in the area of payment systems, through the adoption of the Law on Payment Systems, which aims at alignment with the Payment Systems Directive II.  Some of the Moneyval report recommendations were implemented</w:t>
      </w:r>
      <w:r>
        <w:rPr>
          <w:rFonts w:ascii="Times New Roman" w:eastAsia="Times New Roman" w:hAnsi="Times New Roman" w:cs="Times New Roman"/>
          <w:noProof/>
          <w:sz w:val="24"/>
          <w:szCs w:val="24"/>
        </w:rPr>
        <w:t>, while no progress can be reported with the liberalisation of acquisition of land by EU citizens.</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coming year, Albania should in particular:</w:t>
      </w:r>
    </w:p>
    <w:p w:rsidR="00EE1719" w:rsidRDefault="000E39BA">
      <w:pPr>
        <w:numPr>
          <w:ilvl w:val="0"/>
          <w:numId w:val="41"/>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continue implementing the recommendations of the Moneyval report and continue to align with the EU </w:t>
      </w:r>
      <w:r>
        <w:rPr>
          <w:rFonts w:ascii="Times New Roman" w:eastAsia="Times New Roman" w:hAnsi="Times New Roman" w:cs="Times New Roman"/>
          <w:i/>
          <w:noProof/>
          <w:sz w:val="24"/>
          <w:szCs w:val="24"/>
        </w:rPr>
        <w:t xml:space="preserve">acquis </w:t>
      </w:r>
      <w:r>
        <w:rPr>
          <w:rFonts w:ascii="Times New Roman" w:eastAsia="Times New Roman" w:hAnsi="Times New Roman" w:cs="Times New Roman"/>
          <w:noProof/>
          <w:sz w:val="24"/>
          <w:szCs w:val="24"/>
        </w:rPr>
        <w:t xml:space="preserve">on anti-money laundering/countering terrorism financing; </w:t>
      </w:r>
    </w:p>
    <w:p w:rsidR="00EE1719" w:rsidRDefault="000E39BA">
      <w:pPr>
        <w:numPr>
          <w:ilvl w:val="0"/>
          <w:numId w:val="41"/>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take short- and medium-term measures to address the commitment under the Stabilisation and Association Agreement (SAA) on granting rights to acquisition of land by EU citizens, which is outstanding </w:t>
      </w:r>
      <w:r>
        <w:rPr>
          <w:rFonts w:ascii="Times New Roman" w:eastAsia="Times New Roman" w:hAnsi="Times New Roman" w:cs="Times New Roman"/>
          <w:noProof/>
          <w:sz w:val="24"/>
          <w:szCs w:val="24"/>
        </w:rPr>
        <w:t>since 2016.</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Regarding </w:t>
      </w:r>
      <w:r>
        <w:rPr>
          <w:rFonts w:ascii="Times New Roman" w:eastAsia="Times New Roman" w:hAnsi="Times New Roman" w:cs="Times New Roman"/>
          <w:b/>
          <w:noProof/>
          <w:sz w:val="24"/>
          <w:szCs w:val="24"/>
        </w:rPr>
        <w:t>capital movements and payments</w:t>
      </w:r>
      <w:r>
        <w:rPr>
          <w:rFonts w:ascii="Times New Roman" w:eastAsia="Times New Roman" w:hAnsi="Times New Roman" w:cs="Times New Roman"/>
          <w:noProof/>
          <w:sz w:val="24"/>
          <w:szCs w:val="24"/>
        </w:rPr>
        <w:t>, the expiry date for the Law on strategic investments</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which provides special protection to</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foreign investments was extended until December 2020. The unified Law on investments remains to be adopted. The </w:t>
      </w:r>
      <w:r>
        <w:rPr>
          <w:rFonts w:ascii="Times New Roman" w:eastAsia="Times New Roman" w:hAnsi="Times New Roman" w:cs="Times New Roman"/>
          <w:noProof/>
          <w:sz w:val="24"/>
          <w:szCs w:val="24"/>
        </w:rPr>
        <w:t>acquisition of real estate by foreigners remains subject to restrictions: foreigners including EU citizens are not allowed to acquire agricultural land, forests, meadows or pasture lands. Albania is late in delivering on its commitment under the 2006 Stabi</w:t>
      </w:r>
      <w:r>
        <w:rPr>
          <w:rFonts w:ascii="Times New Roman" w:eastAsia="Times New Roman" w:hAnsi="Times New Roman" w:cs="Times New Roman"/>
          <w:noProof/>
          <w:sz w:val="24"/>
          <w:szCs w:val="24"/>
        </w:rPr>
        <w:t xml:space="preserve">lisation and Association Agreement (SAA) to amend the arrangments for the acquisition of property by EU nationals/entities, which is a step due since 2016. An inter-institutional working group is foreseen to be established, to ensure the implementation of </w:t>
      </w:r>
      <w:r>
        <w:rPr>
          <w:rFonts w:ascii="Times New Roman" w:eastAsia="Times New Roman" w:hAnsi="Times New Roman" w:cs="Times New Roman"/>
          <w:noProof/>
          <w:sz w:val="24"/>
          <w:szCs w:val="24"/>
        </w:rPr>
        <w:t>the national commitments under the SAA. Provisions regulating the acquisition of real estate by foreigners remained unchanged and uncertainties over ownership rights continued to discourage investment.</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w:t>
      </w:r>
      <w:r>
        <w:rPr>
          <w:rFonts w:ascii="Times New Roman" w:eastAsia="Calibri" w:hAnsi="Times New Roman" w:cs="Times New Roman"/>
          <w:b/>
          <w:noProof/>
          <w:sz w:val="24"/>
          <w:szCs w:val="24"/>
        </w:rPr>
        <w:t>payment systems</w:t>
      </w:r>
      <w:r>
        <w:rPr>
          <w:rFonts w:ascii="Times New Roman" w:eastAsia="Calibri" w:hAnsi="Times New Roman" w:cs="Times New Roman"/>
          <w:noProof/>
          <w:sz w:val="24"/>
          <w:szCs w:val="24"/>
        </w:rPr>
        <w:t>, foreign banks have the rig</w:t>
      </w:r>
      <w:r>
        <w:rPr>
          <w:rFonts w:ascii="Times New Roman" w:eastAsia="Calibri" w:hAnsi="Times New Roman" w:cs="Times New Roman"/>
          <w:noProof/>
          <w:sz w:val="24"/>
          <w:szCs w:val="24"/>
        </w:rPr>
        <w:t xml:space="preserve">ht to open branches and agencies in Albania and to offer cross-border payments. Non-cash payments are governed by the Bank of Albania (BoA) Regulation on the payment system and instruments. </w:t>
      </w:r>
      <w:r>
        <w:rPr>
          <w:rFonts w:ascii="Times New Roman" w:eastAsia="Times New Roman" w:hAnsi="Times New Roman" w:cs="Times New Roman"/>
          <w:noProof/>
          <w:sz w:val="24"/>
          <w:szCs w:val="24"/>
          <w:lang w:eastAsia="sq-AL"/>
        </w:rPr>
        <w:t>In March 2020, due to COVID 19 state of quarantine, the BoA adopte</w:t>
      </w:r>
      <w:r>
        <w:rPr>
          <w:rFonts w:ascii="Times New Roman" w:eastAsia="Times New Roman" w:hAnsi="Times New Roman" w:cs="Times New Roman"/>
          <w:noProof/>
          <w:sz w:val="24"/>
          <w:szCs w:val="24"/>
          <w:lang w:eastAsia="sq-AL"/>
        </w:rPr>
        <w:t>d measures to reduce the costs of payment systems services, and promote home banking.</w:t>
      </w:r>
      <w:r>
        <w:rPr>
          <w:rFonts w:ascii="Times New Roman" w:eastAsia="Calibri" w:hAnsi="Times New Roman" w:cs="Times New Roman"/>
          <w:noProof/>
          <w:sz w:val="24"/>
          <w:szCs w:val="24"/>
        </w:rPr>
        <w:t xml:space="preserve"> The legal and regulatory framework for electronic payments in Albania is the same for national and cross-border payments. The National Payment System Committee is open to</w:t>
      </w:r>
      <w:r>
        <w:rPr>
          <w:rFonts w:ascii="Times New Roman" w:eastAsia="Calibri" w:hAnsi="Times New Roman" w:cs="Times New Roman"/>
          <w:noProof/>
          <w:sz w:val="24"/>
          <w:szCs w:val="24"/>
        </w:rPr>
        <w:t xml:space="preserve"> representatives of non-bank financial institutions and from the payment system operators and presented the strategy on Albania’s national retail payments strategy (NRPS) for 2018-2023. Implementation of the strategy continued with the adoption of the Law </w:t>
      </w:r>
      <w:r>
        <w:rPr>
          <w:rFonts w:ascii="Times New Roman" w:eastAsia="Calibri" w:hAnsi="Times New Roman" w:cs="Times New Roman"/>
          <w:noProof/>
          <w:sz w:val="24"/>
          <w:szCs w:val="24"/>
        </w:rPr>
        <w:t>on Payment Services, which aims at alignment with the Payment Service Directive II. Part of the NRPS objectives is the increase of financial literacy to Albanian population, aiming at achieving an adult account ownership ratio of 70% by 2023 from about 40%</w:t>
      </w:r>
      <w:r>
        <w:rPr>
          <w:rFonts w:ascii="Times New Roman" w:eastAsia="Calibri" w:hAnsi="Times New Roman" w:cs="Times New Roman"/>
          <w:noProof/>
          <w:sz w:val="24"/>
          <w:szCs w:val="24"/>
        </w:rPr>
        <w:t xml:space="preserve"> that is currently. </w:t>
      </w:r>
    </w:p>
    <w:p w:rsidR="00EE1719" w:rsidRDefault="000E39BA">
      <w:pPr>
        <w:spacing w:after="120" w:line="240" w:lineRule="auto"/>
        <w:jc w:val="both"/>
        <w:rPr>
          <w:rFonts w:ascii="Times New Roman" w:eastAsia="Calibri" w:hAnsi="Times New Roman" w:cs="Times New Roman"/>
          <w:noProof/>
          <w:sz w:val="24"/>
          <w:szCs w:val="24"/>
          <w:shd w:val="clear" w:color="auto" w:fill="FFFFFF"/>
        </w:rPr>
      </w:pPr>
      <w:r>
        <w:rPr>
          <w:rFonts w:ascii="Times New Roman" w:eastAsia="Times New Roman" w:hAnsi="Times New Roman" w:cs="Times New Roman"/>
          <w:noProof/>
          <w:sz w:val="24"/>
          <w:szCs w:val="24"/>
        </w:rPr>
        <w:t xml:space="preserve">Regarding the </w:t>
      </w:r>
      <w:r>
        <w:rPr>
          <w:rFonts w:ascii="Times New Roman" w:eastAsia="Times New Roman" w:hAnsi="Times New Roman" w:cs="Times New Roman"/>
          <w:b/>
          <w:noProof/>
          <w:sz w:val="24"/>
          <w:szCs w:val="24"/>
        </w:rPr>
        <w:t>fight against money</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laundering</w:t>
      </w:r>
      <w:r>
        <w:rPr>
          <w:rFonts w:ascii="Times New Roman" w:eastAsia="Times New Roman" w:hAnsi="Times New Roman" w:cs="Times New Roman"/>
          <w:noProof/>
          <w:sz w:val="24"/>
          <w:szCs w:val="24"/>
        </w:rPr>
        <w:t xml:space="preserve">, </w:t>
      </w:r>
      <w:r>
        <w:rPr>
          <w:rFonts w:ascii="Times New Roman" w:eastAsia="Calibri" w:hAnsi="Times New Roman" w:cs="Times New Roman"/>
          <w:noProof/>
          <w:sz w:val="24"/>
          <w:szCs w:val="24"/>
        </w:rPr>
        <w:t xml:space="preserve">Albania made efforts to address the deficiencies on technical compliance identified in the 2018 Moneyval </w:t>
      </w:r>
      <w:r>
        <w:rPr>
          <w:rFonts w:ascii="Times New Roman" w:eastAsia="Times New Roman" w:hAnsi="Times New Roman" w:cs="Times New Roman"/>
          <w:noProof/>
          <w:sz w:val="24"/>
          <w:szCs w:val="24"/>
        </w:rPr>
        <w:t xml:space="preserve">mutual evaluation report on Albania which, notwithstanding deficiencies in relation </w:t>
      </w:r>
      <w:r>
        <w:rPr>
          <w:rFonts w:ascii="Times New Roman" w:eastAsia="Times New Roman" w:hAnsi="Times New Roman" w:cs="Times New Roman"/>
          <w:noProof/>
          <w:sz w:val="24"/>
          <w:szCs w:val="24"/>
        </w:rPr>
        <w:t>to effectiveness, triggered Albania’s referral to the International Cooperation Review Group. Albania intensified its efforts to address most of the Moneyval's recommendations during 2019. The Committee for Coordination in the Fight against Money Launderin</w:t>
      </w:r>
      <w:r>
        <w:rPr>
          <w:rFonts w:ascii="Times New Roman" w:eastAsia="Times New Roman" w:hAnsi="Times New Roman" w:cs="Times New Roman"/>
          <w:noProof/>
          <w:sz w:val="24"/>
          <w:szCs w:val="24"/>
        </w:rPr>
        <w:t xml:space="preserve">g, chaired by the Prime Minister, adopted an action plan in September 2018. </w:t>
      </w:r>
      <w:r>
        <w:rPr>
          <w:rFonts w:ascii="Times New Roman" w:eastAsia="Calibri" w:hAnsi="Times New Roman" w:cs="Times New Roman"/>
          <w:noProof/>
          <w:sz w:val="24"/>
          <w:szCs w:val="24"/>
        </w:rPr>
        <w:t xml:space="preserve">A "Moneyval package" was adopted in Parliament in June 2019 which included amendments to four existing laws, related to i) the prevention of money laundering and financing of </w:t>
      </w:r>
      <w:r>
        <w:rPr>
          <w:rFonts w:ascii="Times New Roman" w:eastAsia="Calibri" w:hAnsi="Times New Roman" w:cs="Times New Roman"/>
          <w:noProof/>
          <w:sz w:val="24"/>
          <w:szCs w:val="24"/>
        </w:rPr>
        <w:t>terrorism, ii) measures against terrorism financing, iii) tax procedures and iv) the National Registration Centre. It also included the adoption of a new law on the administration of seized assets. A new law on international restrictive measures was adopte</w:t>
      </w:r>
      <w:r>
        <w:rPr>
          <w:rFonts w:ascii="Times New Roman" w:eastAsia="Calibri" w:hAnsi="Times New Roman" w:cs="Times New Roman"/>
          <w:noProof/>
          <w:sz w:val="24"/>
          <w:szCs w:val="24"/>
        </w:rPr>
        <w:t>d in November. In recognition of these efforts Albania was upgraded on six recommendations at the Moneyval plenary in December.</w:t>
      </w:r>
      <w:r>
        <w:rPr>
          <w:rFonts w:ascii="Times New Roman" w:eastAsia="Times New Roman" w:hAnsi="Times New Roman" w:cs="Times New Roman"/>
          <w:noProof/>
          <w:sz w:val="24"/>
          <w:szCs w:val="24"/>
        </w:rPr>
        <w:t xml:space="preserve"> The National Business Centre worked on an assessing the best practices on establishment of beneficial ownership register. Prepar</w:t>
      </w:r>
      <w:r>
        <w:rPr>
          <w:rFonts w:ascii="Times New Roman" w:eastAsia="Times New Roman" w:hAnsi="Times New Roman" w:cs="Times New Roman"/>
          <w:noProof/>
          <w:sz w:val="24"/>
          <w:szCs w:val="24"/>
        </w:rPr>
        <w:t>ations for establishment of Beneficial Owner register were at the initial stage. The law on establishing a beneficial ownership registry was adopted in July 2020. Due to the fact that not sufficient positive and tangible progress could be demonstrated in r</w:t>
      </w:r>
      <w:r>
        <w:rPr>
          <w:rFonts w:ascii="Times New Roman" w:eastAsia="Times New Roman" w:hAnsi="Times New Roman" w:cs="Times New Roman"/>
          <w:noProof/>
          <w:sz w:val="24"/>
          <w:szCs w:val="24"/>
        </w:rPr>
        <w:t xml:space="preserve">elation to addressing all the identified strategic deficiencies, also relating to the effective implementation of the framework in place, the FATF has placed Albania in the 'grey list', which means </w:t>
      </w:r>
      <w:r>
        <w:rPr>
          <w:rFonts w:ascii="Times New Roman" w:eastAsia="Calibri" w:hAnsi="Times New Roman" w:cs="Times New Roman"/>
          <w:noProof/>
          <w:sz w:val="24"/>
          <w:szCs w:val="24"/>
        </w:rPr>
        <w:t>the country has committed to resolve the identified strate</w:t>
      </w:r>
      <w:r>
        <w:rPr>
          <w:rFonts w:ascii="Times New Roman" w:eastAsia="Calibri" w:hAnsi="Times New Roman" w:cs="Times New Roman"/>
          <w:noProof/>
          <w:sz w:val="24"/>
          <w:szCs w:val="24"/>
        </w:rPr>
        <w:t>gic deficiencies within agreed timeframes and is subject to increased monitoring. A</w:t>
      </w:r>
      <w:r>
        <w:rPr>
          <w:rFonts w:ascii="Times New Roman" w:eastAsia="SimSun" w:hAnsi="Times New Roman" w:cs="Times New Roman"/>
          <w:noProof/>
          <w:sz w:val="24"/>
          <w:szCs w:val="24"/>
          <w:lang w:eastAsia="zh-CN"/>
        </w:rPr>
        <w:t xml:space="preserve"> draft law on fiscal amnesty is under preparation. Consultation with Moneyval on this initiative is needed as Albania needs to fulfil its recommendations swiftly and to insu</w:t>
      </w:r>
      <w:r>
        <w:rPr>
          <w:rFonts w:ascii="Times New Roman" w:eastAsia="SimSun" w:hAnsi="Times New Roman" w:cs="Times New Roman"/>
          <w:noProof/>
          <w:sz w:val="24"/>
          <w:szCs w:val="24"/>
          <w:lang w:eastAsia="zh-CN"/>
        </w:rPr>
        <w:t xml:space="preserve">re that the activities subject to anti-money laundering and financing of terrorism and organised crime do not benefit from the proposed fiscal amnesty. </w:t>
      </w:r>
      <w:r>
        <w:rPr>
          <w:rFonts w:ascii="Times New Roman" w:eastAsia="Times New Roman" w:hAnsi="Times New Roman" w:cs="Times New Roman"/>
          <w:noProof/>
          <w:sz w:val="24"/>
          <w:szCs w:val="24"/>
        </w:rPr>
        <w:t xml:space="preserve">In view of the </w:t>
      </w:r>
      <w:r>
        <w:rPr>
          <w:rFonts w:ascii="Times New Roman" w:eastAsia="Calibri" w:hAnsi="Times New Roman" w:cs="Times New Roman"/>
          <w:noProof/>
          <w:sz w:val="24"/>
          <w:szCs w:val="24"/>
        </w:rPr>
        <w:t>Moneyval recommendations, the BoA approved a regulatory package, which aims at strengthen</w:t>
      </w:r>
      <w:r>
        <w:rPr>
          <w:rFonts w:ascii="Times New Roman" w:eastAsia="Calibri" w:hAnsi="Times New Roman" w:cs="Times New Roman"/>
          <w:noProof/>
          <w:sz w:val="24"/>
          <w:szCs w:val="24"/>
        </w:rPr>
        <w:t>ing the risk management standards and licensing requirements of financial institutions, including non-banks and foreign exchange bureaus. As a response to the amended Law on prevention of Money laundering and terrorism financing, in December the BoA adopte</w:t>
      </w:r>
      <w:r>
        <w:rPr>
          <w:rFonts w:ascii="Times New Roman" w:eastAsia="Calibri" w:hAnsi="Times New Roman" w:cs="Times New Roman"/>
          <w:noProof/>
          <w:sz w:val="24"/>
          <w:szCs w:val="24"/>
        </w:rPr>
        <w:t xml:space="preserve">d three regulations related to </w:t>
      </w:r>
      <w:r>
        <w:rPr>
          <w:rFonts w:ascii="Times New Roman" w:eastAsia="Calibri" w:hAnsi="Times New Roman" w:cs="Times New Roman"/>
          <w:noProof/>
          <w:sz w:val="24"/>
          <w:szCs w:val="24"/>
          <w:shd w:val="clear" w:color="auto" w:fill="FFFFFF"/>
        </w:rPr>
        <w:t>the prevention of money laundering and terrorism financing; consolidated supervision and to the supervision of electronic banking transactions.</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BoA inspected 97 foreign exchange offices during 2019, and concluded with 7 c</w:t>
      </w:r>
      <w:r>
        <w:rPr>
          <w:rFonts w:ascii="Times New Roman" w:eastAsia="Calibri" w:hAnsi="Times New Roman" w:cs="Times New Roman"/>
          <w:noProof/>
          <w:sz w:val="24"/>
          <w:szCs w:val="24"/>
        </w:rPr>
        <w:t>ases of proposed license revocation and 23 cases with substantial discrepancies, as a result of which it took some administrative measures and provided relevant recommendations and appropriate assistance for the correct implementation of the anti-money lau</w:t>
      </w:r>
      <w:r>
        <w:rPr>
          <w:rFonts w:ascii="Times New Roman" w:eastAsia="Calibri" w:hAnsi="Times New Roman" w:cs="Times New Roman"/>
          <w:noProof/>
          <w:sz w:val="24"/>
          <w:szCs w:val="24"/>
        </w:rPr>
        <w:t xml:space="preserve">ndering/counter terrorism obligations.  </w:t>
      </w:r>
    </w:p>
    <w:p w:rsidR="00EE1719" w:rsidRDefault="000E39BA">
      <w:pPr>
        <w:widowControl w:val="0"/>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Albania ratified in November 2019 the International Convention for the Suppression of Counterfeiting Currency.</w:t>
      </w:r>
    </w:p>
    <w:p w:rsidR="00EE1719" w:rsidRDefault="000E39BA">
      <w:pPr>
        <w:widowControl w:val="0"/>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General Directorate for the Prevention of Money Laundering (the Albanian Financial Intelligence Unit</w:t>
      </w:r>
      <w:r>
        <w:rPr>
          <w:rFonts w:ascii="Times New Roman" w:eastAsia="Times New Roman" w:hAnsi="Times New Roman" w:cs="Times New Roman"/>
          <w:noProof/>
          <w:sz w:val="24"/>
          <w:szCs w:val="24"/>
        </w:rPr>
        <w:t xml:space="preserve"> or FIU) received six new  posts, bringing the number of staff to 45 as compared to 39 in the previous reporting period. Recruitmentfor the new posts has started. </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FIU received for 2019  1424 suspicious transaction reports (1525 in 2018 ) and referred </w:t>
      </w:r>
      <w:r>
        <w:rPr>
          <w:rFonts w:ascii="Times New Roman" w:eastAsia="Times New Roman" w:hAnsi="Times New Roman" w:cs="Times New Roman"/>
          <w:noProof/>
          <w:sz w:val="24"/>
          <w:szCs w:val="24"/>
        </w:rPr>
        <w:t xml:space="preserve">266 cases to law enforcement authorities in 2019 (376 cases in 2018). </w:t>
      </w:r>
      <w:bookmarkEnd w:id="70"/>
      <w:r>
        <w:rPr>
          <w:rFonts w:ascii="Times New Roman" w:eastAsia="Times New Roman" w:hAnsi="Times New Roman" w:cs="Times New Roman"/>
          <w:noProof/>
          <w:sz w:val="24"/>
          <w:szCs w:val="24"/>
        </w:rPr>
        <w:t>The decrease in the number of suspicous transaction reports is mainly due to fewer reports from the notary offices, reflecting better the understanding on what a suspicious transaction i</w:t>
      </w:r>
      <w:r>
        <w:rPr>
          <w:rFonts w:ascii="Times New Roman" w:eastAsia="Times New Roman" w:hAnsi="Times New Roman" w:cs="Times New Roman"/>
          <w:noProof/>
          <w:sz w:val="24"/>
          <w:szCs w:val="24"/>
        </w:rPr>
        <w:t xml:space="preserve">s, in line with the training provided by the FIU. </w:t>
      </w:r>
    </w:p>
    <w:p w:rsidR="00EE1719" w:rsidRDefault="000E39BA">
      <w:pPr>
        <w:pStyle w:val="Heading2"/>
        <w:rPr>
          <w:rStyle w:val="Heading2Char"/>
          <w:b/>
          <w:bCs/>
        </w:rPr>
      </w:pPr>
      <w:bookmarkStart w:id="71" w:name="_Toc29803515"/>
      <w:bookmarkStart w:id="72" w:name="_Toc9430015"/>
      <w:bookmarkStart w:id="73" w:name="_Toc9331923"/>
      <w:bookmarkStart w:id="74" w:name="_Toc9328491"/>
      <w:bookmarkStart w:id="75" w:name="_Toc530733575"/>
      <w:bookmarkStart w:id="76" w:name="_Toc52745518"/>
      <w:r>
        <w:rPr>
          <w:rStyle w:val="Heading2Char"/>
        </w:rPr>
        <w:t>5.5.</w:t>
      </w:r>
      <w:r>
        <w:rPr>
          <w:rStyle w:val="Heading2Char"/>
          <w:b/>
          <w:bCs/>
        </w:rPr>
        <w:t xml:space="preserve"> </w:t>
      </w:r>
      <w:r>
        <w:rPr>
          <w:rStyle w:val="Heading2Char"/>
          <w:b/>
          <w:bCs/>
        </w:rPr>
        <w:tab/>
        <w:t>Chapter 5: Public procurement</w:t>
      </w:r>
      <w:bookmarkEnd w:id="71"/>
      <w:bookmarkEnd w:id="72"/>
      <w:bookmarkEnd w:id="73"/>
      <w:bookmarkEnd w:id="74"/>
      <w:bookmarkEnd w:id="75"/>
      <w:bookmarkEnd w:id="76"/>
    </w:p>
    <w:p w:rsidR="00EE1719" w:rsidRDefault="000E39BA">
      <w:pPr>
        <w:spacing w:after="120" w:line="240" w:lineRule="auto"/>
        <w:jc w:val="both"/>
        <w:rPr>
          <w:rFonts w:ascii="Times New Roman" w:eastAsia="Calibri" w:hAnsi="Times New Roman" w:cs="Times New Roman"/>
          <w:i/>
          <w:noProof/>
          <w:sz w:val="24"/>
          <w:szCs w:val="24"/>
        </w:rPr>
      </w:pPr>
      <w:bookmarkStart w:id="77" w:name="_Toc432589183"/>
      <w:bookmarkStart w:id="78" w:name="_Toc510686860"/>
      <w:bookmarkStart w:id="79" w:name="_Toc29803516"/>
      <w:bookmarkStart w:id="80" w:name="_Toc9430016"/>
      <w:bookmarkStart w:id="81" w:name="_Toc9331924"/>
      <w:bookmarkStart w:id="82" w:name="_Toc9328492"/>
      <w:bookmarkStart w:id="83" w:name="_Toc530733576"/>
      <w:r>
        <w:rPr>
          <w:rFonts w:ascii="Times New Roman" w:eastAsia="Calibri" w:hAnsi="Times New Roman" w:cs="Times New Roman"/>
          <w:i/>
          <w:noProof/>
          <w:sz w:val="24"/>
          <w:szCs w:val="24"/>
        </w:rPr>
        <w:t>EU rules ensure that public procurement of goods, services and works in any Member State is transparent and open to all EU companies on the basis of non-discrimination a</w:t>
      </w:r>
      <w:r>
        <w:rPr>
          <w:rFonts w:ascii="Times New Roman" w:eastAsia="Calibri" w:hAnsi="Times New Roman" w:cs="Times New Roman"/>
          <w:i/>
          <w:noProof/>
          <w:sz w:val="24"/>
          <w:szCs w:val="24"/>
        </w:rPr>
        <w:t>nd equal treatment.</w:t>
      </w:r>
    </w:p>
    <w:p w:rsidR="00EE1719" w:rsidRDefault="000E39BA">
      <w:pPr>
        <w:pBdr>
          <w:top w:val="single" w:sz="4" w:space="1" w:color="auto"/>
          <w:left w:val="single" w:sz="4" w:space="4" w:color="auto"/>
          <w:bottom w:val="single" w:sz="4" w:space="2" w:color="auto"/>
          <w:right w:val="single" w:sz="4" w:space="4" w:color="auto"/>
        </w:pBdr>
        <w:shd w:val="clear" w:color="auto" w:fill="D9D9D9"/>
        <w:autoSpaceDE w:val="0"/>
        <w:autoSpaceDN w:val="0"/>
        <w:adjustRightInd w:val="0"/>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Albania </w:t>
      </w:r>
      <w:r>
        <w:rPr>
          <w:rFonts w:ascii="Times New Roman" w:eastAsia="Malgun Gothic" w:hAnsi="Times New Roman" w:cs="Times New Roman"/>
          <w:b/>
          <w:bCs/>
          <w:noProof/>
          <w:sz w:val="24"/>
          <w:szCs w:val="24"/>
        </w:rPr>
        <w:t xml:space="preserve">is moderately prepared </w:t>
      </w:r>
      <w:r>
        <w:rPr>
          <w:rFonts w:ascii="Times New Roman" w:eastAsia="Malgun Gothic" w:hAnsi="Times New Roman" w:cs="Times New Roman"/>
          <w:noProof/>
          <w:sz w:val="24"/>
          <w:szCs w:val="24"/>
        </w:rPr>
        <w:t xml:space="preserve">in public procurement. </w:t>
      </w:r>
      <w:r>
        <w:rPr>
          <w:rFonts w:ascii="Times New Roman" w:eastAsia="Malgun Gothic" w:hAnsi="Times New Roman" w:cs="Times New Roman"/>
          <w:b/>
          <w:noProof/>
          <w:sz w:val="24"/>
          <w:szCs w:val="24"/>
        </w:rPr>
        <w:t xml:space="preserve">Some </w:t>
      </w:r>
      <w:r>
        <w:rPr>
          <w:rFonts w:ascii="Times New Roman" w:eastAsia="Malgun Gothic" w:hAnsi="Times New Roman" w:cs="Times New Roman"/>
          <w:b/>
          <w:bCs/>
          <w:noProof/>
          <w:sz w:val="24"/>
          <w:szCs w:val="24"/>
        </w:rPr>
        <w:t xml:space="preserve">progress </w:t>
      </w:r>
      <w:r>
        <w:rPr>
          <w:rFonts w:ascii="Times New Roman" w:eastAsia="Malgun Gothic" w:hAnsi="Times New Roman" w:cs="Times New Roman"/>
          <w:noProof/>
          <w:sz w:val="24"/>
          <w:szCs w:val="24"/>
        </w:rPr>
        <w:t xml:space="preserve">was made in the past year, in particular by amending the law on concessions and public-private partnerships (PPPs) to remove the bonus for unsolicited proposal in line </w:t>
      </w:r>
      <w:r>
        <w:rPr>
          <w:rFonts w:ascii="Times New Roman" w:eastAsia="Malgun Gothic" w:hAnsi="Times New Roman" w:cs="Times New Roman"/>
          <w:noProof/>
          <w:sz w:val="24"/>
          <w:szCs w:val="24"/>
        </w:rPr>
        <w:t>with Commission recommendations and the adoption of the</w:t>
      </w:r>
      <w:r>
        <w:rPr>
          <w:rFonts w:ascii="Times New Roman" w:eastAsia="Times New Roman" w:hAnsi="Times New Roman" w:cs="Times New Roman"/>
          <w:noProof/>
          <w:sz w:val="24"/>
          <w:szCs w:val="24"/>
        </w:rPr>
        <w:t xml:space="preserve"> new law defence and security procurement</w:t>
      </w:r>
      <w:r>
        <w:rPr>
          <w:rFonts w:ascii="Times New Roman" w:eastAsia="Malgun Gothic" w:hAnsi="Times New Roman" w:cs="Times New Roman"/>
          <w:noProof/>
          <w:sz w:val="24"/>
          <w:szCs w:val="24"/>
        </w:rPr>
        <w:t>. Further efforts are needed to improve compliance with procedures and prevent corruption in the procurement cycle. The Commission’s recommendations from 2019 w</w:t>
      </w:r>
      <w:r>
        <w:rPr>
          <w:rFonts w:ascii="Times New Roman" w:eastAsia="Malgun Gothic" w:hAnsi="Times New Roman" w:cs="Times New Roman"/>
          <w:noProof/>
          <w:sz w:val="24"/>
          <w:szCs w:val="24"/>
        </w:rPr>
        <w:t>ere not fully implemented and remain valid.</w:t>
      </w:r>
    </w:p>
    <w:p w:rsidR="00EE1719" w:rsidRDefault="000E39BA">
      <w:pPr>
        <w:pBdr>
          <w:top w:val="single" w:sz="4" w:space="1" w:color="auto"/>
          <w:left w:val="single" w:sz="4" w:space="4" w:color="auto"/>
          <w:bottom w:val="single" w:sz="4" w:space="2" w:color="auto"/>
          <w:right w:val="single" w:sz="4" w:space="4" w:color="auto"/>
        </w:pBdr>
        <w:shd w:val="clear" w:color="auto" w:fill="D9D9D9"/>
        <w:autoSpaceDE w:val="0"/>
        <w:autoSpaceDN w:val="0"/>
        <w:adjustRightInd w:val="0"/>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In the coming year, Albania should in particular:</w:t>
      </w:r>
    </w:p>
    <w:p w:rsidR="00EE1719" w:rsidRDefault="000E39BA">
      <w:pPr>
        <w:numPr>
          <w:ilvl w:val="0"/>
          <w:numId w:val="42"/>
        </w:numPr>
        <w:pBdr>
          <w:top w:val="single" w:sz="4" w:space="1" w:color="auto"/>
          <w:left w:val="single" w:sz="4" w:space="4" w:color="auto"/>
          <w:bottom w:val="single" w:sz="4" w:space="2" w:color="auto"/>
          <w:right w:val="single" w:sz="4" w:space="4" w:color="auto"/>
        </w:pBdr>
        <w:shd w:val="clear" w:color="auto" w:fill="D9D9D9"/>
        <w:autoSpaceDE w:val="0"/>
        <w:autoSpaceDN w:val="0"/>
        <w:adjustRightInd w:val="0"/>
        <w:spacing w:after="120" w:line="240" w:lineRule="auto"/>
        <w:ind w:left="357" w:hanging="357"/>
        <w:jc w:val="both"/>
        <w:rPr>
          <w:rFonts w:ascii="Times New Roman" w:eastAsia="Malgun Gothic" w:hAnsi="Times New Roman" w:cs="Times New Roman"/>
          <w:noProof/>
          <w:sz w:val="24"/>
          <w:szCs w:val="24"/>
        </w:rPr>
      </w:pPr>
      <w:r>
        <w:rPr>
          <w:rFonts w:ascii="Times New Roman" w:eastAsia="Times New Roman" w:hAnsi="Times New Roman" w:cs="Times New Roman"/>
          <w:noProof/>
          <w:sz w:val="24"/>
          <w:szCs w:val="24"/>
          <w:lang w:bidi="en-US"/>
        </w:rPr>
        <w:t>adopt the planned new law on public procurement and the law on defence procurement in order to further align the legal framework with the EU Directives;</w:t>
      </w:r>
    </w:p>
    <w:p w:rsidR="00EE1719" w:rsidRDefault="000E39BA">
      <w:pPr>
        <w:widowControl w:val="0"/>
        <w:numPr>
          <w:ilvl w:val="0"/>
          <w:numId w:val="42"/>
        </w:numPr>
        <w:pBdr>
          <w:top w:val="single" w:sz="4" w:space="1" w:color="auto"/>
          <w:left w:val="single" w:sz="4" w:space="4" w:color="auto"/>
          <w:bottom w:val="single" w:sz="4" w:space="2" w:color="auto"/>
          <w:right w:val="single" w:sz="4" w:space="4" w:color="auto"/>
        </w:pBdr>
        <w:shd w:val="clear" w:color="auto" w:fill="D9D9D9"/>
        <w:autoSpaceDE w:val="0"/>
        <w:autoSpaceDN w:val="0"/>
        <w:adjustRightInd w:val="0"/>
        <w:spacing w:after="120" w:line="240" w:lineRule="auto"/>
        <w:ind w:left="357" w:hanging="357"/>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adopt the</w:t>
      </w:r>
      <w:r>
        <w:rPr>
          <w:rFonts w:ascii="Times New Roman" w:eastAsia="Malgun Gothic" w:hAnsi="Times New Roman" w:cs="Times New Roman"/>
          <w:noProof/>
          <w:sz w:val="24"/>
          <w:szCs w:val="24"/>
        </w:rPr>
        <w:t xml:space="preserve"> prepared public procurement strategy in line with the overarching public financial management strategy;</w:t>
      </w:r>
    </w:p>
    <w:p w:rsidR="00EE1719" w:rsidRDefault="000E39BA">
      <w:pPr>
        <w:widowControl w:val="0"/>
        <w:numPr>
          <w:ilvl w:val="0"/>
          <w:numId w:val="42"/>
        </w:numPr>
        <w:pBdr>
          <w:top w:val="single" w:sz="4" w:space="1" w:color="auto"/>
          <w:left w:val="single" w:sz="4" w:space="4" w:color="auto"/>
          <w:bottom w:val="single" w:sz="4" w:space="2" w:color="auto"/>
          <w:right w:val="single" w:sz="4" w:space="4" w:color="auto"/>
        </w:pBdr>
        <w:shd w:val="clear" w:color="auto" w:fill="D9D9D9"/>
        <w:autoSpaceDE w:val="0"/>
        <w:autoSpaceDN w:val="0"/>
        <w:adjustRightInd w:val="0"/>
        <w:spacing w:after="120" w:line="240" w:lineRule="auto"/>
        <w:ind w:left="357" w:hanging="357"/>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ensure adequate administrative capacity in contracting authorities</w:t>
      </w:r>
      <w:r>
        <w:rPr>
          <w:rFonts w:ascii="Times New Roman" w:eastAsia="Calibri" w:hAnsi="Times New Roman" w:cs="Times New Roman"/>
          <w:noProof/>
          <w:sz w:val="24"/>
          <w:szCs w:val="24"/>
        </w:rPr>
        <w:t xml:space="preserve"> and the supreme audit institution.</w:t>
      </w:r>
    </w:p>
    <w:bookmarkEnd w:id="77"/>
    <w:p w:rsidR="00EE1719" w:rsidRDefault="000E39BA">
      <w:pPr>
        <w:widowControl w:val="0"/>
        <w:spacing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Institutional set-up and legal alignment</w:t>
      </w:r>
    </w:p>
    <w:p w:rsidR="00EE1719" w:rsidRDefault="000E39BA">
      <w:pPr>
        <w:widowControl w:val="0"/>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Malgun Gothic" w:hAnsi="Times New Roman" w:cs="Times New Roman"/>
          <w:noProof/>
          <w:sz w:val="24"/>
          <w:szCs w:val="24"/>
        </w:rPr>
        <w:t xml:space="preserve">The </w:t>
      </w:r>
      <w:r>
        <w:rPr>
          <w:rFonts w:ascii="Times New Roman" w:eastAsia="Malgun Gothic" w:hAnsi="Times New Roman" w:cs="Times New Roman"/>
          <w:b/>
          <w:bCs/>
          <w:noProof/>
          <w:sz w:val="24"/>
          <w:szCs w:val="24"/>
        </w:rPr>
        <w:t>legal framework</w:t>
      </w:r>
      <w:r>
        <w:rPr>
          <w:rFonts w:ascii="Times New Roman" w:eastAsia="Malgun Gothic" w:hAnsi="Times New Roman" w:cs="Times New Roman"/>
          <w:noProof/>
          <w:sz w:val="24"/>
          <w:szCs w:val="24"/>
        </w:rPr>
        <w:t xml:space="preserve"> on public procurement is largely in line with 2004 EU directives on public procurement and procurement of utilities as well as relevant administrative and budget provisions. The Law on public procurement refers explicitly to the principles </w:t>
      </w:r>
      <w:r>
        <w:rPr>
          <w:rFonts w:ascii="Times New Roman" w:eastAsia="Malgun Gothic" w:hAnsi="Times New Roman" w:cs="Times New Roman"/>
          <w:noProof/>
          <w:sz w:val="24"/>
          <w:szCs w:val="24"/>
        </w:rPr>
        <w:t xml:space="preserve">of transparency, equal treatment and non-discrimination. Further alignment with the 2014 EU public procurement directives is planned through the adoption of a new law on public procurement for which public consultation ended in March 2020. In July 2019, </w:t>
      </w:r>
      <w:r>
        <w:rPr>
          <w:rFonts w:ascii="Times New Roman" w:eastAsia="Times New Roman" w:hAnsi="Times New Roman" w:cs="Times New Roman"/>
          <w:noProof/>
          <w:sz w:val="24"/>
          <w:szCs w:val="24"/>
        </w:rPr>
        <w:t>th</w:t>
      </w:r>
      <w:r>
        <w:rPr>
          <w:rFonts w:ascii="Times New Roman" w:eastAsia="Times New Roman" w:hAnsi="Times New Roman" w:cs="Times New Roman"/>
          <w:noProof/>
          <w:sz w:val="24"/>
          <w:szCs w:val="24"/>
        </w:rPr>
        <w:t>e Law on concessions and public-private partnerships (PPPs), partly aligned with the EU Directive on the award of concession contracts, was amended to abolish bonuses for unsolicited offers, to limit the use of unsolicited offers in specific sectors and to</w:t>
      </w:r>
      <w:r>
        <w:rPr>
          <w:rFonts w:ascii="Times New Roman" w:eastAsia="Times New Roman" w:hAnsi="Times New Roman" w:cs="Times New Roman"/>
          <w:noProof/>
          <w:sz w:val="24"/>
          <w:szCs w:val="24"/>
        </w:rPr>
        <w:t xml:space="preserve"> strengthen controls on the fiscal implications of concessions/PPP contracts. All legal and financial instruments in the area of public procurement and concessions, including inter-governmental agreements with other countries on the implementation of joint</w:t>
      </w:r>
      <w:r>
        <w:rPr>
          <w:rFonts w:ascii="Times New Roman" w:eastAsia="Times New Roman" w:hAnsi="Times New Roman" w:cs="Times New Roman"/>
          <w:noProof/>
          <w:sz w:val="24"/>
          <w:szCs w:val="24"/>
        </w:rPr>
        <w:t xml:space="preserve"> projects, should comply with the principles of transparency, competition, equal treatment and non-discrimination. A new law on defence and security procurement was adopted in April 2020 intended to largely align the framework in this area with the relevan</w:t>
      </w:r>
      <w:r>
        <w:rPr>
          <w:rFonts w:ascii="Times New Roman" w:eastAsia="Times New Roman" w:hAnsi="Times New Roman" w:cs="Times New Roman"/>
          <w:noProof/>
          <w:sz w:val="24"/>
          <w:szCs w:val="24"/>
        </w:rPr>
        <w:t>t EU Directive. In response to the Covid-19 situation, procurement procedures were conducted mostly under the rules of competitive procedure, direct award procedure, and</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negotiated procedure without prior publication alongside instructions to delay or canc</w:t>
      </w:r>
      <w:r>
        <w:rPr>
          <w:rFonts w:ascii="Times New Roman" w:eastAsia="Times New Roman" w:hAnsi="Times New Roman" w:cs="Times New Roman"/>
          <w:noProof/>
          <w:sz w:val="24"/>
          <w:szCs w:val="24"/>
        </w:rPr>
        <w:t>el non-essential procurements.</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Malgun Gothic" w:hAnsi="Times New Roman" w:cs="Times New Roman"/>
          <w:noProof/>
          <w:sz w:val="24"/>
          <w:szCs w:val="24"/>
        </w:rPr>
        <w:t xml:space="preserve">The 2019-2022 public financial management (PFM) </w:t>
      </w:r>
      <w:r>
        <w:rPr>
          <w:rFonts w:ascii="Times New Roman" w:eastAsia="Malgun Gothic" w:hAnsi="Times New Roman" w:cs="Times New Roman"/>
          <w:b/>
          <w:noProof/>
          <w:sz w:val="24"/>
          <w:szCs w:val="24"/>
        </w:rPr>
        <w:t>strategy</w:t>
      </w:r>
      <w:r>
        <w:rPr>
          <w:rFonts w:ascii="Times New Roman" w:eastAsia="Malgun Gothic" w:hAnsi="Times New Roman" w:cs="Times New Roman"/>
          <w:noProof/>
          <w:sz w:val="24"/>
          <w:szCs w:val="24"/>
        </w:rPr>
        <w:t xml:space="preserve"> was adopted in December 2019. The revised</w:t>
      </w:r>
      <w:r>
        <w:rPr>
          <w:rFonts w:ascii="Times New Roman" w:eastAsia="Times New Roman" w:hAnsi="Times New Roman" w:cs="Times New Roman"/>
          <w:bCs/>
          <w:noProof/>
          <w:sz w:val="24"/>
          <w:szCs w:val="24"/>
        </w:rPr>
        <w:t xml:space="preserve"> public investment management guidelines (approved in March 2018) still require full and effective implementation</w:t>
      </w:r>
      <w:r>
        <w:rPr>
          <w:rFonts w:ascii="Times New Roman" w:eastAsia="Times New Roman" w:hAnsi="Times New Roman" w:cs="Times New Roman"/>
          <w:noProof/>
          <w:sz w:val="24"/>
          <w:szCs w:val="24"/>
        </w:rPr>
        <w:t xml:space="preserve">. A strategic </w:t>
      </w:r>
      <w:r>
        <w:rPr>
          <w:rFonts w:ascii="Times New Roman" w:eastAsia="Times New Roman" w:hAnsi="Times New Roman" w:cs="Times New Roman"/>
          <w:noProof/>
          <w:sz w:val="24"/>
          <w:szCs w:val="24"/>
        </w:rPr>
        <w:t>framework for public procurement was published for public consultation in June 2020.</w:t>
      </w:r>
    </w:p>
    <w:p w:rsidR="00EE1719" w:rsidRDefault="000E39BA">
      <w:pPr>
        <w:autoSpaceDE w:val="0"/>
        <w:autoSpaceDN w:val="0"/>
        <w:adjustRightInd w:val="0"/>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The</w:t>
      </w:r>
      <w:r>
        <w:rPr>
          <w:rFonts w:ascii="Times New Roman" w:eastAsia="Times New Roman" w:hAnsi="Times New Roman" w:cs="Times New Roman"/>
          <w:noProof/>
          <w:sz w:val="24"/>
          <w:szCs w:val="24"/>
        </w:rPr>
        <w:t xml:space="preserve"> </w:t>
      </w:r>
      <w:r>
        <w:rPr>
          <w:rFonts w:ascii="Times New Roman" w:eastAsia="Malgun Gothic" w:hAnsi="Times New Roman" w:cs="Times New Roman"/>
          <w:b/>
          <w:bCs/>
          <w:noProof/>
          <w:sz w:val="24"/>
          <w:szCs w:val="24"/>
        </w:rPr>
        <w:t xml:space="preserve">Public Procurement Agency </w:t>
      </w:r>
      <w:r>
        <w:rPr>
          <w:rFonts w:ascii="Times New Roman" w:eastAsia="Malgun Gothic" w:hAnsi="Times New Roman" w:cs="Times New Roman"/>
          <w:noProof/>
          <w:sz w:val="24"/>
          <w:szCs w:val="24"/>
        </w:rPr>
        <w:t xml:space="preserve">(PPA) is the </w:t>
      </w:r>
      <w:r>
        <w:rPr>
          <w:rFonts w:ascii="Times New Roman" w:eastAsia="Times New Roman" w:hAnsi="Times New Roman" w:cs="Times New Roman"/>
          <w:noProof/>
          <w:sz w:val="24"/>
          <w:szCs w:val="24"/>
        </w:rPr>
        <w:t xml:space="preserve">central public procurement entity mandated to propose regulatory measures and monitor compliance with public procurement rules. </w:t>
      </w:r>
      <w:r>
        <w:rPr>
          <w:rFonts w:ascii="Times New Roman" w:eastAsia="Times New Roman" w:hAnsi="Times New Roman" w:cs="Times New Roman"/>
          <w:noProof/>
          <w:sz w:val="24"/>
          <w:szCs w:val="24"/>
        </w:rPr>
        <w:t>It provides contracting authorities with information, support and guidance</w:t>
      </w:r>
      <w:r>
        <w:rPr>
          <w:rFonts w:ascii="Times New Roman" w:eastAsia="Malgun Gothic" w:hAnsi="Times New Roman" w:cs="Times New Roman"/>
          <w:noProof/>
          <w:sz w:val="24"/>
          <w:szCs w:val="24"/>
        </w:rPr>
        <w:t xml:space="preserve">. Its staffing remains at 44 posts, three of which are vacant. </w:t>
      </w:r>
    </w:p>
    <w:p w:rsidR="00EE1719" w:rsidRDefault="000E39BA">
      <w:pPr>
        <w:spacing w:after="120" w:line="240" w:lineRule="auto"/>
        <w:jc w:val="both"/>
        <w:rPr>
          <w:rFonts w:ascii="Times New Roman" w:eastAsia="Times New Roman" w:hAnsi="Times New Roman" w:cs="Times New Roman"/>
          <w:b/>
          <w:noProof/>
          <w:sz w:val="24"/>
          <w:szCs w:val="24"/>
        </w:rPr>
      </w:pPr>
      <w:r>
        <w:rPr>
          <w:rFonts w:ascii="Times New Roman" w:eastAsia="Calibri" w:hAnsi="Times New Roman" w:cs="Times New Roman"/>
          <w:noProof/>
          <w:sz w:val="24"/>
          <w:szCs w:val="24"/>
          <w:u w:val="single"/>
        </w:rPr>
        <w:t>Implementation and enforcement capacity</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Albania’s </w:t>
      </w:r>
      <w:r>
        <w:rPr>
          <w:rFonts w:ascii="Times New Roman" w:eastAsia="Calibri" w:hAnsi="Times New Roman" w:cs="Times New Roman"/>
          <w:b/>
          <w:noProof/>
          <w:sz w:val="24"/>
          <w:szCs w:val="24"/>
        </w:rPr>
        <w:t>public procurement market</w:t>
      </w:r>
      <w:r>
        <w:rPr>
          <w:rFonts w:ascii="Times New Roman" w:eastAsia="Calibri" w:hAnsi="Times New Roman" w:cs="Times New Roman"/>
          <w:noProof/>
          <w:sz w:val="24"/>
          <w:szCs w:val="24"/>
        </w:rPr>
        <w:t xml:space="preserve"> represented 4.7 % of the GDP, slightly bel</w:t>
      </w:r>
      <w:r>
        <w:rPr>
          <w:rFonts w:ascii="Times New Roman" w:eastAsia="Calibri" w:hAnsi="Times New Roman" w:cs="Times New Roman"/>
          <w:noProof/>
          <w:sz w:val="24"/>
          <w:szCs w:val="24"/>
        </w:rPr>
        <w:t xml:space="preserve">ow the 2018 level. The average number of bids per tender was 2.37, as compared to 3.05 in 2018. </w:t>
      </w:r>
      <w:r>
        <w:rPr>
          <w:rFonts w:ascii="Times New Roman" w:eastAsia="Malgun Gothic" w:hAnsi="Times New Roman" w:cs="Times New Roman"/>
          <w:noProof/>
          <w:sz w:val="24"/>
          <w:szCs w:val="24"/>
        </w:rPr>
        <w:t>The planning and preparation of public procurement procedures are generally transparent and efficient principles, and public procurement forecasts are published</w:t>
      </w:r>
      <w:r>
        <w:rPr>
          <w:rFonts w:ascii="Times New Roman" w:eastAsia="Malgun Gothic" w:hAnsi="Times New Roman" w:cs="Times New Roman"/>
          <w:noProof/>
          <w:sz w:val="24"/>
          <w:szCs w:val="24"/>
        </w:rPr>
        <w:t xml:space="preserve"> regularly.</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b/>
          <w:noProof/>
          <w:sz w:val="24"/>
          <w:szCs w:val="24"/>
        </w:rPr>
        <w:t>On the monitoring of contract awarding and implementation</w:t>
      </w:r>
      <w:r>
        <w:rPr>
          <w:rFonts w:ascii="Times New Roman" w:eastAsia="Calibri" w:hAnsi="Times New Roman" w:cs="Times New Roman"/>
          <w:noProof/>
          <w:sz w:val="24"/>
          <w:szCs w:val="24"/>
        </w:rPr>
        <w:t>,</w:t>
      </w:r>
      <w:r>
        <w:rPr>
          <w:rFonts w:ascii="Times New Roman" w:eastAsia="Malgun Gothic" w:hAnsi="Times New Roman" w:cs="Times New Roman"/>
          <w:noProof/>
          <w:sz w:val="24"/>
          <w:szCs w:val="24"/>
        </w:rPr>
        <w:t xml:space="preserve"> following new instructions and close monitoring by the PPA, the number of negotiated procedures without prior publication continued to fall significantly  in 2019 (to  192, from  531 in 2018 and 2,234 in 2017). In terms of volume, these represented 2.8% o</w:t>
      </w:r>
      <w:r>
        <w:rPr>
          <w:rFonts w:ascii="Times New Roman" w:eastAsia="Malgun Gothic" w:hAnsi="Times New Roman" w:cs="Times New Roman"/>
          <w:noProof/>
          <w:sz w:val="24"/>
          <w:szCs w:val="24"/>
        </w:rPr>
        <w:t>f all awarded procedures. From January to May 2020, the number of negotiated procedures without prior publication related to COVID-19 procurements was 122, which accounted for 0.8% of value of all procurements in that period. The use of framework agreement</w:t>
      </w:r>
      <w:r>
        <w:rPr>
          <w:rFonts w:ascii="Times New Roman" w:eastAsia="Malgun Gothic" w:hAnsi="Times New Roman" w:cs="Times New Roman"/>
          <w:noProof/>
          <w:sz w:val="24"/>
          <w:szCs w:val="24"/>
        </w:rPr>
        <w:t>s expanded further (to 763, from 627 in 2018)</w:t>
      </w:r>
      <w:r>
        <w:rPr>
          <w:rFonts w:ascii="Times New Roman" w:eastAsia="Calibri" w:hAnsi="Times New Roman" w:cs="Times New Roman"/>
          <w:noProof/>
          <w:sz w:val="24"/>
          <w:szCs w:val="24"/>
        </w:rPr>
        <w:t xml:space="preserve">. </w:t>
      </w:r>
      <w:r>
        <w:rPr>
          <w:rFonts w:ascii="Times New Roman" w:eastAsia="Malgun Gothic" w:hAnsi="Times New Roman" w:cs="Times New Roman"/>
          <w:noProof/>
          <w:sz w:val="24"/>
          <w:szCs w:val="24"/>
        </w:rPr>
        <w:t>For categories of common-use goods and services, the centralised procurement body in the Ministry of the Interior became an agency in 2018, thus providing intermediary functions in line with EU directives.</w:t>
      </w:r>
    </w:p>
    <w:p w:rsidR="00EE1719" w:rsidRDefault="000E39BA">
      <w:pPr>
        <w:autoSpaceDE w:val="0"/>
        <w:autoSpaceDN w:val="0"/>
        <w:adjustRightInd w:val="0"/>
        <w:spacing w:after="120" w:line="240" w:lineRule="auto"/>
        <w:jc w:val="both"/>
        <w:rPr>
          <w:rFonts w:ascii="Times New Roman" w:eastAsia="Malgun Gothic" w:hAnsi="Times New Roman" w:cs="Times New Roman"/>
          <w:noProof/>
          <w:sz w:val="24"/>
          <w:szCs w:val="24"/>
        </w:rPr>
      </w:pPr>
      <w:r>
        <w:rPr>
          <w:rFonts w:ascii="Times New Roman" w:eastAsia="Times New Roman" w:hAnsi="Times New Roman" w:cs="Times New Roman"/>
          <w:noProof/>
          <w:sz w:val="24"/>
          <w:szCs w:val="24"/>
        </w:rPr>
        <w:t>Alb</w:t>
      </w:r>
      <w:r>
        <w:rPr>
          <w:rFonts w:ascii="Times New Roman" w:eastAsia="Times New Roman" w:hAnsi="Times New Roman" w:cs="Times New Roman"/>
          <w:noProof/>
          <w:sz w:val="24"/>
          <w:szCs w:val="24"/>
        </w:rPr>
        <w:t>ania has a central electronic public procurement portal on which it publishes tender and contract notices, and other important information and guidance.</w:t>
      </w:r>
      <w:r>
        <w:rPr>
          <w:rFonts w:ascii="Times New Roman" w:eastAsia="Malgun Gothic" w:hAnsi="Times New Roman" w:cs="Times New Roman"/>
          <w:noProof/>
          <w:sz w:val="24"/>
          <w:szCs w:val="24"/>
        </w:rPr>
        <w:t xml:space="preserve"> Use of the portal is mandatory, including for low-</w:t>
      </w:r>
      <w:r>
        <w:rPr>
          <w:rFonts w:ascii="Times New Roman" w:eastAsia="Times New Roman" w:hAnsi="Times New Roman" w:cs="Times New Roman"/>
          <w:noProof/>
          <w:sz w:val="24"/>
          <w:szCs w:val="24"/>
        </w:rPr>
        <w:t>value procurement</w:t>
      </w:r>
      <w:r>
        <w:rPr>
          <w:rFonts w:ascii="Times New Roman" w:eastAsia="Malgun Gothic" w:hAnsi="Times New Roman" w:cs="Times New Roman"/>
          <w:noProof/>
          <w:sz w:val="24"/>
          <w:szCs w:val="24"/>
        </w:rPr>
        <w:t>. Standard tendering documents for e</w:t>
      </w:r>
      <w:r>
        <w:rPr>
          <w:rFonts w:ascii="Times New Roman" w:eastAsia="Malgun Gothic" w:hAnsi="Times New Roman" w:cs="Times New Roman"/>
          <w:noProof/>
          <w:sz w:val="24"/>
          <w:szCs w:val="24"/>
        </w:rPr>
        <w:t xml:space="preserve">ach type of procedure and contract are published on the PPA website, and the </w:t>
      </w:r>
      <w:r>
        <w:rPr>
          <w:rFonts w:ascii="Times New Roman" w:eastAsia="Times New Roman" w:hAnsi="Times New Roman" w:cs="Times New Roman"/>
          <w:noProof/>
          <w:sz w:val="24"/>
          <w:szCs w:val="24"/>
        </w:rPr>
        <w:t>procurement forecast register is prepared and posted online</w:t>
      </w:r>
      <w:r>
        <w:rPr>
          <w:rFonts w:ascii="Times New Roman" w:eastAsia="Malgun Gothic" w:hAnsi="Times New Roman" w:cs="Times New Roman"/>
          <w:noProof/>
          <w:sz w:val="24"/>
          <w:szCs w:val="24"/>
        </w:rPr>
        <w:t>.</w:t>
      </w:r>
    </w:p>
    <w:p w:rsidR="00EE1719" w:rsidRDefault="000E39BA">
      <w:pPr>
        <w:shd w:val="clear" w:color="auto" w:fill="FFFFFF"/>
        <w:spacing w:after="120" w:line="240" w:lineRule="auto"/>
        <w:ind w:right="43"/>
        <w:jc w:val="both"/>
        <w:rPr>
          <w:rFonts w:ascii="Times New Roman" w:eastAsia="Malgun Gothic" w:hAnsi="Times New Roman" w:cs="Times New Roman"/>
          <w:noProof/>
          <w:sz w:val="24"/>
          <w:szCs w:val="24"/>
        </w:rPr>
      </w:pPr>
      <w:r>
        <w:rPr>
          <w:rFonts w:ascii="Times New Roman" w:eastAsia="Malgun Gothic" w:hAnsi="Times New Roman" w:cs="Times New Roman"/>
          <w:bCs/>
          <w:noProof/>
          <w:sz w:val="24"/>
          <w:szCs w:val="24"/>
        </w:rPr>
        <w:t>By the end of 2019, the concessions registry contained information on 224 PPPs, five of which had been signed in 2019.</w:t>
      </w:r>
      <w:r>
        <w:rPr>
          <w:rFonts w:ascii="Times New Roman" w:eastAsia="Malgun Gothic" w:hAnsi="Times New Roman" w:cs="Times New Roman"/>
          <w:bCs/>
          <w:noProof/>
          <w:sz w:val="24"/>
          <w:szCs w:val="24"/>
        </w:rPr>
        <w:t xml:space="preserve"> </w:t>
      </w:r>
      <w:r>
        <w:rPr>
          <w:rFonts w:ascii="Times New Roman" w:eastAsia="Malgun Gothic" w:hAnsi="Times New Roman" w:cs="Times New Roman"/>
          <w:noProof/>
          <w:sz w:val="24"/>
          <w:szCs w:val="24"/>
        </w:rPr>
        <w:t>Although required by law, value-for-money analysis is still not systematically carried out before approval of all PPPs.</w:t>
      </w:r>
      <w:r>
        <w:rPr>
          <w:rFonts w:ascii="Times New Roman" w:eastAsia="Malgun Gothic" w:hAnsi="Times New Roman" w:cs="Times New Roman"/>
          <w:bCs/>
          <w:noProof/>
          <w:sz w:val="24"/>
          <w:szCs w:val="24"/>
        </w:rPr>
        <w:t xml:space="preserve"> </w:t>
      </w:r>
      <w:r>
        <w:rPr>
          <w:rFonts w:ascii="Times New Roman" w:eastAsia="Malgun Gothic" w:hAnsi="Times New Roman" w:cs="Times New Roman"/>
          <w:noProof/>
          <w:sz w:val="24"/>
          <w:szCs w:val="24"/>
        </w:rPr>
        <w:t>MOFE made initial attempts to establish regular monitoring and reporting on PPPs. The technical skills and capacity to design and asses</w:t>
      </w:r>
      <w:r>
        <w:rPr>
          <w:rFonts w:ascii="Times New Roman" w:eastAsia="Malgun Gothic" w:hAnsi="Times New Roman" w:cs="Times New Roman"/>
          <w:noProof/>
          <w:sz w:val="24"/>
          <w:szCs w:val="24"/>
        </w:rPr>
        <w:t xml:space="preserve">s concessions and PPPs require further development. </w:t>
      </w:r>
    </w:p>
    <w:p w:rsidR="00EE1719" w:rsidRDefault="000E39BA">
      <w:pPr>
        <w:shd w:val="clear" w:color="auto" w:fill="FFFFFF"/>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PPA has recently strengthened its</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monitoring role, and applies a monitoring system to assess procurement performance, procurement compliance and, since 2019, contract implementation, with information</w:t>
      </w:r>
      <w:r>
        <w:rPr>
          <w:rFonts w:ascii="Times New Roman" w:eastAsia="Times New Roman" w:hAnsi="Times New Roman" w:cs="Times New Roman"/>
          <w:noProof/>
          <w:sz w:val="24"/>
          <w:szCs w:val="24"/>
        </w:rPr>
        <w:t xml:space="preserve"> available for 1,006 contracts. The monitoring system is based on a variety of performance indicators. There is still a need for: (i) further support for contracting authorities; (ii) a strengthening of the e-procurement system; (iii) monitoring of contrac</w:t>
      </w:r>
      <w:r>
        <w:rPr>
          <w:rFonts w:ascii="Times New Roman" w:eastAsia="Times New Roman" w:hAnsi="Times New Roman" w:cs="Times New Roman"/>
          <w:noProof/>
          <w:sz w:val="24"/>
          <w:szCs w:val="24"/>
        </w:rPr>
        <w:t>t implementation; and (iv) analysis of market trends in public procurement.</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contracting authorities lack the </w:t>
      </w:r>
      <w:r>
        <w:rPr>
          <w:rFonts w:ascii="Times New Roman" w:eastAsia="Calibri" w:hAnsi="Times New Roman" w:cs="Times New Roman"/>
          <w:b/>
          <w:bCs/>
          <w:noProof/>
          <w:sz w:val="24"/>
          <w:szCs w:val="24"/>
        </w:rPr>
        <w:t>capacity to manage public procurement processes</w:t>
      </w:r>
      <w:r>
        <w:rPr>
          <w:rFonts w:ascii="Times New Roman" w:eastAsia="Calibri" w:hAnsi="Times New Roman" w:cs="Times New Roman"/>
          <w:bCs/>
          <w:noProof/>
          <w:sz w:val="24"/>
          <w:szCs w:val="24"/>
        </w:rPr>
        <w:t xml:space="preserve"> effectively.</w:t>
      </w:r>
      <w:r>
        <w:rPr>
          <w:rFonts w:ascii="Times New Roman" w:eastAsia="Calibri" w:hAnsi="Times New Roman" w:cs="Times New Roman"/>
          <w:noProof/>
          <w:sz w:val="24"/>
          <w:szCs w:val="24"/>
        </w:rPr>
        <w:t xml:space="preserve"> Compliance is still generally weak, especially in more complex procedures. Some pr</w:t>
      </w:r>
      <w:r>
        <w:rPr>
          <w:rFonts w:ascii="Times New Roman" w:eastAsia="Calibri" w:hAnsi="Times New Roman" w:cs="Times New Roman"/>
          <w:noProof/>
          <w:sz w:val="24"/>
          <w:szCs w:val="24"/>
        </w:rPr>
        <w:t xml:space="preserve">ogress was noted regarding </w:t>
      </w:r>
      <w:r>
        <w:rPr>
          <w:rFonts w:ascii="Times New Roman" w:eastAsia="Calibri" w:hAnsi="Times New Roman" w:cs="Times New Roman"/>
          <w:b/>
          <w:noProof/>
          <w:sz w:val="24"/>
          <w:szCs w:val="24"/>
        </w:rPr>
        <w:t>integrity and conflicts of interests</w:t>
      </w:r>
      <w:r>
        <w:rPr>
          <w:rFonts w:ascii="Times New Roman" w:eastAsia="Calibri" w:hAnsi="Times New Roman" w:cs="Times New Roman"/>
          <w:noProof/>
          <w:sz w:val="24"/>
          <w:szCs w:val="24"/>
        </w:rPr>
        <w:t>. The PPA has already issued instructions on the declaration of conflicts of interest by procurement officials. In addition it adopted a regulation on prevention of conflicts of interest in the</w:t>
      </w:r>
      <w:r>
        <w:rPr>
          <w:rFonts w:ascii="Times New Roman" w:eastAsia="Calibri" w:hAnsi="Times New Roman" w:cs="Times New Roman"/>
          <w:noProof/>
          <w:sz w:val="24"/>
          <w:szCs w:val="24"/>
        </w:rPr>
        <w:t xml:space="preserve"> exercise of public functions in the PPA. The State Audit Institution (SAI) reported a substantial number of irregularities in public procurement, with an estimated loss to the state budget of around EUR 13.9 million</w:t>
      </w:r>
      <w:r>
        <w:rPr>
          <w:rFonts w:ascii="Times New Roman" w:eastAsia="Calibri" w:hAnsi="Times New Roman" w:cs="Times New Roman"/>
          <w:noProof/>
          <w:sz w:val="24"/>
          <w:szCs w:val="24"/>
          <w:vertAlign w:val="superscript"/>
        </w:rPr>
        <w:footnoteReference w:id="22"/>
      </w:r>
      <w:r>
        <w:rPr>
          <w:rFonts w:ascii="Times New Roman" w:eastAsia="Calibri" w:hAnsi="Times New Roman" w:cs="Times New Roman"/>
          <w:noProof/>
          <w:sz w:val="24"/>
          <w:szCs w:val="24"/>
        </w:rPr>
        <w:t xml:space="preserve"> in 2019 (as compared with € 9.4 millio</w:t>
      </w:r>
      <w:r>
        <w:rPr>
          <w:rFonts w:ascii="Times New Roman" w:eastAsia="Calibri" w:hAnsi="Times New Roman" w:cs="Times New Roman"/>
          <w:noProof/>
          <w:sz w:val="24"/>
          <w:szCs w:val="24"/>
        </w:rPr>
        <w:t xml:space="preserve">n in 2018 and € 12 million in 2017). </w:t>
      </w:r>
    </w:p>
    <w:p w:rsidR="00EE1719" w:rsidRDefault="000E39BA">
      <w:pPr>
        <w:spacing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 xml:space="preserve">Efficient remedy system </w:t>
      </w:r>
    </w:p>
    <w:p w:rsidR="00EE1719" w:rsidRDefault="000E39BA">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The Constitution and the Law on public procurement contain provisions on the </w:t>
      </w:r>
      <w:r>
        <w:rPr>
          <w:rFonts w:ascii="Times New Roman" w:eastAsia="Malgun Gothic" w:hAnsi="Times New Roman" w:cs="Times New Roman"/>
          <w:b/>
          <w:bCs/>
          <w:noProof/>
          <w:sz w:val="24"/>
          <w:szCs w:val="24"/>
        </w:rPr>
        <w:t xml:space="preserve">right to legal remedy </w:t>
      </w:r>
      <w:r>
        <w:rPr>
          <w:rFonts w:ascii="Times New Roman" w:eastAsia="Malgun Gothic" w:hAnsi="Times New Roman" w:cs="Times New Roman"/>
          <w:bCs/>
          <w:noProof/>
          <w:sz w:val="24"/>
          <w:szCs w:val="24"/>
        </w:rPr>
        <w:t xml:space="preserve">that are </w:t>
      </w:r>
      <w:r>
        <w:rPr>
          <w:rFonts w:ascii="Times New Roman" w:eastAsia="Malgun Gothic" w:hAnsi="Times New Roman" w:cs="Times New Roman"/>
          <w:noProof/>
          <w:sz w:val="24"/>
          <w:szCs w:val="24"/>
        </w:rPr>
        <w:t>mostly in line with the Remedies Directive. Albanian law still has no provisions on t</w:t>
      </w:r>
      <w:r>
        <w:rPr>
          <w:rFonts w:ascii="Times New Roman" w:eastAsia="Malgun Gothic" w:hAnsi="Times New Roman" w:cs="Times New Roman"/>
          <w:noProof/>
          <w:sz w:val="24"/>
          <w:szCs w:val="24"/>
        </w:rPr>
        <w:t xml:space="preserve">he ineffectiveness of contracts, alternative punishments and </w:t>
      </w:r>
      <w:r>
        <w:rPr>
          <w:rFonts w:ascii="Times New Roman" w:eastAsia="Malgun Gothic" w:hAnsi="Times New Roman" w:cs="Times New Roman"/>
          <w:i/>
          <w:noProof/>
          <w:sz w:val="24"/>
          <w:szCs w:val="24"/>
        </w:rPr>
        <w:t xml:space="preserve">ex ante </w:t>
      </w:r>
      <w:r>
        <w:rPr>
          <w:rFonts w:ascii="Times New Roman" w:eastAsia="Malgun Gothic" w:hAnsi="Times New Roman" w:cs="Times New Roman"/>
          <w:noProof/>
          <w:sz w:val="24"/>
          <w:szCs w:val="24"/>
        </w:rPr>
        <w:t>voluntary transparency notices. The remedy system is easily accessible to economic operators, without discrimination. However, the complainant must pay a fee equal to 0.5% of the budget f</w:t>
      </w:r>
      <w:r>
        <w:rPr>
          <w:rFonts w:ascii="Times New Roman" w:eastAsia="Malgun Gothic" w:hAnsi="Times New Roman" w:cs="Times New Roman"/>
          <w:noProof/>
          <w:sz w:val="24"/>
          <w:szCs w:val="24"/>
        </w:rPr>
        <w:t>or the procurement procedure, which is refunded once the complaint is accepted and granted. For refused complaints, the fee is transferred to the state budget.</w:t>
      </w:r>
    </w:p>
    <w:p w:rsidR="00EE1719" w:rsidRDefault="000E39BA">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The Public Procurement Commission (PPC) is an independent review body dealing with complaints re</w:t>
      </w:r>
      <w:r>
        <w:rPr>
          <w:rFonts w:ascii="Times New Roman" w:eastAsia="Malgun Gothic" w:hAnsi="Times New Roman" w:cs="Times New Roman"/>
          <w:noProof/>
          <w:sz w:val="24"/>
          <w:szCs w:val="24"/>
        </w:rPr>
        <w:t xml:space="preserve">lated to public procurement procedures. Its decisions can be challenged before the Administrative Court. </w:t>
      </w:r>
    </w:p>
    <w:p w:rsidR="00EE1719" w:rsidRDefault="000E39BA">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Most initial complaints lodged with contracting authorities are dismissed, complainants are therefore forced to appeal to the PPC. The processing of c</w:t>
      </w:r>
      <w:r>
        <w:rPr>
          <w:rFonts w:ascii="Times New Roman" w:eastAsia="Malgun Gothic" w:hAnsi="Times New Roman" w:cs="Times New Roman"/>
          <w:noProof/>
          <w:sz w:val="24"/>
          <w:szCs w:val="24"/>
        </w:rPr>
        <w:t>omplaints within the legal time limit improved in 2019, but remains a challenge. An electronic database for PPC decisions would improve the transparency of the review system.</w:t>
      </w:r>
    </w:p>
    <w:p w:rsidR="00EE1719" w:rsidRDefault="000E39BA">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Although the remedy procedure is largely in place, the </w:t>
      </w:r>
      <w:r>
        <w:rPr>
          <w:rFonts w:ascii="Times New Roman" w:eastAsia="Malgun Gothic" w:hAnsi="Times New Roman" w:cs="Times New Roman"/>
          <w:b/>
          <w:bCs/>
          <w:noProof/>
          <w:sz w:val="24"/>
          <w:szCs w:val="24"/>
        </w:rPr>
        <w:t xml:space="preserve">capacity </w:t>
      </w:r>
      <w:r>
        <w:rPr>
          <w:rFonts w:ascii="Times New Roman" w:eastAsia="Malgun Gothic" w:hAnsi="Times New Roman" w:cs="Times New Roman"/>
          <w:noProof/>
          <w:sz w:val="24"/>
          <w:szCs w:val="24"/>
        </w:rPr>
        <w:t>of the PPC and th</w:t>
      </w:r>
      <w:r>
        <w:rPr>
          <w:rFonts w:ascii="Times New Roman" w:eastAsia="Malgun Gothic" w:hAnsi="Times New Roman" w:cs="Times New Roman"/>
          <w:noProof/>
          <w:sz w:val="24"/>
          <w:szCs w:val="24"/>
        </w:rPr>
        <w:t>e Administrative Court to deal with a high number of appeals needs to be improved. There are no specialised training courses on public procurement.</w:t>
      </w:r>
    </w:p>
    <w:p w:rsidR="00EE1719" w:rsidRDefault="000E39BA">
      <w:pPr>
        <w:pStyle w:val="Heading2"/>
        <w:rPr>
          <w:rStyle w:val="Heading2Char"/>
          <w:b/>
          <w:bCs/>
        </w:rPr>
      </w:pPr>
      <w:bookmarkStart w:id="84" w:name="_Toc52745519"/>
      <w:r>
        <w:rPr>
          <w:rStyle w:val="Heading2Char"/>
        </w:rPr>
        <w:t>5.6</w:t>
      </w:r>
      <w:r>
        <w:rPr>
          <w:rStyle w:val="Heading2Char"/>
          <w:b/>
          <w:bCs/>
        </w:rPr>
        <w:t>.</w:t>
      </w:r>
      <w:r>
        <w:rPr>
          <w:rStyle w:val="Heading2Char"/>
          <w:b/>
          <w:bCs/>
        </w:rPr>
        <w:tab/>
        <w:t>Chapter 6: Company law</w:t>
      </w:r>
      <w:bookmarkEnd w:id="78"/>
      <w:bookmarkEnd w:id="79"/>
      <w:bookmarkEnd w:id="80"/>
      <w:bookmarkEnd w:id="81"/>
      <w:bookmarkEnd w:id="82"/>
      <w:bookmarkEnd w:id="83"/>
      <w:bookmarkEnd w:id="84"/>
    </w:p>
    <w:p w:rsidR="00EE1719" w:rsidRDefault="000E39BA">
      <w:pPr>
        <w:spacing w:after="120" w:line="240" w:lineRule="auto"/>
        <w:jc w:val="both"/>
        <w:rPr>
          <w:rFonts w:ascii="Times New Roman" w:eastAsia="Times New Roman" w:hAnsi="Times New Roman" w:cs="Times New Roman"/>
          <w:noProof/>
          <w:sz w:val="24"/>
          <w:szCs w:val="24"/>
        </w:rPr>
      </w:pPr>
      <w:bookmarkStart w:id="85" w:name="_Toc510686861"/>
      <w:bookmarkStart w:id="86" w:name="_Toc29803517"/>
      <w:bookmarkStart w:id="87" w:name="_Toc9430017"/>
      <w:bookmarkStart w:id="88" w:name="_Toc9331925"/>
      <w:bookmarkStart w:id="89" w:name="_Toc9328493"/>
      <w:bookmarkStart w:id="90" w:name="_Toc530733577"/>
      <w:r>
        <w:rPr>
          <w:rFonts w:ascii="Times New Roman" w:eastAsia="Times New Roman" w:hAnsi="Times New Roman" w:cs="Times New Roman"/>
          <w:i/>
          <w:noProof/>
          <w:sz w:val="24"/>
          <w:szCs w:val="24"/>
        </w:rPr>
        <w:t xml:space="preserve">The EU has common rules on the formation, registration and disclosure </w:t>
      </w:r>
      <w:r>
        <w:rPr>
          <w:rFonts w:ascii="Times New Roman" w:eastAsia="Times New Roman" w:hAnsi="Times New Roman" w:cs="Times New Roman"/>
          <w:i/>
          <w:noProof/>
          <w:sz w:val="24"/>
          <w:szCs w:val="24"/>
        </w:rPr>
        <w:t>requirements of a company, with complementary rules for accounting and financial reporting, and statutory audit.</w:t>
      </w:r>
    </w:p>
    <w:p w:rsidR="00EE1719" w:rsidRDefault="000E39BA">
      <w:pPr>
        <w:pBdr>
          <w:top w:val="single" w:sz="4" w:space="1" w:color="auto"/>
          <w:left w:val="single" w:sz="4" w:space="4" w:color="auto"/>
          <w:bottom w:val="single" w:sz="4" w:space="5" w:color="auto"/>
          <w:right w:val="single" w:sz="4" w:space="4" w:color="auto"/>
        </w:pBdr>
        <w:shd w:val="clear" w:color="auto" w:fill="D9D9D9"/>
        <w:autoSpaceDE w:val="0"/>
        <w:autoSpaceDN w:val="0"/>
        <w:adjustRightInd w:val="0"/>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Albania is </w:t>
      </w:r>
      <w:r>
        <w:rPr>
          <w:rFonts w:ascii="Times New Roman" w:eastAsia="Malgun Gothic" w:hAnsi="Times New Roman" w:cs="Times New Roman"/>
          <w:b/>
          <w:noProof/>
          <w:sz w:val="24"/>
          <w:szCs w:val="24"/>
        </w:rPr>
        <w:t>moderately prepared</w:t>
      </w:r>
      <w:r>
        <w:rPr>
          <w:rFonts w:ascii="Times New Roman" w:eastAsia="Malgun Gothic" w:hAnsi="Times New Roman" w:cs="Times New Roman"/>
          <w:noProof/>
          <w:sz w:val="24"/>
          <w:szCs w:val="24"/>
        </w:rPr>
        <w:t xml:space="preserve"> in the field of company law. </w:t>
      </w:r>
      <w:r>
        <w:rPr>
          <w:rFonts w:ascii="Times New Roman" w:eastAsia="Malgun Gothic" w:hAnsi="Times New Roman" w:cs="Times New Roman"/>
          <w:b/>
          <w:noProof/>
          <w:sz w:val="24"/>
          <w:szCs w:val="24"/>
        </w:rPr>
        <w:t>Some progress</w:t>
      </w:r>
      <w:r>
        <w:rPr>
          <w:rFonts w:ascii="Times New Roman" w:eastAsia="Malgun Gothic" w:hAnsi="Times New Roman" w:cs="Times New Roman"/>
          <w:noProof/>
          <w:sz w:val="24"/>
          <w:szCs w:val="24"/>
        </w:rPr>
        <w:t xml:space="preserve"> was made in the implementation of the 2018 law on accounting, which aimed at further alignment with the </w:t>
      </w:r>
      <w:r>
        <w:rPr>
          <w:rFonts w:ascii="Times New Roman" w:eastAsia="Malgun Gothic" w:hAnsi="Times New Roman" w:cs="Times New Roman"/>
          <w:i/>
          <w:noProof/>
          <w:sz w:val="24"/>
          <w:szCs w:val="24"/>
        </w:rPr>
        <w:t>acquis</w:t>
      </w:r>
      <w:r>
        <w:rPr>
          <w:rFonts w:ascii="Times New Roman" w:eastAsia="Malgun Gothic" w:hAnsi="Times New Roman" w:cs="Times New Roman"/>
          <w:noProof/>
          <w:sz w:val="24"/>
          <w:szCs w:val="24"/>
        </w:rPr>
        <w:t xml:space="preserve"> in the corporate accounting area. </w:t>
      </w:r>
      <w:r>
        <w:rPr>
          <w:rFonts w:ascii="Times New Roman" w:eastAsia="Calibri" w:hAnsi="Times New Roman" w:cs="Times New Roman"/>
          <w:noProof/>
          <w:sz w:val="24"/>
          <w:szCs w:val="24"/>
        </w:rPr>
        <w:t>Recommendations from the previous year were only partially met and remain valid.</w:t>
      </w:r>
    </w:p>
    <w:p w:rsidR="00EE1719" w:rsidRDefault="000E39BA">
      <w:pPr>
        <w:pBdr>
          <w:top w:val="single" w:sz="4" w:space="1" w:color="auto"/>
          <w:left w:val="single" w:sz="4" w:space="4" w:color="auto"/>
          <w:bottom w:val="single" w:sz="4" w:space="5" w:color="auto"/>
          <w:right w:val="single" w:sz="4" w:space="4" w:color="auto"/>
        </w:pBdr>
        <w:shd w:val="clear" w:color="auto" w:fill="D9D9D9"/>
        <w:autoSpaceDE w:val="0"/>
        <w:autoSpaceDN w:val="0"/>
        <w:adjustRightInd w:val="0"/>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In the coming year, Albania s</w:t>
      </w:r>
      <w:r>
        <w:rPr>
          <w:rFonts w:ascii="Times New Roman" w:eastAsia="Malgun Gothic" w:hAnsi="Times New Roman" w:cs="Times New Roman"/>
          <w:noProof/>
          <w:sz w:val="24"/>
          <w:szCs w:val="24"/>
        </w:rPr>
        <w:t>hould in particular:</w:t>
      </w:r>
    </w:p>
    <w:p w:rsidR="00EE1719" w:rsidRDefault="000E39BA">
      <w:pPr>
        <w:pStyle w:val="ListParagraph"/>
        <w:numPr>
          <w:ilvl w:val="0"/>
          <w:numId w:val="95"/>
        </w:numPr>
        <w:pBdr>
          <w:top w:val="single" w:sz="4" w:space="1" w:color="auto"/>
          <w:left w:val="single" w:sz="4" w:space="4" w:color="auto"/>
          <w:bottom w:val="single" w:sz="4" w:space="5" w:color="auto"/>
          <w:right w:val="single" w:sz="4" w:space="4" w:color="auto"/>
        </w:pBdr>
        <w:shd w:val="clear" w:color="auto" w:fill="D9D9D9"/>
        <w:autoSpaceDE w:val="0"/>
        <w:autoSpaceDN w:val="0"/>
        <w:adjustRightInd w:val="0"/>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review the existing legislation in the area of company law with a view to identifying amendments needed to complete alignment with the EU </w:t>
      </w:r>
      <w:r>
        <w:rPr>
          <w:rFonts w:ascii="Times New Roman" w:eastAsia="Malgun Gothic" w:hAnsi="Times New Roman" w:cs="Times New Roman"/>
          <w:i/>
          <w:noProof/>
          <w:sz w:val="24"/>
          <w:szCs w:val="24"/>
        </w:rPr>
        <w:t>acquis</w:t>
      </w:r>
      <w:r>
        <w:rPr>
          <w:rFonts w:ascii="Times New Roman" w:eastAsia="Malgun Gothic" w:hAnsi="Times New Roman" w:cs="Times New Roman"/>
          <w:noProof/>
          <w:sz w:val="24"/>
          <w:szCs w:val="24"/>
        </w:rPr>
        <w:t xml:space="preserve">, </w:t>
      </w:r>
    </w:p>
    <w:p w:rsidR="00EE1719" w:rsidRDefault="000E39BA">
      <w:pPr>
        <w:pStyle w:val="ListParagraph"/>
        <w:numPr>
          <w:ilvl w:val="0"/>
          <w:numId w:val="95"/>
        </w:numPr>
        <w:pBdr>
          <w:top w:val="single" w:sz="4" w:space="1" w:color="auto"/>
          <w:left w:val="single" w:sz="4" w:space="4" w:color="auto"/>
          <w:bottom w:val="single" w:sz="4" w:space="5" w:color="auto"/>
          <w:right w:val="single" w:sz="4" w:space="4" w:color="auto"/>
        </w:pBdr>
        <w:shd w:val="clear" w:color="auto" w:fill="D9D9D9"/>
        <w:autoSpaceDE w:val="0"/>
        <w:autoSpaceDN w:val="0"/>
        <w:adjustRightInd w:val="0"/>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ensure full transparency of company financial statements in the business register;</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Altho</w:t>
      </w:r>
      <w:r>
        <w:rPr>
          <w:rFonts w:ascii="Times New Roman" w:eastAsia="Times New Roman" w:hAnsi="Times New Roman" w:cs="Times New Roman"/>
          <w:noProof/>
          <w:sz w:val="24"/>
          <w:szCs w:val="24"/>
        </w:rPr>
        <w:t xml:space="preserve">ugh there is some alignment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in a range of </w:t>
      </w:r>
      <w:r>
        <w:rPr>
          <w:rFonts w:ascii="Times New Roman" w:eastAsia="Times New Roman" w:hAnsi="Times New Roman" w:cs="Times New Roman"/>
          <w:b/>
          <w:noProof/>
          <w:sz w:val="24"/>
          <w:szCs w:val="24"/>
        </w:rPr>
        <w:t>company law</w:t>
      </w:r>
      <w:r>
        <w:rPr>
          <w:rFonts w:ascii="Times New Roman" w:eastAsia="Times New Roman" w:hAnsi="Times New Roman" w:cs="Times New Roman"/>
          <w:noProof/>
          <w:sz w:val="24"/>
          <w:szCs w:val="24"/>
        </w:rPr>
        <w:t xml:space="preserve"> areas, including on takeovers and cross-border mergers, there was no legislative progress in the reporting period. The National Business Centre is responsible for company registration</w:t>
      </w:r>
      <w:r>
        <w:rPr>
          <w:rFonts w:ascii="Times New Roman" w:eastAsia="Times New Roman" w:hAnsi="Times New Roman" w:cs="Times New Roman"/>
          <w:noProof/>
          <w:sz w:val="24"/>
          <w:szCs w:val="24"/>
        </w:rPr>
        <w:t>, allowing free online registration and online access to data (business registration is offered only online on the e-Albania electronic service window since 1 January 2020.) In February 2020, it signed an agreement for participation in the South-East Europ</w:t>
      </w:r>
      <w:r>
        <w:rPr>
          <w:rFonts w:ascii="Times New Roman" w:eastAsia="Times New Roman" w:hAnsi="Times New Roman" w:cs="Times New Roman"/>
          <w:noProof/>
          <w:sz w:val="24"/>
          <w:szCs w:val="24"/>
        </w:rPr>
        <w:t>e Regional Business Registries Portal.</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area of </w:t>
      </w:r>
      <w:r>
        <w:rPr>
          <w:rFonts w:ascii="Times New Roman" w:eastAsia="Times New Roman" w:hAnsi="Times New Roman" w:cs="Times New Roman"/>
          <w:b/>
          <w:noProof/>
          <w:sz w:val="24"/>
          <w:szCs w:val="24"/>
        </w:rPr>
        <w:t>corporate</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accounting</w:t>
      </w:r>
      <w:r>
        <w:rPr>
          <w:rFonts w:ascii="Times New Roman" w:eastAsia="Times New Roman" w:hAnsi="Times New Roman" w:cs="Times New Roman"/>
          <w:noProof/>
          <w:sz w:val="24"/>
          <w:szCs w:val="24"/>
        </w:rPr>
        <w:t>, the 2018 Law on accounting and financial statements is partially aligned with the EU Accounting Directive (e.g. on  company size, management report requirements, exemptions for sma</w:t>
      </w:r>
      <w:r>
        <w:rPr>
          <w:rFonts w:ascii="Times New Roman" w:eastAsia="Times New Roman" w:hAnsi="Times New Roman" w:cs="Times New Roman"/>
          <w:noProof/>
          <w:sz w:val="24"/>
          <w:szCs w:val="24"/>
        </w:rPr>
        <w:t xml:space="preserve">ll companies from the obligation for detailed disclosures, and rules for large and public interest economic entities active in the extractive or logging industries). Albania needs to further align its legal framework in the area of non-financial reporting </w:t>
      </w:r>
      <w:r>
        <w:rPr>
          <w:rFonts w:ascii="Times New Roman" w:eastAsia="Times New Roman" w:hAnsi="Times New Roman" w:cs="Times New Roman"/>
          <w:noProof/>
          <w:sz w:val="24"/>
          <w:szCs w:val="24"/>
        </w:rPr>
        <w:t>in line with the Directive on disclosure of non-financial and diversity information by certain large undertakings and groups. In November 2019, the Minister for Finance and Economy appointed members to the National Accounting Council, which monitors the en</w:t>
      </w:r>
      <w:r>
        <w:rPr>
          <w:rFonts w:ascii="Times New Roman" w:eastAsia="Times New Roman" w:hAnsi="Times New Roman" w:cs="Times New Roman"/>
          <w:noProof/>
          <w:sz w:val="24"/>
          <w:szCs w:val="24"/>
        </w:rPr>
        <w:t xml:space="preserve">forcement of financial reporting and accounting standards. Albania also took some steps to ensure transparency of financial statements. In April 2019, the National Business Centre received a modernised electronic reporting system for filing and publishing </w:t>
      </w:r>
      <w:r>
        <w:rPr>
          <w:rFonts w:ascii="Times New Roman" w:eastAsia="Times New Roman" w:hAnsi="Times New Roman" w:cs="Times New Roman"/>
          <w:noProof/>
          <w:sz w:val="24"/>
          <w:szCs w:val="24"/>
        </w:rPr>
        <w:t>financial statements.</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auditing</w:t>
      </w:r>
      <w:r>
        <w:rPr>
          <w:rFonts w:ascii="Times New Roman" w:eastAsia="Times New Roman" w:hAnsi="Times New Roman" w:cs="Times New Roman"/>
          <w:noProof/>
          <w:sz w:val="24"/>
          <w:szCs w:val="24"/>
        </w:rPr>
        <w:t>,</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the Public Oversight Board (POB) is the independent competent authority for quality assurance (with its own budget). In July 2019, it adopted a decision regulating the investigation and discipline of statutory </w:t>
      </w:r>
      <w:r>
        <w:rPr>
          <w:rFonts w:ascii="Times New Roman" w:eastAsia="Times New Roman" w:hAnsi="Times New Roman" w:cs="Times New Roman"/>
          <w:noProof/>
          <w:sz w:val="24"/>
          <w:szCs w:val="24"/>
        </w:rPr>
        <w:t>auditors/auditing firms, and certified accountants. In the reporting period, the Investigation and Disciplinary Commission issued 10 disciplinary measures (nine fines and one temporary licence suspension). Albania should continue to strengthen POB capacity</w:t>
      </w:r>
      <w:r>
        <w:rPr>
          <w:rFonts w:ascii="Times New Roman" w:eastAsia="Times New Roman" w:hAnsi="Times New Roman" w:cs="Times New Roman"/>
          <w:noProof/>
          <w:sz w:val="24"/>
          <w:szCs w:val="24"/>
        </w:rPr>
        <w:t xml:space="preserve"> and align with EU statutory audit rules.</w:t>
      </w:r>
    </w:p>
    <w:p w:rsidR="00EE1719" w:rsidRDefault="000E39BA">
      <w:pPr>
        <w:pStyle w:val="Heading2"/>
        <w:rPr>
          <w:rStyle w:val="Heading2Char"/>
          <w:b/>
          <w:bCs/>
        </w:rPr>
      </w:pPr>
      <w:bookmarkStart w:id="91" w:name="_Toc52745520"/>
      <w:r>
        <w:rPr>
          <w:rStyle w:val="Heading2Char"/>
        </w:rPr>
        <w:t>5.7</w:t>
      </w:r>
      <w:r>
        <w:rPr>
          <w:rStyle w:val="Heading2Char"/>
          <w:b/>
          <w:bCs/>
        </w:rPr>
        <w:t xml:space="preserve">. </w:t>
      </w:r>
      <w:r>
        <w:rPr>
          <w:rStyle w:val="Heading2Char"/>
          <w:b/>
          <w:bCs/>
        </w:rPr>
        <w:tab/>
        <w:t>Chapter 7: Intellectual property law</w:t>
      </w:r>
      <w:bookmarkEnd w:id="85"/>
      <w:bookmarkEnd w:id="86"/>
      <w:bookmarkEnd w:id="87"/>
      <w:bookmarkEnd w:id="88"/>
      <w:bookmarkEnd w:id="89"/>
      <w:bookmarkEnd w:id="90"/>
      <w:bookmarkEnd w:id="91"/>
    </w:p>
    <w:p w:rsidR="00EE1719" w:rsidRDefault="000E39BA">
      <w:pPr>
        <w:widowControl w:val="0"/>
        <w:spacing w:after="120" w:line="240" w:lineRule="auto"/>
        <w:jc w:val="both"/>
        <w:rPr>
          <w:rFonts w:ascii="Times New Roman" w:eastAsia="Times New Roman" w:hAnsi="Times New Roman" w:cs="Times New Roman"/>
          <w:i/>
          <w:iCs/>
          <w:noProof/>
          <w:sz w:val="24"/>
          <w:szCs w:val="24"/>
        </w:rPr>
      </w:pPr>
      <w:bookmarkStart w:id="92" w:name="_Toc510686862"/>
      <w:bookmarkStart w:id="93" w:name="_Toc29803518"/>
      <w:bookmarkStart w:id="94" w:name="_Toc9430018"/>
      <w:bookmarkStart w:id="95" w:name="_Toc9331926"/>
      <w:bookmarkStart w:id="96" w:name="_Toc9328494"/>
      <w:bookmarkStart w:id="97" w:name="_Toc530733578"/>
      <w:r>
        <w:rPr>
          <w:rFonts w:ascii="Times New Roman" w:eastAsia="Times New Roman" w:hAnsi="Times New Roman" w:cs="Times New Roman"/>
          <w:i/>
          <w:iCs/>
          <w:noProof/>
          <w:sz w:val="24"/>
          <w:szCs w:val="24"/>
        </w:rPr>
        <w:t>The EU has harmonised rules for the legal protection of intellectual property rights (IPR) and of copyright and related rights. Rules for the legal protection of IPRs cove</w:t>
      </w:r>
      <w:r>
        <w:rPr>
          <w:rFonts w:ascii="Times New Roman" w:eastAsia="Times New Roman" w:hAnsi="Times New Roman" w:cs="Times New Roman"/>
          <w:i/>
          <w:iCs/>
          <w:noProof/>
          <w:sz w:val="24"/>
          <w:szCs w:val="24"/>
        </w:rPr>
        <w:t>r, for instance, patents and trademarks, designs, biotechnological inventions and pharmaceuticals. Rules for the legal protection of copyright and related rights cover, for instance, books, films, computer programmes and broadcasting.</w:t>
      </w:r>
    </w:p>
    <w:p w:rsidR="00EE1719" w:rsidRDefault="000E39B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Albania has </w:t>
      </w:r>
      <w:r>
        <w:rPr>
          <w:rFonts w:ascii="Times New Roman" w:eastAsia="Calibri" w:hAnsi="Times New Roman" w:cs="Times New Roman"/>
          <w:b/>
          <w:bCs/>
          <w:noProof/>
          <w:sz w:val="24"/>
          <w:szCs w:val="24"/>
        </w:rPr>
        <w:t xml:space="preserve">some </w:t>
      </w:r>
      <w:r>
        <w:rPr>
          <w:rFonts w:ascii="Times New Roman" w:eastAsia="Calibri" w:hAnsi="Times New Roman" w:cs="Times New Roman"/>
          <w:b/>
          <w:bCs/>
          <w:noProof/>
          <w:sz w:val="24"/>
          <w:szCs w:val="24"/>
        </w:rPr>
        <w:t>level of preparation/</w:t>
      </w:r>
      <w:r>
        <w:rPr>
          <w:rFonts w:ascii="Times New Roman" w:eastAsia="Calibri" w:hAnsi="Times New Roman" w:cs="Times New Roman"/>
          <w:bCs/>
          <w:noProof/>
          <w:sz w:val="24"/>
          <w:szCs w:val="24"/>
        </w:rPr>
        <w:t>is</w:t>
      </w:r>
      <w:r>
        <w:rPr>
          <w:rFonts w:ascii="Times New Roman" w:eastAsia="Calibri" w:hAnsi="Times New Roman" w:cs="Times New Roman"/>
          <w:b/>
          <w:bCs/>
          <w:noProof/>
          <w:sz w:val="24"/>
          <w:szCs w:val="24"/>
        </w:rPr>
        <w:t xml:space="preserve"> moderately prepared</w:t>
      </w:r>
      <w:r>
        <w:rPr>
          <w:rFonts w:ascii="Times New Roman" w:eastAsia="Calibri" w:hAnsi="Times New Roman" w:cs="Times New Roman"/>
          <w:noProof/>
          <w:sz w:val="24"/>
          <w:szCs w:val="24"/>
        </w:rPr>
        <w:t xml:space="preserve"> on intellectual property rights. </w:t>
      </w:r>
      <w:r>
        <w:rPr>
          <w:rFonts w:ascii="Times New Roman" w:eastAsia="Calibri" w:hAnsi="Times New Roman" w:cs="Times New Roman"/>
          <w:b/>
          <w:noProof/>
          <w:sz w:val="24"/>
          <w:szCs w:val="24"/>
        </w:rPr>
        <w:t>Limited</w:t>
      </w:r>
      <w:r>
        <w:rPr>
          <w:rFonts w:ascii="Times New Roman" w:eastAsia="Calibri" w:hAnsi="Times New Roman" w:cs="Times New Roman"/>
          <w:b/>
          <w:bCs/>
          <w:noProof/>
          <w:sz w:val="24"/>
          <w:szCs w:val="24"/>
        </w:rPr>
        <w:t xml:space="preserve"> progress </w:t>
      </w:r>
      <w:r>
        <w:rPr>
          <w:rFonts w:ascii="Times New Roman" w:eastAsia="Calibri" w:hAnsi="Times New Roman" w:cs="Times New Roman"/>
          <w:noProof/>
          <w:sz w:val="24"/>
          <w:szCs w:val="24"/>
        </w:rPr>
        <w:t xml:space="preserve">was made during the reporting period, in particular, with the legislative alignment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in the area of trade secrets. Recommendations from the prev</w:t>
      </w:r>
      <w:r>
        <w:rPr>
          <w:rFonts w:ascii="Times New Roman" w:eastAsia="Calibri" w:hAnsi="Times New Roman" w:cs="Times New Roman"/>
          <w:noProof/>
          <w:sz w:val="24"/>
          <w:szCs w:val="24"/>
        </w:rPr>
        <w:t>ious year were partially met and remain valid.</w:t>
      </w:r>
    </w:p>
    <w:p w:rsidR="00EE1719" w:rsidRDefault="000E39B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coming year, Albania should in particular:</w:t>
      </w:r>
    </w:p>
    <w:p w:rsidR="00EE1719" w:rsidRDefault="000E39B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284" w:hanging="284"/>
        <w:jc w:val="both"/>
        <w:rPr>
          <w:rFonts w:ascii="Times New Roman" w:eastAsia="Malgun Gothic" w:hAnsi="Times New Roman" w:cs="Times New Roman"/>
          <w:noProof/>
          <w:sz w:val="24"/>
          <w:szCs w:val="24"/>
        </w:rPr>
      </w:pPr>
      <w:r>
        <w:rPr>
          <w:rFonts w:ascii="Times New Roman" w:eastAsia="Calibri" w:hAnsi="Times New Roman" w:cs="Times New Roman"/>
          <w:noProof/>
          <w:sz w:val="24"/>
          <w:szCs w:val="24"/>
        </w:rPr>
        <w:t xml:space="preserve">→ </w:t>
      </w:r>
      <w:r>
        <w:rPr>
          <w:rFonts w:ascii="Times New Roman" w:eastAsia="Malgun Gothic" w:hAnsi="Times New Roman" w:cs="Times New Roman"/>
          <w:noProof/>
          <w:sz w:val="24"/>
          <w:szCs w:val="24"/>
        </w:rPr>
        <w:t>intensify the efforts to align its legislation on copyright and neighbouring rights with the EU</w:t>
      </w:r>
      <w:r>
        <w:rPr>
          <w:rFonts w:ascii="Times New Roman" w:eastAsia="Malgun Gothic" w:hAnsi="Times New Roman" w:cs="Times New Roman"/>
          <w:i/>
          <w:noProof/>
          <w:sz w:val="24"/>
          <w:szCs w:val="24"/>
        </w:rPr>
        <w:t xml:space="preserve"> acquis</w:t>
      </w:r>
      <w:r>
        <w:rPr>
          <w:rFonts w:ascii="Times New Roman" w:eastAsia="Malgun Gothic" w:hAnsi="Times New Roman" w:cs="Times New Roman"/>
          <w:noProof/>
          <w:sz w:val="24"/>
          <w:szCs w:val="24"/>
        </w:rPr>
        <w:t xml:space="preserve">; </w:t>
      </w:r>
    </w:p>
    <w:p w:rsidR="00EE1719" w:rsidRDefault="000E39BA">
      <w:pPr>
        <w:numPr>
          <w:ilvl w:val="0"/>
          <w:numId w:val="43"/>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further improve the functioning of collective </w:t>
      </w:r>
      <w:r>
        <w:rPr>
          <w:rFonts w:ascii="Times New Roman" w:eastAsia="Times New Roman" w:hAnsi="Times New Roman" w:cs="Times New Roman"/>
          <w:noProof/>
          <w:sz w:val="24"/>
          <w:szCs w:val="24"/>
        </w:rPr>
        <w:t>management agencies and the payment of royalties to right holders</w:t>
      </w:r>
      <w:r>
        <w:rPr>
          <w:rFonts w:ascii="Times New Roman" w:eastAsia="Malgun Gothic" w:hAnsi="Times New Roman" w:cs="Times New Roman"/>
          <w:noProof/>
          <w:sz w:val="24"/>
          <w:szCs w:val="24"/>
        </w:rPr>
        <w:t>;</w:t>
      </w:r>
    </w:p>
    <w:p w:rsidR="00EE1719" w:rsidRDefault="000E39BA">
      <w:pPr>
        <w:numPr>
          <w:ilvl w:val="0"/>
          <w:numId w:val="43"/>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further align legislation on industrial property rights and the IPR enforcement system. </w:t>
      </w:r>
    </w:p>
    <w:p w:rsidR="00EE1719" w:rsidRDefault="000E39BA">
      <w:pPr>
        <w:widowControl w:val="0"/>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 xml:space="preserve">In the area of </w:t>
      </w:r>
      <w:r>
        <w:rPr>
          <w:rFonts w:ascii="Times New Roman" w:eastAsia="Times New Roman" w:hAnsi="Times New Roman" w:cs="Times New Roman"/>
          <w:b/>
          <w:bCs/>
          <w:noProof/>
          <w:sz w:val="24"/>
          <w:szCs w:val="24"/>
        </w:rPr>
        <w:t>copyright and neighbouring rights</w:t>
      </w:r>
      <w:r>
        <w:rPr>
          <w:rFonts w:ascii="Times New Roman" w:eastAsia="Times New Roman" w:hAnsi="Times New Roman" w:cs="Times New Roman"/>
          <w:noProof/>
          <w:sz w:val="24"/>
          <w:szCs w:val="24"/>
        </w:rPr>
        <w:t>, the two main bodies responsible are the General Di</w:t>
      </w:r>
      <w:r>
        <w:rPr>
          <w:rFonts w:ascii="Times New Roman" w:eastAsia="Times New Roman" w:hAnsi="Times New Roman" w:cs="Times New Roman"/>
          <w:noProof/>
          <w:sz w:val="24"/>
          <w:szCs w:val="24"/>
        </w:rPr>
        <w:t>rectorate of Industrial Property (GDIP), which is in charge of registering, administrating and promoting IP objects and the Copyright Directorate. The National Copyright Council, consisting of five members appointed by the Minister for Culture, is responsi</w:t>
      </w:r>
      <w:r>
        <w:rPr>
          <w:rFonts w:ascii="Times New Roman" w:eastAsia="Times New Roman" w:hAnsi="Times New Roman" w:cs="Times New Roman"/>
          <w:noProof/>
          <w:sz w:val="24"/>
          <w:szCs w:val="24"/>
        </w:rPr>
        <w:t>ble for certifying the tariff methodology.</w:t>
      </w:r>
    </w:p>
    <w:p w:rsidR="00EE1719" w:rsidRDefault="000E39BA">
      <w:pPr>
        <w:widowControl w:val="0"/>
        <w:spacing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 xml:space="preserve">No further legislative </w:t>
      </w:r>
      <w:r>
        <w:rPr>
          <w:rFonts w:ascii="Times New Roman" w:eastAsia="Times New Roman" w:hAnsi="Times New Roman" w:cs="Times New Roman"/>
          <w:noProof/>
          <w:sz w:val="24"/>
          <w:szCs w:val="24"/>
        </w:rPr>
        <w:t>alignment was achieved in the reporting year. Following the decision of the National Council of Copyright of May 2020, the one-stop-shop set up to increase the contribution base of tariffs c</w:t>
      </w:r>
      <w:r>
        <w:rPr>
          <w:rFonts w:ascii="Times New Roman" w:eastAsia="Times New Roman" w:hAnsi="Times New Roman" w:cs="Times New Roman"/>
          <w:noProof/>
          <w:sz w:val="24"/>
          <w:szCs w:val="24"/>
        </w:rPr>
        <w:t xml:space="preserve">ollected by collective management organisations (CMOs) is now administered by the CMO “F.M.A.A”. Both the National Council of Copyright and the Copyright Directorate supervise the system. The functioning of the collective management system and the payment </w:t>
      </w:r>
      <w:r>
        <w:rPr>
          <w:rFonts w:ascii="Times New Roman" w:eastAsia="Times New Roman" w:hAnsi="Times New Roman" w:cs="Times New Roman"/>
          <w:noProof/>
          <w:sz w:val="24"/>
          <w:szCs w:val="24"/>
        </w:rPr>
        <w:t>of royalties to right holders needs to be further improved.</w:t>
      </w:r>
    </w:p>
    <w:p w:rsidR="00EE1719" w:rsidRDefault="000E39BA">
      <w:pPr>
        <w:widowControl w:val="0"/>
        <w:spacing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industrial property rights</w:t>
      </w:r>
      <w:r>
        <w:rPr>
          <w:rFonts w:ascii="Times New Roman" w:eastAsia="Times New Roman" w:hAnsi="Times New Roman" w:cs="Times New Roman"/>
          <w:noProof/>
          <w:sz w:val="24"/>
          <w:szCs w:val="24"/>
        </w:rPr>
        <w:t xml:space="preserve">, the GDIP has prepared a draft Law on trade secrets in order to align the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It is scheduled for adoption by the end of 2020.</w:t>
      </w:r>
    </w:p>
    <w:p w:rsidR="00EE1719" w:rsidRDefault="000E39BA">
      <w:pPr>
        <w:widowControl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number of </w:t>
      </w:r>
      <w:r>
        <w:rPr>
          <w:rFonts w:ascii="Times New Roman" w:eastAsia="Times New Roman" w:hAnsi="Times New Roman" w:cs="Times New Roman"/>
          <w:noProof/>
          <w:sz w:val="24"/>
          <w:szCs w:val="24"/>
        </w:rPr>
        <w:t>applications to register industrial property continued to rise with 2,654 new applications (including 1,475 trademarks and 1158 for patents) in the reporting period. The GDIP participated in 17 court proceedings.</w:t>
      </w:r>
    </w:p>
    <w:p w:rsidR="00EE1719" w:rsidRDefault="000E39BA">
      <w:pPr>
        <w:widowControl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SIMS Copyright Division of the State </w:t>
      </w:r>
      <w:r>
        <w:rPr>
          <w:rFonts w:ascii="Times New Roman" w:eastAsia="Times New Roman" w:hAnsi="Times New Roman" w:cs="Times New Roman"/>
          <w:noProof/>
          <w:sz w:val="24"/>
          <w:szCs w:val="24"/>
        </w:rPr>
        <w:t>Inspectorate for Market Surveillance (SIMS) carried out 496 inspections resulting in 48 administrative measures. The activities of the SIMS Industrial Property Division took 74 administrative measures (69 warnings and five fines).</w:t>
      </w:r>
    </w:p>
    <w:p w:rsidR="00EE1719" w:rsidRDefault="000E39BA">
      <w:pPr>
        <w:widowControl w:val="0"/>
        <w:spacing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rPr>
        <w:t>The customs administratio</w:t>
      </w:r>
      <w:r>
        <w:rPr>
          <w:rFonts w:ascii="Times New Roman" w:eastAsia="Times New Roman" w:hAnsi="Times New Roman" w:cs="Times New Roman"/>
          <w:noProof/>
          <w:sz w:val="24"/>
          <w:szCs w:val="24"/>
        </w:rPr>
        <w:t>n suspended the release of 23,440 products suspected of infringing IPR. The high number of counterfeit products in the country remains a cause for concerns.</w:t>
      </w:r>
    </w:p>
    <w:p w:rsidR="00EE1719" w:rsidRDefault="000E39BA">
      <w:pPr>
        <w:pStyle w:val="Heading2"/>
        <w:rPr>
          <w:rStyle w:val="Heading2Char"/>
          <w:b/>
          <w:bCs/>
        </w:rPr>
      </w:pPr>
      <w:bookmarkStart w:id="98" w:name="_Toc52745521"/>
      <w:r>
        <w:rPr>
          <w:rStyle w:val="Heading2Char"/>
        </w:rPr>
        <w:t>5.8.</w:t>
      </w:r>
      <w:r>
        <w:rPr>
          <w:rStyle w:val="Heading2Char"/>
          <w:b/>
          <w:bCs/>
        </w:rPr>
        <w:t xml:space="preserve"> </w:t>
      </w:r>
      <w:r>
        <w:rPr>
          <w:rStyle w:val="Heading2Char"/>
          <w:b/>
          <w:bCs/>
        </w:rPr>
        <w:tab/>
        <w:t>Chapter 8: Competition policy</w:t>
      </w:r>
      <w:bookmarkEnd w:id="92"/>
      <w:bookmarkEnd w:id="93"/>
      <w:bookmarkEnd w:id="94"/>
      <w:bookmarkEnd w:id="95"/>
      <w:bookmarkEnd w:id="96"/>
      <w:bookmarkEnd w:id="97"/>
      <w:bookmarkEnd w:id="98"/>
    </w:p>
    <w:p w:rsidR="00EE1719" w:rsidRDefault="000E39BA">
      <w:pPr>
        <w:spacing w:after="120" w:line="240" w:lineRule="auto"/>
        <w:jc w:val="both"/>
        <w:rPr>
          <w:rFonts w:ascii="Times New Roman" w:eastAsia="Times New Roman" w:hAnsi="Times New Roman" w:cs="Times New Roman"/>
          <w:i/>
          <w:iCs/>
          <w:noProof/>
          <w:sz w:val="24"/>
          <w:szCs w:val="24"/>
        </w:rPr>
      </w:pPr>
      <w:bookmarkStart w:id="99" w:name="_Toc510686863"/>
      <w:bookmarkStart w:id="100" w:name="_Toc29803519"/>
      <w:bookmarkStart w:id="101" w:name="_Toc9430019"/>
      <w:bookmarkStart w:id="102" w:name="_Toc9331927"/>
      <w:bookmarkStart w:id="103" w:name="_Toc9328495"/>
      <w:bookmarkStart w:id="104" w:name="_Toc530733579"/>
      <w:r>
        <w:rPr>
          <w:rFonts w:ascii="Times New Roman" w:eastAsia="Times New Roman" w:hAnsi="Times New Roman" w:cs="Times New Roman"/>
          <w:i/>
          <w:iCs/>
          <w:noProof/>
          <w:sz w:val="24"/>
          <w:szCs w:val="24"/>
        </w:rPr>
        <w:t>EU rules protect free competition. They include antitrust rules</w:t>
      </w:r>
      <w:r>
        <w:rPr>
          <w:rFonts w:ascii="Times New Roman" w:eastAsia="Times New Roman" w:hAnsi="Times New Roman" w:cs="Times New Roman"/>
          <w:i/>
          <w:iCs/>
          <w:noProof/>
          <w:sz w:val="24"/>
          <w:szCs w:val="24"/>
        </w:rPr>
        <w:t xml:space="preserve"> against restrictive agreements between companies and abuse of dominant position, and also include rules on concentrations between companies which would significantly impede competition. EU rules also </w:t>
      </w:r>
      <w:r>
        <w:rPr>
          <w:rFonts w:ascii="Times New Roman" w:eastAsia="Calibri" w:hAnsi="Times New Roman" w:cs="Times New Roman"/>
          <w:i/>
          <w:iCs/>
          <w:noProof/>
          <w:sz w:val="24"/>
          <w:szCs w:val="24"/>
        </w:rPr>
        <w:t xml:space="preserve">set out a system of State aid control. Governments are </w:t>
      </w:r>
      <w:r>
        <w:rPr>
          <w:rFonts w:ascii="Times New Roman" w:eastAsia="Calibri" w:hAnsi="Times New Roman" w:cs="Times New Roman"/>
          <w:i/>
          <w:iCs/>
          <w:noProof/>
          <w:sz w:val="24"/>
          <w:szCs w:val="24"/>
        </w:rPr>
        <w:t>only allowed to grant State aid if restrictive conditions are met, with a view to</w:t>
      </w:r>
      <w:r>
        <w:rPr>
          <w:rFonts w:ascii="Times New Roman" w:eastAsia="Times New Roman" w:hAnsi="Times New Roman" w:cs="Times New Roman"/>
          <w:i/>
          <w:iCs/>
          <w:noProof/>
          <w:sz w:val="24"/>
          <w:szCs w:val="24"/>
        </w:rPr>
        <w:t xml:space="preserve"> preventing distortion of competition.</w:t>
      </w:r>
    </w:p>
    <w:p w:rsidR="00EE1719" w:rsidRDefault="000E39B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Albania has </w:t>
      </w:r>
      <w:r>
        <w:rPr>
          <w:rFonts w:ascii="Times New Roman" w:eastAsia="Calibri" w:hAnsi="Times New Roman" w:cs="Times New Roman"/>
          <w:b/>
          <w:noProof/>
          <w:sz w:val="24"/>
          <w:szCs w:val="24"/>
        </w:rPr>
        <w:t xml:space="preserve">some level of preparation / </w:t>
      </w:r>
      <w:r>
        <w:rPr>
          <w:rFonts w:ascii="Times New Roman" w:eastAsia="Calibri" w:hAnsi="Times New Roman" w:cs="Times New Roman"/>
          <w:noProof/>
          <w:sz w:val="24"/>
          <w:szCs w:val="24"/>
        </w:rPr>
        <w:t>is</w:t>
      </w:r>
      <w:r>
        <w:rPr>
          <w:rFonts w:ascii="Times New Roman" w:eastAsia="Calibri" w:hAnsi="Times New Roman" w:cs="Times New Roman"/>
          <w:b/>
          <w:noProof/>
          <w:sz w:val="24"/>
          <w:szCs w:val="24"/>
        </w:rPr>
        <w:t xml:space="preserve"> moderately prepared</w:t>
      </w: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 xml:space="preserve">in competition policy. There was </w:t>
      </w:r>
      <w:r>
        <w:rPr>
          <w:rFonts w:ascii="Times New Roman" w:eastAsia="Calibri" w:hAnsi="Times New Roman" w:cs="Times New Roman"/>
          <w:b/>
          <w:bCs/>
          <w:noProof/>
          <w:sz w:val="24"/>
          <w:szCs w:val="24"/>
        </w:rPr>
        <w:t xml:space="preserve">some progress </w:t>
      </w:r>
      <w:r>
        <w:rPr>
          <w:rFonts w:ascii="Times New Roman" w:eastAsia="Calibri" w:hAnsi="Times New Roman" w:cs="Times New Roman"/>
          <w:noProof/>
          <w:sz w:val="24"/>
          <w:szCs w:val="24"/>
        </w:rPr>
        <w:t>during the reporting perio</w:t>
      </w:r>
      <w:r>
        <w:rPr>
          <w:rFonts w:ascii="Times New Roman" w:eastAsia="Calibri" w:hAnsi="Times New Roman" w:cs="Times New Roman"/>
          <w:noProof/>
          <w:sz w:val="24"/>
          <w:szCs w:val="24"/>
        </w:rPr>
        <w:t xml:space="preserve">d, in particular in the area of application of the competition rules. However, no progress was made in improving legislative alignment with the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and enforcement of State aid rules. Despite previous recommendations, the operational independence of the</w:t>
      </w:r>
      <w:r>
        <w:rPr>
          <w:rFonts w:ascii="Times New Roman" w:eastAsia="Calibri" w:hAnsi="Times New Roman" w:cs="Times New Roman"/>
          <w:noProof/>
          <w:sz w:val="24"/>
          <w:szCs w:val="24"/>
        </w:rPr>
        <w:t xml:space="preserve"> State aid Commission (SAC) has not yet been ensured. Furthermore, the SAC needs to redouble efforts to improve its enforcement record.</w:t>
      </w:r>
    </w:p>
    <w:p w:rsidR="00EE1719" w:rsidRDefault="000E39B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coming year, the country should in particular:</w:t>
      </w:r>
    </w:p>
    <w:p w:rsidR="00EE1719" w:rsidRDefault="000E39BA">
      <w:pPr>
        <w:numPr>
          <w:ilvl w:val="0"/>
          <w:numId w:val="96"/>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significantly increase the administrative capacity of SAC’s </w:t>
      </w:r>
      <w:r>
        <w:rPr>
          <w:rFonts w:ascii="Times New Roman" w:eastAsia="Calibri" w:hAnsi="Times New Roman" w:cs="Times New Roman"/>
          <w:noProof/>
          <w:sz w:val="24"/>
          <w:szCs w:val="24"/>
        </w:rPr>
        <w:t>secretariat, which currently raises serious concerns;</w:t>
      </w:r>
    </w:p>
    <w:p w:rsidR="00EE1719" w:rsidRDefault="000E39BA">
      <w:pPr>
        <w:numPr>
          <w:ilvl w:val="0"/>
          <w:numId w:val="96"/>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ensure the operational independence of the SAC;</w:t>
      </w:r>
    </w:p>
    <w:p w:rsidR="00EE1719" w:rsidRDefault="000E39BA">
      <w:pPr>
        <w:numPr>
          <w:ilvl w:val="0"/>
          <w:numId w:val="96"/>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raise awareness of the SAC with respect to </w:t>
      </w:r>
      <w:r>
        <w:rPr>
          <w:rFonts w:ascii="Times New Roman" w:eastAsia="Times New Roman" w:hAnsi="Times New Roman" w:cs="Times New Roman"/>
          <w:noProof/>
          <w:sz w:val="24"/>
          <w:szCs w:val="24"/>
        </w:rPr>
        <w:t>line ministries, regional and local authorities in order to ensure prior notification of aid measures and stren</w:t>
      </w:r>
      <w:r>
        <w:rPr>
          <w:rFonts w:ascii="Times New Roman" w:eastAsia="Times New Roman" w:hAnsi="Times New Roman" w:cs="Times New Roman"/>
          <w:noProof/>
          <w:sz w:val="24"/>
          <w:szCs w:val="24"/>
        </w:rPr>
        <w:t>gthen the enforcement of State aid rules.</w:t>
      </w:r>
    </w:p>
    <w:p w:rsidR="00EE1719" w:rsidRDefault="000E39BA">
      <w:pPr>
        <w:spacing w:after="120" w:line="240" w:lineRule="auto"/>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Antitrust and mergers</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Albania’s </w:t>
      </w:r>
      <w:r>
        <w:rPr>
          <w:rFonts w:ascii="Times New Roman" w:eastAsia="Calibri" w:hAnsi="Times New Roman" w:cs="Times New Roman"/>
          <w:b/>
          <w:bCs/>
          <w:noProof/>
          <w:sz w:val="24"/>
          <w:szCs w:val="24"/>
        </w:rPr>
        <w:t xml:space="preserve">legislative framework </w:t>
      </w:r>
      <w:r>
        <w:rPr>
          <w:rFonts w:ascii="Times New Roman" w:eastAsia="Calibri" w:hAnsi="Times New Roman" w:cs="Times New Roman"/>
          <w:noProof/>
          <w:sz w:val="24"/>
          <w:szCs w:val="24"/>
        </w:rPr>
        <w:t xml:space="preserve">is broadly in line with the EU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rPr>
        <w:t xml:space="preserve">and the Stabilisation and Association Agreement (SAA). The Law on the protection of competition is largely aligned with </w:t>
      </w:r>
      <w:r>
        <w:rPr>
          <w:rFonts w:ascii="Times New Roman" w:eastAsia="Calibri" w:hAnsi="Times New Roman" w:cs="Times New Roman"/>
          <w:noProof/>
          <w:sz w:val="24"/>
          <w:szCs w:val="24"/>
        </w:rPr>
        <w:t>Article 101 TFEU (restrictive agreements) and Article 102 TFEU (abuses of dominant position). It also provides for</w:t>
      </w:r>
      <w:r>
        <w:rPr>
          <w:rFonts w:ascii="Times New Roman" w:eastAsia="Calibri" w:hAnsi="Times New Roman" w:cs="Times New Roman"/>
          <w:i/>
          <w:noProof/>
          <w:sz w:val="24"/>
          <w:szCs w:val="24"/>
        </w:rPr>
        <w:t xml:space="preserve"> </w:t>
      </w:r>
      <w:r>
        <w:rPr>
          <w:rFonts w:ascii="Times New Roman" w:eastAsia="Calibri" w:hAnsi="Times New Roman" w:cs="Times New Roman"/>
          <w:noProof/>
          <w:sz w:val="24"/>
          <w:szCs w:val="24"/>
        </w:rPr>
        <w:t>prior control of mergers, in line with the Merger Regulation. Implementing legislation is broadly in line with the relevant EU regulations an</w:t>
      </w:r>
      <w:r>
        <w:rPr>
          <w:rFonts w:ascii="Times New Roman" w:eastAsia="Calibri" w:hAnsi="Times New Roman" w:cs="Times New Roman"/>
          <w:noProof/>
          <w:sz w:val="24"/>
          <w:szCs w:val="24"/>
        </w:rPr>
        <w:t>d Commission guidelines. In the reporting period, the Albanian Competition Authority (ACA) approved guidelines and procedures protecting those who have suffered damage as a result of breaches of competition rules.</w:t>
      </w:r>
    </w:p>
    <w:p w:rsidR="00EE1719" w:rsidRDefault="000E39BA">
      <w:pPr>
        <w:widowControl w:val="0"/>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the </w:t>
      </w:r>
      <w:r>
        <w:rPr>
          <w:rFonts w:ascii="Times New Roman" w:eastAsia="Calibri" w:hAnsi="Times New Roman" w:cs="Times New Roman"/>
          <w:b/>
          <w:bCs/>
          <w:noProof/>
          <w:sz w:val="24"/>
          <w:szCs w:val="24"/>
        </w:rPr>
        <w:t>institutional framework</w:t>
      </w:r>
      <w:r>
        <w:rPr>
          <w:rFonts w:ascii="Times New Roman" w:eastAsia="Calibri" w:hAnsi="Times New Roman" w:cs="Times New Roman"/>
          <w:noProof/>
          <w:sz w:val="24"/>
          <w:szCs w:val="24"/>
        </w:rPr>
        <w:t>, th</w:t>
      </w:r>
      <w:r>
        <w:rPr>
          <w:rFonts w:ascii="Times New Roman" w:eastAsia="Calibri" w:hAnsi="Times New Roman" w:cs="Times New Roman"/>
          <w:noProof/>
          <w:sz w:val="24"/>
          <w:szCs w:val="24"/>
        </w:rPr>
        <w:t xml:space="preserve">e ACA is responsible for implementing the Law on the protection of competition. It is an operationally independent authority reporting to Parliament. It can adopt implementing legislation, impose fines and remedies, prohibit mergers or authorise them with </w:t>
      </w:r>
      <w:r>
        <w:rPr>
          <w:rFonts w:ascii="Times New Roman" w:eastAsia="Calibri" w:hAnsi="Times New Roman" w:cs="Times New Roman"/>
          <w:noProof/>
          <w:sz w:val="24"/>
          <w:szCs w:val="24"/>
        </w:rPr>
        <w:t>or without conditions. It can conduct sector enquiries and, on its own initiative, issue opinions and recommendations on draft laws that may affect competition. A leniency programme is in place for companies providing information on cartel cases. Parties m</w:t>
      </w:r>
      <w:r>
        <w:rPr>
          <w:rFonts w:ascii="Times New Roman" w:eastAsia="Calibri" w:hAnsi="Times New Roman" w:cs="Times New Roman"/>
          <w:noProof/>
          <w:sz w:val="24"/>
          <w:szCs w:val="24"/>
        </w:rPr>
        <w:t>ay appeal against the ACA’s decisions before the courts. The ACA took several initiatives to raise awareness among companies about the existence of competition rules, these initiatives have targeted to specific sectors, for instance trainings on the mobile</w:t>
      </w:r>
      <w:r>
        <w:rPr>
          <w:rFonts w:ascii="Times New Roman" w:eastAsia="Calibri" w:hAnsi="Times New Roman" w:cs="Times New Roman"/>
          <w:noProof/>
          <w:sz w:val="24"/>
          <w:szCs w:val="24"/>
        </w:rPr>
        <w:t xml:space="preserve"> phones industry market. Further initiatives should be taken in the future in order to raise awareness on the work of the ACA.</w:t>
      </w:r>
    </w:p>
    <w:p w:rsidR="00EE1719" w:rsidRDefault="000E39BA">
      <w:pPr>
        <w:widowControl w:val="0"/>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RAs regards </w:t>
      </w:r>
      <w:r>
        <w:rPr>
          <w:rFonts w:ascii="Times New Roman" w:eastAsia="Calibri" w:hAnsi="Times New Roman" w:cs="Times New Roman"/>
          <w:b/>
          <w:bCs/>
          <w:noProof/>
          <w:sz w:val="24"/>
          <w:szCs w:val="24"/>
        </w:rPr>
        <w:t>enforcement capacity</w:t>
      </w:r>
      <w:r>
        <w:rPr>
          <w:rFonts w:ascii="Times New Roman" w:eastAsia="Calibri" w:hAnsi="Times New Roman" w:cs="Times New Roman"/>
          <w:noProof/>
          <w:sz w:val="24"/>
          <w:szCs w:val="24"/>
        </w:rPr>
        <w:t>, the ACA has increased its number of staff to 46. Its level of expertise has benefited from a se</w:t>
      </w:r>
      <w:r>
        <w:rPr>
          <w:rFonts w:ascii="Times New Roman" w:eastAsia="Calibri" w:hAnsi="Times New Roman" w:cs="Times New Roman"/>
          <w:noProof/>
          <w:sz w:val="24"/>
          <w:szCs w:val="24"/>
        </w:rPr>
        <w:t>ries of training courses organised with the European Commission, the REKABET, UNCTAD, OECD, EBRD and the Italian Competition Authority. On</w:t>
      </w:r>
      <w:r>
        <w:rPr>
          <w:rFonts w:ascii="Times New Roman" w:eastAsia="Calibri" w:hAnsi="Times New Roman" w:cs="Times New Roman"/>
          <w:b/>
          <w:noProof/>
          <w:sz w:val="24"/>
          <w:szCs w:val="24"/>
        </w:rPr>
        <w:t xml:space="preserve"> implementation,</w:t>
      </w:r>
      <w:r>
        <w:rPr>
          <w:rFonts w:ascii="Times New Roman" w:eastAsia="Calibri" w:hAnsi="Times New Roman" w:cs="Times New Roman"/>
          <w:noProof/>
          <w:sz w:val="24"/>
          <w:szCs w:val="24"/>
        </w:rPr>
        <w:t xml:space="preserve"> in the reporting period ACA took 116 decisions, including nine on prohibited agreement, 13 on abuse o</w:t>
      </w:r>
      <w:r>
        <w:rPr>
          <w:rFonts w:ascii="Times New Roman" w:eastAsia="Calibri" w:hAnsi="Times New Roman" w:cs="Times New Roman"/>
          <w:noProof/>
          <w:sz w:val="24"/>
          <w:szCs w:val="24"/>
        </w:rPr>
        <w:t xml:space="preserve">f dominant position and 36 authorising concentrations. No fines were imposed. The </w:t>
      </w:r>
      <w:r>
        <w:rPr>
          <w:rFonts w:ascii="Times New Roman" w:eastAsia="Droid Sans Fallback" w:hAnsi="Times New Roman" w:cs="Times New Roman"/>
          <w:noProof/>
          <w:kern w:val="3"/>
          <w:sz w:val="24"/>
          <w:szCs w:val="24"/>
          <w:lang w:eastAsia="zh-CN" w:bidi="hi-IN"/>
        </w:rPr>
        <w:t>ACA should continue to strengthen the enforcement of competition rules.</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u w:val="single"/>
        </w:rPr>
        <w:t>State aid</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w:t>
      </w:r>
      <w:r>
        <w:rPr>
          <w:rFonts w:ascii="Times New Roman" w:eastAsia="Calibri" w:hAnsi="Times New Roman" w:cs="Times New Roman"/>
          <w:b/>
          <w:bCs/>
          <w:noProof/>
          <w:sz w:val="24"/>
          <w:szCs w:val="24"/>
        </w:rPr>
        <w:t>legislative framework</w:t>
      </w:r>
      <w:r>
        <w:rPr>
          <w:rFonts w:ascii="Times New Roman" w:eastAsia="Calibri" w:hAnsi="Times New Roman" w:cs="Times New Roman"/>
          <w:bCs/>
          <w:noProof/>
          <w:sz w:val="24"/>
          <w:szCs w:val="24"/>
        </w:rPr>
        <w:t xml:space="preserve"> on State aid </w:t>
      </w:r>
      <w:r>
        <w:rPr>
          <w:rFonts w:ascii="Times New Roman" w:eastAsia="Calibri" w:hAnsi="Times New Roman" w:cs="Times New Roman"/>
          <w:noProof/>
          <w:sz w:val="24"/>
          <w:szCs w:val="24"/>
        </w:rPr>
        <w:t xml:space="preserve">is broadly in line with the EU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rPr>
        <w:t xml:space="preserve">and the SAA. The Law on State aid largely reflects Articles 107 and 108 TFEU. The implementing legislation is partially aligned with the EU </w:t>
      </w:r>
      <w:r>
        <w:rPr>
          <w:rFonts w:ascii="Times New Roman" w:eastAsia="Calibri" w:hAnsi="Times New Roman" w:cs="Times New Roman"/>
          <w:i/>
          <w:iCs/>
          <w:noProof/>
          <w:sz w:val="24"/>
          <w:szCs w:val="24"/>
        </w:rPr>
        <w:t xml:space="preserve">acquis </w:t>
      </w:r>
      <w:r>
        <w:rPr>
          <w:rFonts w:ascii="Times New Roman" w:eastAsia="Times New Roman" w:hAnsi="Times New Roman" w:cs="Times New Roman"/>
          <w:noProof/>
          <w:sz w:val="24"/>
          <w:szCs w:val="24"/>
        </w:rPr>
        <w:t xml:space="preserve">in some areas e.g. </w:t>
      </w:r>
      <w:r>
        <w:rPr>
          <w:rFonts w:ascii="Times New Roman" w:eastAsia="Calibri" w:hAnsi="Times New Roman" w:cs="Times New Roman"/>
          <w:noProof/>
          <w:sz w:val="24"/>
          <w:szCs w:val="24"/>
        </w:rPr>
        <w:t xml:space="preserve">the </w:t>
      </w:r>
      <w:bookmarkStart w:id="105" w:name="gber"/>
      <w:bookmarkEnd w:id="105"/>
      <w:r>
        <w:rPr>
          <w:rFonts w:ascii="Times New Roman" w:eastAsia="Calibri" w:hAnsi="Times New Roman" w:cs="Times New Roman"/>
          <w:noProof/>
          <w:sz w:val="24"/>
          <w:szCs w:val="24"/>
        </w:rPr>
        <w:t>General Block Exemption Regulation. Further alignment with EU implementing legislation</w:t>
      </w:r>
      <w:r>
        <w:rPr>
          <w:rFonts w:ascii="Times New Roman" w:eastAsia="Calibri" w:hAnsi="Times New Roman" w:cs="Times New Roman"/>
          <w:noProof/>
          <w:sz w:val="24"/>
          <w:szCs w:val="24"/>
        </w:rPr>
        <w:t xml:space="preserve"> on State aid control is needed.</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the </w:t>
      </w:r>
      <w:r>
        <w:rPr>
          <w:rFonts w:ascii="Times New Roman" w:eastAsia="Calibri" w:hAnsi="Times New Roman" w:cs="Times New Roman"/>
          <w:b/>
          <w:bCs/>
          <w:noProof/>
          <w:sz w:val="24"/>
          <w:szCs w:val="24"/>
        </w:rPr>
        <w:t>institutional framework</w:t>
      </w:r>
      <w:r>
        <w:rPr>
          <w:rFonts w:ascii="Times New Roman" w:eastAsia="Calibri" w:hAnsi="Times New Roman" w:cs="Times New Roman"/>
          <w:noProof/>
          <w:sz w:val="24"/>
          <w:szCs w:val="24"/>
        </w:rPr>
        <w:t xml:space="preserve">, the State Aid Commission (SAC) is responsible for implementing the Law on State aid. As MOFE (an aid-granting institution) continues to determine its organisational arrangements, the </w:t>
      </w:r>
      <w:r>
        <w:rPr>
          <w:rFonts w:ascii="Times New Roman" w:eastAsia="Calibri" w:hAnsi="Times New Roman" w:cs="Times New Roman"/>
          <w:noProof/>
          <w:sz w:val="24"/>
          <w:szCs w:val="24"/>
        </w:rPr>
        <w:t>SAC cannot be considered an operationally independent authority, as required by the SAA. Under the Law on State aid new aid measures must be notified to the SAC, which must find them compatible before they can be put in place. The SAC can order the recover</w:t>
      </w:r>
      <w:r>
        <w:rPr>
          <w:rFonts w:ascii="Times New Roman" w:eastAsia="Calibri" w:hAnsi="Times New Roman" w:cs="Times New Roman"/>
          <w:noProof/>
          <w:sz w:val="24"/>
          <w:szCs w:val="24"/>
        </w:rPr>
        <w:t>y of illegal and incompatible aid but has not done so to date. Its decisions are subject to court appeal.</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
          <w:bCs/>
          <w:noProof/>
          <w:sz w:val="24"/>
          <w:szCs w:val="24"/>
        </w:rPr>
        <w:t xml:space="preserve">enforcement capacity </w:t>
      </w:r>
      <w:r>
        <w:rPr>
          <w:rFonts w:ascii="Times New Roman" w:eastAsia="Times New Roman" w:hAnsi="Times New Roman" w:cs="Times New Roman"/>
          <w:noProof/>
          <w:sz w:val="24"/>
          <w:szCs w:val="24"/>
        </w:rPr>
        <w:t>of the SAC secretariat continues to raise serious concerns; it is currently insufficient and needs to be significantly streng</w:t>
      </w:r>
      <w:r>
        <w:rPr>
          <w:rFonts w:ascii="Times New Roman" w:eastAsia="Times New Roman" w:hAnsi="Times New Roman" w:cs="Times New Roman"/>
          <w:noProof/>
          <w:sz w:val="24"/>
          <w:szCs w:val="24"/>
        </w:rPr>
        <w:t xml:space="preserve">thened. It has yet to be shown that the Law on State aid is being </w:t>
      </w:r>
      <w:r>
        <w:rPr>
          <w:rFonts w:ascii="Times New Roman" w:eastAsia="Times New Roman" w:hAnsi="Times New Roman" w:cs="Times New Roman"/>
          <w:b/>
          <w:noProof/>
          <w:sz w:val="24"/>
          <w:szCs w:val="24"/>
        </w:rPr>
        <w:t xml:space="preserve">implemented </w:t>
      </w:r>
      <w:r>
        <w:rPr>
          <w:rFonts w:ascii="Times New Roman" w:eastAsia="Times New Roman" w:hAnsi="Times New Roman" w:cs="Times New Roman"/>
          <w:noProof/>
          <w:sz w:val="24"/>
          <w:szCs w:val="24"/>
        </w:rPr>
        <w:t xml:space="preserve">effectively. The track record on State aid control is very poor. In the reporting period, the SAC adopted seven decisions on State aid schemes </w:t>
      </w:r>
      <w:r>
        <w:rPr>
          <w:rFonts w:ascii="Times New Roman" w:eastAsia="Calibri" w:hAnsi="Times New Roman" w:cs="Times New Roman"/>
          <w:noProof/>
          <w:sz w:val="24"/>
          <w:szCs w:val="24"/>
        </w:rPr>
        <w:t>notified by aid grantors. No negati</w:t>
      </w:r>
      <w:r>
        <w:rPr>
          <w:rFonts w:ascii="Times New Roman" w:eastAsia="Calibri" w:hAnsi="Times New Roman" w:cs="Times New Roman"/>
          <w:noProof/>
          <w:sz w:val="24"/>
          <w:szCs w:val="24"/>
        </w:rPr>
        <w:t xml:space="preserve">ve or recovery decision was taken. The final draft of the 2019-2022 PFM strategy sets the objective of strengthening effectiveness of State Aid. </w:t>
      </w:r>
      <w:r>
        <w:rPr>
          <w:rFonts w:ascii="Times New Roman" w:eastAsia="Times New Roman" w:hAnsi="Times New Roman" w:cs="Times New Roman"/>
          <w:noProof/>
          <w:sz w:val="24"/>
          <w:szCs w:val="24"/>
        </w:rPr>
        <w:t>It is also important to expand the SAC’s role in advising line ministries and regional and local authorities. I</w:t>
      </w:r>
      <w:r>
        <w:rPr>
          <w:rFonts w:ascii="Times New Roman" w:eastAsia="Times New Roman" w:hAnsi="Times New Roman" w:cs="Times New Roman"/>
          <w:noProof/>
          <w:sz w:val="24"/>
          <w:szCs w:val="24"/>
        </w:rPr>
        <w:t>mplementation of the State aid rules in large projects involving Albania and other countries should be monitored more closely. Advocacy among aid grantors must be stepped up to ensure prior notification of aid measures to the SAC.</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Liberalisation</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Law on</w:t>
      </w:r>
      <w:r>
        <w:rPr>
          <w:rFonts w:ascii="Times New Roman" w:eastAsia="Calibri" w:hAnsi="Times New Roman" w:cs="Times New Roman"/>
          <w:noProof/>
          <w:sz w:val="24"/>
          <w:szCs w:val="24"/>
        </w:rPr>
        <w:t xml:space="preserve"> State aid applies to all legal and natural persons perform an economic activity. There has been no investigation of State aid for public undertakings or undertakings with special or exclusive rights.</w:t>
      </w:r>
      <w:bookmarkEnd w:id="99"/>
      <w:bookmarkEnd w:id="100"/>
      <w:bookmarkEnd w:id="101"/>
      <w:bookmarkEnd w:id="102"/>
      <w:bookmarkEnd w:id="103"/>
      <w:bookmarkEnd w:id="104"/>
    </w:p>
    <w:p w:rsidR="00EE1719" w:rsidRDefault="000E39BA">
      <w:pPr>
        <w:pStyle w:val="Heading2"/>
        <w:rPr>
          <w:rStyle w:val="Heading2Char"/>
          <w:b/>
          <w:bCs/>
        </w:rPr>
      </w:pPr>
      <w:bookmarkStart w:id="106" w:name="_Toc52745522"/>
      <w:r>
        <w:rPr>
          <w:rStyle w:val="Heading2Char"/>
        </w:rPr>
        <w:t>5.9.</w:t>
      </w:r>
      <w:r>
        <w:rPr>
          <w:rStyle w:val="Heading2Char"/>
          <w:b/>
          <w:bCs/>
        </w:rPr>
        <w:tab/>
        <w:t>Chapter 9: Financial services</w:t>
      </w:r>
      <w:bookmarkEnd w:id="106"/>
    </w:p>
    <w:p w:rsidR="00EE1719" w:rsidRDefault="000E39BA">
      <w:pPr>
        <w:spacing w:after="120" w:line="240" w:lineRule="auto"/>
        <w:jc w:val="both"/>
        <w:rPr>
          <w:rFonts w:ascii="Times New Roman" w:eastAsia="Times New Roman" w:hAnsi="Times New Roman" w:cs="Times New Roman"/>
          <w:i/>
          <w:noProof/>
          <w:sz w:val="24"/>
          <w:szCs w:val="24"/>
        </w:rPr>
      </w:pPr>
      <w:bookmarkStart w:id="107" w:name="_Toc510686864"/>
      <w:r>
        <w:rPr>
          <w:rFonts w:ascii="Times New Roman" w:eastAsia="Times New Roman" w:hAnsi="Times New Roman" w:cs="Times New Roman"/>
          <w:i/>
          <w:noProof/>
          <w:sz w:val="24"/>
          <w:szCs w:val="24"/>
        </w:rPr>
        <w:t>EU rules aim at ensu</w:t>
      </w:r>
      <w:r>
        <w:rPr>
          <w:rFonts w:ascii="Times New Roman" w:eastAsia="Times New Roman" w:hAnsi="Times New Roman" w:cs="Times New Roman"/>
          <w:i/>
          <w:noProof/>
          <w:sz w:val="24"/>
          <w:szCs w:val="24"/>
        </w:rPr>
        <w:t>ring fair competition between and the stability of financial institutions, namely banking, insurance, supplementary pensions, investment services and securities markets. They include rules on authorisation, operation and supervision of these institutions.</w:t>
      </w:r>
    </w:p>
    <w:p w:rsidR="00EE1719" w:rsidRDefault="000E39BA">
      <w:pPr>
        <w:pBdr>
          <w:top w:val="single" w:sz="4" w:space="2" w:color="auto"/>
          <w:left w:val="single" w:sz="4" w:space="4" w:color="auto"/>
          <w:bottom w:val="single" w:sz="4" w:space="2" w:color="auto"/>
          <w:right w:val="single" w:sz="4" w:space="4" w:color="auto"/>
        </w:pBdr>
        <w:shd w:val="clear" w:color="auto" w:fill="D9D9D9"/>
        <w:autoSpaceDE w:val="0"/>
        <w:autoSpaceDN w:val="0"/>
        <w:adjustRightInd w:val="0"/>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Albania is </w:t>
      </w:r>
      <w:r>
        <w:rPr>
          <w:rFonts w:ascii="Times New Roman" w:eastAsia="Malgun Gothic" w:hAnsi="Times New Roman" w:cs="Times New Roman"/>
          <w:b/>
          <w:noProof/>
          <w:sz w:val="24"/>
          <w:szCs w:val="24"/>
        </w:rPr>
        <w:t>moderately prepared</w:t>
      </w:r>
      <w:r>
        <w:rPr>
          <w:rFonts w:ascii="Times New Roman" w:eastAsia="Malgun Gothic" w:hAnsi="Times New Roman" w:cs="Times New Roman"/>
          <w:noProof/>
          <w:sz w:val="24"/>
          <w:szCs w:val="24"/>
        </w:rPr>
        <w:t xml:space="preserve"> in the area of financial services. </w:t>
      </w:r>
      <w:r>
        <w:rPr>
          <w:rFonts w:ascii="Times New Roman" w:eastAsia="Malgun Gothic" w:hAnsi="Times New Roman" w:cs="Times New Roman"/>
          <w:b/>
          <w:noProof/>
          <w:sz w:val="24"/>
          <w:szCs w:val="24"/>
        </w:rPr>
        <w:t>Some progress</w:t>
      </w:r>
      <w:r>
        <w:rPr>
          <w:rFonts w:ascii="Times New Roman" w:eastAsia="Malgun Gothic" w:hAnsi="Times New Roman" w:cs="Times New Roman"/>
          <w:noProof/>
          <w:sz w:val="24"/>
          <w:szCs w:val="24"/>
        </w:rPr>
        <w:t xml:space="preserve"> was made in addressing banking supervision and in further aligning the legislation with regards to the bank recovery and resolution. There was limited progress on the finalisat</w:t>
      </w:r>
      <w:r>
        <w:rPr>
          <w:rFonts w:ascii="Times New Roman" w:eastAsia="Malgun Gothic" w:hAnsi="Times New Roman" w:cs="Times New Roman"/>
          <w:noProof/>
          <w:sz w:val="24"/>
          <w:szCs w:val="24"/>
        </w:rPr>
        <w:t>ion of the implementation of the non-performing loans stategy and no progress on the compulsary insurance in the transport sector.</w:t>
      </w:r>
    </w:p>
    <w:p w:rsidR="00EE1719" w:rsidRDefault="000E39BA">
      <w:pPr>
        <w:pBdr>
          <w:top w:val="single" w:sz="4" w:space="2" w:color="auto"/>
          <w:left w:val="single" w:sz="4" w:space="4" w:color="auto"/>
          <w:bottom w:val="single" w:sz="4" w:space="2" w:color="auto"/>
          <w:right w:val="single" w:sz="4" w:space="4" w:color="auto"/>
        </w:pBdr>
        <w:shd w:val="clear" w:color="auto" w:fill="D9D9D9"/>
        <w:autoSpaceDE w:val="0"/>
        <w:autoSpaceDN w:val="0"/>
        <w:adjustRightInd w:val="0"/>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In the coming year, Albania should:</w:t>
      </w:r>
    </w:p>
    <w:p w:rsidR="00EE1719" w:rsidRDefault="000E39BA">
      <w:pPr>
        <w:numPr>
          <w:ilvl w:val="0"/>
          <w:numId w:val="45"/>
        </w:numPr>
        <w:pBdr>
          <w:top w:val="single" w:sz="4" w:space="2" w:color="auto"/>
          <w:left w:val="single" w:sz="4" w:space="4" w:color="auto"/>
          <w:bottom w:val="single" w:sz="4" w:space="2" w:color="auto"/>
          <w:right w:val="single" w:sz="4" w:space="4" w:color="auto"/>
        </w:pBdr>
        <w:shd w:val="clear" w:color="auto" w:fill="D9D9D9"/>
        <w:autoSpaceDE w:val="0"/>
        <w:autoSpaceDN w:val="0"/>
        <w:adjustRightInd w:val="0"/>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align its legislation with the EU capital requirements framework corresponding to Basel III and continue with the implementation of </w:t>
      </w:r>
      <w:r>
        <w:rPr>
          <w:rFonts w:ascii="Times New Roman" w:eastAsia="Times New Roman" w:hAnsi="Times New Roman" w:cs="Times New Roman"/>
          <w:noProof/>
          <w:sz w:val="24"/>
          <w:szCs w:val="24"/>
        </w:rPr>
        <w:t>macro-prudential policy and the resolution framework;</w:t>
      </w:r>
    </w:p>
    <w:p w:rsidR="00EE1719" w:rsidRDefault="000E39BA">
      <w:pPr>
        <w:numPr>
          <w:ilvl w:val="0"/>
          <w:numId w:val="45"/>
        </w:numPr>
        <w:pBdr>
          <w:top w:val="single" w:sz="4" w:space="2" w:color="auto"/>
          <w:left w:val="single" w:sz="4" w:space="4" w:color="auto"/>
          <w:bottom w:val="single" w:sz="4" w:space="2" w:color="auto"/>
          <w:right w:val="single" w:sz="4" w:space="4" w:color="auto"/>
        </w:pBdr>
        <w:shd w:val="clear" w:color="auto" w:fill="D9D9D9"/>
        <w:autoSpaceDE w:val="0"/>
        <w:autoSpaceDN w:val="0"/>
        <w:adjustRightInd w:val="0"/>
        <w:spacing w:after="120" w:line="240" w:lineRule="auto"/>
        <w:jc w:val="both"/>
        <w:rPr>
          <w:rFonts w:ascii="Times New Roman" w:eastAsia="Malgun Gothic" w:hAnsi="Times New Roman" w:cs="Times New Roman"/>
          <w:noProof/>
          <w:sz w:val="24"/>
          <w:szCs w:val="24"/>
        </w:rPr>
      </w:pPr>
      <w:r>
        <w:rPr>
          <w:rFonts w:ascii="Times New Roman" w:eastAsia="Calibri" w:hAnsi="Times New Roman" w:cs="Times New Roman"/>
          <w:noProof/>
          <w:sz w:val="24"/>
          <w:szCs w:val="24"/>
        </w:rPr>
        <w:t>ensure the full implementation of the non-performing loan resolution s</w:t>
      </w:r>
      <w:r>
        <w:rPr>
          <w:rFonts w:ascii="Times New Roman" w:eastAsia="Calibri" w:hAnsi="Times New Roman" w:cs="Times New Roman"/>
          <w:noProof/>
          <w:sz w:val="24"/>
          <w:szCs w:val="24"/>
        </w:rPr>
        <w:t>trategy by all relevant actors;</w:t>
      </w:r>
    </w:p>
    <w:p w:rsidR="00EE1719" w:rsidRDefault="000E39BA">
      <w:pPr>
        <w:numPr>
          <w:ilvl w:val="0"/>
          <w:numId w:val="45"/>
        </w:numPr>
        <w:pBdr>
          <w:top w:val="single" w:sz="4" w:space="2" w:color="auto"/>
          <w:left w:val="single" w:sz="4" w:space="4" w:color="auto"/>
          <w:bottom w:val="single" w:sz="4" w:space="2" w:color="auto"/>
          <w:right w:val="single" w:sz="4" w:space="4" w:color="auto"/>
        </w:pBdr>
        <w:shd w:val="clear" w:color="auto" w:fill="D9D9D9"/>
        <w:autoSpaceDE w:val="0"/>
        <w:autoSpaceDN w:val="0"/>
        <w:adjustRightInd w:val="0"/>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accelerate the adoption of the amendments to the Law on compulsory insurance in the transport sector.</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Regarding </w:t>
      </w:r>
      <w:r>
        <w:rPr>
          <w:rFonts w:ascii="Times New Roman" w:eastAsia="Times New Roman" w:hAnsi="Times New Roman" w:cs="Times New Roman"/>
          <w:b/>
          <w:noProof/>
          <w:sz w:val="24"/>
          <w:szCs w:val="24"/>
        </w:rPr>
        <w:t>banks and financial conglomerates</w:t>
      </w:r>
      <w:r>
        <w:rPr>
          <w:rFonts w:ascii="Times New Roman" w:eastAsia="Times New Roman" w:hAnsi="Times New Roman" w:cs="Times New Roman"/>
          <w:noProof/>
          <w:sz w:val="24"/>
          <w:szCs w:val="24"/>
        </w:rPr>
        <w:t xml:space="preserve">, the Bank of Albania (BoA) has continued to align the banking regulation with Basel III, notably the liquidity coverage ratio and the macro-prudential framework. There was further </w:t>
      </w:r>
      <w:r>
        <w:rPr>
          <w:rFonts w:ascii="Times New Roman" w:hAnsi="Times New Roman" w:cs="Times New Roman"/>
          <w:noProof/>
          <w:sz w:val="24"/>
          <w:szCs w:val="24"/>
        </w:rPr>
        <w:t>progress made by the Albanian regulator during 2019 in approving a number o</w:t>
      </w:r>
      <w:r>
        <w:rPr>
          <w:rFonts w:ascii="Times New Roman" w:hAnsi="Times New Roman" w:cs="Times New Roman"/>
          <w:noProof/>
          <w:sz w:val="24"/>
          <w:szCs w:val="24"/>
        </w:rPr>
        <w:t xml:space="preserve">f regulations and progressing on finalising the rulebook for recovery and resolution of banks. </w:t>
      </w:r>
      <w:r>
        <w:rPr>
          <w:rFonts w:ascii="Times New Roman" w:eastAsia="Times New Roman" w:hAnsi="Times New Roman" w:cs="Times New Roman"/>
          <w:noProof/>
          <w:sz w:val="24"/>
          <w:szCs w:val="24"/>
        </w:rPr>
        <w:t>Regarding the state of play of the strategy on non-performing loans, in July 2019 a new regulation on out-of-court treatment of distressed borrowers by banks was</w:t>
      </w:r>
      <w:r>
        <w:rPr>
          <w:rFonts w:ascii="Times New Roman" w:eastAsia="Times New Roman" w:hAnsi="Times New Roman" w:cs="Times New Roman"/>
          <w:noProof/>
          <w:sz w:val="24"/>
          <w:szCs w:val="24"/>
        </w:rPr>
        <w:t xml:space="preserve"> adopted, aiming at a more prudential approach towards restructured loans, including their classification and provisioning. In October 2019, all the banks signed the framework agreement on out-of-court restructuring. The non-performing loan ratio continued</w:t>
      </w:r>
      <w:r>
        <w:rPr>
          <w:rFonts w:ascii="Times New Roman" w:eastAsia="Times New Roman" w:hAnsi="Times New Roman" w:cs="Times New Roman"/>
          <w:noProof/>
          <w:sz w:val="24"/>
          <w:szCs w:val="24"/>
        </w:rPr>
        <w:t xml:space="preserve"> to decrease from 11.08% in December 2018 to 8.37% in December 2019, mainly due to write</w:t>
      </w:r>
      <w:r>
        <w:rPr>
          <w:rFonts w:ascii="Times New Roman" w:eastAsia="Times New Roman" w:hAnsi="Times New Roman" w:cs="Times New Roman"/>
          <w:noProof/>
          <w:sz w:val="24"/>
          <w:szCs w:val="24"/>
        </w:rPr>
        <w:noBreakHyphen/>
        <w:t>offs and some loan restructuring. Further actions with regard to credit scoring will be needed. Full implementation of the Non-performing Loans Resolution Strategy req</w:t>
      </w:r>
      <w:r>
        <w:rPr>
          <w:rFonts w:ascii="Times New Roman" w:eastAsia="Times New Roman" w:hAnsi="Times New Roman" w:cs="Times New Roman"/>
          <w:noProof/>
          <w:sz w:val="24"/>
          <w:szCs w:val="24"/>
        </w:rPr>
        <w:t xml:space="preserve">uires the further improvement of the credit registry, as well as the full implementation of the bankruptcy law. Part of the collateral execution system is currently the subject of court proceedings, which reduces its efficiency.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rPr>
        <w:t>In 2019, the Supervisory C</w:t>
      </w:r>
      <w:r>
        <w:rPr>
          <w:rFonts w:ascii="Times New Roman" w:eastAsia="Times New Roman" w:hAnsi="Times New Roman" w:cs="Times New Roman"/>
          <w:noProof/>
          <w:sz w:val="24"/>
          <w:szCs w:val="24"/>
        </w:rPr>
        <w:t>ouncil of BoA adopted the Medium Term Development Strategy 2019-2021, with specific objectivities in the field of supervision of the entities that conduct banking and/or financial activities. Albania has a system of identification of systemically important</w:t>
      </w:r>
      <w:r>
        <w:rPr>
          <w:rFonts w:ascii="Times New Roman" w:eastAsia="Times New Roman" w:hAnsi="Times New Roman" w:cs="Times New Roman"/>
          <w:noProof/>
          <w:sz w:val="24"/>
          <w:szCs w:val="24"/>
        </w:rPr>
        <w:t xml:space="preserve"> banks similar to EU practice. BoA</w:t>
      </w:r>
      <w:r>
        <w:rPr>
          <w:rFonts w:ascii="Times New Roman" w:hAnsi="Times New Roman" w:cs="Times New Roman"/>
          <w:noProof/>
          <w:sz w:val="24"/>
          <w:szCs w:val="24"/>
        </w:rPr>
        <w:t xml:space="preserve"> approved the investment policy for the administration of the financial assets of the Resolution Fund.</w:t>
      </w:r>
      <w:r>
        <w:rPr>
          <w:rFonts w:ascii="Times New Roman" w:eastAsia="Calibri" w:hAnsi="Times New Roman" w:cs="Times New Roman"/>
          <w:noProof/>
          <w:sz w:val="24"/>
          <w:szCs w:val="24"/>
        </w:rPr>
        <w:t xml:space="preserve"> In April 2020, the Supervisory Board amended the regulations on capital adequacy ratio and on</w:t>
      </w:r>
      <w:r>
        <w:rPr>
          <w:rFonts w:ascii="Times New Roman" w:hAnsi="Times New Roman" w:cs="Times New Roman"/>
          <w:bCs/>
          <w:noProof/>
          <w:sz w:val="24"/>
          <w:szCs w:val="24"/>
        </w:rPr>
        <w:t xml:space="preserve"> risk management from larg</w:t>
      </w:r>
      <w:r>
        <w:rPr>
          <w:rFonts w:ascii="Times New Roman" w:hAnsi="Times New Roman" w:cs="Times New Roman"/>
          <w:bCs/>
          <w:noProof/>
          <w:sz w:val="24"/>
          <w:szCs w:val="24"/>
        </w:rPr>
        <w:t xml:space="preserve">e exposures of banks to allow preferential treatment of banks’ exposures in Albanian government debt securities in foreign currency, which were issued later during April.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 xml:space="preserve">In response to the COVID-19 emergency, </w:t>
      </w:r>
      <w:r>
        <w:rPr>
          <w:rFonts w:ascii="Times New Roman" w:hAnsi="Times New Roman" w:cs="Times New Roman"/>
          <w:noProof/>
          <w:sz w:val="24"/>
          <w:szCs w:val="24"/>
        </w:rPr>
        <w:t xml:space="preserve">BoA announced a temporary </w:t>
      </w:r>
      <w:hyperlink r:id="rId22" w:tgtFrame="_blank" w:history="1">
        <w:r>
          <w:rPr>
            <w:rFonts w:ascii="Times New Roman" w:hAnsi="Times New Roman" w:cs="Times New Roman"/>
            <w:noProof/>
            <w:sz w:val="24"/>
            <w:szCs w:val="24"/>
          </w:rPr>
          <w:t xml:space="preserve">change on the provisioning requirements </w:t>
        </w:r>
      </w:hyperlink>
      <w:r>
        <w:rPr>
          <w:rFonts w:ascii="Times New Roman" w:hAnsi="Times New Roman" w:cs="Times New Roman"/>
          <w:noProof/>
          <w:sz w:val="24"/>
          <w:szCs w:val="24"/>
        </w:rPr>
        <w:t>in March 2020, enabling clients to ask banks and other financia</w:t>
      </w:r>
      <w:r>
        <w:rPr>
          <w:rFonts w:ascii="Times New Roman" w:hAnsi="Times New Roman" w:cs="Times New Roman"/>
          <w:noProof/>
          <w:sz w:val="24"/>
          <w:szCs w:val="24"/>
        </w:rPr>
        <w:t>l institutions to defer loan instalments without penalties. It suspended the requirements for classification and provision of loans until end of August 2020, and also introduced relaxation measures on loan classification and provisioning for loans restruct</w:t>
      </w:r>
      <w:r>
        <w:rPr>
          <w:rFonts w:ascii="Times New Roman" w:hAnsi="Times New Roman" w:cs="Times New Roman"/>
          <w:noProof/>
          <w:sz w:val="24"/>
          <w:szCs w:val="24"/>
        </w:rPr>
        <w:t xml:space="preserve">ured between 12 March and December 2020. BoA also temporarily </w:t>
      </w:r>
      <w:hyperlink r:id="rId23" w:history="1">
        <w:r>
          <w:rPr>
            <w:rFonts w:ascii="Times New Roman" w:hAnsi="Times New Roman" w:cs="Times New Roman"/>
            <w:noProof/>
            <w:sz w:val="24"/>
            <w:szCs w:val="24"/>
          </w:rPr>
          <w:t xml:space="preserve">suspended the dividend distribution </w:t>
        </w:r>
      </w:hyperlink>
      <w:r>
        <w:rPr>
          <w:rFonts w:ascii="Times New Roman" w:hAnsi="Times New Roman" w:cs="Times New Roman"/>
          <w:noProof/>
          <w:sz w:val="24"/>
          <w:szCs w:val="24"/>
        </w:rPr>
        <w:t>for 2019 a</w:t>
      </w:r>
      <w:r>
        <w:rPr>
          <w:rFonts w:ascii="Times New Roman" w:hAnsi="Times New Roman" w:cs="Times New Roman"/>
          <w:noProof/>
          <w:sz w:val="24"/>
          <w:szCs w:val="24"/>
        </w:rPr>
        <w:t xml:space="preserve">nd 2020 for banks in order to boost capital and support lending. The implementation deadline of the regulation “On out-of-court treatment of distressed borrowers by banks” has been postponed until January 2022. BoA also </w:t>
      </w:r>
      <w:r>
        <w:rPr>
          <w:rFonts w:ascii="Times New Roman" w:eastAsia="Times New Roman" w:hAnsi="Times New Roman" w:cs="Times New Roman"/>
          <w:noProof/>
          <w:sz w:val="24"/>
          <w:szCs w:val="24"/>
        </w:rPr>
        <w:t xml:space="preserve">postponed by one year, </w:t>
      </w:r>
      <w:r>
        <w:rPr>
          <w:rFonts w:ascii="Times New Roman" w:eastAsia="Times New Roman" w:hAnsi="Times New Roman" w:cs="Times New Roman"/>
          <w:bCs/>
          <w:noProof/>
          <w:sz w:val="24"/>
          <w:szCs w:val="24"/>
        </w:rPr>
        <w:t>until January</w:t>
      </w:r>
      <w:r>
        <w:rPr>
          <w:rFonts w:ascii="Times New Roman" w:eastAsia="Times New Roman" w:hAnsi="Times New Roman" w:cs="Times New Roman"/>
          <w:bCs/>
          <w:noProof/>
          <w:sz w:val="24"/>
          <w:szCs w:val="24"/>
        </w:rPr>
        <w:t xml:space="preserve"> 2022, </w:t>
      </w:r>
      <w:r>
        <w:rPr>
          <w:rFonts w:ascii="Times New Roman" w:eastAsia="Times New Roman" w:hAnsi="Times New Roman" w:cs="Times New Roman"/>
          <w:noProof/>
          <w:sz w:val="24"/>
          <w:szCs w:val="24"/>
        </w:rPr>
        <w:t>the entry into force of tighter requirements for the classification and provision of restructured loans.</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bCs/>
          <w:noProof/>
          <w:sz w:val="24"/>
          <w:szCs w:val="24"/>
        </w:rPr>
        <w:t xml:space="preserve">In the area of </w:t>
      </w:r>
      <w:r>
        <w:rPr>
          <w:rFonts w:ascii="Times New Roman" w:eastAsia="Calibri" w:hAnsi="Times New Roman" w:cs="Times New Roman"/>
          <w:b/>
          <w:bCs/>
          <w:noProof/>
          <w:sz w:val="24"/>
          <w:szCs w:val="24"/>
        </w:rPr>
        <w:t>insurance and occupational pensions</w:t>
      </w:r>
      <w:r>
        <w:rPr>
          <w:rFonts w:ascii="Times New Roman" w:eastAsia="Calibri" w:hAnsi="Times New Roman" w:cs="Times New Roman"/>
          <w:bCs/>
          <w:noProof/>
          <w:sz w:val="24"/>
          <w:szCs w:val="24"/>
        </w:rPr>
        <w:t xml:space="preserve">, </w:t>
      </w:r>
      <w:r>
        <w:rPr>
          <w:rFonts w:ascii="Times New Roman" w:eastAsia="Calibri" w:hAnsi="Times New Roman" w:cs="Times New Roman"/>
          <w:noProof/>
          <w:sz w:val="24"/>
          <w:szCs w:val="24"/>
        </w:rPr>
        <w:t>amendments to the Law on compulsory insurance in the transport sector still need to be adopt</w:t>
      </w:r>
      <w:r>
        <w:rPr>
          <w:rFonts w:ascii="Times New Roman" w:eastAsia="Calibri" w:hAnsi="Times New Roman" w:cs="Times New Roman"/>
          <w:noProof/>
          <w:sz w:val="24"/>
          <w:szCs w:val="24"/>
        </w:rPr>
        <w:t xml:space="preserve">ed. </w:t>
      </w:r>
      <w:r>
        <w:rPr>
          <w:rFonts w:ascii="Times New Roman" w:eastAsia="Times New Roman" w:hAnsi="Times New Roman" w:cs="Times New Roman"/>
          <w:noProof/>
          <w:sz w:val="24"/>
          <w:szCs w:val="24"/>
        </w:rPr>
        <w:t xml:space="preserve">Implementation of the Strategy on consumers and investors' confidence in the supervised markets continued through </w:t>
      </w:r>
      <w:r>
        <w:rPr>
          <w:rFonts w:ascii="Times New Roman" w:eastAsia="Calibri" w:hAnsi="Times New Roman" w:cs="Times New Roman"/>
          <w:noProof/>
          <w:sz w:val="24"/>
          <w:szCs w:val="24"/>
        </w:rPr>
        <w:t>activities to improve public financial education and consumer awareness. The Albanian Financial Supervisory Authority (AFSA) is a member w</w:t>
      </w:r>
      <w:r>
        <w:rPr>
          <w:rFonts w:ascii="Times New Roman" w:eastAsia="Calibri" w:hAnsi="Times New Roman" w:cs="Times New Roman"/>
          <w:noProof/>
          <w:sz w:val="24"/>
          <w:szCs w:val="24"/>
        </w:rPr>
        <w:t xml:space="preserve">ith full rights of international organisations of regulators for insurance, securities and pension funds. </w:t>
      </w:r>
      <w:r>
        <w:rPr>
          <w:rFonts w:ascii="Times New Roman" w:eastAsia="Times New Roman" w:hAnsi="Times New Roman" w:cs="Times New Roman"/>
          <w:noProof/>
          <w:sz w:val="24"/>
          <w:szCs w:val="24"/>
        </w:rPr>
        <w:t xml:space="preserve">Following the 26 November earthquake, the Albanian authorities drafted legal provisions to allow for the establishment of a national insurance agency </w:t>
      </w:r>
      <w:r>
        <w:rPr>
          <w:rFonts w:ascii="Times New Roman" w:eastAsia="Times New Roman" w:hAnsi="Times New Roman" w:cs="Times New Roman"/>
          <w:noProof/>
          <w:sz w:val="24"/>
          <w:szCs w:val="24"/>
        </w:rPr>
        <w:t xml:space="preserve">on earthquake and the introduction of a mandatory insurance for buildings. </w:t>
      </w:r>
    </w:p>
    <w:p w:rsidR="00EE1719" w:rsidRDefault="000E39BA">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In the area of </w:t>
      </w:r>
      <w:r>
        <w:rPr>
          <w:rFonts w:ascii="Times New Roman" w:eastAsia="Times New Roman" w:hAnsi="Times New Roman" w:cs="Times New Roman"/>
          <w:b/>
          <w:noProof/>
          <w:sz w:val="24"/>
          <w:szCs w:val="24"/>
        </w:rPr>
        <w:t>financial market infrastructure</w:t>
      </w:r>
      <w:r>
        <w:rPr>
          <w:rFonts w:ascii="Times New Roman" w:eastAsia="Times New Roman" w:hAnsi="Times New Roman" w:cs="Times New Roman"/>
          <w:noProof/>
          <w:sz w:val="24"/>
          <w:szCs w:val="24"/>
        </w:rPr>
        <w:t>, the Albanian Stock Exchange, a private entity, continues to operate with government securities only, while the public stock exchange</w:t>
      </w:r>
      <w:r>
        <w:rPr>
          <w:rFonts w:ascii="Times New Roman" w:eastAsia="Times New Roman" w:hAnsi="Times New Roman" w:cs="Times New Roman"/>
          <w:noProof/>
          <w:sz w:val="24"/>
          <w:szCs w:val="24"/>
        </w:rPr>
        <w:t xml:space="preserve"> remains suspended. A Central Securities Depository (AFISAR) is in place, which supports the process of settlement and registration of Government securities. It is operated by BoA,</w:t>
      </w:r>
      <w:r>
        <w:rPr>
          <w:rFonts w:ascii="Times New Roman" w:eastAsia="Calibri" w:hAnsi="Times New Roman" w:cs="Times New Roman"/>
          <w:noProof/>
          <w:sz w:val="24"/>
          <w:szCs w:val="24"/>
          <w:shd w:val="clear" w:color="auto" w:fill="FFFFFF"/>
        </w:rPr>
        <w:t xml:space="preserve"> while the settlement of non-government securities is enabled by the </w:t>
      </w:r>
      <w:r>
        <w:rPr>
          <w:rFonts w:ascii="Times New Roman" w:eastAsia="Times New Roman" w:hAnsi="Times New Roman" w:cs="Times New Roman"/>
          <w:noProof/>
          <w:sz w:val="24"/>
          <w:szCs w:val="24"/>
        </w:rPr>
        <w:t>Albania</w:t>
      </w:r>
      <w:r>
        <w:rPr>
          <w:rFonts w:ascii="Times New Roman" w:eastAsia="Times New Roman" w:hAnsi="Times New Roman" w:cs="Times New Roman"/>
          <w:noProof/>
          <w:sz w:val="24"/>
          <w:szCs w:val="24"/>
        </w:rPr>
        <w:t xml:space="preserve">n Securities Registry, </w:t>
      </w:r>
      <w:r>
        <w:rPr>
          <w:rFonts w:ascii="Times New Roman" w:eastAsia="Calibri" w:hAnsi="Times New Roman" w:cs="Times New Roman"/>
          <w:noProof/>
          <w:sz w:val="24"/>
          <w:szCs w:val="24"/>
          <w:shd w:val="clear" w:color="auto" w:fill="FFFFFF"/>
        </w:rPr>
        <w:t>a private company, which since December 2019 fully operates as a registrar and a clearing and settlement system.</w:t>
      </w:r>
      <w:r>
        <w:rPr>
          <w:rFonts w:ascii="Times New Roman" w:eastAsia="Times New Roman" w:hAnsi="Times New Roman" w:cs="Times New Roman"/>
          <w:noProof/>
          <w:sz w:val="24"/>
          <w:szCs w:val="24"/>
        </w:rPr>
        <w:t xml:space="preserve"> </w:t>
      </w:r>
      <w:r>
        <w:rPr>
          <w:rFonts w:ascii="Times New Roman" w:eastAsia="Calibri" w:hAnsi="Times New Roman" w:cs="Times New Roman"/>
          <w:noProof/>
          <w:sz w:val="24"/>
          <w:szCs w:val="24"/>
          <w:shd w:val="clear" w:color="auto" w:fill="FFFFFF"/>
        </w:rPr>
        <w:t xml:space="preserve">According to the agreement between the Bank of Albania and the Albanian Financial Supervisory Authority, </w:t>
      </w:r>
      <w:r>
        <w:rPr>
          <w:rFonts w:ascii="Times New Roman" w:eastAsia="Calibri" w:hAnsi="Times New Roman" w:cs="Times New Roman"/>
          <w:noProof/>
          <w:sz w:val="24"/>
          <w:szCs w:val="24"/>
        </w:rPr>
        <w:t>BoA is responsi</w:t>
      </w:r>
      <w:r>
        <w:rPr>
          <w:rFonts w:ascii="Times New Roman" w:eastAsia="Calibri" w:hAnsi="Times New Roman" w:cs="Times New Roman"/>
          <w:noProof/>
          <w:sz w:val="24"/>
          <w:szCs w:val="24"/>
        </w:rPr>
        <w:t xml:space="preserve">ble for minimising the systemic risk, while AFSA is responsible for investor protection. </w:t>
      </w:r>
      <w:r>
        <w:rPr>
          <w:rFonts w:ascii="Times New Roman" w:eastAsia="Times New Roman" w:hAnsi="Times New Roman" w:cs="Times New Roman"/>
          <w:noProof/>
          <w:sz w:val="24"/>
          <w:szCs w:val="24"/>
        </w:rPr>
        <w:t xml:space="preserve">The expiry period of the privatisation vouchers has been extended until December 2020. The Law </w:t>
      </w:r>
      <w:r>
        <w:rPr>
          <w:rFonts w:ascii="Times New Roman" w:hAnsi="Times New Roman" w:cs="Times New Roman"/>
          <w:noProof/>
          <w:sz w:val="24"/>
          <w:szCs w:val="24"/>
        </w:rPr>
        <w:t>on collective investments was adopted in April 2020.  The law on capital</w:t>
      </w:r>
      <w:r>
        <w:rPr>
          <w:rFonts w:ascii="Times New Roman" w:hAnsi="Times New Roman" w:cs="Times New Roman"/>
          <w:noProof/>
          <w:sz w:val="24"/>
          <w:szCs w:val="24"/>
        </w:rPr>
        <w:t xml:space="preserve"> markets was adopted in May 2020 and will enter into force on 1 September 2021. These laws partially align Albania’s framework with MiFID II, the transparency directive, the market abuse regulation, the prospectus regulation, the regulation on settlement a</w:t>
      </w:r>
      <w:r>
        <w:rPr>
          <w:rFonts w:ascii="Times New Roman" w:hAnsi="Times New Roman" w:cs="Times New Roman"/>
          <w:noProof/>
          <w:sz w:val="24"/>
          <w:szCs w:val="24"/>
        </w:rPr>
        <w:t xml:space="preserve">nd central securities depositaries (capital markets law) and the directives on Undertakings for Collective Investments in Transferable Securities and </w:t>
      </w:r>
      <w:r>
        <w:rPr>
          <w:rFonts w:ascii="Times New Roman" w:hAnsi="Times New Roman" w:cs="Times New Roman"/>
          <w:iCs/>
          <w:noProof/>
          <w:sz w:val="24"/>
          <w:szCs w:val="24"/>
        </w:rPr>
        <w:t xml:space="preserve">Alternative Investment Fund Managers </w:t>
      </w:r>
      <w:r>
        <w:rPr>
          <w:rFonts w:ascii="Times New Roman" w:hAnsi="Times New Roman" w:cs="Times New Roman"/>
          <w:noProof/>
          <w:sz w:val="24"/>
          <w:szCs w:val="24"/>
        </w:rPr>
        <w:t xml:space="preserve">(collective investment law).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regards </w:t>
      </w:r>
      <w:r>
        <w:rPr>
          <w:rFonts w:ascii="Times New Roman" w:eastAsia="Times New Roman" w:hAnsi="Times New Roman" w:cs="Times New Roman"/>
          <w:b/>
          <w:noProof/>
          <w:sz w:val="24"/>
          <w:szCs w:val="24"/>
        </w:rPr>
        <w:t>securities markets and inves</w:t>
      </w:r>
      <w:r>
        <w:rPr>
          <w:rFonts w:ascii="Times New Roman" w:eastAsia="Times New Roman" w:hAnsi="Times New Roman" w:cs="Times New Roman"/>
          <w:b/>
          <w:noProof/>
          <w:sz w:val="24"/>
          <w:szCs w:val="24"/>
        </w:rPr>
        <w:t xml:space="preserve">tment services, </w:t>
      </w:r>
      <w:r>
        <w:rPr>
          <w:rFonts w:ascii="Times New Roman" w:eastAsia="Times New Roman" w:hAnsi="Times New Roman" w:cs="Times New Roman"/>
          <w:noProof/>
          <w:sz w:val="24"/>
          <w:szCs w:val="24"/>
        </w:rPr>
        <w:t xml:space="preserve">companies were authorised to issue bonds for private offerings to institutional investors, their shareholders or individuals. The liquidity requirements for investment funds were strengthened.  </w:t>
      </w:r>
    </w:p>
    <w:p w:rsidR="00EE1719" w:rsidRDefault="000E39BA">
      <w:pPr>
        <w:pStyle w:val="Heading2"/>
        <w:rPr>
          <w:rStyle w:val="Heading2Char"/>
          <w:b/>
          <w:bCs/>
        </w:rPr>
      </w:pPr>
      <w:bookmarkStart w:id="108" w:name="_Toc29803520"/>
      <w:bookmarkStart w:id="109" w:name="_Toc9430020"/>
      <w:bookmarkStart w:id="110" w:name="_Toc9331928"/>
      <w:bookmarkStart w:id="111" w:name="_Toc9328496"/>
      <w:bookmarkStart w:id="112" w:name="_Toc530733580"/>
      <w:bookmarkStart w:id="113" w:name="_Toc52745523"/>
      <w:r>
        <w:rPr>
          <w:rStyle w:val="Heading2Char"/>
        </w:rPr>
        <w:t>5.10</w:t>
      </w:r>
      <w:r>
        <w:rPr>
          <w:rStyle w:val="Heading2Char"/>
          <w:b/>
          <w:bCs/>
        </w:rPr>
        <w:t>.</w:t>
      </w:r>
      <w:r>
        <w:rPr>
          <w:rStyle w:val="Heading2Char"/>
          <w:b/>
          <w:bCs/>
        </w:rPr>
        <w:tab/>
        <w:t xml:space="preserve"> Chapter 10: Information society and me</w:t>
      </w:r>
      <w:r>
        <w:rPr>
          <w:rStyle w:val="Heading2Char"/>
          <w:b/>
          <w:bCs/>
        </w:rPr>
        <w:t>dia</w:t>
      </w:r>
      <w:bookmarkEnd w:id="107"/>
      <w:bookmarkEnd w:id="108"/>
      <w:bookmarkEnd w:id="109"/>
      <w:bookmarkEnd w:id="110"/>
      <w:bookmarkEnd w:id="111"/>
      <w:bookmarkEnd w:id="112"/>
      <w:bookmarkEnd w:id="113"/>
    </w:p>
    <w:p w:rsidR="00EE1719" w:rsidRDefault="000E39BA">
      <w:pPr>
        <w:spacing w:after="120" w:line="240" w:lineRule="auto"/>
        <w:jc w:val="both"/>
        <w:rPr>
          <w:rFonts w:ascii="Times New Roman" w:eastAsia="Times New Roman" w:hAnsi="Times New Roman" w:cs="Times New Roman"/>
          <w:i/>
          <w:noProof/>
          <w:sz w:val="24"/>
          <w:szCs w:val="24"/>
        </w:rPr>
      </w:pPr>
      <w:bookmarkStart w:id="114" w:name="_Toc510686865"/>
      <w:r>
        <w:rPr>
          <w:rFonts w:ascii="Times New Roman" w:eastAsia="Times New Roman" w:hAnsi="Times New Roman" w:cs="Times New Roman"/>
          <w:i/>
          <w:noProof/>
          <w:sz w:val="24"/>
          <w:szCs w:val="24"/>
        </w:rPr>
        <w:t>The EU supports the smooth functioning of the internal market for electronic communications, electronic commerce and audio-visual services. The rules protect consumers and support the universal availability of modern services.</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is </w:t>
      </w:r>
      <w:r>
        <w:rPr>
          <w:rFonts w:ascii="Times New Roman" w:eastAsia="Times New Roman" w:hAnsi="Times New Roman" w:cs="Times New Roman"/>
          <w:b/>
          <w:noProof/>
          <w:sz w:val="24"/>
          <w:szCs w:val="24"/>
        </w:rPr>
        <w:t>moderately pre</w:t>
      </w:r>
      <w:r>
        <w:rPr>
          <w:rFonts w:ascii="Times New Roman" w:eastAsia="Times New Roman" w:hAnsi="Times New Roman" w:cs="Times New Roman"/>
          <w:b/>
          <w:noProof/>
          <w:sz w:val="24"/>
          <w:szCs w:val="24"/>
        </w:rPr>
        <w:t>pared</w:t>
      </w:r>
      <w:r>
        <w:rPr>
          <w:rFonts w:ascii="Times New Roman" w:eastAsia="Times New Roman" w:hAnsi="Times New Roman" w:cs="Times New Roman"/>
          <w:noProof/>
          <w:sz w:val="24"/>
          <w:szCs w:val="24"/>
        </w:rPr>
        <w:t xml:space="preserve"> in the field of information society and audio-visual media. </w:t>
      </w:r>
      <w:r>
        <w:rPr>
          <w:rFonts w:ascii="Times New Roman" w:eastAsia="Times New Roman" w:hAnsi="Times New Roman" w:cs="Times New Roman"/>
          <w:b/>
          <w:noProof/>
          <w:sz w:val="24"/>
          <w:szCs w:val="24"/>
        </w:rPr>
        <w:t>Some</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bCs/>
          <w:noProof/>
          <w:sz w:val="24"/>
          <w:szCs w:val="24"/>
        </w:rPr>
        <w:t xml:space="preserve">progress </w:t>
      </w:r>
      <w:r>
        <w:rPr>
          <w:rFonts w:ascii="Times New Roman" w:eastAsia="Calibri" w:hAnsi="Times New Roman" w:cs="Times New Roman"/>
          <w:noProof/>
          <w:sz w:val="24"/>
          <w:szCs w:val="24"/>
        </w:rPr>
        <w:t xml:space="preserve">was made on implementing the recommendations of the previous report, with the adoption of </w:t>
      </w:r>
      <w:r>
        <w:rPr>
          <w:rFonts w:ascii="Times New Roman" w:eastAsia="Calibri" w:hAnsi="Times New Roman" w:cs="Times New Roman"/>
          <w:bCs/>
          <w:noProof/>
          <w:sz w:val="24"/>
          <w:szCs w:val="24"/>
        </w:rPr>
        <w:t>part</w:t>
      </w:r>
      <w:r>
        <w:rPr>
          <w:rFonts w:ascii="Times New Roman" w:eastAsia="Calibri" w:hAnsi="Times New Roman" w:cs="Times New Roman"/>
          <w:noProof/>
          <w:sz w:val="24"/>
          <w:szCs w:val="24"/>
        </w:rPr>
        <w:t xml:space="preserve"> of the necessary amendments to the Law on Electronic Communication. Progress was </w:t>
      </w:r>
      <w:r>
        <w:rPr>
          <w:rFonts w:ascii="Times New Roman" w:eastAsia="Times New Roman" w:hAnsi="Times New Roman" w:cs="Times New Roman"/>
          <w:noProof/>
          <w:sz w:val="24"/>
          <w:szCs w:val="24"/>
        </w:rPr>
        <w:t>made on the digital agenda strategy and e-government services, and with the signature of the Regional Roaming Agreement. The finalisation of the digital switchover was postponed and further financial efforts are required to implement the European emergency</w:t>
      </w:r>
      <w:r>
        <w:rPr>
          <w:rFonts w:ascii="Times New Roman" w:eastAsia="Times New Roman" w:hAnsi="Times New Roman" w:cs="Times New Roman"/>
          <w:noProof/>
          <w:sz w:val="24"/>
          <w:szCs w:val="24"/>
        </w:rPr>
        <w:t xml:space="preserve"> number 112.</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coming year, Albania should in particular:</w:t>
      </w:r>
    </w:p>
    <w:p w:rsidR="00EE1719" w:rsidRDefault="000E39BA">
      <w:pPr>
        <w:numPr>
          <w:ilvl w:val="0"/>
          <w:numId w:val="46"/>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 xml:space="preserve">continue to adopt the necessary amendments to the Law on Electronic </w:t>
      </w:r>
      <w:r>
        <w:rPr>
          <w:rFonts w:ascii="Times New Roman" w:eastAsia="Calibri" w:hAnsi="Times New Roman" w:cs="Times New Roman"/>
          <w:noProof/>
          <w:sz w:val="24"/>
          <w:szCs w:val="24"/>
        </w:rPr>
        <w:t>Communication,</w:t>
      </w:r>
      <w:r>
        <w:rPr>
          <w:rFonts w:ascii="Times New Roman" w:eastAsia="Times New Roman" w:hAnsi="Times New Roman" w:cs="Times New Roman"/>
          <w:noProof/>
          <w:spacing w:val="-2"/>
          <w:sz w:val="24"/>
          <w:szCs w:val="24"/>
        </w:rPr>
        <w:t xml:space="preserve"> in alignment with the new European Electronic Communications Code, and approve the action plan for the digital agenda;  </w:t>
      </w:r>
    </w:p>
    <w:p w:rsidR="00EE1719" w:rsidRDefault="000E39BA">
      <w:pPr>
        <w:numPr>
          <w:ilvl w:val="0"/>
          <w:numId w:val="46"/>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finalise and adopt the national cybersecurity strategy;</w:t>
      </w:r>
    </w:p>
    <w:p w:rsidR="00EE1719" w:rsidRDefault="000E39BA">
      <w:pPr>
        <w:numPr>
          <w:ilvl w:val="0"/>
          <w:numId w:val="46"/>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val="sv-SE"/>
        </w:rPr>
      </w:pPr>
      <w:r>
        <w:rPr>
          <w:rFonts w:ascii="Times New Roman" w:eastAsia="Times New Roman" w:hAnsi="Times New Roman" w:cs="Times New Roman"/>
          <w:noProof/>
          <w:spacing w:val="-2"/>
          <w:sz w:val="24"/>
          <w:szCs w:val="24"/>
          <w:lang w:val="sv-SE"/>
        </w:rPr>
        <w:t>draft a digital skills strategy.</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 xml:space="preserve">electronic communications and information </w:t>
      </w:r>
      <w:r>
        <w:rPr>
          <w:rFonts w:ascii="Times New Roman" w:eastAsia="Calibri" w:hAnsi="Times New Roman" w:cs="Times New Roman"/>
          <w:b/>
          <w:noProof/>
          <w:sz w:val="24"/>
          <w:szCs w:val="24"/>
        </w:rPr>
        <w:t>and communications technologies (ICT)</w:t>
      </w:r>
      <w:r>
        <w:rPr>
          <w:rFonts w:ascii="Times New Roman" w:eastAsia="Calibri" w:hAnsi="Times New Roman" w:cs="Times New Roman"/>
          <w:noProof/>
          <w:sz w:val="24"/>
          <w:szCs w:val="24"/>
        </w:rPr>
        <w:t>, no progress was made in implementing the single European emergency number 112 as planned in the 2015-2020 public order strategy. The unified 112 emergency number currently operates in the region of Tirana only, and fu</w:t>
      </w:r>
      <w:r>
        <w:rPr>
          <w:rFonts w:ascii="Times New Roman" w:eastAsia="Calibri" w:hAnsi="Times New Roman" w:cs="Times New Roman"/>
          <w:noProof/>
          <w:sz w:val="24"/>
          <w:szCs w:val="24"/>
        </w:rPr>
        <w:t>rther efforts are required to extend it to the whole country. The current structure of the Authority of Postal and Electronic Research has 85 employees, including five board members.</w:t>
      </w:r>
      <w:r>
        <w:rPr>
          <w:rFonts w:ascii="Times New Roman" w:eastAsia="Times New Roman" w:hAnsi="Times New Roman" w:cs="Times New Roman"/>
          <w:noProof/>
          <w:sz w:val="24"/>
          <w:szCs w:val="24"/>
        </w:rPr>
        <w:t xml:space="preserve">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 xml:space="preserve">Fixed internet broadband penetration is low, with </w:t>
      </w:r>
      <w:r>
        <w:rPr>
          <w:rFonts w:ascii="Times New Roman" w:hAnsi="Times New Roman" w:cs="Times New Roman"/>
          <w:noProof/>
          <w:sz w:val="24"/>
          <w:szCs w:val="24"/>
        </w:rPr>
        <w:t xml:space="preserve">436,192 </w:t>
      </w:r>
      <w:r>
        <w:rPr>
          <w:rFonts w:ascii="Times New Roman" w:eastAsia="Calibri" w:hAnsi="Times New Roman" w:cs="Times New Roman"/>
          <w:noProof/>
          <w:sz w:val="24"/>
          <w:szCs w:val="24"/>
        </w:rPr>
        <w:t xml:space="preserve">subscribers connected in the </w:t>
      </w:r>
      <w:r>
        <w:rPr>
          <w:rFonts w:ascii="Times New Roman" w:hAnsi="Times New Roman" w:cs="Times New Roman"/>
          <w:noProof/>
          <w:sz w:val="24"/>
          <w:szCs w:val="24"/>
        </w:rPr>
        <w:t xml:space="preserve">December </w:t>
      </w:r>
      <w:r>
        <w:rPr>
          <w:rFonts w:ascii="Times New Roman" w:eastAsia="Calibri" w:hAnsi="Times New Roman" w:cs="Times New Roman"/>
          <w:noProof/>
          <w:sz w:val="24"/>
          <w:szCs w:val="24"/>
        </w:rPr>
        <w:t xml:space="preserve">of 2019, a 20% increase from 2018, with a penetration rate of about </w:t>
      </w:r>
      <w:r>
        <w:rPr>
          <w:rFonts w:ascii="Times New Roman" w:hAnsi="Times New Roman" w:cs="Times New Roman"/>
          <w:noProof/>
          <w:sz w:val="24"/>
          <w:szCs w:val="24"/>
        </w:rPr>
        <w:t xml:space="preserve">15.24% </w:t>
      </w:r>
      <w:r>
        <w:rPr>
          <w:rFonts w:ascii="Times New Roman" w:eastAsia="Calibri" w:hAnsi="Times New Roman" w:cs="Times New Roman"/>
          <w:noProof/>
          <w:sz w:val="24"/>
          <w:szCs w:val="24"/>
        </w:rPr>
        <w:t xml:space="preserve">of the population </w:t>
      </w:r>
      <w:r>
        <w:rPr>
          <w:rFonts w:ascii="Times New Roman" w:hAnsi="Times New Roman" w:cs="Times New Roman"/>
          <w:noProof/>
          <w:sz w:val="24"/>
          <w:szCs w:val="24"/>
        </w:rPr>
        <w:t>and 60% of the households being covered</w:t>
      </w:r>
      <w:r>
        <w:rPr>
          <w:rFonts w:ascii="Times New Roman" w:eastAsia="Calibri" w:hAnsi="Times New Roman" w:cs="Times New Roman"/>
          <w:noProof/>
          <w:sz w:val="24"/>
          <w:szCs w:val="24"/>
        </w:rPr>
        <w:t>. There is a considerable gap in fixed internet-broadband penetration between urban an</w:t>
      </w:r>
      <w:r>
        <w:rPr>
          <w:rFonts w:ascii="Times New Roman" w:eastAsia="Calibri" w:hAnsi="Times New Roman" w:cs="Times New Roman"/>
          <w:noProof/>
          <w:sz w:val="24"/>
          <w:szCs w:val="24"/>
        </w:rPr>
        <w:t xml:space="preserve">d rural areas. Rural areas account for 40% of the population, but only </w:t>
      </w:r>
      <w:r>
        <w:rPr>
          <w:rFonts w:ascii="Times New Roman" w:hAnsi="Times New Roman" w:cs="Times New Roman"/>
          <w:noProof/>
          <w:sz w:val="24"/>
          <w:szCs w:val="24"/>
        </w:rPr>
        <w:t>5%</w:t>
      </w:r>
      <w:r>
        <w:rPr>
          <w:rFonts w:ascii="Times New Roman" w:eastAsia="Calibri" w:hAnsi="Times New Roman" w:cs="Times New Roman"/>
          <w:noProof/>
          <w:sz w:val="24"/>
          <w:szCs w:val="24"/>
        </w:rPr>
        <w:t xml:space="preserve"> are connected to the internet. The mobile penetration rate at the end of 2019 was 61.8% compared with 63% at the end of 2018. </w:t>
      </w:r>
      <w:r>
        <w:rPr>
          <w:rFonts w:ascii="Times New Roman" w:eastAsia="Times New Roman" w:hAnsi="Times New Roman" w:cs="Times New Roman"/>
          <w:noProof/>
          <w:sz w:val="24"/>
          <w:szCs w:val="24"/>
        </w:rPr>
        <w:t>In 2019, there were about 1.7 million active users of mo</w:t>
      </w:r>
      <w:r>
        <w:rPr>
          <w:rFonts w:ascii="Times New Roman" w:eastAsia="Times New Roman" w:hAnsi="Times New Roman" w:cs="Times New Roman"/>
          <w:noProof/>
          <w:sz w:val="24"/>
          <w:szCs w:val="24"/>
        </w:rPr>
        <w:t>bile broadband, about 1.2 % compared with 2018. The volume of data usage during 2019 increased by 15% compared with 2018.</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area of </w:t>
      </w:r>
      <w:r>
        <w:rPr>
          <w:rFonts w:ascii="Times New Roman" w:eastAsia="Calibri" w:hAnsi="Times New Roman" w:cs="Times New Roman"/>
          <w:b/>
          <w:noProof/>
          <w:sz w:val="24"/>
          <w:szCs w:val="24"/>
        </w:rPr>
        <w:t>information society services</w:t>
      </w:r>
      <w:r>
        <w:rPr>
          <w:rFonts w:ascii="Times New Roman" w:eastAsia="Calibri" w:hAnsi="Times New Roman" w:cs="Times New Roman"/>
          <w:noProof/>
          <w:sz w:val="24"/>
          <w:szCs w:val="24"/>
        </w:rPr>
        <w:t>, the revised 2015-2020 digital agenda action plan was updated in July following public con</w:t>
      </w:r>
      <w:r>
        <w:rPr>
          <w:rFonts w:ascii="Times New Roman" w:eastAsia="Calibri" w:hAnsi="Times New Roman" w:cs="Times New Roman"/>
          <w:noProof/>
          <w:sz w:val="24"/>
          <w:szCs w:val="24"/>
        </w:rPr>
        <w:t>sultation, revised in March 2020 but remains to be approved by the Council of Ministers. There is no digital skills strategy in place.</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2019, the National Agency for the Information Society (NAIS) launched "TechSpace", an ICT Lab to support start-ups and</w:t>
      </w:r>
      <w:r>
        <w:rPr>
          <w:rFonts w:ascii="Times New Roman" w:eastAsia="Calibri" w:hAnsi="Times New Roman" w:cs="Times New Roman"/>
          <w:noProof/>
          <w:sz w:val="24"/>
          <w:szCs w:val="24"/>
        </w:rPr>
        <w:t xml:space="preserve"> students with education in the latest technologies, and continues to manage the e-government portal offering 627 </w:t>
      </w:r>
      <w:r>
        <w:rPr>
          <w:rFonts w:ascii="Times New Roman" w:eastAsia="Calibri" w:hAnsi="Times New Roman" w:cs="Times New Roman"/>
          <w:b/>
          <w:noProof/>
          <w:sz w:val="24"/>
          <w:szCs w:val="24"/>
        </w:rPr>
        <w:t>on-line</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 xml:space="preserve">public services </w:t>
      </w:r>
      <w:r>
        <w:rPr>
          <w:rFonts w:ascii="Times New Roman" w:eastAsia="Calibri" w:hAnsi="Times New Roman" w:cs="Times New Roman"/>
          <w:noProof/>
          <w:sz w:val="24"/>
          <w:szCs w:val="24"/>
        </w:rPr>
        <w:t>(29 more than in 2018 for a total of 1818 services as of 8 June 2020). There are over 1 500 000 uses of electronic ser</w:t>
      </w:r>
      <w:r>
        <w:rPr>
          <w:rFonts w:ascii="Times New Roman" w:eastAsia="Calibri" w:hAnsi="Times New Roman" w:cs="Times New Roman"/>
          <w:noProof/>
          <w:sz w:val="24"/>
          <w:szCs w:val="24"/>
        </w:rPr>
        <w:t>vices each month on the e-Albania portal. Over 12.7 million uses of electronic services were registered during January – May 2020 (compared to 2 947 000 in the same period one year ago). In 2019, the government interoperability platform (allowing interacti</w:t>
      </w:r>
      <w:r>
        <w:rPr>
          <w:rFonts w:ascii="Times New Roman" w:eastAsia="Calibri" w:hAnsi="Times New Roman" w:cs="Times New Roman"/>
          <w:noProof/>
          <w:sz w:val="24"/>
          <w:szCs w:val="24"/>
        </w:rPr>
        <w:t xml:space="preserve">on between 53 electronic systems owned by public institutions) registered a 35% increase in activity.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 new National Broadband Plan 2020-2025 was approved in June 2020. The Plan aims to develop the broadband infrastructure for a gigabit society. A feasibi</w:t>
      </w:r>
      <w:r>
        <w:rPr>
          <w:rFonts w:ascii="Times New Roman" w:eastAsia="Calibri" w:hAnsi="Times New Roman" w:cs="Times New Roman"/>
          <w:noProof/>
          <w:sz w:val="24"/>
          <w:szCs w:val="24"/>
        </w:rPr>
        <w:t>lity study for the preparation of the National Framework Programme for the Development of Broadband Infrastructure in areas lacking sufficient commercial interest for investment was completed in June 2020. In addition, a draft 5G road map is being prepared</w:t>
      </w:r>
      <w:r>
        <w:rPr>
          <w:rFonts w:ascii="Times New Roman" w:eastAsia="Calibri" w:hAnsi="Times New Roman" w:cs="Times New Roman"/>
          <w:noProof/>
          <w:sz w:val="24"/>
          <w:szCs w:val="24"/>
        </w:rPr>
        <w:t>. The authorities signed the regional roaming agreement in April 2019. The Electronic Postal and Communication Authority approved the final decisions on Western Balkans roaming in June 2019.</w:t>
      </w:r>
    </w:p>
    <w:p w:rsidR="00EE1719" w:rsidRDefault="000E39BA">
      <w:pPr>
        <w:spacing w:after="120" w:line="240" w:lineRule="auto"/>
        <w:jc w:val="both"/>
        <w:rPr>
          <w:rFonts w:ascii="Times New Roman" w:eastAsia="Calibri" w:hAnsi="Times New Roman" w:cs="Times New Roman"/>
          <w:noProof/>
          <w:sz w:val="24"/>
          <w:szCs w:val="24"/>
          <w:bdr w:val="none" w:sz="0" w:space="0" w:color="auto" w:frame="1"/>
        </w:rPr>
      </w:pPr>
      <w:r>
        <w:rPr>
          <w:rFonts w:ascii="Times New Roman" w:eastAsia="Calibri" w:hAnsi="Times New Roman" w:cs="Times New Roman"/>
          <w:noProof/>
          <w:sz w:val="24"/>
          <w:szCs w:val="24"/>
        </w:rPr>
        <w:t xml:space="preserve">The Law on </w:t>
      </w:r>
      <w:r>
        <w:rPr>
          <w:rFonts w:ascii="Times New Roman" w:eastAsia="Calibri" w:hAnsi="Times New Roman" w:cs="Times New Roman"/>
          <w:b/>
          <w:noProof/>
          <w:sz w:val="24"/>
          <w:szCs w:val="24"/>
        </w:rPr>
        <w:t>cybersecurity</w:t>
      </w:r>
      <w:r>
        <w:rPr>
          <w:rFonts w:ascii="Times New Roman" w:eastAsia="Calibri" w:hAnsi="Times New Roman" w:cs="Times New Roman"/>
          <w:noProof/>
          <w:sz w:val="24"/>
          <w:szCs w:val="24"/>
        </w:rPr>
        <w:t xml:space="preserve"> is partly aligned with the EU Directive </w:t>
      </w:r>
      <w:r>
        <w:rPr>
          <w:rFonts w:ascii="Times New Roman" w:eastAsia="Calibri" w:hAnsi="Times New Roman" w:cs="Times New Roman"/>
          <w:noProof/>
          <w:sz w:val="24"/>
          <w:szCs w:val="24"/>
        </w:rPr>
        <w:t xml:space="preserve">on the security of network and information systems. Albania has established a list of critical information infrastructures and the necessary implementing legislation. In 2019, the National Authority for Electronic Certification and Cyber Security (NAECCS) </w:t>
      </w:r>
      <w:r>
        <w:rPr>
          <w:rFonts w:ascii="Times New Roman" w:eastAsia="Calibri" w:hAnsi="Times New Roman" w:cs="Times New Roman"/>
          <w:noProof/>
          <w:sz w:val="24"/>
          <w:szCs w:val="24"/>
        </w:rPr>
        <w:t>drafted a national cybersecurity strategy that still needs to be adopted.</w:t>
      </w:r>
      <w:r>
        <w:rPr>
          <w:rFonts w:ascii="Times New Roman" w:eastAsia="Calibri" w:hAnsi="Times New Roman" w:cs="Times New Roman"/>
          <w:noProof/>
          <w:sz w:val="24"/>
          <w:szCs w:val="24"/>
          <w:bdr w:val="none" w:sz="0" w:space="0" w:color="auto" w:frame="1"/>
        </w:rPr>
        <w:t xml:space="preserve"> </w:t>
      </w:r>
    </w:p>
    <w:p w:rsidR="00EE1719" w:rsidRDefault="000E39BA">
      <w:pPr>
        <w:spacing w:after="120" w:line="240" w:lineRule="auto"/>
        <w:jc w:val="both"/>
        <w:rPr>
          <w:rFonts w:ascii="Times New Roman" w:eastAsia="Calibri" w:hAnsi="Times New Roman" w:cs="Times New Roman"/>
          <w:noProof/>
          <w:sz w:val="24"/>
          <w:szCs w:val="24"/>
          <w:bdr w:val="none" w:sz="0" w:space="0" w:color="auto" w:frame="1"/>
        </w:rPr>
      </w:pPr>
      <w:r>
        <w:rPr>
          <w:rFonts w:ascii="Times New Roman" w:eastAsia="Calibri" w:hAnsi="Times New Roman" w:cs="Times New Roman"/>
          <w:noProof/>
          <w:sz w:val="24"/>
          <w:szCs w:val="24"/>
        </w:rPr>
        <w:t xml:space="preserve">In order to monitor progress on compliance with the EU rules  on electronic communications and information society services and convergence with the internal market, as well as the </w:t>
      </w:r>
      <w:r>
        <w:rPr>
          <w:rFonts w:ascii="Times New Roman" w:eastAsia="Calibri" w:hAnsi="Times New Roman" w:cs="Times New Roman"/>
          <w:noProof/>
          <w:sz w:val="24"/>
          <w:szCs w:val="24"/>
        </w:rPr>
        <w:t>alignment with the Digital Agenda for the Western Balkans, Albania needs to improve the collection of statistical data on digital performance and digital competitiveness.</w:t>
      </w:r>
    </w:p>
    <w:p w:rsidR="00EE1719" w:rsidRDefault="000E39BA">
      <w:pPr>
        <w:widowControl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field of </w:t>
      </w:r>
      <w:r>
        <w:rPr>
          <w:rFonts w:ascii="Times New Roman" w:eastAsia="Times New Roman" w:hAnsi="Times New Roman" w:cs="Times New Roman"/>
          <w:b/>
          <w:noProof/>
          <w:sz w:val="24"/>
          <w:szCs w:val="24"/>
        </w:rPr>
        <w:t>audio-visual policy</w:t>
      </w:r>
      <w:r>
        <w:rPr>
          <w:rFonts w:ascii="Times New Roman" w:eastAsia="Times New Roman" w:hAnsi="Times New Roman" w:cs="Times New Roman"/>
          <w:noProof/>
          <w:sz w:val="24"/>
          <w:szCs w:val="24"/>
        </w:rPr>
        <w:t>, the digital switchover continues to be postponed</w:t>
      </w:r>
      <w:r>
        <w:rPr>
          <w:rFonts w:ascii="Times New Roman" w:eastAsia="Times New Roman" w:hAnsi="Times New Roman" w:cs="Times New Roman"/>
          <w:noProof/>
          <w:sz w:val="24"/>
          <w:szCs w:val="24"/>
        </w:rPr>
        <w:t xml:space="preserve"> and the Audio-visual Media Authority (AMA) announced the end of 2020 as the new deadline for the conclusion of the process. The digital infrastructure of the public broadcaster (RTSH) has been completed throughout the country. The private national provide</w:t>
      </w:r>
      <w:r>
        <w:rPr>
          <w:rFonts w:ascii="Times New Roman" w:eastAsia="Times New Roman" w:hAnsi="Times New Roman" w:cs="Times New Roman"/>
          <w:noProof/>
          <w:sz w:val="24"/>
          <w:szCs w:val="24"/>
        </w:rPr>
        <w:t>rs continue to develop their infrastructure in the few remaining regions, mainly in the north. On 1 October 2019, analogue broadcasting was switched off in the regions of Tirana and Durrës, with 80% of the population now having access to digital broadcasti</w:t>
      </w:r>
      <w:r>
        <w:rPr>
          <w:rFonts w:ascii="Times New Roman" w:eastAsia="Times New Roman" w:hAnsi="Times New Roman" w:cs="Times New Roman"/>
          <w:noProof/>
          <w:sz w:val="24"/>
          <w:szCs w:val="24"/>
        </w:rPr>
        <w:t xml:space="preserve">ng. An analogue switch-off process continues in the remaining regions that still receive both analogue and digital broadcasting. The timeline might be influenced by the process of electing the new AMA chair, replacing the two AMA members whose mandate has </w:t>
      </w:r>
      <w:r>
        <w:rPr>
          <w:rFonts w:ascii="Times New Roman" w:eastAsia="Times New Roman" w:hAnsi="Times New Roman" w:cs="Times New Roman"/>
          <w:noProof/>
          <w:sz w:val="24"/>
          <w:szCs w:val="24"/>
        </w:rPr>
        <w:t xml:space="preserve">expired and adopting the new media legislation.   </w:t>
      </w:r>
    </w:p>
    <w:p w:rsidR="00EE1719" w:rsidRDefault="000E39BA">
      <w:pPr>
        <w:pStyle w:val="Heading2"/>
      </w:pPr>
      <w:bookmarkStart w:id="115" w:name="_Toc29803521"/>
      <w:bookmarkStart w:id="116" w:name="_Toc9430021"/>
      <w:bookmarkStart w:id="117" w:name="_Toc9331929"/>
      <w:bookmarkStart w:id="118" w:name="_Toc9328497"/>
      <w:bookmarkStart w:id="119" w:name="_Toc530733581"/>
      <w:bookmarkStart w:id="120" w:name="_Toc52745524"/>
      <w:r>
        <w:rPr>
          <w:rStyle w:val="Heading2Char"/>
          <w:rFonts w:eastAsiaTheme="minorEastAsia"/>
        </w:rPr>
        <w:t>5.11</w:t>
      </w:r>
      <w:r>
        <w:t xml:space="preserve">. </w:t>
      </w:r>
      <w:r>
        <w:tab/>
        <w:t>Chapter 11: Agriculture and rural development</w:t>
      </w:r>
      <w:bookmarkEnd w:id="114"/>
      <w:bookmarkEnd w:id="115"/>
      <w:bookmarkEnd w:id="116"/>
      <w:bookmarkEnd w:id="117"/>
      <w:bookmarkEnd w:id="118"/>
      <w:bookmarkEnd w:id="119"/>
      <w:bookmarkEnd w:id="120"/>
    </w:p>
    <w:p w:rsidR="00EE1719" w:rsidRDefault="000E39BA">
      <w:pPr>
        <w:keepNext/>
        <w:keepLines/>
        <w:autoSpaceDE w:val="0"/>
        <w:autoSpaceDN w:val="0"/>
        <w:spacing w:after="120" w:line="240" w:lineRule="auto"/>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 xml:space="preserve">The common agricultural policy (CAP) supports farmers and rural development. This requires strong management and control systems. There are also common </w:t>
      </w:r>
      <w:r>
        <w:rPr>
          <w:rFonts w:ascii="Times New Roman" w:eastAsia="Times New Roman" w:hAnsi="Times New Roman" w:cs="Times New Roman"/>
          <w:i/>
          <w:iCs/>
          <w:noProof/>
          <w:sz w:val="24"/>
          <w:szCs w:val="24"/>
        </w:rPr>
        <w:t>EU rules for quality policy and organic farming.</w:t>
      </w:r>
    </w:p>
    <w:p w:rsidR="00EE1719" w:rsidRDefault="000E39B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Albania has </w:t>
      </w:r>
      <w:r>
        <w:rPr>
          <w:rFonts w:ascii="Times New Roman" w:eastAsia="Calibri" w:hAnsi="Times New Roman" w:cs="Times New Roman"/>
          <w:b/>
          <w:noProof/>
          <w:sz w:val="24"/>
          <w:szCs w:val="24"/>
        </w:rPr>
        <w:t>some level of preparation</w:t>
      </w:r>
      <w:r>
        <w:rPr>
          <w:rFonts w:ascii="Times New Roman" w:eastAsia="Calibri" w:hAnsi="Times New Roman" w:cs="Times New Roman"/>
          <w:noProof/>
          <w:sz w:val="24"/>
          <w:szCs w:val="24"/>
        </w:rPr>
        <w:t xml:space="preserve"> in agriculture and rural development. </w:t>
      </w:r>
      <w:r>
        <w:rPr>
          <w:rFonts w:ascii="Times New Roman" w:eastAsia="Calibri" w:hAnsi="Times New Roman" w:cs="Times New Roman"/>
          <w:bCs/>
          <w:noProof/>
          <w:sz w:val="24"/>
          <w:szCs w:val="24"/>
        </w:rPr>
        <w:t>During the reporting period,</w:t>
      </w:r>
      <w:r>
        <w:rPr>
          <w:rFonts w:ascii="Times New Roman" w:eastAsia="Calibri" w:hAnsi="Times New Roman" w:cs="Times New Roman"/>
          <w:noProof/>
          <w:sz w:val="24"/>
          <w:szCs w:val="24"/>
        </w:rPr>
        <w:t xml:space="preserve"> there was </w:t>
      </w:r>
      <w:r>
        <w:rPr>
          <w:rFonts w:ascii="Times New Roman" w:eastAsia="Calibri" w:hAnsi="Times New Roman" w:cs="Times New Roman"/>
          <w:b/>
          <w:noProof/>
          <w:sz w:val="24"/>
          <w:szCs w:val="24"/>
        </w:rPr>
        <w:t>some</w:t>
      </w:r>
      <w:r>
        <w:rPr>
          <w:rFonts w:ascii="Times New Roman" w:eastAsia="Calibri" w:hAnsi="Times New Roman" w:cs="Times New Roman"/>
          <w:b/>
          <w:bCs/>
          <w:noProof/>
          <w:sz w:val="24"/>
          <w:szCs w:val="24"/>
        </w:rPr>
        <w:t xml:space="preserve"> progress </w:t>
      </w:r>
      <w:r>
        <w:rPr>
          <w:rFonts w:ascii="Times New Roman" w:eastAsia="Calibri" w:hAnsi="Times New Roman" w:cs="Times New Roman"/>
          <w:bCs/>
          <w:noProof/>
          <w:sz w:val="24"/>
          <w:szCs w:val="24"/>
        </w:rPr>
        <w:t xml:space="preserve">in adopting and implementing the new legal framework for quality policy; ensuring administrative capacities for the implementation of the </w:t>
      </w:r>
      <w:r>
        <w:rPr>
          <w:rFonts w:ascii="Times New Roman" w:eastAsia="Calibri" w:hAnsi="Times New Roman" w:cs="Times New Roman"/>
          <w:noProof/>
          <w:sz w:val="24"/>
          <w:szCs w:val="24"/>
        </w:rPr>
        <w:t>instrument for pre-accession assistance for the rural development programme (IPARD II). Albania submitted a new measur</w:t>
      </w:r>
      <w:r>
        <w:rPr>
          <w:rFonts w:ascii="Times New Roman" w:eastAsia="Calibri" w:hAnsi="Times New Roman" w:cs="Times New Roman"/>
          <w:noProof/>
          <w:sz w:val="24"/>
          <w:szCs w:val="24"/>
        </w:rPr>
        <w:t xml:space="preserve">e </w:t>
      </w:r>
      <w:r>
        <w:rPr>
          <w:rFonts w:ascii="Times New Roman" w:eastAsia="Calibri" w:hAnsi="Times New Roman" w:cs="Times New Roman"/>
          <w:i/>
          <w:iCs/>
          <w:noProof/>
          <w:sz w:val="24"/>
          <w:szCs w:val="24"/>
        </w:rPr>
        <w:t>‘Technical Assistance’</w:t>
      </w:r>
      <w:r>
        <w:rPr>
          <w:rFonts w:ascii="Times New Roman" w:eastAsia="Calibri" w:hAnsi="Times New Roman" w:cs="Times New Roman"/>
          <w:noProof/>
          <w:sz w:val="24"/>
          <w:szCs w:val="24"/>
        </w:rPr>
        <w:t xml:space="preserve"> for entrustment. The Commission’s recommendations from 2019 were not fully implemented and remain valid.</w:t>
      </w:r>
    </w:p>
    <w:p w:rsidR="00EE1719" w:rsidRDefault="000E39B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coming year, Albania should in particular: </w:t>
      </w:r>
    </w:p>
    <w:p w:rsidR="00EE1719" w:rsidRDefault="000E39BA">
      <w:pPr>
        <w:numPr>
          <w:ilvl w:val="0"/>
          <w:numId w:val="47"/>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set up as a priority a farm register by the end of 2020, further improve th</w:t>
      </w:r>
      <w:r>
        <w:rPr>
          <w:rFonts w:ascii="Times New Roman" w:eastAsia="Calibri" w:hAnsi="Times New Roman" w:cs="Times New Roman"/>
          <w:noProof/>
          <w:sz w:val="24"/>
          <w:szCs w:val="24"/>
        </w:rPr>
        <w:t xml:space="preserve">e animal registers and adopt an implementation plan to establish the farm accountancy data network (FADN) to provide validated data for policy-making; </w:t>
      </w:r>
    </w:p>
    <w:p w:rsidR="00EE1719" w:rsidRDefault="000E39BA">
      <w:pPr>
        <w:numPr>
          <w:ilvl w:val="0"/>
          <w:numId w:val="47"/>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ensure administrative capacity required to fully implement available IPARD II funding and to prepare for</w:t>
      </w:r>
      <w:r>
        <w:rPr>
          <w:rFonts w:ascii="Times New Roman" w:eastAsia="Calibri" w:hAnsi="Times New Roman" w:cs="Times New Roman"/>
          <w:noProof/>
          <w:sz w:val="24"/>
          <w:szCs w:val="24"/>
        </w:rPr>
        <w:t xml:space="preserve"> the entrustment of the remaining measures under the IPARD II programme;</w:t>
      </w:r>
    </w:p>
    <w:p w:rsidR="00EE1719" w:rsidRDefault="000E39BA">
      <w:pPr>
        <w:numPr>
          <w:ilvl w:val="0"/>
          <w:numId w:val="47"/>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Times New Roman" w:hAnsi="Times New Roman" w:cs="Times New Roman"/>
          <w:iCs/>
          <w:noProof/>
          <w:sz w:val="24"/>
          <w:szCs w:val="24"/>
        </w:rPr>
      </w:pPr>
      <w:r>
        <w:rPr>
          <w:rFonts w:ascii="Times New Roman" w:eastAsia="Calibri" w:hAnsi="Times New Roman" w:cs="Times New Roman"/>
          <w:noProof/>
          <w:sz w:val="24"/>
          <w:szCs w:val="24"/>
        </w:rPr>
        <w:t>complete the legal framework for organic products and quality schemes, as well as on vineyards and wine, and ensure the institutional and administrative capacity for its implementatio</w:t>
      </w:r>
      <w:r>
        <w:rPr>
          <w:rFonts w:ascii="Times New Roman" w:eastAsia="Calibri" w:hAnsi="Times New Roman" w:cs="Times New Roman"/>
          <w:noProof/>
          <w:sz w:val="24"/>
          <w:szCs w:val="24"/>
        </w:rPr>
        <w:t>n.</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w:t>
      </w:r>
      <w:r>
        <w:rPr>
          <w:rFonts w:ascii="Times New Roman" w:eastAsia="Calibri" w:hAnsi="Times New Roman" w:cs="Times New Roman"/>
          <w:b/>
          <w:bCs/>
          <w:noProof/>
          <w:sz w:val="24"/>
          <w:szCs w:val="24"/>
        </w:rPr>
        <w:t xml:space="preserve">horizontal issues, </w:t>
      </w:r>
      <w:r>
        <w:rPr>
          <w:rFonts w:ascii="Times New Roman" w:eastAsia="Calibri" w:hAnsi="Times New Roman" w:cs="Times New Roman"/>
          <w:noProof/>
          <w:sz w:val="24"/>
          <w:szCs w:val="24"/>
        </w:rPr>
        <w:t xml:space="preserve">continuous capacity building of the IPARD authorities is required to receive entrustment for implementation of new measures under the IPARD programme. Strong cooperation among responsible national authorities should be ensured to facilitate the successful </w:t>
      </w:r>
      <w:r>
        <w:rPr>
          <w:rFonts w:ascii="Times New Roman" w:eastAsia="Calibri" w:hAnsi="Times New Roman" w:cs="Times New Roman"/>
          <w:noProof/>
          <w:sz w:val="24"/>
          <w:szCs w:val="24"/>
        </w:rPr>
        <w:t xml:space="preserve">implementation of the IPARD programme.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rPr>
        <w:t>Priority should be given to establishing a farm register by the end of 2020. This is an element of the integrated administration and control system (IACS), but can be of assistance to implement the IPARD II programme</w:t>
      </w:r>
      <w:r>
        <w:rPr>
          <w:rFonts w:ascii="Times New Roman" w:eastAsia="Times New Roman" w:hAnsi="Times New Roman" w:cs="Times New Roman"/>
          <w:noProof/>
          <w:sz w:val="24"/>
          <w:szCs w:val="24"/>
        </w:rPr>
        <w:t xml:space="preserve">. Albania registered no progress in </w:t>
      </w:r>
      <w:r>
        <w:rPr>
          <w:rFonts w:ascii="Times New Roman" w:eastAsia="Calibri" w:hAnsi="Times New Roman" w:cs="Times New Roman"/>
          <w:noProof/>
          <w:sz w:val="24"/>
          <w:szCs w:val="24"/>
        </w:rPr>
        <w:t>establishing a l</w:t>
      </w:r>
      <w:r>
        <w:rPr>
          <w:rFonts w:ascii="Times New Roman" w:eastAsia="Calibri" w:hAnsi="Times New Roman" w:cs="Times New Roman"/>
          <w:bCs/>
          <w:noProof/>
          <w:sz w:val="24"/>
          <w:szCs w:val="24"/>
        </w:rPr>
        <w:t xml:space="preserve">and parcel identification system (LPIS) and has </w:t>
      </w:r>
      <w:r>
        <w:rPr>
          <w:rFonts w:ascii="Times New Roman" w:eastAsia="Calibri" w:hAnsi="Times New Roman" w:cs="Times New Roman"/>
          <w:noProof/>
          <w:sz w:val="24"/>
          <w:szCs w:val="24"/>
        </w:rPr>
        <w:t xml:space="preserve">no </w:t>
      </w:r>
      <w:r>
        <w:rPr>
          <w:rFonts w:ascii="Times New Roman" w:eastAsia="Calibri" w:hAnsi="Times New Roman" w:cs="Times New Roman"/>
          <w:bCs/>
          <w:noProof/>
          <w:sz w:val="24"/>
          <w:szCs w:val="24"/>
        </w:rPr>
        <w:t>farm accountancy data network (FADN)</w:t>
      </w:r>
      <w:r>
        <w:rPr>
          <w:rFonts w:ascii="Times New Roman" w:eastAsia="Calibri" w:hAnsi="Times New Roman" w:cs="Times New Roman"/>
          <w:noProof/>
          <w:sz w:val="24"/>
          <w:szCs w:val="24"/>
        </w:rPr>
        <w:t>. However, it started basic preparatory work on the latter and this should be stepped up by adopting an implementatio</w:t>
      </w:r>
      <w:r>
        <w:rPr>
          <w:rFonts w:ascii="Times New Roman" w:eastAsia="Calibri" w:hAnsi="Times New Roman" w:cs="Times New Roman"/>
          <w:noProof/>
          <w:sz w:val="24"/>
          <w:szCs w:val="24"/>
        </w:rPr>
        <w:t xml:space="preserve">n plan with a concrete timeline.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 xml:space="preserve">Direct payments </w:t>
      </w:r>
      <w:r>
        <w:rPr>
          <w:rFonts w:ascii="Times New Roman" w:eastAsia="Calibri" w:hAnsi="Times New Roman" w:cs="Times New Roman"/>
          <w:noProof/>
          <w:sz w:val="24"/>
          <w:szCs w:val="24"/>
        </w:rPr>
        <w:t>coupled to production and not subject to cross-compliance rules decreased overall, but still accounted for 85% of the farm support. The decrease in the national agriculture budget is of concern, as IPARD II</w:t>
      </w:r>
      <w:r>
        <w:rPr>
          <w:rFonts w:ascii="Times New Roman" w:eastAsia="Calibri" w:hAnsi="Times New Roman" w:cs="Times New Roman"/>
          <w:noProof/>
          <w:sz w:val="24"/>
          <w:szCs w:val="24"/>
        </w:rPr>
        <w:t xml:space="preserve"> should not be seen as a substitute for national support. The </w:t>
      </w:r>
      <w:r>
        <w:rPr>
          <w:rFonts w:ascii="Times New Roman" w:eastAsia="Calibri" w:hAnsi="Times New Roman" w:cs="Times New Roman"/>
          <w:bCs/>
          <w:noProof/>
          <w:sz w:val="24"/>
          <w:szCs w:val="24"/>
        </w:rPr>
        <w:t>farm advisory service</w:t>
      </w:r>
      <w:r>
        <w:rPr>
          <w:rFonts w:ascii="Times New Roman" w:eastAsia="Calibri" w:hAnsi="Times New Roman" w:cs="Times New Roman"/>
          <w:b/>
          <w:bCs/>
          <w:noProof/>
          <w:sz w:val="24"/>
          <w:szCs w:val="24"/>
        </w:rPr>
        <w:t xml:space="preserve"> </w:t>
      </w:r>
      <w:r>
        <w:rPr>
          <w:rFonts w:ascii="Times New Roman" w:eastAsia="Calibri" w:hAnsi="Times New Roman" w:cs="Times New Roman"/>
          <w:bCs/>
          <w:noProof/>
          <w:sz w:val="24"/>
          <w:szCs w:val="24"/>
        </w:rPr>
        <w:t>at regional level</w:t>
      </w: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was reorganised in four main regions. A clear strategy is yet to be adopted to complete the reform of the advisory system.</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No progress can be reported on </w:t>
      </w:r>
      <w:r>
        <w:rPr>
          <w:rFonts w:ascii="Times New Roman" w:eastAsia="Calibri" w:hAnsi="Times New Roman" w:cs="Times New Roman"/>
          <w:noProof/>
          <w:sz w:val="24"/>
          <w:szCs w:val="24"/>
        </w:rPr>
        <w:t xml:space="preserve">the </w:t>
      </w:r>
      <w:r>
        <w:rPr>
          <w:rFonts w:ascii="Times New Roman" w:eastAsia="Calibri" w:hAnsi="Times New Roman" w:cs="Times New Roman"/>
          <w:b/>
          <w:noProof/>
          <w:sz w:val="24"/>
          <w:szCs w:val="24"/>
        </w:rPr>
        <w:t>common market organisation (CMO)</w:t>
      </w:r>
      <w:r>
        <w:rPr>
          <w:rFonts w:ascii="Times New Roman" w:eastAsia="Calibri" w:hAnsi="Times New Roman" w:cs="Times New Roman"/>
          <w:noProof/>
          <w:sz w:val="24"/>
          <w:szCs w:val="24"/>
        </w:rPr>
        <w:t xml:space="preserve">. Draft legislation on wine remains to be adopted and Albania should take additional steps to align this sector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rural development</w:t>
      </w:r>
      <w:r>
        <w:rPr>
          <w:rFonts w:ascii="Times New Roman" w:eastAsia="Calibri" w:hAnsi="Times New Roman" w:cs="Times New Roman"/>
          <w:noProof/>
          <w:sz w:val="24"/>
          <w:szCs w:val="24"/>
        </w:rPr>
        <w:t>, on 3 April 2020, the Commission granted Albania conditional entrus</w:t>
      </w:r>
      <w:r>
        <w:rPr>
          <w:rFonts w:ascii="Times New Roman" w:eastAsia="Calibri" w:hAnsi="Times New Roman" w:cs="Times New Roman"/>
          <w:noProof/>
          <w:sz w:val="24"/>
          <w:szCs w:val="24"/>
        </w:rPr>
        <w:t xml:space="preserve">tment of the </w:t>
      </w:r>
      <w:r>
        <w:rPr>
          <w:rFonts w:ascii="Times New Roman" w:eastAsia="Calibri" w:hAnsi="Times New Roman" w:cs="Times New Roman"/>
          <w:i/>
          <w:iCs/>
          <w:noProof/>
          <w:sz w:val="24"/>
          <w:szCs w:val="24"/>
        </w:rPr>
        <w:t>‘Technical Assistance’</w:t>
      </w:r>
      <w:r>
        <w:rPr>
          <w:rFonts w:ascii="Times New Roman" w:eastAsia="Calibri" w:hAnsi="Times New Roman" w:cs="Times New Roman"/>
          <w:noProof/>
          <w:sz w:val="24"/>
          <w:szCs w:val="24"/>
        </w:rPr>
        <w:t xml:space="preserve"> measure under the IPARD programme, subject to fulfilment of certain conditions. The IPARD implementation in Albania had a good start in terms of number of contracts signed as well as their corresponding contracted value.</w:t>
      </w:r>
      <w:r>
        <w:rPr>
          <w:rFonts w:ascii="Times New Roman" w:eastAsia="Calibri" w:hAnsi="Times New Roman" w:cs="Times New Roman"/>
          <w:noProof/>
          <w:sz w:val="24"/>
          <w:szCs w:val="24"/>
        </w:rPr>
        <w:t xml:space="preserve"> Albania should make use of the list of short-term actions made available by the Commission in order to counter the negative effects of the COVID-19 crisis, avoid de-commitment of funds and ultimately increase the number of IPARD-funded investment projects</w:t>
      </w:r>
      <w:r>
        <w:rPr>
          <w:rFonts w:ascii="Times New Roman" w:eastAsia="Calibri" w:hAnsi="Times New Roman" w:cs="Times New Roman"/>
          <w:noProof/>
          <w:sz w:val="24"/>
          <w:szCs w:val="24"/>
        </w:rPr>
        <w:t xml:space="preserve"> finalized and paid.</w:t>
      </w:r>
      <w:r>
        <w:rPr>
          <w:rFonts w:ascii="Times New Roman" w:hAnsi="Times New Roman" w:cs="Times New Roman"/>
          <w:noProof/>
          <w:sz w:val="24"/>
          <w:szCs w:val="24"/>
        </w:rPr>
        <w:t xml:space="preserve"> T</w:t>
      </w:r>
      <w:r>
        <w:rPr>
          <w:rFonts w:ascii="Times New Roman" w:eastAsia="Calibri" w:hAnsi="Times New Roman" w:cs="Times New Roman"/>
          <w:noProof/>
          <w:sz w:val="24"/>
          <w:szCs w:val="24"/>
        </w:rPr>
        <w:t xml:space="preserve">he national authorities mobilised the resources to avoid de-commitment of IPARD II programme funding at the end of 2019. However, extra effort is needed as the risk of de-commitment remains high for 2020. </w:t>
      </w:r>
    </w:p>
    <w:p w:rsidR="00EE1719" w:rsidRDefault="000E39BA">
      <w:pPr>
        <w:spacing w:after="12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Albania adopted a new Law on</w:t>
      </w:r>
      <w:r>
        <w:rPr>
          <w:rFonts w:ascii="Times New Roman" w:eastAsia="Calibri" w:hAnsi="Times New Roman" w:cs="Times New Roman"/>
          <w:noProof/>
          <w:sz w:val="24"/>
          <w:szCs w:val="24"/>
        </w:rPr>
        <w:t xml:space="preserve"> </w:t>
      </w:r>
      <w:r>
        <w:rPr>
          <w:rFonts w:ascii="Times New Roman" w:eastAsia="Calibri" w:hAnsi="Times New Roman" w:cs="Times New Roman"/>
          <w:b/>
          <w:bCs/>
          <w:noProof/>
          <w:sz w:val="24"/>
          <w:szCs w:val="24"/>
        </w:rPr>
        <w:t>quality policy</w:t>
      </w:r>
      <w:r>
        <w:rPr>
          <w:rFonts w:ascii="Times New Roman" w:eastAsia="Calibri" w:hAnsi="Times New Roman" w:cs="Times New Roman"/>
          <w:bCs/>
          <w:noProof/>
          <w:sz w:val="24"/>
          <w:szCs w:val="24"/>
        </w:rPr>
        <w:t>,</w:t>
      </w:r>
      <w:r>
        <w:rPr>
          <w:rFonts w:ascii="Times New Roman" w:eastAsia="Calibri" w:hAnsi="Times New Roman" w:cs="Times New Roman"/>
          <w:noProof/>
          <w:sz w:val="24"/>
          <w:szCs w:val="24"/>
        </w:rPr>
        <w:t xml:space="preserve"> which is partly aligned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and requires subsequent implementing legislation. It establishes quality schemes and </w:t>
      </w:r>
      <w:r>
        <w:rPr>
          <w:rFonts w:ascii="Times New Roman" w:eastAsia="Calibri" w:hAnsi="Times New Roman" w:cs="Times New Roman"/>
          <w:bCs/>
          <w:noProof/>
          <w:sz w:val="24"/>
          <w:szCs w:val="24"/>
          <w:lang w:bidi="hi-IN"/>
        </w:rPr>
        <w:t>responsible bodies</w:t>
      </w:r>
      <w:r>
        <w:rPr>
          <w:rFonts w:ascii="Times New Roman" w:eastAsia="Calibri" w:hAnsi="Times New Roman" w:cs="Times New Roman"/>
          <w:noProof/>
          <w:sz w:val="24"/>
          <w:szCs w:val="24"/>
        </w:rPr>
        <w:t xml:space="preserve"> for the recognition and protection of quality terms.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level of alignment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on </w:t>
      </w:r>
      <w:r>
        <w:rPr>
          <w:rFonts w:ascii="Times New Roman" w:eastAsia="Calibri" w:hAnsi="Times New Roman" w:cs="Times New Roman"/>
          <w:b/>
          <w:noProof/>
          <w:sz w:val="24"/>
          <w:szCs w:val="24"/>
        </w:rPr>
        <w:t xml:space="preserve">organic farming </w:t>
      </w:r>
      <w:r>
        <w:rPr>
          <w:rFonts w:ascii="Times New Roman" w:eastAsia="Calibri" w:hAnsi="Times New Roman" w:cs="Times New Roman"/>
          <w:noProof/>
          <w:sz w:val="24"/>
          <w:szCs w:val="24"/>
        </w:rPr>
        <w:t>remains low. Albania re-introduced support for organic farming in 2020.</w:t>
      </w:r>
    </w:p>
    <w:p w:rsidR="00EE1719" w:rsidRDefault="000E39BA">
      <w:pPr>
        <w:pStyle w:val="Heading2"/>
      </w:pPr>
      <w:bookmarkStart w:id="121" w:name="_Toc29803522"/>
      <w:bookmarkStart w:id="122" w:name="_Toc9430022"/>
      <w:bookmarkStart w:id="123" w:name="_Toc9331930"/>
      <w:bookmarkStart w:id="124" w:name="_Toc9328498"/>
      <w:bookmarkStart w:id="125" w:name="_Toc530733582"/>
      <w:bookmarkStart w:id="126" w:name="_Toc52745525"/>
      <w:r>
        <w:rPr>
          <w:rStyle w:val="Heading2Char"/>
          <w:rFonts w:eastAsiaTheme="minorEastAsia"/>
        </w:rPr>
        <w:t>5.12</w:t>
      </w:r>
      <w:r>
        <w:t xml:space="preserve">. </w:t>
      </w:r>
      <w:r>
        <w:tab/>
        <w:t>Chapter 12: Food safety, veterinary and phytosanitary policy</w:t>
      </w:r>
      <w:bookmarkEnd w:id="121"/>
      <w:bookmarkEnd w:id="122"/>
      <w:bookmarkEnd w:id="123"/>
      <w:bookmarkEnd w:id="124"/>
      <w:bookmarkEnd w:id="125"/>
      <w:bookmarkEnd w:id="126"/>
    </w:p>
    <w:p w:rsidR="00EE1719" w:rsidRDefault="000E39BA">
      <w:pPr>
        <w:autoSpaceDE w:val="0"/>
        <w:autoSpaceDN w:val="0"/>
        <w:adjustRightInd w:val="0"/>
        <w:spacing w:after="120" w:line="240" w:lineRule="auto"/>
        <w:jc w:val="both"/>
        <w:rPr>
          <w:rFonts w:ascii="Times New Roman" w:eastAsia="Calibri" w:hAnsi="Times New Roman" w:cs="Times New Roman"/>
          <w:i/>
          <w:iCs/>
          <w:noProof/>
          <w:sz w:val="24"/>
          <w:szCs w:val="24"/>
        </w:rPr>
      </w:pPr>
      <w:bookmarkStart w:id="127" w:name="_Toc510686867"/>
      <w:r>
        <w:rPr>
          <w:rFonts w:ascii="Times New Roman" w:eastAsia="Calibri" w:hAnsi="Times New Roman" w:cs="Times New Roman"/>
          <w:i/>
          <w:iCs/>
          <w:noProof/>
          <w:sz w:val="24"/>
          <w:szCs w:val="24"/>
        </w:rPr>
        <w:t xml:space="preserve">EU hygiene rules for foodstuff production ensure a high level of food safety. Animal </w:t>
      </w:r>
      <w:r>
        <w:rPr>
          <w:rFonts w:ascii="Times New Roman" w:eastAsia="Calibri" w:hAnsi="Times New Roman" w:cs="Times New Roman"/>
          <w:i/>
          <w:iCs/>
          <w:noProof/>
          <w:sz w:val="24"/>
          <w:szCs w:val="24"/>
        </w:rPr>
        <w:t>health and welfare and the safety of food of animal origin are safeguarded together with the quality of seeds, plant protection material, protection against harmful organisms and animal nutrition.</w:t>
      </w:r>
    </w:p>
    <w:p w:rsidR="00EE1719" w:rsidRDefault="000E39BA">
      <w:pPr>
        <w:pBdr>
          <w:top w:val="single" w:sz="4" w:space="1" w:color="auto"/>
          <w:left w:val="single" w:sz="4" w:space="4" w:color="auto"/>
          <w:bottom w:val="single" w:sz="4" w:space="0"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Albania has </w:t>
      </w:r>
      <w:r>
        <w:rPr>
          <w:rFonts w:ascii="Times New Roman" w:eastAsia="Calibri" w:hAnsi="Times New Roman" w:cs="Times New Roman"/>
          <w:b/>
          <w:noProof/>
          <w:sz w:val="24"/>
          <w:szCs w:val="24"/>
        </w:rPr>
        <w:t xml:space="preserve">some level of preparation </w:t>
      </w:r>
      <w:r>
        <w:rPr>
          <w:rFonts w:ascii="Times New Roman" w:eastAsia="Calibri" w:hAnsi="Times New Roman" w:cs="Times New Roman"/>
          <w:noProof/>
          <w:sz w:val="24"/>
          <w:szCs w:val="24"/>
        </w:rPr>
        <w:t>in this area. Albania</w:t>
      </w:r>
      <w:r>
        <w:rPr>
          <w:rFonts w:ascii="Times New Roman" w:eastAsia="Calibri" w:hAnsi="Times New Roman" w:cs="Times New Roman"/>
          <w:noProof/>
          <w:sz w:val="24"/>
          <w:szCs w:val="24"/>
        </w:rPr>
        <w:t xml:space="preserve"> made </w:t>
      </w:r>
      <w:r>
        <w:rPr>
          <w:rFonts w:ascii="Times New Roman" w:eastAsia="Calibri" w:hAnsi="Times New Roman" w:cs="Times New Roman"/>
          <w:b/>
          <w:bCs/>
          <w:noProof/>
          <w:sz w:val="24"/>
          <w:szCs w:val="24"/>
        </w:rPr>
        <w:t>some</w:t>
      </w:r>
      <w:r>
        <w:rPr>
          <w:rFonts w:ascii="Times New Roman" w:eastAsia="Calibri" w:hAnsi="Times New Roman" w:cs="Times New Roman"/>
          <w:bCs/>
          <w:noProof/>
          <w:sz w:val="24"/>
          <w:szCs w:val="24"/>
        </w:rPr>
        <w:t xml:space="preserve"> </w:t>
      </w:r>
      <w:r>
        <w:rPr>
          <w:rFonts w:ascii="Times New Roman" w:eastAsia="Calibri" w:hAnsi="Times New Roman" w:cs="Times New Roman"/>
          <w:b/>
          <w:bCs/>
          <w:noProof/>
          <w:sz w:val="24"/>
          <w:szCs w:val="24"/>
        </w:rPr>
        <w:t xml:space="preserve">progress </w:t>
      </w:r>
      <w:r>
        <w:rPr>
          <w:rFonts w:ascii="Times New Roman" w:eastAsia="Calibri" w:hAnsi="Times New Roman" w:cs="Times New Roman"/>
          <w:noProof/>
          <w:sz w:val="24"/>
          <w:szCs w:val="24"/>
        </w:rPr>
        <w:t>in implementing relevant measures in the food safety and veterinary sectors, as well as in the animal register. However, so far, the restructuring of the veterinary sector is still to be implemented. Albania needs to design a coherent r</w:t>
      </w:r>
      <w:r>
        <w:rPr>
          <w:rFonts w:ascii="Times New Roman" w:eastAsia="Calibri" w:hAnsi="Times New Roman" w:cs="Times New Roman"/>
          <w:noProof/>
          <w:sz w:val="24"/>
          <w:szCs w:val="24"/>
        </w:rPr>
        <w:t xml:space="preserve">oadmap to ensure the alignment, capacity building and implementation of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on official controls, animal health and plant health in the frame of a consolidated national food safety policy. The Commission’s recommendations from 2019 were not fully</w:t>
      </w:r>
      <w:r>
        <w:rPr>
          <w:rFonts w:ascii="Times New Roman" w:eastAsia="Calibri" w:hAnsi="Times New Roman" w:cs="Times New Roman"/>
          <w:noProof/>
          <w:sz w:val="24"/>
          <w:szCs w:val="24"/>
        </w:rPr>
        <w:t xml:space="preserve"> implemented and remain valid.</w:t>
      </w:r>
    </w:p>
    <w:p w:rsidR="00EE1719" w:rsidRDefault="000E39BA">
      <w:pPr>
        <w:pBdr>
          <w:top w:val="single" w:sz="4" w:space="1" w:color="auto"/>
          <w:left w:val="single" w:sz="4" w:space="4" w:color="auto"/>
          <w:bottom w:val="single" w:sz="4" w:space="0"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During 2020, Albania should in particular: </w:t>
      </w:r>
    </w:p>
    <w:p w:rsidR="00EE1719" w:rsidRDefault="000E39BA">
      <w:pPr>
        <w:numPr>
          <w:ilvl w:val="0"/>
          <w:numId w:val="48"/>
        </w:numPr>
        <w:pBdr>
          <w:top w:val="single" w:sz="4" w:space="1" w:color="auto"/>
          <w:left w:val="single" w:sz="4" w:space="4" w:color="auto"/>
          <w:bottom w:val="single" w:sz="4" w:space="0" w:color="auto"/>
          <w:right w:val="single" w:sz="4" w:space="4" w:color="auto"/>
        </w:pBdr>
        <w:shd w:val="clear" w:color="auto" w:fill="D9D9D9"/>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complete the reorganisation of the veterinary service to enhance the efficiency and ensure a suitable level of administrative capacity;</w:t>
      </w:r>
    </w:p>
    <w:p w:rsidR="00EE1719" w:rsidRDefault="000E39BA">
      <w:pPr>
        <w:numPr>
          <w:ilvl w:val="0"/>
          <w:numId w:val="48"/>
        </w:numPr>
        <w:pBdr>
          <w:top w:val="single" w:sz="4" w:space="1" w:color="auto"/>
          <w:left w:val="single" w:sz="4" w:space="4" w:color="auto"/>
          <w:bottom w:val="single" w:sz="4" w:space="0" w:color="auto"/>
          <w:right w:val="single" w:sz="4" w:space="4" w:color="auto"/>
        </w:pBdr>
        <w:shd w:val="clear" w:color="auto" w:fill="D9D9D9"/>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continue to efficiently implement the new rabies vaccination programme (2020-2021); </w:t>
      </w:r>
    </w:p>
    <w:p w:rsidR="00EE1719" w:rsidRDefault="000E39BA">
      <w:pPr>
        <w:numPr>
          <w:ilvl w:val="0"/>
          <w:numId w:val="48"/>
        </w:numPr>
        <w:pBdr>
          <w:top w:val="single" w:sz="4" w:space="1" w:color="auto"/>
          <w:left w:val="single" w:sz="4" w:space="4" w:color="auto"/>
          <w:bottom w:val="single" w:sz="4" w:space="0" w:color="auto"/>
          <w:right w:val="single" w:sz="4" w:space="4" w:color="auto"/>
        </w:pBdr>
        <w:shd w:val="clear" w:color="auto" w:fill="D9D9D9"/>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adopt a new risk-based methodology for the planning of official food safety controls; implement official controls according to the updated annual inspection plans based on</w:t>
      </w:r>
      <w:r>
        <w:rPr>
          <w:rFonts w:ascii="Times New Roman" w:eastAsia="Calibri" w:hAnsi="Times New Roman" w:cs="Times New Roman"/>
          <w:noProof/>
          <w:sz w:val="24"/>
          <w:szCs w:val="24"/>
        </w:rPr>
        <w:t xml:space="preserve"> an improved risk -based methodology for the planning of official food safety controls;</w:t>
      </w:r>
    </w:p>
    <w:p w:rsidR="00EE1719" w:rsidRDefault="000E39BA">
      <w:pPr>
        <w:numPr>
          <w:ilvl w:val="0"/>
          <w:numId w:val="48"/>
        </w:numPr>
        <w:pBdr>
          <w:top w:val="single" w:sz="4" w:space="1" w:color="auto"/>
          <w:left w:val="single" w:sz="4" w:space="4" w:color="auto"/>
          <w:bottom w:val="single" w:sz="4" w:space="0"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rPr>
        <w:t>improve the control of plant protection products and consolidate the pesticide residues monitoring capacity in food products.</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general food safety</w:t>
      </w:r>
      <w:r>
        <w:rPr>
          <w:rFonts w:ascii="Times New Roman" w:eastAsia="Calibri" w:hAnsi="Times New Roman" w:cs="Times New Roman"/>
          <w:noProof/>
          <w:sz w:val="24"/>
          <w:szCs w:val="24"/>
        </w:rPr>
        <w:t xml:space="preserve">, the National Food </w:t>
      </w:r>
      <w:r>
        <w:rPr>
          <w:rFonts w:ascii="Times New Roman" w:eastAsia="Calibri" w:hAnsi="Times New Roman" w:cs="Times New Roman"/>
          <w:noProof/>
          <w:sz w:val="24"/>
          <w:szCs w:val="24"/>
        </w:rPr>
        <w:t>Authority carried out regular official controls in line with an annual risk-based plan, and took relevant measures, including warnings, fines, the seizure and disposal of non-consumable food, and activity suspension. However, risk assessment capacity based</w:t>
      </w:r>
      <w:r>
        <w:rPr>
          <w:rFonts w:ascii="Times New Roman" w:eastAsia="Calibri" w:hAnsi="Times New Roman" w:cs="Times New Roman"/>
          <w:noProof/>
          <w:sz w:val="24"/>
          <w:szCs w:val="24"/>
        </w:rPr>
        <w:t xml:space="preserve"> on scientific opinion remains weak and must be improved.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At the current stage, it is important to: enhance official controls by adopting an improved risk-based methodology, produce clear and detailed official control statistics that are based on the rele</w:t>
      </w:r>
      <w:r>
        <w:rPr>
          <w:rFonts w:ascii="Times New Roman" w:eastAsia="Calibri" w:hAnsi="Times New Roman" w:cs="Times New Roman"/>
          <w:noProof/>
          <w:sz w:val="24"/>
          <w:szCs w:val="24"/>
        </w:rPr>
        <w:t xml:space="preserve">vant information system assisting in the preparation of annual inspection plans and the design of specific policies in the sector, establish internal audits, and continue ensuring training of staff. </w:t>
      </w:r>
    </w:p>
    <w:p w:rsidR="00EE1719" w:rsidRDefault="000E39BA">
      <w:pPr>
        <w:widowControl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w:t>
      </w:r>
      <w:r>
        <w:rPr>
          <w:rFonts w:ascii="Times New Roman" w:eastAsia="Calibri" w:hAnsi="Times New Roman" w:cs="Times New Roman"/>
          <w:b/>
          <w:bCs/>
          <w:noProof/>
          <w:sz w:val="24"/>
          <w:szCs w:val="24"/>
        </w:rPr>
        <w:t>veterinary policy</w:t>
      </w:r>
      <w:r>
        <w:rPr>
          <w:rFonts w:ascii="Times New Roman" w:eastAsia="Calibri" w:hAnsi="Times New Roman" w:cs="Times New Roman"/>
          <w:noProof/>
          <w:sz w:val="24"/>
          <w:szCs w:val="24"/>
        </w:rPr>
        <w:t xml:space="preserve">, following the approval of </w:t>
      </w:r>
      <w:r>
        <w:rPr>
          <w:rFonts w:ascii="Times New Roman" w:eastAsia="Calibri" w:hAnsi="Times New Roman" w:cs="Times New Roman"/>
          <w:noProof/>
          <w:sz w:val="24"/>
          <w:szCs w:val="24"/>
        </w:rPr>
        <w:t>the disease control strategies, the Ministry of Agriculture and Rural Development (MARD) continued to work on a regulation establishing criteria for national programmes to accelerate the eradication of certain diseases in cattle (e.g. brucellosis, tubercul</w:t>
      </w:r>
      <w:r>
        <w:rPr>
          <w:rFonts w:ascii="Times New Roman" w:eastAsia="Calibri" w:hAnsi="Times New Roman" w:cs="Times New Roman"/>
          <w:noProof/>
          <w:sz w:val="24"/>
          <w:szCs w:val="24"/>
        </w:rPr>
        <w:t xml:space="preserve">osis and leucosis).   </w:t>
      </w:r>
    </w:p>
    <w:p w:rsidR="00EE1719" w:rsidRDefault="000E39BA">
      <w:pPr>
        <w:widowControl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Implementation of programmes for the monitoring of brucellosis and tuberculosis in cattle herds of over 10 heads continued, as did vaccination against lumpy skin disease in cattle, brucellosis on replacement animals in small ruminant</w:t>
      </w:r>
      <w:r>
        <w:rPr>
          <w:rFonts w:ascii="Times New Roman" w:eastAsia="Calibri" w:hAnsi="Times New Roman" w:cs="Times New Roman"/>
          <w:noProof/>
          <w:sz w:val="24"/>
          <w:szCs w:val="24"/>
        </w:rPr>
        <w:t xml:space="preserve">s and anthrax. </w:t>
      </w:r>
    </w:p>
    <w:p w:rsidR="00EE1719" w:rsidRDefault="000E39BA">
      <w:pPr>
        <w:widowControl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Animal numbers were verified and registered countrywide, but the animal register still requires updating. The new data are expected to improve information on the real number of animals and help the veterinary service to plan the measures and budget for reg</w:t>
      </w:r>
      <w:r>
        <w:rPr>
          <w:rFonts w:ascii="Times New Roman" w:eastAsia="Calibri" w:hAnsi="Times New Roman" w:cs="Times New Roman"/>
          <w:noProof/>
          <w:sz w:val="24"/>
          <w:szCs w:val="24"/>
        </w:rPr>
        <w:t xml:space="preserve">istration and animal disease control. </w:t>
      </w:r>
    </w:p>
    <w:p w:rsidR="00EE1719" w:rsidRDefault="000E39BA">
      <w:pPr>
        <w:widowControl w:val="0"/>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The amendments to the veterinary law approved in June 2020 are expected to improve the structure and functioning of the Veterinary Service by avoiding fragmentation and improve the chain of command and communication. </w:t>
      </w:r>
      <w:r>
        <w:rPr>
          <w:rFonts w:ascii="Times New Roman" w:hAnsi="Times New Roman" w:cs="Times New Roman"/>
          <w:noProof/>
          <w:sz w:val="24"/>
          <w:szCs w:val="24"/>
        </w:rPr>
        <w:t>However, the reform is yet to be completed. P</w:t>
      </w:r>
      <w:r>
        <w:rPr>
          <w:rFonts w:ascii="Times New Roman" w:eastAsia="Calibri" w:hAnsi="Times New Roman" w:cs="Times New Roman"/>
          <w:noProof/>
          <w:sz w:val="24"/>
          <w:szCs w:val="24"/>
        </w:rPr>
        <w:t>roblems identified in the previous report should be addressed, and adequate administrative capacities should be ensured.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With regard to the </w:t>
      </w:r>
      <w:r>
        <w:rPr>
          <w:rFonts w:ascii="Times New Roman" w:eastAsia="Calibri" w:hAnsi="Times New Roman" w:cs="Times New Roman"/>
          <w:b/>
          <w:bCs/>
          <w:noProof/>
          <w:sz w:val="24"/>
          <w:szCs w:val="24"/>
        </w:rPr>
        <w:t>placing on the market of food, feed and animal by-products</w:t>
      </w:r>
      <w:r>
        <w:rPr>
          <w:rFonts w:ascii="Times New Roman" w:eastAsia="Calibri" w:hAnsi="Times New Roman" w:cs="Times New Roman"/>
          <w:noProof/>
          <w:sz w:val="24"/>
          <w:szCs w:val="24"/>
        </w:rPr>
        <w:t>, the nati</w:t>
      </w:r>
      <w:r>
        <w:rPr>
          <w:rFonts w:ascii="Times New Roman" w:eastAsia="Calibri" w:hAnsi="Times New Roman" w:cs="Times New Roman"/>
          <w:noProof/>
          <w:sz w:val="24"/>
          <w:szCs w:val="24"/>
        </w:rPr>
        <w:t xml:space="preserve">onal residue monitoring plan (covering veterinary medical products, pesticide residues, heavy metals and mycotoxins in live animals and products of animal origin) was implemented in line with the requirements and validated analytical methods.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Albania imp</w:t>
      </w:r>
      <w:r>
        <w:rPr>
          <w:rFonts w:ascii="Times New Roman" w:eastAsia="Calibri" w:hAnsi="Times New Roman" w:cs="Times New Roman"/>
          <w:noProof/>
          <w:sz w:val="24"/>
          <w:szCs w:val="24"/>
        </w:rPr>
        <w:t xml:space="preserve">lemented the annual national plan for official controls based on risk and sampling of food, feed, plants and agriculture inputs, and the sampling plan in border control posts. In addition to adoption of a risk-based approach to inspections, in conjunction </w:t>
      </w:r>
      <w:r>
        <w:rPr>
          <w:rFonts w:ascii="Times New Roman" w:eastAsia="Calibri" w:hAnsi="Times New Roman" w:cs="Times New Roman"/>
          <w:noProof/>
          <w:sz w:val="24"/>
          <w:szCs w:val="24"/>
        </w:rPr>
        <w:t>with the other areas of food safety and veterinary policy, attention should be paid to investments in border control posts facilities.</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Actions under the Instrument for Pre-Accession Assistance (IPA), including equipment and staff training, have enhanced th</w:t>
      </w:r>
      <w:r>
        <w:rPr>
          <w:rFonts w:ascii="Times New Roman" w:eastAsia="Calibri" w:hAnsi="Times New Roman" w:cs="Times New Roman"/>
          <w:noProof/>
          <w:sz w:val="24"/>
          <w:szCs w:val="24"/>
        </w:rPr>
        <w:t xml:space="preserve">e capacity to monitor pesticide residues in food products.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w:t>
      </w:r>
      <w:r>
        <w:rPr>
          <w:rFonts w:ascii="Times New Roman" w:eastAsia="Calibri" w:hAnsi="Times New Roman" w:cs="Times New Roman"/>
          <w:b/>
          <w:bCs/>
          <w:noProof/>
          <w:sz w:val="24"/>
          <w:szCs w:val="24"/>
        </w:rPr>
        <w:t>food safety rules</w:t>
      </w:r>
      <w:r>
        <w:rPr>
          <w:rFonts w:ascii="Times New Roman" w:eastAsia="Calibri" w:hAnsi="Times New Roman" w:cs="Times New Roman"/>
          <w:noProof/>
          <w:sz w:val="24"/>
          <w:szCs w:val="24"/>
        </w:rPr>
        <w:t xml:space="preserve">, the Council of Ministers endorsed amendments to the Law on food and these were approved by the Parliament in February 2020. One of the amendments concerns exemptions </w:t>
      </w:r>
      <w:r>
        <w:rPr>
          <w:rFonts w:ascii="Times New Roman" w:eastAsia="Calibri" w:hAnsi="Times New Roman" w:cs="Times New Roman"/>
          <w:noProof/>
          <w:sz w:val="24"/>
          <w:szCs w:val="24"/>
        </w:rPr>
        <w:t xml:space="preserve">from the hazard analysis and critical control points (HACCP) system for producers of traditional products and small producers of primary products selling directly to consumers.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phytosanitary policy</w:t>
      </w:r>
      <w:r>
        <w:rPr>
          <w:rFonts w:ascii="Times New Roman" w:eastAsia="Calibri" w:hAnsi="Times New Roman" w:cs="Times New Roman"/>
          <w:noProof/>
          <w:sz w:val="24"/>
          <w:szCs w:val="24"/>
        </w:rPr>
        <w:t>, MARD continued with the approval of active substances</w:t>
      </w:r>
      <w:r>
        <w:rPr>
          <w:rFonts w:ascii="Times New Roman" w:eastAsia="Calibri" w:hAnsi="Times New Roman" w:cs="Times New Roman"/>
          <w:noProof/>
          <w:sz w:val="24"/>
          <w:szCs w:val="24"/>
        </w:rPr>
        <w:t xml:space="preserve"> of plant protection products under the 2016 Law on plant protection. In line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the government approved an implementing regulation on the sustainable use of plant protection products and eligibility criteria for users.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regards the leg</w:t>
      </w:r>
      <w:r>
        <w:rPr>
          <w:rFonts w:ascii="Times New Roman" w:eastAsia="Calibri" w:hAnsi="Times New Roman" w:cs="Times New Roman"/>
          <w:noProof/>
          <w:sz w:val="24"/>
          <w:szCs w:val="24"/>
        </w:rPr>
        <w:t xml:space="preserve">islation on </w:t>
      </w:r>
      <w:r>
        <w:rPr>
          <w:rFonts w:ascii="Times New Roman" w:eastAsia="Calibri" w:hAnsi="Times New Roman" w:cs="Times New Roman"/>
          <w:b/>
          <w:bCs/>
          <w:noProof/>
          <w:sz w:val="24"/>
          <w:szCs w:val="24"/>
        </w:rPr>
        <w:t>feed</w:t>
      </w:r>
      <w:r>
        <w:rPr>
          <w:rFonts w:ascii="Times New Roman" w:eastAsia="Calibri" w:hAnsi="Times New Roman" w:cs="Times New Roman"/>
          <w:noProof/>
          <w:sz w:val="24"/>
          <w:szCs w:val="24"/>
        </w:rPr>
        <w:t xml:space="preserve"> and </w:t>
      </w:r>
      <w:r>
        <w:rPr>
          <w:rFonts w:ascii="Times New Roman" w:eastAsia="Calibri" w:hAnsi="Times New Roman" w:cs="Times New Roman"/>
          <w:b/>
          <w:noProof/>
          <w:sz w:val="24"/>
          <w:szCs w:val="24"/>
        </w:rPr>
        <w:t>genetically modified organisms (GMOs)</w:t>
      </w:r>
      <w:r>
        <w:rPr>
          <w:rFonts w:ascii="Times New Roman" w:eastAsia="Calibri" w:hAnsi="Times New Roman" w:cs="Times New Roman"/>
          <w:noProof/>
          <w:sz w:val="24"/>
          <w:szCs w:val="24"/>
        </w:rPr>
        <w:t>, the</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regulation on the</w:t>
      </w:r>
      <w:r>
        <w:rPr>
          <w:rFonts w:ascii="Times New Roman" w:eastAsia="Times New Roman" w:hAnsi="Times New Roman" w:cs="Times New Roman"/>
          <w:noProof/>
          <w:sz w:val="24"/>
          <w:szCs w:val="24"/>
          <w:lang w:eastAsia="sq-AL"/>
        </w:rPr>
        <w:t xml:space="preserve"> “Rules for labelling of feed for animals used for food, including those consisting of or containing GMOs” was approved by the government in May 2020, following earlier notification to the World Trade Organization (WTO).  </w:t>
      </w:r>
      <w:bookmarkEnd w:id="127"/>
    </w:p>
    <w:p w:rsidR="00EE1719" w:rsidRDefault="000E39BA">
      <w:pPr>
        <w:pStyle w:val="Heading2"/>
      </w:pPr>
      <w:bookmarkStart w:id="128" w:name="_Toc29803523"/>
      <w:bookmarkStart w:id="129" w:name="_Toc9430023"/>
      <w:bookmarkStart w:id="130" w:name="_Toc9331931"/>
      <w:bookmarkStart w:id="131" w:name="_Toc9328499"/>
      <w:bookmarkStart w:id="132" w:name="_Toc530733583"/>
      <w:bookmarkStart w:id="133" w:name="_Toc52745526"/>
      <w:r>
        <w:rPr>
          <w:rStyle w:val="Heading2Char"/>
          <w:rFonts w:eastAsiaTheme="minorEastAsia"/>
        </w:rPr>
        <w:t>5.13.</w:t>
      </w:r>
      <w:r>
        <w:t xml:space="preserve"> </w:t>
      </w:r>
      <w:r>
        <w:tab/>
        <w:t>Chapter 13: Fisheries</w:t>
      </w:r>
      <w:bookmarkEnd w:id="128"/>
      <w:bookmarkEnd w:id="129"/>
      <w:bookmarkEnd w:id="130"/>
      <w:bookmarkEnd w:id="131"/>
      <w:bookmarkEnd w:id="132"/>
      <w:bookmarkEnd w:id="133"/>
    </w:p>
    <w:p w:rsidR="00EE1719" w:rsidRDefault="000E39BA">
      <w:pPr>
        <w:keepNext/>
        <w:autoSpaceDE w:val="0"/>
        <w:autoSpaceDN w:val="0"/>
        <w:adjustRightInd w:val="0"/>
        <w:spacing w:after="120" w:line="240" w:lineRule="auto"/>
        <w:jc w:val="both"/>
        <w:rPr>
          <w:rFonts w:ascii="Times New Roman" w:eastAsia="Calibri" w:hAnsi="Times New Roman" w:cs="Times New Roman"/>
          <w:i/>
          <w:iCs/>
          <w:noProof/>
          <w:sz w:val="24"/>
          <w:szCs w:val="24"/>
        </w:rPr>
      </w:pPr>
      <w:bookmarkStart w:id="134" w:name="_Toc510686868"/>
      <w:r>
        <w:rPr>
          <w:rFonts w:ascii="Times New Roman" w:eastAsia="Calibri" w:hAnsi="Times New Roman" w:cs="Times New Roman"/>
          <w:i/>
          <w:iCs/>
          <w:noProof/>
          <w:sz w:val="24"/>
          <w:szCs w:val="24"/>
        </w:rPr>
        <w:t xml:space="preserve">The </w:t>
      </w:r>
      <w:r>
        <w:rPr>
          <w:rFonts w:ascii="Times New Roman" w:eastAsia="Calibri" w:hAnsi="Times New Roman" w:cs="Times New Roman"/>
          <w:i/>
          <w:iCs/>
          <w:noProof/>
          <w:sz w:val="24"/>
          <w:szCs w:val="24"/>
        </w:rPr>
        <w:t>common fisheries policy lays down rules on fisheries management, protects living resources of the sea and limits the environmental impact of fisheries. This includes setting catch quotas, managing fleet capacity, rules on markets and aquaculture and suppor</w:t>
      </w:r>
      <w:r>
        <w:rPr>
          <w:rFonts w:ascii="Times New Roman" w:eastAsia="Calibri" w:hAnsi="Times New Roman" w:cs="Times New Roman"/>
          <w:i/>
          <w:iCs/>
          <w:noProof/>
          <w:sz w:val="24"/>
          <w:szCs w:val="24"/>
        </w:rPr>
        <w:t xml:space="preserve">t for fisheries and coastal communities. </w:t>
      </w:r>
    </w:p>
    <w:p w:rsidR="00EE1719" w:rsidRDefault="000E39BA">
      <w:pPr>
        <w:pBdr>
          <w:top w:val="single" w:sz="4" w:space="1" w:color="auto"/>
          <w:left w:val="single" w:sz="4" w:space="4" w:color="auto"/>
          <w:bottom w:val="single" w:sz="4" w:space="9" w:color="auto"/>
          <w:right w:val="single" w:sz="4" w:space="4" w:color="auto"/>
        </w:pBdr>
        <w:shd w:val="clear" w:color="auto" w:fill="D9D9D9"/>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is still at an </w:t>
      </w:r>
      <w:r>
        <w:rPr>
          <w:rFonts w:ascii="Times New Roman" w:eastAsia="Times New Roman" w:hAnsi="Times New Roman" w:cs="Times New Roman"/>
          <w:b/>
          <w:noProof/>
          <w:sz w:val="24"/>
          <w:szCs w:val="24"/>
        </w:rPr>
        <w:t>early stage</w:t>
      </w:r>
      <w:r>
        <w:rPr>
          <w:rFonts w:ascii="Times New Roman" w:eastAsia="Times New Roman" w:hAnsi="Times New Roman" w:cs="Times New Roman"/>
          <w:noProof/>
          <w:sz w:val="24"/>
          <w:szCs w:val="24"/>
        </w:rPr>
        <w:t xml:space="preserve"> of preparation. Albania made </w:t>
      </w:r>
      <w:r>
        <w:rPr>
          <w:rFonts w:ascii="Times New Roman" w:eastAsia="Times New Roman" w:hAnsi="Times New Roman" w:cs="Times New Roman"/>
          <w:b/>
          <w:noProof/>
          <w:sz w:val="24"/>
          <w:szCs w:val="24"/>
        </w:rPr>
        <w:t>some progress</w:t>
      </w:r>
      <w:r>
        <w:rPr>
          <w:rFonts w:ascii="Times New Roman" w:eastAsia="Times New Roman" w:hAnsi="Times New Roman" w:cs="Times New Roman"/>
          <w:noProof/>
          <w:sz w:val="24"/>
          <w:szCs w:val="24"/>
        </w:rPr>
        <w:t xml:space="preserve"> in the preparation and approval of regulations regarding data collection, management of small fisheries and fishing efforts for some spe</w:t>
      </w:r>
      <w:r>
        <w:rPr>
          <w:rFonts w:ascii="Times New Roman" w:eastAsia="Times New Roman" w:hAnsi="Times New Roman" w:cs="Times New Roman"/>
          <w:noProof/>
          <w:sz w:val="24"/>
          <w:szCs w:val="24"/>
        </w:rPr>
        <w:t>cies in the Adriatic Sea. Albania also launched procurement procedures that would allow starting the necessary works to reactivate the vessel monitoring system. However, recommendations of Commission's latest reports on efficient and effective implementati</w:t>
      </w:r>
      <w:r>
        <w:rPr>
          <w:rFonts w:ascii="Times New Roman" w:eastAsia="Times New Roman" w:hAnsi="Times New Roman" w:cs="Times New Roman"/>
          <w:noProof/>
          <w:sz w:val="24"/>
          <w:szCs w:val="24"/>
        </w:rPr>
        <w:t>on of the fishery sector strategy as well as i</w:t>
      </w:r>
      <w:r>
        <w:rPr>
          <w:rFonts w:ascii="Times New Roman" w:eastAsia="Calibri" w:hAnsi="Times New Roman" w:cs="Times New Roman"/>
          <w:bCs/>
          <w:noProof/>
          <w:sz w:val="24"/>
          <w:szCs w:val="24"/>
        </w:rPr>
        <w:t>nspection and control</w:t>
      </w:r>
      <w:r>
        <w:rPr>
          <w:rFonts w:ascii="Times New Roman" w:eastAsia="Calibri" w:hAnsi="Times New Roman" w:cs="Times New Roman"/>
          <w:b/>
          <w:bCs/>
          <w:noProof/>
          <w:sz w:val="24"/>
          <w:szCs w:val="24"/>
        </w:rPr>
        <w:t xml:space="preserve"> </w:t>
      </w:r>
      <w:r>
        <w:rPr>
          <w:rFonts w:ascii="Times New Roman" w:eastAsia="Calibri" w:hAnsi="Times New Roman" w:cs="Times New Roman"/>
          <w:bCs/>
          <w:noProof/>
          <w:sz w:val="24"/>
          <w:szCs w:val="24"/>
        </w:rPr>
        <w:t>capacity to fight illegal fishing remained to be addressed</w:t>
      </w:r>
      <w:r>
        <w:rPr>
          <w:rFonts w:ascii="Times New Roman" w:eastAsia="Times New Roman" w:hAnsi="Times New Roman" w:cs="Times New Roman"/>
          <w:noProof/>
          <w:sz w:val="24"/>
          <w:szCs w:val="24"/>
        </w:rPr>
        <w:t xml:space="preserve">. </w:t>
      </w:r>
    </w:p>
    <w:p w:rsidR="00EE1719" w:rsidRDefault="000E39BA">
      <w:pPr>
        <w:pBdr>
          <w:top w:val="single" w:sz="4" w:space="1" w:color="auto"/>
          <w:left w:val="single" w:sz="4" w:space="4" w:color="auto"/>
          <w:bottom w:val="single" w:sz="4" w:space="9" w:color="auto"/>
          <w:right w:val="single" w:sz="4" w:space="4" w:color="auto"/>
        </w:pBdr>
        <w:shd w:val="clear" w:color="auto" w:fill="D9D9D9"/>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During 2020, Albania should in particular: </w:t>
      </w:r>
    </w:p>
    <w:p w:rsidR="00EE1719" w:rsidRDefault="000E39BA">
      <w:pPr>
        <w:widowControl w:val="0"/>
        <w:numPr>
          <w:ilvl w:val="0"/>
          <w:numId w:val="97"/>
        </w:numPr>
        <w:pBdr>
          <w:top w:val="single" w:sz="4" w:space="1" w:color="auto"/>
          <w:left w:val="single" w:sz="4" w:space="4" w:color="auto"/>
          <w:bottom w:val="single" w:sz="4" w:space="9" w:color="auto"/>
          <w:right w:val="single" w:sz="4" w:space="4" w:color="auto"/>
        </w:pBdr>
        <w:shd w:val="clear" w:color="auto" w:fill="D9D9D9"/>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take steps to complete and strengthen the administrative capacity of the fishery sector to ensure an appropriate management of fisheries resources in line with the national strategy and international obligations; </w:t>
      </w:r>
    </w:p>
    <w:p w:rsidR="00EE1719" w:rsidRDefault="000E39BA">
      <w:pPr>
        <w:numPr>
          <w:ilvl w:val="0"/>
          <w:numId w:val="97"/>
        </w:numPr>
        <w:pBdr>
          <w:top w:val="single" w:sz="4" w:space="1" w:color="auto"/>
          <w:left w:val="single" w:sz="4" w:space="4" w:color="auto"/>
          <w:bottom w:val="single" w:sz="4" w:space="9" w:color="auto"/>
          <w:right w:val="single" w:sz="4" w:space="4" w:color="auto"/>
        </w:pBdr>
        <w:shd w:val="clear" w:color="auto" w:fill="D9D9D9"/>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continue with the implementation of the Re</w:t>
      </w:r>
      <w:r>
        <w:rPr>
          <w:rFonts w:ascii="Times New Roman" w:eastAsia="Times New Roman" w:hAnsi="Times New Roman" w:cs="Times New Roman"/>
          <w:noProof/>
          <w:sz w:val="24"/>
          <w:szCs w:val="24"/>
        </w:rPr>
        <w:t xml:space="preserve">gional Plan of Action for small-scale fisheries including the improving of data collection and landing statistics from small fisheries; </w:t>
      </w:r>
    </w:p>
    <w:p w:rsidR="00EE1719" w:rsidRDefault="000E39BA">
      <w:pPr>
        <w:numPr>
          <w:ilvl w:val="0"/>
          <w:numId w:val="97"/>
        </w:numPr>
        <w:pBdr>
          <w:top w:val="single" w:sz="4" w:space="1" w:color="auto"/>
          <w:left w:val="single" w:sz="4" w:space="4" w:color="auto"/>
          <w:bottom w:val="single" w:sz="4" w:space="9"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iCs/>
          <w:noProof/>
          <w:sz w:val="24"/>
          <w:szCs w:val="24"/>
        </w:rPr>
      </w:pPr>
      <w:r>
        <w:rPr>
          <w:rFonts w:ascii="Times New Roman" w:eastAsia="Times New Roman" w:hAnsi="Times New Roman" w:cs="Times New Roman"/>
          <w:noProof/>
          <w:sz w:val="24"/>
          <w:szCs w:val="24"/>
        </w:rPr>
        <w:t xml:space="preserve">finalise the process of reactivation of the vessel monitoring system (VMS) and strengthen inspection and control </w:t>
      </w:r>
      <w:r>
        <w:rPr>
          <w:rFonts w:ascii="Times New Roman" w:eastAsia="Times New Roman" w:hAnsi="Times New Roman" w:cs="Times New Roman"/>
          <w:noProof/>
          <w:sz w:val="24"/>
          <w:szCs w:val="24"/>
        </w:rPr>
        <w:t>capacity to deter illegal, unreported and unregulated fishing.</w:t>
      </w:r>
    </w:p>
    <w:p w:rsidR="00EE1719" w:rsidRDefault="000E39BA">
      <w:pPr>
        <w:spacing w:after="120" w:line="240" w:lineRule="auto"/>
        <w:jc w:val="both"/>
        <w:rPr>
          <w:rFonts w:ascii="Times New Roman" w:eastAsia="Calibri" w:hAnsi="Times New Roman" w:cs="Times New Roman"/>
          <w:bCs/>
          <w:noProof/>
          <w:sz w:val="24"/>
          <w:szCs w:val="24"/>
        </w:rPr>
      </w:pPr>
      <w:bookmarkStart w:id="135" w:name="_Toc510686869"/>
      <w:bookmarkEnd w:id="134"/>
      <w:r>
        <w:rPr>
          <w:rFonts w:ascii="Times New Roman" w:eastAsia="Calibri" w:hAnsi="Times New Roman" w:cs="Times New Roman"/>
          <w:noProof/>
          <w:sz w:val="24"/>
          <w:szCs w:val="24"/>
        </w:rPr>
        <w:t xml:space="preserve">As regards </w:t>
      </w:r>
      <w:r>
        <w:rPr>
          <w:rFonts w:ascii="Times New Roman" w:eastAsia="Calibri" w:hAnsi="Times New Roman" w:cs="Times New Roman"/>
          <w:b/>
          <w:noProof/>
          <w:sz w:val="24"/>
          <w:szCs w:val="24"/>
        </w:rPr>
        <w:t>resource and fleet management</w:t>
      </w:r>
      <w:r>
        <w:rPr>
          <w:rFonts w:ascii="Times New Roman" w:eastAsia="Calibri" w:hAnsi="Times New Roman" w:cs="Times New Roman"/>
          <w:noProof/>
          <w:sz w:val="24"/>
          <w:szCs w:val="24"/>
        </w:rPr>
        <w:t xml:space="preserve">, the </w:t>
      </w:r>
      <w:r>
        <w:rPr>
          <w:rFonts w:ascii="Times New Roman" w:eastAsia="Calibri" w:hAnsi="Times New Roman" w:cs="Times New Roman"/>
          <w:bCs/>
          <w:noProof/>
          <w:sz w:val="24"/>
          <w:szCs w:val="24"/>
        </w:rPr>
        <w:t>vessel register</w:t>
      </w:r>
      <w:r>
        <w:rPr>
          <w:rFonts w:ascii="Times New Roman" w:eastAsia="Calibri" w:hAnsi="Times New Roman" w:cs="Times New Roman"/>
          <w:b/>
          <w:bCs/>
          <w:noProof/>
          <w:sz w:val="24"/>
          <w:szCs w:val="24"/>
        </w:rPr>
        <w:t xml:space="preserve"> </w:t>
      </w:r>
      <w:r>
        <w:rPr>
          <w:rFonts w:ascii="Times New Roman" w:eastAsia="Calibri" w:hAnsi="Times New Roman" w:cs="Times New Roman"/>
          <w:bCs/>
          <w:noProof/>
          <w:sz w:val="24"/>
          <w:szCs w:val="24"/>
        </w:rPr>
        <w:t xml:space="preserve">is regularly updated, e.g. with data on engine power (KW and GT), which are reported regularly to General Fisheries Commission for </w:t>
      </w:r>
      <w:r>
        <w:rPr>
          <w:rFonts w:ascii="Times New Roman" w:eastAsia="Calibri" w:hAnsi="Times New Roman" w:cs="Times New Roman"/>
          <w:bCs/>
          <w:noProof/>
          <w:sz w:val="24"/>
          <w:szCs w:val="24"/>
        </w:rPr>
        <w:t xml:space="preserve">the Mediterranean (GFCM) for all fleet segments.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 xml:space="preserve">In February 2019, Albania amended </w:t>
      </w:r>
      <w:r>
        <w:rPr>
          <w:rFonts w:ascii="Times New Roman" w:eastAsia="Calibri" w:hAnsi="Times New Roman" w:cs="Times New Roman"/>
          <w:noProof/>
          <w:sz w:val="24"/>
          <w:szCs w:val="24"/>
        </w:rPr>
        <w:t>its Fishery Law to include provisions on resource management involving fisheries organisations in small costal fisheries. Also, to ensure the long-term sustainability of th</w:t>
      </w:r>
      <w:r>
        <w:rPr>
          <w:rFonts w:ascii="Times New Roman" w:eastAsia="Calibri" w:hAnsi="Times New Roman" w:cs="Times New Roman"/>
          <w:noProof/>
          <w:sz w:val="24"/>
          <w:szCs w:val="24"/>
        </w:rPr>
        <w:t>e fishing resources in the Adriatic Sea, in line with the recommendations of the GFCM, an amendment to the Fisheries Law approved by the Parliament in April 2020 includes measures to impose limits on the number, engine power and gross tonnage of fishing ve</w:t>
      </w:r>
      <w:r>
        <w:rPr>
          <w:rFonts w:ascii="Times New Roman" w:eastAsia="Calibri" w:hAnsi="Times New Roman" w:cs="Times New Roman"/>
          <w:noProof/>
          <w:sz w:val="24"/>
          <w:szCs w:val="24"/>
        </w:rPr>
        <w:t xml:space="preserve">ssels.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bCs/>
          <w:noProof/>
          <w:sz w:val="24"/>
          <w:szCs w:val="24"/>
        </w:rPr>
        <w:t xml:space="preserve">Inspection and control </w:t>
      </w:r>
      <w:r>
        <w:rPr>
          <w:rFonts w:ascii="Times New Roman" w:eastAsia="Calibri" w:hAnsi="Times New Roman" w:cs="Times New Roman"/>
          <w:bCs/>
          <w:noProof/>
          <w:sz w:val="24"/>
          <w:szCs w:val="24"/>
        </w:rPr>
        <w:t>capacity</w:t>
      </w:r>
      <w:r>
        <w:rPr>
          <w:rFonts w:ascii="Times New Roman" w:eastAsia="Calibri" w:hAnsi="Times New Roman" w:cs="Times New Roman"/>
          <w:b/>
          <w:bCs/>
          <w:noProof/>
          <w:sz w:val="24"/>
          <w:szCs w:val="24"/>
        </w:rPr>
        <w:t xml:space="preserve"> </w:t>
      </w:r>
      <w:r>
        <w:rPr>
          <w:rFonts w:ascii="Times New Roman" w:eastAsia="Calibri" w:hAnsi="Times New Roman" w:cs="Times New Roman"/>
          <w:bCs/>
          <w:noProof/>
          <w:sz w:val="24"/>
          <w:szCs w:val="24"/>
        </w:rPr>
        <w:t>has not improved</w:t>
      </w:r>
      <w:r>
        <w:rPr>
          <w:rFonts w:ascii="Times New Roman" w:eastAsia="Calibri" w:hAnsi="Times New Roman" w:cs="Times New Roman"/>
          <w:noProof/>
          <w:sz w:val="24"/>
          <w:szCs w:val="24"/>
        </w:rPr>
        <w:t>. The Department for Fisheries Services and Aquaculture lacks the capacity means and resources to fight illegal fishing, especially in marine waters, with inspections and controls enforced mostly in s</w:t>
      </w:r>
      <w:r>
        <w:rPr>
          <w:rFonts w:ascii="Times New Roman" w:eastAsia="Calibri" w:hAnsi="Times New Roman" w:cs="Times New Roman"/>
          <w:noProof/>
          <w:sz w:val="24"/>
          <w:szCs w:val="24"/>
        </w:rPr>
        <w:t xml:space="preserve">mall coastal or inland fisheries. The </w:t>
      </w:r>
      <w:r>
        <w:rPr>
          <w:rFonts w:ascii="Times New Roman" w:eastAsia="Calibri" w:hAnsi="Times New Roman" w:cs="Times New Roman"/>
          <w:bCs/>
          <w:noProof/>
          <w:sz w:val="24"/>
          <w:szCs w:val="24"/>
        </w:rPr>
        <w:t>vessel monitoring system (VMS)</w:t>
      </w:r>
      <w:r>
        <w:rPr>
          <w:rFonts w:ascii="Times New Roman" w:eastAsia="Calibri" w:hAnsi="Times New Roman" w:cs="Times New Roman"/>
          <w:b/>
          <w:bCs/>
          <w:noProof/>
          <w:sz w:val="24"/>
          <w:szCs w:val="24"/>
        </w:rPr>
        <w:t xml:space="preserve"> </w:t>
      </w:r>
      <w:r>
        <w:rPr>
          <w:rFonts w:ascii="Times New Roman" w:eastAsia="Calibri" w:hAnsi="Times New Roman" w:cs="Times New Roman"/>
          <w:bCs/>
          <w:noProof/>
          <w:sz w:val="24"/>
          <w:szCs w:val="24"/>
        </w:rPr>
        <w:t xml:space="preserve">is not yet in operation. </w:t>
      </w:r>
      <w:r>
        <w:rPr>
          <w:rFonts w:ascii="Times New Roman" w:hAnsi="Times New Roman" w:cs="Times New Roman"/>
          <w:noProof/>
          <w:sz w:val="24"/>
          <w:szCs w:val="24"/>
        </w:rPr>
        <w:t xml:space="preserve">Despite the efforts made, the </w:t>
      </w:r>
      <w:r>
        <w:rPr>
          <w:rFonts w:ascii="Times New Roman" w:eastAsia="Calibri" w:hAnsi="Times New Roman" w:cs="Times New Roman"/>
          <w:noProof/>
          <w:sz w:val="24"/>
          <w:szCs w:val="24"/>
        </w:rPr>
        <w:t>procurement procedures for its reactivation, which were launched during the last months of 2019, have not been completed.</w:t>
      </w:r>
      <w:r>
        <w:rPr>
          <w:rFonts w:ascii="Times New Roman" w:hAnsi="Times New Roman" w:cs="Times New Roman"/>
          <w:noProof/>
          <w:sz w:val="24"/>
          <w:szCs w:val="24"/>
        </w:rPr>
        <w:t> Albania sh</w:t>
      </w:r>
      <w:r>
        <w:rPr>
          <w:rFonts w:ascii="Times New Roman" w:hAnsi="Times New Roman" w:cs="Times New Roman"/>
          <w:noProof/>
          <w:sz w:val="24"/>
          <w:szCs w:val="24"/>
        </w:rPr>
        <w:t>all take appropriate action to complete the procurement procedures and reactivate the VMS during 2020.</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Fisheries statistics for vessels over 12 metres are collected from logbooks submitted to inspectors. In accordance with the amended Fisheries Law, since </w:t>
      </w:r>
      <w:r>
        <w:rPr>
          <w:rFonts w:ascii="Times New Roman" w:eastAsia="Calibri" w:hAnsi="Times New Roman" w:cs="Times New Roman"/>
          <w:noProof/>
          <w:sz w:val="24"/>
          <w:szCs w:val="24"/>
        </w:rPr>
        <w:t xml:space="preserve">October 2019 seven observers were recruited to monitor and provide information on catches, the biological status of stocks and the management of marine resources. </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 xml:space="preserve">A regulation on collection, management and use of data in the fisheries sector was approved </w:t>
      </w:r>
      <w:r>
        <w:rPr>
          <w:rFonts w:ascii="Times New Roman" w:eastAsia="Calibri" w:hAnsi="Times New Roman" w:cs="Times New Roman"/>
          <w:bCs/>
          <w:noProof/>
          <w:sz w:val="24"/>
          <w:szCs w:val="24"/>
        </w:rPr>
        <w:t xml:space="preserve">in early 2019. Also, </w:t>
      </w:r>
      <w:r>
        <w:rPr>
          <w:rFonts w:ascii="Times New Roman" w:eastAsia="Calibri" w:hAnsi="Times New Roman" w:cs="Times New Roman"/>
          <w:noProof/>
          <w:sz w:val="24"/>
          <w:szCs w:val="24"/>
        </w:rPr>
        <w:t xml:space="preserve">a draft plan on designated zones for aquaculture on the south coast was prepared with IPA support. </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fisheries service is not yet in line with the recommendations of the government’s 2016 sector strategy.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On market policy,</w:t>
      </w:r>
      <w:r>
        <w:rPr>
          <w:rFonts w:ascii="Times New Roman" w:eastAsia="Calibri" w:hAnsi="Times New Roman" w:cs="Times New Roman"/>
          <w:noProof/>
          <w:sz w:val="24"/>
          <w:szCs w:val="24"/>
        </w:rPr>
        <w:t xml:space="preserve"> the gove</w:t>
      </w:r>
      <w:r>
        <w:rPr>
          <w:rFonts w:ascii="Times New Roman" w:eastAsia="Calibri" w:hAnsi="Times New Roman" w:cs="Times New Roman"/>
          <w:noProof/>
          <w:sz w:val="24"/>
          <w:szCs w:val="24"/>
        </w:rPr>
        <w:t xml:space="preserve">rnment approved two regulations on the organisation of the markets and the sale of fishery and aquaculture products.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b/>
          <w:bCs/>
          <w:noProof/>
          <w:sz w:val="24"/>
          <w:szCs w:val="24"/>
        </w:rPr>
        <w:t>international agreements</w:t>
      </w:r>
      <w:r>
        <w:rPr>
          <w:rFonts w:ascii="Times New Roman" w:hAnsi="Times New Roman" w:cs="Times New Roman"/>
          <w:noProof/>
          <w:sz w:val="24"/>
          <w:szCs w:val="24"/>
        </w:rPr>
        <w:t>, Albania is a contracting party to the GFCM, participates regularly in its activities and implements its recommendations, including measures to limit  fishing effort on small pelagic stocks and adoption of multi-annual management plans for the conservatio</w:t>
      </w:r>
      <w:r>
        <w:rPr>
          <w:rFonts w:ascii="Times New Roman" w:hAnsi="Times New Roman" w:cs="Times New Roman"/>
          <w:noProof/>
          <w:sz w:val="24"/>
          <w:szCs w:val="24"/>
        </w:rPr>
        <w:t>n and sustainable exploitation of the European eel, and demersal fishing activities in the Adriatic Sea. It has applied the GFCM Recommendation on the International Maritime Organisation (IMO) number assigned to metallic-hull fishing vessels over 24 metres</w:t>
      </w:r>
      <w:r>
        <w:rPr>
          <w:rFonts w:ascii="Times New Roman" w:hAnsi="Times New Roman" w:cs="Times New Roman"/>
          <w:noProof/>
          <w:sz w:val="24"/>
          <w:szCs w:val="24"/>
        </w:rPr>
        <w:t xml:space="preserve"> and will soon adopt the GFCM Recommendation on multi-annual management plan for sustainable demersal fisheries in the Adriatic.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Albania complied with the recommendations of the International Commission for the Conservation of Atlantic Tunas.</w:t>
      </w:r>
    </w:p>
    <w:p w:rsidR="00EE1719" w:rsidRDefault="000E39BA">
      <w:pPr>
        <w:pStyle w:val="Heading2"/>
      </w:pPr>
      <w:bookmarkStart w:id="136" w:name="_Toc52745527"/>
      <w:r>
        <w:rPr>
          <w:rStyle w:val="Heading2Char"/>
          <w:rFonts w:eastAsiaTheme="minorEastAsia"/>
        </w:rPr>
        <w:t>5.14.</w:t>
      </w:r>
      <w:r>
        <w:t xml:space="preserve"> </w:t>
      </w:r>
      <w:r>
        <w:tab/>
      </w:r>
      <w:r>
        <w:t>Chapter 14: Transport</w:t>
      </w:r>
      <w:bookmarkEnd w:id="136"/>
      <w:r>
        <w:t xml:space="preserve"> </w:t>
      </w:r>
    </w:p>
    <w:p w:rsidR="00EE1719" w:rsidRDefault="000E39BA">
      <w:pPr>
        <w:keepNext/>
        <w:spacing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The EU has common rules for technical and safety standards, security, social standards, State aid and market liberalisation in road transport, railways, inland waterways, combined transport, aviation and maritime transport. </w:t>
      </w:r>
    </w:p>
    <w:p w:rsidR="00EE1719" w:rsidRDefault="000E39BA">
      <w:pPr>
        <w:pBdr>
          <w:top w:val="single" w:sz="4" w:space="5" w:color="auto"/>
          <w:left w:val="single" w:sz="4" w:space="4" w:color="auto"/>
          <w:bottom w:val="single" w:sz="4" w:space="5"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w:t>
      </w:r>
      <w:r>
        <w:rPr>
          <w:rFonts w:ascii="Times New Roman" w:eastAsia="Times New Roman" w:hAnsi="Times New Roman" w:cs="Times New Roman"/>
          <w:noProof/>
          <w:sz w:val="24"/>
          <w:szCs w:val="24"/>
        </w:rPr>
        <w:t xml:space="preserve">has </w:t>
      </w:r>
      <w:r>
        <w:rPr>
          <w:rFonts w:ascii="Times New Roman" w:eastAsia="Times New Roman" w:hAnsi="Times New Roman" w:cs="Times New Roman"/>
          <w:b/>
          <w:noProof/>
          <w:sz w:val="24"/>
          <w:szCs w:val="24"/>
        </w:rPr>
        <w:t>some level of preparation</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Cs/>
          <w:noProof/>
          <w:sz w:val="24"/>
          <w:szCs w:val="24"/>
        </w:rPr>
        <w:t>in the area of transport policy, although only</w:t>
      </w:r>
      <w:r>
        <w:rPr>
          <w:rFonts w:ascii="Times New Roman" w:eastAsia="Times New Roman" w:hAnsi="Times New Roman" w:cs="Times New Roman"/>
          <w:b/>
          <w:bCs/>
          <w:noProof/>
          <w:sz w:val="24"/>
          <w:szCs w:val="24"/>
        </w:rPr>
        <w:t xml:space="preserve"> limited progress</w:t>
      </w:r>
      <w:r>
        <w:rPr>
          <w:rFonts w:ascii="Times New Roman" w:eastAsia="Times New Roman" w:hAnsi="Times New Roman" w:cs="Times New Roman"/>
          <w:bCs/>
          <w:noProof/>
          <w:sz w:val="24"/>
          <w:szCs w:val="24"/>
        </w:rPr>
        <w:t xml:space="preserve"> was achieved in the past year</w:t>
      </w:r>
      <w:r>
        <w:rPr>
          <w:rFonts w:ascii="Times New Roman" w:eastAsia="Times New Roman" w:hAnsi="Times New Roman" w:cs="Times New Roman"/>
          <w:noProof/>
          <w:sz w:val="24"/>
          <w:szCs w:val="24"/>
        </w:rPr>
        <w:t>. The recommendations of last year have been partly addressed with the adoption of the revised national transport plan (ANTP3). E</w:t>
      </w:r>
      <w:r>
        <w:rPr>
          <w:rFonts w:ascii="Times New Roman" w:eastAsia="Times New Roman" w:hAnsi="Times New Roman" w:cs="Times New Roman"/>
          <w:bCs/>
          <w:noProof/>
          <w:sz w:val="24"/>
          <w:szCs w:val="24"/>
        </w:rPr>
        <w:t>ffor</w:t>
      </w:r>
      <w:r>
        <w:rPr>
          <w:rFonts w:ascii="Times New Roman" w:eastAsia="Times New Roman" w:hAnsi="Times New Roman" w:cs="Times New Roman"/>
          <w:bCs/>
          <w:noProof/>
          <w:sz w:val="24"/>
          <w:szCs w:val="24"/>
        </w:rPr>
        <w:t xml:space="preserve">ts to comply fully with the requirements under the first transitional phase of the </w:t>
      </w:r>
      <w:r>
        <w:rPr>
          <w:rFonts w:ascii="Times New Roman" w:eastAsia="Malgun Gothic" w:hAnsi="Times New Roman" w:cs="Times New Roman"/>
          <w:noProof/>
          <w:sz w:val="24"/>
          <w:szCs w:val="24"/>
        </w:rPr>
        <w:t>European Common Aviation Area Agreement remain to be made.</w:t>
      </w:r>
    </w:p>
    <w:p w:rsidR="00EE1719" w:rsidRDefault="000E39BA">
      <w:pPr>
        <w:pBdr>
          <w:top w:val="single" w:sz="4" w:space="5" w:color="auto"/>
          <w:left w:val="single" w:sz="4" w:space="4" w:color="auto"/>
          <w:bottom w:val="single" w:sz="4" w:space="5" w:color="auto"/>
          <w:right w:val="single" w:sz="4" w:space="4" w:color="auto"/>
        </w:pBdr>
        <w:shd w:val="clear" w:color="auto" w:fill="D9D9D9"/>
        <w:tabs>
          <w:tab w:val="center" w:pos="4535"/>
        </w:tabs>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In the coming year, Albania should in particular:</w:t>
      </w:r>
      <w:r>
        <w:rPr>
          <w:rFonts w:ascii="Times New Roman" w:eastAsia="Times New Roman" w:hAnsi="Times New Roman" w:cs="Times New Roman"/>
          <w:bCs/>
          <w:noProof/>
          <w:sz w:val="24"/>
          <w:szCs w:val="24"/>
        </w:rPr>
        <w:tab/>
      </w:r>
    </w:p>
    <w:p w:rsidR="00EE1719" w:rsidRDefault="000E39BA">
      <w:pPr>
        <w:numPr>
          <w:ilvl w:val="0"/>
          <w:numId w:val="50"/>
        </w:numPr>
        <w:pBdr>
          <w:top w:val="single" w:sz="4" w:space="5" w:color="auto"/>
          <w:left w:val="single" w:sz="4" w:space="4" w:color="auto"/>
          <w:bottom w:val="single" w:sz="4" w:space="5" w:color="auto"/>
          <w:right w:val="single" w:sz="4" w:space="4" w:color="auto"/>
        </w:pBdr>
        <w:shd w:val="clear" w:color="auto" w:fill="D9D9D9"/>
        <w:spacing w:after="120" w:line="240" w:lineRule="auto"/>
        <w:ind w:left="357" w:hanging="357"/>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implement the revised national transport plan (ANTP3) and start</w:t>
      </w:r>
      <w:r>
        <w:rPr>
          <w:rFonts w:ascii="Times New Roman" w:eastAsia="Times New Roman" w:hAnsi="Times New Roman" w:cs="Times New Roman"/>
          <w:bCs/>
          <w:noProof/>
          <w:sz w:val="24"/>
          <w:szCs w:val="24"/>
        </w:rPr>
        <w:t xml:space="preserve"> developing a national strategy for intelligent transport systems;</w:t>
      </w:r>
    </w:p>
    <w:p w:rsidR="00EE1719" w:rsidRDefault="000E39BA">
      <w:pPr>
        <w:numPr>
          <w:ilvl w:val="0"/>
          <w:numId w:val="50"/>
        </w:numPr>
        <w:pBdr>
          <w:top w:val="single" w:sz="4" w:space="5" w:color="auto"/>
          <w:left w:val="single" w:sz="4" w:space="4" w:color="auto"/>
          <w:bottom w:val="single" w:sz="4" w:space="5" w:color="auto"/>
          <w:right w:val="single" w:sz="4" w:space="4" w:color="auto"/>
        </w:pBdr>
        <w:shd w:val="clear" w:color="auto" w:fill="D9D9D9"/>
        <w:spacing w:after="120" w:line="240" w:lineRule="auto"/>
        <w:ind w:left="357" w:hanging="357"/>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adopt legislation to implement the railway sector reform;</w:t>
      </w:r>
    </w:p>
    <w:p w:rsidR="00EE1719" w:rsidRDefault="000E39BA">
      <w:pPr>
        <w:numPr>
          <w:ilvl w:val="0"/>
          <w:numId w:val="50"/>
        </w:numPr>
        <w:pBdr>
          <w:top w:val="single" w:sz="4" w:space="5" w:color="auto"/>
          <w:left w:val="single" w:sz="4" w:space="4" w:color="auto"/>
          <w:bottom w:val="single" w:sz="4" w:space="5" w:color="auto"/>
          <w:right w:val="single" w:sz="4" w:space="4" w:color="auto"/>
        </w:pBdr>
        <w:shd w:val="clear" w:color="auto" w:fill="D9D9D9"/>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start preparations for the National Transport Strategy for 2021-2026.</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regards the </w:t>
      </w:r>
      <w:r>
        <w:rPr>
          <w:rFonts w:ascii="Times New Roman" w:eastAsia="Times New Roman" w:hAnsi="Times New Roman" w:cs="Times New Roman"/>
          <w:b/>
          <w:bCs/>
          <w:noProof/>
          <w:sz w:val="24"/>
          <w:szCs w:val="24"/>
        </w:rPr>
        <w:t xml:space="preserve">general transport </w:t>
      </w:r>
      <w:r>
        <w:rPr>
          <w:rFonts w:ascii="Times New Roman" w:eastAsia="Times New Roman" w:hAnsi="Times New Roman" w:cs="Times New Roman"/>
          <w:bCs/>
          <w:i/>
          <w:iCs/>
          <w:noProof/>
          <w:sz w:val="24"/>
          <w:szCs w:val="24"/>
        </w:rPr>
        <w:t>acquis</w:t>
      </w:r>
      <w:r>
        <w:rPr>
          <w:rFonts w:ascii="Times New Roman" w:eastAsia="Times New Roman" w:hAnsi="Times New Roman" w:cs="Times New Roman"/>
          <w:i/>
          <w:noProof/>
          <w:sz w:val="24"/>
          <w:szCs w:val="24"/>
        </w:rPr>
        <w:t>,</w:t>
      </w:r>
      <w:r>
        <w:rPr>
          <w:rFonts w:ascii="Times New Roman" w:eastAsia="Times New Roman" w:hAnsi="Times New Roman" w:cs="Times New Roman"/>
          <w:noProof/>
          <w:sz w:val="24"/>
          <w:szCs w:val="24"/>
        </w:rPr>
        <w:t xml:space="preserve"> the inter-institutional working group monitoring the implementation of the national transport strategy and action plan for 2016-2020 and the sustainable transport plan for all transport modes published its second monitoring report in June 2019. Albania co</w:t>
      </w:r>
      <w:r>
        <w:rPr>
          <w:rFonts w:ascii="Times New Roman" w:eastAsia="Times New Roman" w:hAnsi="Times New Roman" w:cs="Times New Roman"/>
          <w:noProof/>
          <w:sz w:val="24"/>
          <w:szCs w:val="24"/>
        </w:rPr>
        <w:t>ntinues to participate actively in the EU strategy for the Adriatic and Ionian Region (EUSAIR). The second review of the national transport plan (ANTP3) was adopted in January 2020 by order of the Minister for Infrastructure and Energy. Albania now needs t</w:t>
      </w:r>
      <w:r>
        <w:rPr>
          <w:rFonts w:ascii="Times New Roman" w:eastAsia="Times New Roman" w:hAnsi="Times New Roman" w:cs="Times New Roman"/>
          <w:noProof/>
          <w:sz w:val="24"/>
          <w:szCs w:val="24"/>
        </w:rPr>
        <w:t xml:space="preserve">o prepare the national transport strategy and action plan for 2021-2026, in line with the ANTP3. It should make further efforts to align its transport policy with public-service obligations and the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on public-service contracts. Further efforts are re</w:t>
      </w:r>
      <w:r>
        <w:rPr>
          <w:rFonts w:ascii="Times New Roman" w:eastAsia="Times New Roman" w:hAnsi="Times New Roman" w:cs="Times New Roman"/>
          <w:noProof/>
          <w:sz w:val="24"/>
          <w:szCs w:val="24"/>
        </w:rPr>
        <w:t>quired to transpose fully the Intelligent Transport Systems (ITS) Directive and implement relevant national laws. It has yet to adopt an overall ITS strategy and allocate resources for its implementation.</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Administrative capacity needs to be strengthened th</w:t>
      </w:r>
      <w:r>
        <w:rPr>
          <w:rFonts w:ascii="Times New Roman" w:eastAsia="Times New Roman" w:hAnsi="Times New Roman" w:cs="Times New Roman"/>
          <w:noProof/>
          <w:sz w:val="24"/>
          <w:szCs w:val="24"/>
        </w:rPr>
        <w:t>roughout the transport sector, particularly in rail transport, for which several capacity-building events were organised. Independent bodies have not yet been set up to investigate railway accidents and waterborne accidents. Funding for road and railway in</w:t>
      </w:r>
      <w:r>
        <w:rPr>
          <w:rFonts w:ascii="Times New Roman" w:eastAsia="Times New Roman" w:hAnsi="Times New Roman" w:cs="Times New Roman"/>
          <w:noProof/>
          <w:sz w:val="24"/>
          <w:szCs w:val="24"/>
        </w:rPr>
        <w:t>frastructure maintenance is insufficient, resulting in continued deterioration of that infrastructure. Further efforts are needed to support the 2018-2022 rail maintenance plans.</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has made further progress in aligning its national legislation on </w:t>
      </w:r>
      <w:r>
        <w:rPr>
          <w:rFonts w:ascii="Times New Roman" w:eastAsia="Times New Roman" w:hAnsi="Times New Roman" w:cs="Times New Roman"/>
          <w:b/>
          <w:bCs/>
          <w:noProof/>
          <w:sz w:val="24"/>
          <w:szCs w:val="24"/>
        </w:rPr>
        <w:t>roa</w:t>
      </w:r>
      <w:r>
        <w:rPr>
          <w:rFonts w:ascii="Times New Roman" w:eastAsia="Times New Roman" w:hAnsi="Times New Roman" w:cs="Times New Roman"/>
          <w:b/>
          <w:bCs/>
          <w:noProof/>
          <w:sz w:val="24"/>
          <w:szCs w:val="24"/>
        </w:rPr>
        <w:t xml:space="preserve">d transport </w:t>
      </w:r>
      <w:r>
        <w:rPr>
          <w:rFonts w:ascii="Times New Roman" w:eastAsia="Times New Roman" w:hAnsi="Times New Roman" w:cs="Times New Roman"/>
          <w:noProof/>
          <w:sz w:val="24"/>
          <w:szCs w:val="24"/>
        </w:rPr>
        <w:t xml:space="preserve">with the </w:t>
      </w:r>
      <w:r>
        <w:rPr>
          <w:rFonts w:ascii="Times New Roman" w:eastAsia="Times New Roman" w:hAnsi="Times New Roman" w:cs="Times New Roman"/>
          <w:i/>
          <w:iCs/>
          <w:noProof/>
          <w:sz w:val="24"/>
          <w:szCs w:val="24"/>
        </w:rPr>
        <w:t>acquis</w:t>
      </w:r>
      <w:r>
        <w:rPr>
          <w:rFonts w:ascii="Times New Roman" w:eastAsia="Times New Roman" w:hAnsi="Times New Roman" w:cs="Times New Roman"/>
          <w:noProof/>
          <w:sz w:val="24"/>
          <w:szCs w:val="24"/>
        </w:rPr>
        <w:t>. The General Directorate for Transport Services, tasked with implementing the Law on dangerous goods, has yet to adopt and apply rules and guidelines on training and sanctions. It has not yet strengthened its inspection capacity</w:t>
      </w:r>
      <w:r>
        <w:rPr>
          <w:rFonts w:ascii="Times New Roman" w:eastAsia="Times New Roman" w:hAnsi="Times New Roman" w:cs="Times New Roman"/>
          <w:noProof/>
          <w:sz w:val="24"/>
          <w:szCs w:val="24"/>
        </w:rPr>
        <w:t xml:space="preserve">. More efforts are needed to align Albania’s legislation on traffic-management systems and road safety (including road-safety education and enforcement). </w:t>
      </w:r>
      <w:r>
        <w:rPr>
          <w:rFonts w:ascii="Times New Roman" w:eastAsia="Calibri" w:hAnsi="Times New Roman" w:cs="Times New Roman"/>
          <w:bCs/>
          <w:noProof/>
          <w:sz w:val="24"/>
          <w:szCs w:val="24"/>
        </w:rPr>
        <w:t>Pilot road-safety inspections and audits are being implemented on the ‘core’ road network, but these s</w:t>
      </w:r>
      <w:r>
        <w:rPr>
          <w:rFonts w:ascii="Times New Roman" w:eastAsia="Calibri" w:hAnsi="Times New Roman" w:cs="Times New Roman"/>
          <w:bCs/>
          <w:noProof/>
          <w:sz w:val="24"/>
          <w:szCs w:val="24"/>
        </w:rPr>
        <w:t>hould be extended to the entire network. The government declared 2020 as the ’</w:t>
      </w:r>
      <w:r>
        <w:rPr>
          <w:rFonts w:ascii="Times New Roman" w:eastAsia="Calibri" w:hAnsi="Times New Roman" w:cs="Times New Roman"/>
          <w:bCs/>
          <w:i/>
          <w:noProof/>
          <w:sz w:val="24"/>
          <w:szCs w:val="24"/>
        </w:rPr>
        <w:t>Year of Road Safety</w:t>
      </w:r>
      <w:r>
        <w:rPr>
          <w:rFonts w:ascii="Times New Roman" w:eastAsia="Calibri" w:hAnsi="Times New Roman" w:cs="Times New Roman"/>
          <w:bCs/>
          <w:noProof/>
          <w:sz w:val="24"/>
          <w:szCs w:val="24"/>
        </w:rPr>
        <w:t>’.</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bCs/>
          <w:noProof/>
          <w:sz w:val="24"/>
          <w:szCs w:val="24"/>
        </w:rPr>
        <w:t xml:space="preserve">Albania further aligned its legislation </w:t>
      </w:r>
      <w:r>
        <w:rPr>
          <w:rFonts w:ascii="Times New Roman" w:eastAsia="Calibri" w:hAnsi="Times New Roman" w:cs="Times New Roman"/>
          <w:iCs/>
          <w:noProof/>
          <w:sz w:val="24"/>
          <w:szCs w:val="24"/>
        </w:rPr>
        <w:t>establishing common conditions for practising the profession of road transport operator</w:t>
      </w:r>
      <w:r>
        <w:rPr>
          <w:rFonts w:ascii="Times New Roman" w:eastAsia="Calibri" w:hAnsi="Times New Roman" w:cs="Times New Roman"/>
          <w:bCs/>
          <w:noProof/>
          <w:sz w:val="24"/>
          <w:szCs w:val="24"/>
        </w:rPr>
        <w:t xml:space="preserve">. It is preparing </w:t>
      </w:r>
      <w:r>
        <w:rPr>
          <w:rFonts w:ascii="Times New Roman" w:eastAsia="Calibri" w:hAnsi="Times New Roman" w:cs="Times New Roman"/>
          <w:iCs/>
          <w:noProof/>
          <w:sz w:val="24"/>
          <w:szCs w:val="24"/>
        </w:rPr>
        <w:t xml:space="preserve">draft guidelines on the criteria, rules and procedures for the issuance of licences, authorisations and certificates for the operation of international transport of passengers by road. These are partially aligned with the </w:t>
      </w:r>
      <w:r>
        <w:rPr>
          <w:rFonts w:ascii="Times New Roman" w:eastAsia="Calibri" w:hAnsi="Times New Roman" w:cs="Times New Roman"/>
          <w:i/>
          <w:noProof/>
          <w:sz w:val="24"/>
          <w:szCs w:val="24"/>
        </w:rPr>
        <w:t>acquis</w:t>
      </w:r>
      <w:r>
        <w:rPr>
          <w:rFonts w:ascii="Times New Roman" w:eastAsia="Calibri" w:hAnsi="Times New Roman" w:cs="Times New Roman"/>
          <w:iCs/>
          <w:noProof/>
          <w:sz w:val="24"/>
          <w:szCs w:val="24"/>
        </w:rPr>
        <w:t xml:space="preserve"> and should be adopted in th</w:t>
      </w:r>
      <w:r>
        <w:rPr>
          <w:rFonts w:ascii="Times New Roman" w:eastAsia="Calibri" w:hAnsi="Times New Roman" w:cs="Times New Roman"/>
          <w:iCs/>
          <w:noProof/>
          <w:sz w:val="24"/>
          <w:szCs w:val="24"/>
        </w:rPr>
        <w:t xml:space="preserve">e second quarter of 2020. In May 2020, Albania adopted legislation </w:t>
      </w:r>
      <w:r>
        <w:rPr>
          <w:rFonts w:ascii="Times New Roman" w:eastAsia="Times New Roman" w:hAnsi="Times New Roman" w:cs="Times New Roman"/>
          <w:noProof/>
          <w:sz w:val="24"/>
          <w:szCs w:val="24"/>
        </w:rPr>
        <w:t xml:space="preserve">on technical roadside </w:t>
      </w:r>
      <w:r>
        <w:rPr>
          <w:rFonts w:ascii="Times New Roman" w:eastAsia="Calibri" w:hAnsi="Times New Roman" w:cs="Times New Roman"/>
          <w:iCs/>
          <w:noProof/>
          <w:sz w:val="24"/>
          <w:szCs w:val="24"/>
        </w:rPr>
        <w:t>inspection of roadworthiness of commercial vehicles, in line</w:t>
      </w:r>
      <w:r>
        <w:rPr>
          <w:rFonts w:ascii="Times New Roman" w:eastAsia="Times New Roman" w:hAnsi="Times New Roman" w:cs="Times New Roman"/>
          <w:noProof/>
          <w:sz w:val="24"/>
          <w:szCs w:val="24"/>
        </w:rPr>
        <w:t xml:space="preserve"> with the </w:t>
      </w:r>
      <w:r>
        <w:rPr>
          <w:rFonts w:ascii="Times New Roman" w:eastAsia="Calibri" w:hAnsi="Times New Roman" w:cs="Times New Roman"/>
          <w:i/>
          <w:noProof/>
          <w:sz w:val="24"/>
          <w:szCs w:val="24"/>
        </w:rPr>
        <w:t>acquis</w:t>
      </w:r>
      <w:r>
        <w:rPr>
          <w:rFonts w:ascii="Times New Roman" w:eastAsia="Times New Roman" w:hAnsi="Times New Roman" w:cs="Times New Roman"/>
          <w:noProof/>
          <w:sz w:val="24"/>
          <w:szCs w:val="24"/>
        </w:rPr>
        <w:t>. It needs to improve the national system for continuous road-crash data collection, in lin</w:t>
      </w:r>
      <w:r>
        <w:rPr>
          <w:rFonts w:ascii="Times New Roman" w:eastAsia="Times New Roman" w:hAnsi="Times New Roman" w:cs="Times New Roman"/>
          <w:noProof/>
          <w:sz w:val="24"/>
          <w:szCs w:val="24"/>
        </w:rPr>
        <w:t xml:space="preserve">e with recommendations under technical assistance (Connecta TA). </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January 2018 Railway Code aims to regulate </w:t>
      </w:r>
      <w:r>
        <w:rPr>
          <w:rFonts w:ascii="Times New Roman" w:eastAsia="Times New Roman" w:hAnsi="Times New Roman" w:cs="Times New Roman"/>
          <w:b/>
          <w:noProof/>
          <w:sz w:val="24"/>
          <w:szCs w:val="24"/>
        </w:rPr>
        <w:t>rail transport</w:t>
      </w:r>
      <w:r>
        <w:rPr>
          <w:rFonts w:ascii="Times New Roman" w:eastAsia="Times New Roman" w:hAnsi="Times New Roman" w:cs="Times New Roman"/>
          <w:noProof/>
          <w:sz w:val="24"/>
          <w:szCs w:val="24"/>
        </w:rPr>
        <w:t xml:space="preserve"> in line with the </w:t>
      </w:r>
      <w:r>
        <w:rPr>
          <w:rFonts w:ascii="Times New Roman" w:eastAsia="Times New Roman" w:hAnsi="Times New Roman" w:cs="Times New Roman"/>
          <w:i/>
          <w:iCs/>
          <w:noProof/>
          <w:sz w:val="24"/>
          <w:szCs w:val="24"/>
        </w:rPr>
        <w:t xml:space="preserve">acquis. </w:t>
      </w:r>
      <w:r>
        <w:rPr>
          <w:rFonts w:ascii="Times New Roman" w:eastAsia="Times New Roman" w:hAnsi="Times New Roman" w:cs="Times New Roman"/>
          <w:iCs/>
          <w:noProof/>
          <w:sz w:val="24"/>
          <w:szCs w:val="24"/>
        </w:rPr>
        <w:t xml:space="preserve">However, it </w:t>
      </w:r>
      <w:r>
        <w:rPr>
          <w:rFonts w:ascii="Times New Roman" w:eastAsia="Times New Roman" w:hAnsi="Times New Roman" w:cs="Times New Roman"/>
          <w:noProof/>
          <w:sz w:val="24"/>
          <w:szCs w:val="24"/>
        </w:rPr>
        <w:t xml:space="preserve">only partially </w:t>
      </w:r>
      <w:r>
        <w:rPr>
          <w:rFonts w:ascii="Times New Roman" w:eastAsia="Times New Roman" w:hAnsi="Times New Roman" w:cs="Times New Roman"/>
          <w:iCs/>
          <w:noProof/>
          <w:sz w:val="24"/>
          <w:szCs w:val="24"/>
        </w:rPr>
        <w:t>transposes</w:t>
      </w:r>
      <w:r>
        <w:rPr>
          <w:rFonts w:ascii="Times New Roman" w:eastAsia="Times New Roman" w:hAnsi="Times New Roman" w:cs="Times New Roman"/>
          <w:noProof/>
          <w:sz w:val="24"/>
          <w:szCs w:val="24"/>
        </w:rPr>
        <w:t xml:space="preserve"> the recast Directive on a single European rail area and the EU Sa</w:t>
      </w:r>
      <w:r>
        <w:rPr>
          <w:rFonts w:ascii="Times New Roman" w:eastAsia="Times New Roman" w:hAnsi="Times New Roman" w:cs="Times New Roman"/>
          <w:noProof/>
          <w:sz w:val="24"/>
          <w:szCs w:val="24"/>
        </w:rPr>
        <w:t>fety and Interoperability Directives. As a result, train operations have not yet been unbundled from infrastructure management. A 2019 technical assistance project analysed options for the restructuring of the whole railway sector. Implementing legislation</w:t>
      </w:r>
      <w:r>
        <w:rPr>
          <w:rFonts w:ascii="Times New Roman" w:eastAsia="Times New Roman" w:hAnsi="Times New Roman" w:cs="Times New Roman"/>
          <w:noProof/>
          <w:sz w:val="24"/>
          <w:szCs w:val="24"/>
        </w:rPr>
        <w:t xml:space="preserve"> for the establishment of relevant structures and agencies (separation of infrastructure management and operation, national safety authority, accident investigation body, regulatory authority) has been prepared, but is still under consultation with line mi</w:t>
      </w:r>
      <w:r>
        <w:rPr>
          <w:rFonts w:ascii="Times New Roman" w:eastAsia="Times New Roman" w:hAnsi="Times New Roman" w:cs="Times New Roman"/>
          <w:noProof/>
          <w:sz w:val="24"/>
          <w:szCs w:val="24"/>
        </w:rPr>
        <w:t>nistries. Further efforts are needed to draw up the strategic framework for implementing ITSs on the core rail network.</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bCs/>
          <w:noProof/>
          <w:sz w:val="24"/>
          <w:szCs w:val="24"/>
        </w:rPr>
        <w:t>maritime transport</w:t>
      </w:r>
      <w:r>
        <w:rPr>
          <w:rFonts w:ascii="Times New Roman" w:eastAsia="Times New Roman" w:hAnsi="Times New Roman" w:cs="Times New Roman"/>
          <w:noProof/>
          <w:sz w:val="24"/>
          <w:szCs w:val="24"/>
        </w:rPr>
        <w:t>, significant efforts are needed to reduce the detention rate of Albanian-flagged vessels and follow up on the coun</w:t>
      </w:r>
      <w:r>
        <w:rPr>
          <w:rFonts w:ascii="Times New Roman" w:eastAsia="Times New Roman" w:hAnsi="Times New Roman" w:cs="Times New Roman"/>
          <w:noProof/>
          <w:sz w:val="24"/>
          <w:szCs w:val="24"/>
        </w:rPr>
        <w:t>try’s application for membership of the Paris Memorandum of Understanding on Port State Control. Since September, a working group made up of representatives of all interested Albanian institutions has been examining the current situation and future steps t</w:t>
      </w:r>
      <w:r>
        <w:rPr>
          <w:rFonts w:ascii="Times New Roman" w:eastAsia="Times New Roman" w:hAnsi="Times New Roman" w:cs="Times New Roman"/>
          <w:noProof/>
          <w:sz w:val="24"/>
          <w:szCs w:val="24"/>
        </w:rPr>
        <w:t xml:space="preserve">o improve the performance of the maritime fleet. Further efforts are needed to draw up a strategic framework to implement ITSs on the core maritime network. Legislation on EU vessel-traffic monitoring and information systems has not yet been aligned. </w:t>
      </w:r>
      <w:r>
        <w:rPr>
          <w:rFonts w:ascii="Times New Roman" w:eastAsia="Calibri" w:hAnsi="Times New Roman" w:cs="Times New Roman"/>
          <w:iCs/>
          <w:noProof/>
          <w:sz w:val="24"/>
          <w:szCs w:val="24"/>
        </w:rPr>
        <w:t xml:space="preserve">A </w:t>
      </w:r>
      <w:r>
        <w:rPr>
          <w:rFonts w:ascii="Times New Roman" w:eastAsia="Calibri" w:hAnsi="Times New Roman" w:cs="Times New Roman"/>
          <w:iCs/>
          <w:noProof/>
          <w:sz w:val="24"/>
          <w:szCs w:val="24"/>
        </w:rPr>
        <w:t>project establishing those systems in Albania is expected to start in 2020.</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needs to align with the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on ports and enact legislation based on the Port Services Regulation ((EU) 2017/352).</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There were no new developments regarding </w:t>
      </w:r>
      <w:r>
        <w:rPr>
          <w:rFonts w:ascii="Times New Roman" w:eastAsia="Times New Roman" w:hAnsi="Times New Roman" w:cs="Times New Roman"/>
          <w:b/>
          <w:noProof/>
          <w:sz w:val="24"/>
          <w:szCs w:val="24"/>
        </w:rPr>
        <w:t>inland waterwa</w:t>
      </w:r>
      <w:r>
        <w:rPr>
          <w:rFonts w:ascii="Times New Roman" w:eastAsia="Times New Roman" w:hAnsi="Times New Roman" w:cs="Times New Roman"/>
          <w:b/>
          <w:noProof/>
          <w:sz w:val="24"/>
          <w:szCs w:val="24"/>
        </w:rPr>
        <w:t>y transport</w:t>
      </w:r>
      <w:r>
        <w:rPr>
          <w:rFonts w:ascii="Times New Roman" w:eastAsia="Times New Roman" w:hAnsi="Times New Roman" w:cs="Times New Roman"/>
          <w:noProof/>
          <w:sz w:val="24"/>
          <w:szCs w:val="24"/>
        </w:rPr>
        <w:t>. Albania and neighbouring Montenegro continued to implement their July 2018 agreement on the Ckla-Zogaj lake border crossing. Inland waterway transport is limited to two lakes shared with neighbouring countries and regulated by bilateral agreem</w:t>
      </w:r>
      <w:r>
        <w:rPr>
          <w:rFonts w:ascii="Times New Roman" w:eastAsia="Times New Roman" w:hAnsi="Times New Roman" w:cs="Times New Roman"/>
          <w:noProof/>
          <w:sz w:val="24"/>
          <w:szCs w:val="24"/>
        </w:rPr>
        <w:t>ents.</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Malgun Gothic" w:hAnsi="Times New Roman" w:cs="Times New Roman"/>
          <w:noProof/>
          <w:sz w:val="24"/>
          <w:szCs w:val="24"/>
        </w:rPr>
        <w:t xml:space="preserve">On </w:t>
      </w:r>
      <w:r>
        <w:rPr>
          <w:rFonts w:ascii="Times New Roman" w:eastAsia="Malgun Gothic" w:hAnsi="Times New Roman" w:cs="Times New Roman"/>
          <w:b/>
          <w:bCs/>
          <w:noProof/>
          <w:sz w:val="24"/>
          <w:szCs w:val="24"/>
        </w:rPr>
        <w:t>aviation</w:t>
      </w:r>
      <w:r>
        <w:rPr>
          <w:rFonts w:ascii="Times New Roman" w:eastAsia="Malgun Gothic" w:hAnsi="Times New Roman" w:cs="Times New Roman"/>
          <w:noProof/>
          <w:sz w:val="24"/>
          <w:szCs w:val="24"/>
        </w:rPr>
        <w:t xml:space="preserve">, Albania continued preparations for the assessment visit requested under the European Common Aviation Area Agreement (ECAA), which will take place after adoption of the relevant national legislation. On air-traffic management, it adopted </w:t>
      </w:r>
      <w:r>
        <w:rPr>
          <w:rFonts w:ascii="Times New Roman" w:eastAsia="Malgun Gothic" w:hAnsi="Times New Roman" w:cs="Times New Roman"/>
          <w:noProof/>
          <w:sz w:val="24"/>
          <w:szCs w:val="24"/>
        </w:rPr>
        <w:t xml:space="preserve">in April 2020 legislation laying down airspace usage requirements and operating procedures concerning performance-based navigation, in line with the </w:t>
      </w:r>
      <w:r>
        <w:rPr>
          <w:rFonts w:ascii="Times New Roman" w:eastAsia="Malgun Gothic" w:hAnsi="Times New Roman" w:cs="Times New Roman"/>
          <w:i/>
          <w:noProof/>
          <w:sz w:val="24"/>
          <w:szCs w:val="24"/>
        </w:rPr>
        <w:t>acquis</w:t>
      </w:r>
      <w:r>
        <w:rPr>
          <w:rFonts w:ascii="Times New Roman" w:eastAsia="Malgun Gothic" w:hAnsi="Times New Roman" w:cs="Times New Roman"/>
          <w:noProof/>
          <w:sz w:val="24"/>
          <w:szCs w:val="24"/>
        </w:rPr>
        <w:t xml:space="preserve">. </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Although the national transport strategy includes some priority actions for the development of </w:t>
      </w:r>
      <w:r>
        <w:rPr>
          <w:rFonts w:ascii="Times New Roman" w:eastAsia="Calibri" w:hAnsi="Times New Roman" w:cs="Times New Roman"/>
          <w:b/>
          <w:noProof/>
          <w:sz w:val="24"/>
          <w:szCs w:val="24"/>
        </w:rPr>
        <w:t>com</w:t>
      </w:r>
      <w:r>
        <w:rPr>
          <w:rFonts w:ascii="Times New Roman" w:eastAsia="Calibri" w:hAnsi="Times New Roman" w:cs="Times New Roman"/>
          <w:b/>
          <w:noProof/>
          <w:sz w:val="24"/>
          <w:szCs w:val="24"/>
        </w:rPr>
        <w:t>bined transport</w:t>
      </w:r>
      <w:r>
        <w:rPr>
          <w:rFonts w:ascii="Times New Roman" w:eastAsia="Calibri" w:hAnsi="Times New Roman" w:cs="Times New Roman"/>
          <w:noProof/>
          <w:sz w:val="24"/>
          <w:szCs w:val="24"/>
        </w:rPr>
        <w:t xml:space="preserve">, there is still no legislation in this area. </w:t>
      </w:r>
    </w:p>
    <w:p w:rsidR="00EE1719" w:rsidRDefault="000E39BA">
      <w:pPr>
        <w:autoSpaceDE w:val="0"/>
        <w:autoSpaceDN w:val="0"/>
        <w:adjustRightInd w:val="0"/>
        <w:spacing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noProof/>
          <w:sz w:val="24"/>
          <w:szCs w:val="24"/>
        </w:rPr>
        <w:t xml:space="preserve">Albania should increase efforts to implement EU </w:t>
      </w:r>
      <w:r>
        <w:rPr>
          <w:rFonts w:ascii="Times New Roman" w:eastAsia="Calibri" w:hAnsi="Times New Roman" w:cs="Times New Roman"/>
          <w:b/>
          <w:noProof/>
          <w:sz w:val="24"/>
          <w:szCs w:val="24"/>
        </w:rPr>
        <w:t>passenger rights</w:t>
      </w:r>
      <w:r>
        <w:rPr>
          <w:rFonts w:ascii="Times New Roman" w:eastAsia="Calibri" w:hAnsi="Times New Roman" w:cs="Times New Roman"/>
          <w:noProof/>
          <w:sz w:val="24"/>
          <w:szCs w:val="24"/>
        </w:rPr>
        <w:t xml:space="preserve"> legislation in all modes of transport.</w:t>
      </w:r>
    </w:p>
    <w:p w:rsidR="00EE1719" w:rsidRDefault="000E39BA">
      <w:pPr>
        <w:pStyle w:val="Heading2"/>
      </w:pPr>
      <w:bookmarkStart w:id="137" w:name="_Toc29803525"/>
      <w:bookmarkStart w:id="138" w:name="_Toc9430025"/>
      <w:bookmarkStart w:id="139" w:name="_Toc9331933"/>
      <w:bookmarkStart w:id="140" w:name="_Toc9328501"/>
      <w:bookmarkStart w:id="141" w:name="_Toc530733585"/>
      <w:bookmarkStart w:id="142" w:name="_Toc52745528"/>
      <w:r>
        <w:rPr>
          <w:rStyle w:val="Heading2Char"/>
          <w:rFonts w:eastAsiaTheme="minorEastAsia"/>
        </w:rPr>
        <w:t>5.15.</w:t>
      </w:r>
      <w:r>
        <w:t xml:space="preserve"> </w:t>
      </w:r>
      <w:r>
        <w:tab/>
        <w:t>Chapter 15: Energy</w:t>
      </w:r>
      <w:bookmarkEnd w:id="135"/>
      <w:bookmarkEnd w:id="137"/>
      <w:bookmarkEnd w:id="138"/>
      <w:bookmarkEnd w:id="139"/>
      <w:bookmarkEnd w:id="140"/>
      <w:bookmarkEnd w:id="141"/>
      <w:bookmarkEnd w:id="142"/>
    </w:p>
    <w:p w:rsidR="00EE1719" w:rsidRDefault="000E39BA">
      <w:pPr>
        <w:keepNext/>
        <w:keepLines/>
        <w:autoSpaceDE w:val="0"/>
        <w:autoSpaceDN w:val="0"/>
        <w:adjustRightInd w:val="0"/>
        <w:spacing w:after="120" w:line="240" w:lineRule="auto"/>
        <w:jc w:val="both"/>
        <w:rPr>
          <w:rFonts w:ascii="Times New Roman" w:eastAsia="Calibri" w:hAnsi="Times New Roman" w:cs="Times New Roman"/>
          <w:bCs/>
          <w:i/>
          <w:noProof/>
          <w:sz w:val="24"/>
          <w:szCs w:val="24"/>
        </w:rPr>
      </w:pPr>
      <w:bookmarkStart w:id="143" w:name="_Toc510686870"/>
      <w:r>
        <w:rPr>
          <w:rFonts w:ascii="Times New Roman" w:eastAsia="Calibri" w:hAnsi="Times New Roman" w:cs="Times New Roman"/>
          <w:bCs/>
          <w:i/>
          <w:noProof/>
          <w:sz w:val="24"/>
          <w:szCs w:val="24"/>
        </w:rPr>
        <w:t xml:space="preserve">EU energy policy covers energy supply, infrastructure, the </w:t>
      </w:r>
      <w:r>
        <w:rPr>
          <w:rFonts w:ascii="Times New Roman" w:eastAsia="Calibri" w:hAnsi="Times New Roman" w:cs="Times New Roman"/>
          <w:bCs/>
          <w:i/>
          <w:noProof/>
          <w:sz w:val="24"/>
          <w:szCs w:val="24"/>
        </w:rPr>
        <w:t>internal energy market, consumers, renewable energy, energy efficiency, nuclear energy and nuclear safety, and radiation protection.</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Albania is </w:t>
      </w:r>
      <w:r>
        <w:rPr>
          <w:rFonts w:ascii="Times New Roman" w:eastAsia="Calibri" w:hAnsi="Times New Roman" w:cs="Times New Roman"/>
          <w:b/>
          <w:noProof/>
          <w:sz w:val="24"/>
          <w:szCs w:val="24"/>
        </w:rPr>
        <w:t>moderately prepared</w:t>
      </w:r>
      <w:r>
        <w:rPr>
          <w:rFonts w:ascii="Times New Roman" w:eastAsia="Calibri" w:hAnsi="Times New Roman" w:cs="Times New Roman"/>
          <w:noProof/>
          <w:sz w:val="24"/>
          <w:szCs w:val="24"/>
        </w:rPr>
        <w:t xml:space="preserve"> in this area. There was </w:t>
      </w:r>
      <w:r>
        <w:rPr>
          <w:rFonts w:ascii="Times New Roman" w:eastAsia="Calibri" w:hAnsi="Times New Roman" w:cs="Times New Roman"/>
          <w:b/>
          <w:noProof/>
          <w:sz w:val="24"/>
          <w:szCs w:val="24"/>
        </w:rPr>
        <w:t>some progress</w:t>
      </w:r>
      <w:r>
        <w:rPr>
          <w:rFonts w:ascii="Times New Roman" w:eastAsia="Calibri" w:hAnsi="Times New Roman" w:cs="Times New Roman"/>
          <w:noProof/>
          <w:sz w:val="24"/>
          <w:szCs w:val="24"/>
        </w:rPr>
        <w:t xml:space="preserve"> in the renewables and gas sectors as well as on interconnection lines. However, last year’s recommendations were only partly addressed with the unbundling of the distribution system operator OSHEE SA. Plans for establishing a non-mandatory Energy Efficien</w:t>
      </w:r>
      <w:r>
        <w:rPr>
          <w:rFonts w:ascii="Times New Roman" w:eastAsia="Calibri" w:hAnsi="Times New Roman" w:cs="Times New Roman"/>
          <w:noProof/>
          <w:sz w:val="24"/>
          <w:szCs w:val="24"/>
        </w:rPr>
        <w:t xml:space="preserve">cy Fund were abandoned. The country has again delayed electricity market reforms. Implementation of the connectivity reform measures should be accelerated, especially by removing legal and contractual obstacles to the integration of energy markets. </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w:t>
      </w:r>
      <w:r>
        <w:rPr>
          <w:rFonts w:ascii="Times New Roman" w:eastAsia="Calibri" w:hAnsi="Times New Roman" w:cs="Times New Roman"/>
          <w:noProof/>
          <w:sz w:val="24"/>
          <w:szCs w:val="24"/>
        </w:rPr>
        <w:t xml:space="preserve"> coming year, Albania should in particular:</w:t>
      </w:r>
    </w:p>
    <w:p w:rsidR="00EE1719" w:rsidRDefault="000E39BA">
      <w:pPr>
        <w:numPr>
          <w:ilvl w:val="0"/>
          <w:numId w:val="51"/>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eastAsia="Cambria" w:hAnsi="Times New Roman" w:cs="Times New Roman"/>
          <w:noProof/>
          <w:sz w:val="24"/>
          <w:szCs w:val="24"/>
        </w:rPr>
      </w:pPr>
      <w:r>
        <w:rPr>
          <w:rFonts w:ascii="Times New Roman" w:eastAsia="Cambria" w:hAnsi="Times New Roman" w:cs="Times New Roman"/>
          <w:bCs/>
          <w:noProof/>
          <w:sz w:val="24"/>
          <w:szCs w:val="24"/>
        </w:rPr>
        <w:t>further diversify electricity production away from hydropower and promote alternative sources of renewable energy while complying with environmental standards, and establish an organised day-ahead electricity mar</w:t>
      </w:r>
      <w:r>
        <w:rPr>
          <w:rFonts w:ascii="Times New Roman" w:eastAsia="Cambria" w:hAnsi="Times New Roman" w:cs="Times New Roman"/>
          <w:bCs/>
          <w:noProof/>
          <w:sz w:val="24"/>
          <w:szCs w:val="24"/>
        </w:rPr>
        <w:t>ket</w:t>
      </w:r>
      <w:r>
        <w:rPr>
          <w:rFonts w:ascii="Times New Roman" w:eastAsia="Cambria" w:hAnsi="Times New Roman" w:cs="Times New Roman"/>
          <w:noProof/>
          <w:sz w:val="24"/>
          <w:szCs w:val="24"/>
        </w:rPr>
        <w:t xml:space="preserve">;  </w:t>
      </w:r>
    </w:p>
    <w:p w:rsidR="00EE1719" w:rsidRDefault="000E39BA">
      <w:pPr>
        <w:numPr>
          <w:ilvl w:val="0"/>
          <w:numId w:val="51"/>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eastAsia="Cambria" w:hAnsi="Times New Roman" w:cs="Times New Roman"/>
          <w:noProof/>
          <w:sz w:val="24"/>
          <w:szCs w:val="24"/>
        </w:rPr>
      </w:pPr>
      <w:r>
        <w:rPr>
          <w:rFonts w:ascii="Times New Roman" w:eastAsia="Cambria" w:hAnsi="Times New Roman" w:cs="Times New Roman"/>
          <w:noProof/>
          <w:sz w:val="24"/>
          <w:szCs w:val="24"/>
        </w:rPr>
        <w:t xml:space="preserve">finalise the legal and functional unbundling of energy companies and abolish legal obstacles to the right of customers to change their electricity supplier; </w:t>
      </w:r>
    </w:p>
    <w:p w:rsidR="00EE1719" w:rsidRDefault="000E39BA">
      <w:pPr>
        <w:numPr>
          <w:ilvl w:val="0"/>
          <w:numId w:val="51"/>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eastAsia="Cambria" w:hAnsi="Times New Roman" w:cs="Times New Roman"/>
          <w:noProof/>
          <w:sz w:val="24"/>
          <w:szCs w:val="24"/>
        </w:rPr>
      </w:pPr>
      <w:r>
        <w:rPr>
          <w:rFonts w:ascii="Times New Roman" w:eastAsia="Cambria" w:hAnsi="Times New Roman" w:cs="Times New Roman"/>
          <w:bCs/>
          <w:noProof/>
          <w:sz w:val="24"/>
          <w:szCs w:val="24"/>
        </w:rPr>
        <w:t xml:space="preserve">fully align its Energy Efficiency Law with the </w:t>
      </w:r>
      <w:r>
        <w:rPr>
          <w:rFonts w:ascii="Times New Roman" w:eastAsia="Cambria" w:hAnsi="Times New Roman" w:cs="Times New Roman"/>
          <w:bCs/>
          <w:i/>
          <w:noProof/>
          <w:sz w:val="24"/>
          <w:szCs w:val="24"/>
        </w:rPr>
        <w:t xml:space="preserve">acquis </w:t>
      </w:r>
      <w:r>
        <w:rPr>
          <w:rFonts w:ascii="Times New Roman" w:eastAsia="Cambria" w:hAnsi="Times New Roman" w:cs="Times New Roman"/>
          <w:bCs/>
          <w:noProof/>
          <w:sz w:val="24"/>
          <w:szCs w:val="24"/>
        </w:rPr>
        <w:t xml:space="preserve">and </w:t>
      </w:r>
      <w:r>
        <w:rPr>
          <w:rFonts w:ascii="Times New Roman" w:eastAsia="Cambria" w:hAnsi="Times New Roman" w:cs="Times New Roman"/>
          <w:noProof/>
          <w:sz w:val="24"/>
          <w:szCs w:val="24"/>
        </w:rPr>
        <w:t xml:space="preserve">adopt implementing legislation </w:t>
      </w:r>
      <w:r>
        <w:rPr>
          <w:rFonts w:ascii="Times New Roman" w:eastAsia="Cambria" w:hAnsi="Times New Roman" w:cs="Times New Roman"/>
          <w:noProof/>
          <w:sz w:val="24"/>
          <w:szCs w:val="24"/>
        </w:rPr>
        <w:t>related to the Energy Performance of Buildings Directive.</w:t>
      </w:r>
    </w:p>
    <w:p w:rsidR="00EE1719" w:rsidRDefault="000E39BA">
      <w:pPr>
        <w:spacing w:after="120" w:line="240" w:lineRule="auto"/>
        <w:jc w:val="both"/>
        <w:rPr>
          <w:rFonts w:ascii="Times New Roman" w:eastAsia="Times New Roman" w:hAnsi="Times New Roman" w:cs="Times New Roman"/>
          <w:noProof/>
          <w:sz w:val="24"/>
          <w:szCs w:val="24"/>
          <w:lang w:eastAsia="zh-CN"/>
        </w:rPr>
      </w:pPr>
      <w:r>
        <w:rPr>
          <w:rFonts w:ascii="Times New Roman" w:eastAsia="Calibri" w:hAnsi="Times New Roman" w:cs="Times New Roman"/>
          <w:noProof/>
          <w:sz w:val="24"/>
          <w:szCs w:val="24"/>
        </w:rPr>
        <w:t>On</w:t>
      </w:r>
      <w:r>
        <w:rPr>
          <w:rFonts w:ascii="Times New Roman" w:eastAsia="Calibri" w:hAnsi="Times New Roman" w:cs="Times New Roman"/>
          <w:b/>
          <w:noProof/>
          <w:sz w:val="24"/>
          <w:szCs w:val="24"/>
        </w:rPr>
        <w:t xml:space="preserve"> </w:t>
      </w:r>
      <w:r>
        <w:rPr>
          <w:rFonts w:ascii="Times New Roman" w:eastAsia="Calibri" w:hAnsi="Times New Roman" w:cs="Times New Roman"/>
          <w:b/>
          <w:bCs/>
          <w:noProof/>
          <w:sz w:val="24"/>
          <w:szCs w:val="24"/>
        </w:rPr>
        <w:t>security of supply</w:t>
      </w:r>
      <w:r>
        <w:rPr>
          <w:rFonts w:ascii="Times New Roman" w:eastAsia="Calibri" w:hAnsi="Times New Roman" w:cs="Times New Roman"/>
          <w:bCs/>
          <w:noProof/>
          <w:sz w:val="24"/>
          <w:szCs w:val="24"/>
        </w:rPr>
        <w:t xml:space="preserve">, </w:t>
      </w:r>
      <w:r>
        <w:rPr>
          <w:rFonts w:ascii="Times New Roman" w:eastAsia="Calibri" w:hAnsi="Times New Roman" w:cs="Times New Roman"/>
          <w:noProof/>
          <w:sz w:val="24"/>
          <w:szCs w:val="24"/>
        </w:rPr>
        <w:t xml:space="preserve">Albania is at a moderate stage of preparation. Its oil-stock legislation is not in line with the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There was no progress in creating a central stockholding body for oil.</w:t>
      </w:r>
      <w:r>
        <w:rPr>
          <w:rFonts w:ascii="Times New Roman" w:eastAsia="Calibri" w:hAnsi="Times New Roman" w:cs="Times New Roman"/>
          <w:noProof/>
          <w:sz w:val="24"/>
          <w:szCs w:val="24"/>
        </w:rPr>
        <w:t xml:space="preserve"> </w:t>
      </w:r>
      <w:r>
        <w:rPr>
          <w:rFonts w:ascii="Times New Roman" w:eastAsia="Times New Roman" w:hAnsi="Times New Roman" w:cs="Times New Roman"/>
          <w:noProof/>
          <w:sz w:val="24"/>
          <w:szCs w:val="24"/>
          <w:lang w:eastAsia="zh-CN"/>
        </w:rPr>
        <w:t>The inter-institutional working group for analysing and developing a plan for re-designing the emergency stockholding system has been working for several years on a model for an emergency oil-stock reserve and on a draft law on the</w:t>
      </w:r>
      <w:r>
        <w:rPr>
          <w:rFonts w:ascii="Times New Roman" w:eastAsia="Times New Roman" w:hAnsi="Times New Roman" w:cs="Times New Roman"/>
          <w:noProof/>
          <w:sz w:val="24"/>
          <w:szCs w:val="24"/>
        </w:rPr>
        <w:t xml:space="preserve"> minimum stocks of crude</w:t>
      </w:r>
      <w:r>
        <w:rPr>
          <w:rFonts w:ascii="Times New Roman" w:eastAsia="Times New Roman" w:hAnsi="Times New Roman" w:cs="Times New Roman"/>
          <w:noProof/>
          <w:sz w:val="24"/>
          <w:szCs w:val="24"/>
        </w:rPr>
        <w:t xml:space="preserve"> oil required for security of supply. </w:t>
      </w:r>
      <w:r>
        <w:rPr>
          <w:rFonts w:ascii="Times New Roman" w:eastAsia="Times New Roman" w:hAnsi="Times New Roman" w:cs="Times New Roman"/>
          <w:noProof/>
          <w:sz w:val="24"/>
          <w:szCs w:val="24"/>
          <w:lang w:eastAsia="zh-CN"/>
        </w:rPr>
        <w:t xml:space="preserve">Albania must complete alignment with the </w:t>
      </w:r>
      <w:r>
        <w:rPr>
          <w:rFonts w:ascii="Times New Roman" w:eastAsia="Times New Roman" w:hAnsi="Times New Roman" w:cs="Times New Roman"/>
          <w:i/>
          <w:noProof/>
          <w:sz w:val="24"/>
          <w:szCs w:val="24"/>
          <w:lang w:eastAsia="zh-CN"/>
        </w:rPr>
        <w:t>acquis</w:t>
      </w:r>
      <w:r>
        <w:rPr>
          <w:rFonts w:ascii="Times New Roman" w:eastAsia="Times New Roman" w:hAnsi="Times New Roman" w:cs="Times New Roman"/>
          <w:noProof/>
          <w:sz w:val="24"/>
          <w:szCs w:val="24"/>
          <w:lang w:eastAsia="zh-CN"/>
        </w:rPr>
        <w:t xml:space="preserve"> on minimum oil stocks of crude oil and/or petroleum products. It must also amend its emergency oil-stock model.</w:t>
      </w:r>
    </w:p>
    <w:p w:rsidR="00EE1719" w:rsidRDefault="000E39BA">
      <w:pPr>
        <w:spacing w:after="120" w:line="240" w:lineRule="auto"/>
        <w:jc w:val="both"/>
        <w:rPr>
          <w:rFonts w:ascii="Times New Roman" w:eastAsia="Times New Roman" w:hAnsi="Times New Roman" w:cs="Times New Roman"/>
          <w:bCs/>
          <w:noProof/>
          <w:sz w:val="24"/>
          <w:szCs w:val="24"/>
        </w:rPr>
      </w:pPr>
      <w:r>
        <w:rPr>
          <w:rFonts w:ascii="Times New Roman" w:eastAsia="Calibri" w:hAnsi="Times New Roman" w:cs="Times New Roman"/>
          <w:noProof/>
          <w:sz w:val="24"/>
          <w:szCs w:val="24"/>
        </w:rPr>
        <w:t>Albania’s electricity system has been connected with neighbouring systems in Greece and Montenegro since 2014. The connection between Tirana and Pristina was completed in 2016, but has still not been put into operation due to an ongoing dispute between the</w:t>
      </w:r>
      <w:r>
        <w:rPr>
          <w:rFonts w:ascii="Times New Roman" w:eastAsia="Calibri" w:hAnsi="Times New Roman" w:cs="Times New Roman"/>
          <w:noProof/>
          <w:sz w:val="24"/>
          <w:szCs w:val="24"/>
        </w:rPr>
        <w:t xml:space="preserve"> transmission operators of Serbia and Kosovo. However, thanks to new developments this stalemate should be solved in due course </w:t>
      </w:r>
      <w:r>
        <w:rPr>
          <w:rFonts w:ascii="Times New Roman" w:eastAsia="Calibri" w:hAnsi="Times New Roman" w:cs="Times New Roman"/>
          <w:i/>
          <w:noProof/>
          <w:sz w:val="24"/>
          <w:szCs w:val="24"/>
        </w:rPr>
        <w:t>(see Chapter 21 – Trans-European Networks)</w:t>
      </w:r>
      <w:r>
        <w:rPr>
          <w:rFonts w:ascii="Times New Roman" w:eastAsia="Calibri" w:hAnsi="Times New Roman" w:cs="Times New Roman"/>
          <w:noProof/>
          <w:sz w:val="24"/>
          <w:szCs w:val="24"/>
        </w:rPr>
        <w:t>. The construction of a connection with North Macedonia is under preparation. In 2019,</w:t>
      </w:r>
      <w:r>
        <w:rPr>
          <w:rFonts w:ascii="Times New Roman" w:eastAsia="Calibri" w:hAnsi="Times New Roman" w:cs="Times New Roman"/>
          <w:noProof/>
          <w:sz w:val="24"/>
          <w:szCs w:val="24"/>
        </w:rPr>
        <w:t xml:space="preserve"> Albania made</w:t>
      </w:r>
      <w:r>
        <w:rPr>
          <w:rFonts w:ascii="Times New Roman" w:eastAsia="Times New Roman" w:hAnsi="Times New Roman" w:cs="Times New Roman"/>
          <w:bCs/>
          <w:noProof/>
          <w:sz w:val="24"/>
          <w:szCs w:val="24"/>
        </w:rPr>
        <w:t xml:space="preserve"> some progress in reducing electricity distribution losses in the power grid (23.03%, compared with 24.4% in 2018). Work on the trans-Adriatic pipeline (TAP) project, a major natural gas connection between Greece and Italy through Albania, was</w:t>
      </w:r>
      <w:r>
        <w:rPr>
          <w:rFonts w:ascii="Times New Roman" w:eastAsia="Times New Roman" w:hAnsi="Times New Roman" w:cs="Times New Roman"/>
          <w:bCs/>
          <w:noProof/>
          <w:sz w:val="24"/>
          <w:szCs w:val="24"/>
        </w:rPr>
        <w:t xml:space="preserve"> 99% completed in June 2020 in the onshore Albanian part </w:t>
      </w:r>
      <w:r>
        <w:rPr>
          <w:rFonts w:ascii="Times New Roman" w:eastAsia="Times New Roman" w:hAnsi="Times New Roman" w:cs="Times New Roman"/>
          <w:i/>
          <w:noProof/>
          <w:sz w:val="24"/>
          <w:szCs w:val="24"/>
        </w:rPr>
        <w:t>(see Chapter 21 – Trans-European networks)</w:t>
      </w:r>
      <w:r>
        <w:rPr>
          <w:rFonts w:ascii="Times New Roman" w:eastAsia="Times New Roman" w:hAnsi="Times New Roman" w:cs="Times New Roman"/>
          <w:bCs/>
          <w:noProof/>
          <w:sz w:val="24"/>
          <w:szCs w:val="24"/>
        </w:rPr>
        <w:t>. Currently, TAP is starting the introduction of hydrocarbons into the pipeline system. In January 2019, the Albanian Regulatory Authority licensed TAP AG Al</w:t>
      </w:r>
      <w:r>
        <w:rPr>
          <w:rFonts w:ascii="Times New Roman" w:eastAsia="Times New Roman" w:hAnsi="Times New Roman" w:cs="Times New Roman"/>
          <w:bCs/>
          <w:noProof/>
          <w:sz w:val="24"/>
          <w:szCs w:val="24"/>
        </w:rPr>
        <w:t>bania as transmission operator.</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On the</w:t>
      </w:r>
      <w:r>
        <w:rPr>
          <w:rFonts w:ascii="Times New Roman" w:eastAsia="Calibri" w:hAnsi="Times New Roman" w:cs="Times New Roman"/>
          <w:b/>
          <w:noProof/>
          <w:sz w:val="24"/>
          <w:szCs w:val="24"/>
        </w:rPr>
        <w:t xml:space="preserve"> internal energy market</w:t>
      </w:r>
      <w:r>
        <w:rPr>
          <w:rFonts w:ascii="Times New Roman" w:eastAsia="Calibri" w:hAnsi="Times New Roman" w:cs="Times New Roman"/>
          <w:noProof/>
          <w:sz w:val="24"/>
          <w:szCs w:val="24"/>
        </w:rPr>
        <w:t>, the mandatory unbundling of OST itself was not achieved by the December deadline, despite the full separation of the ownership of the Albanian Power Corporation (KESH SA) from that of the trans</w:t>
      </w:r>
      <w:r>
        <w:rPr>
          <w:rFonts w:ascii="Times New Roman" w:eastAsia="Calibri" w:hAnsi="Times New Roman" w:cs="Times New Roman"/>
          <w:noProof/>
          <w:sz w:val="24"/>
          <w:szCs w:val="24"/>
        </w:rPr>
        <w:t>mission system operator OST SA. In June 2020, an amended Law on power sector entered into force. The Council of Ministers approved several implementing acts that provide a legal basis for setting up the market operator and establishing the Albanian Power E</w:t>
      </w:r>
      <w:r>
        <w:rPr>
          <w:rFonts w:ascii="Times New Roman" w:eastAsia="Calibri" w:hAnsi="Times New Roman" w:cs="Times New Roman"/>
          <w:noProof/>
          <w:sz w:val="24"/>
          <w:szCs w:val="24"/>
        </w:rPr>
        <w:t xml:space="preserve">xchange (APEX). A </w:t>
      </w:r>
      <w:r>
        <w:rPr>
          <w:rFonts w:ascii="Times New Roman" w:eastAsia="Times New Roman" w:hAnsi="Times New Roman" w:cs="Times New Roman"/>
          <w:noProof/>
          <w:sz w:val="24"/>
          <w:szCs w:val="24"/>
        </w:rPr>
        <w:t xml:space="preserve">first meeting of the APEX Steering Committee was held in October. </w:t>
      </w:r>
      <w:r>
        <w:rPr>
          <w:rFonts w:ascii="Times New Roman" w:eastAsia="Calibri" w:hAnsi="Times New Roman" w:cs="Times New Roman"/>
          <w:noProof/>
          <w:sz w:val="24"/>
          <w:szCs w:val="24"/>
        </w:rPr>
        <w:t>A special commission was tasked with preparing the selection of shareholders. The procedure was slowed down also due to the situation created by the Covid-19 pandemic. An E</w:t>
      </w:r>
      <w:r>
        <w:rPr>
          <w:rFonts w:ascii="Times New Roman" w:eastAsia="Calibri" w:hAnsi="Times New Roman" w:cs="Times New Roman"/>
          <w:noProof/>
          <w:sz w:val="24"/>
          <w:szCs w:val="24"/>
        </w:rPr>
        <w:t xml:space="preserve">nergy Regulatory Authority (ERE) decision postponed the completion of </w:t>
      </w:r>
      <w:r>
        <w:rPr>
          <w:rFonts w:ascii="Times New Roman" w:eastAsia="Times New Roman" w:hAnsi="Times New Roman" w:cs="Times New Roman"/>
          <w:noProof/>
          <w:sz w:val="24"/>
          <w:szCs w:val="24"/>
          <w:lang w:eastAsia="zh-CN"/>
        </w:rPr>
        <w:t>functional unbundling to 29 June 2020</w:t>
      </w:r>
      <w:r>
        <w:rPr>
          <w:rFonts w:ascii="Times New Roman" w:eastAsia="Calibri" w:hAnsi="Times New Roman" w:cs="Times New Roman"/>
          <w:noProof/>
          <w:sz w:val="24"/>
          <w:szCs w:val="24"/>
          <w:lang w:eastAsia="zh-CN"/>
        </w:rPr>
        <w:t>.</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lang w:eastAsia="zh-CN"/>
        </w:rPr>
        <w:t>As of 1 January 2020, the legal and functional unbundling of distribution system operator OSHEE SA from its supply activity is completed.</w:t>
      </w:r>
      <w:r>
        <w:rPr>
          <w:rFonts w:ascii="Times New Roman" w:eastAsia="Times New Roman" w:hAnsi="Times New Roman" w:cs="Times New Roman"/>
          <w:noProof/>
          <w:sz w:val="24"/>
          <w:szCs w:val="24"/>
          <w:lang w:eastAsia="zh-CN"/>
        </w:rPr>
        <w:t xml:space="preserve"> T</w:t>
      </w:r>
      <w:r>
        <w:rPr>
          <w:rFonts w:ascii="Times New Roman" w:eastAsia="Times New Roman" w:hAnsi="Times New Roman" w:cs="Times New Roman"/>
          <w:iCs/>
          <w:noProof/>
          <w:sz w:val="24"/>
          <w:szCs w:val="24"/>
          <w:lang w:eastAsia="zh-CN"/>
        </w:rPr>
        <w:t>hree new</w:t>
      </w:r>
      <w:r>
        <w:rPr>
          <w:rFonts w:ascii="Times New Roman" w:eastAsia="Times New Roman" w:hAnsi="Times New Roman" w:cs="Times New Roman"/>
          <w:iCs/>
          <w:noProof/>
          <w:sz w:val="24"/>
          <w:szCs w:val="24"/>
          <w:lang w:eastAsia="zh-CN"/>
        </w:rPr>
        <w:t xml:space="preserve"> companies responsible for electricity distribution, universal supply and free market supply were established and are now operational</w:t>
      </w:r>
      <w:r>
        <w:rPr>
          <w:rFonts w:ascii="Times New Roman" w:eastAsia="Times New Roman" w:hAnsi="Times New Roman" w:cs="Times New Roman"/>
          <w:noProof/>
          <w:sz w:val="24"/>
          <w:szCs w:val="24"/>
          <w:lang w:eastAsia="zh-CN"/>
        </w:rPr>
        <w:t xml:space="preserve">, </w:t>
      </w:r>
      <w:r>
        <w:rPr>
          <w:rFonts w:ascii="Times New Roman" w:eastAsia="Times New Roman" w:hAnsi="Times New Roman" w:cs="Times New Roman"/>
          <w:iCs/>
          <w:noProof/>
          <w:sz w:val="24"/>
          <w:szCs w:val="24"/>
          <w:lang w:eastAsia="zh-CN"/>
        </w:rPr>
        <w:t xml:space="preserve">but effective unbundling is pending due to delayed transfer of activities, assets and staff to the new companies. </w:t>
      </w:r>
    </w:p>
    <w:p w:rsidR="00EE1719" w:rsidRDefault="000E39BA">
      <w:pPr>
        <w:tabs>
          <w:tab w:val="left" w:pos="0"/>
        </w:tabs>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Electricity prices are still regulated, but should be gradually liberalised once legislation is implemented. The freedom for all customers to switch suppliers is effectively prevented by amendments to the Power Sector Law; implementation is still lacking s</w:t>
      </w:r>
      <w:r>
        <w:rPr>
          <w:rFonts w:ascii="Times New Roman" w:eastAsia="Calibri" w:hAnsi="Times New Roman" w:cs="Times New Roman"/>
          <w:noProof/>
          <w:sz w:val="24"/>
          <w:szCs w:val="24"/>
        </w:rPr>
        <w:t>ince all eligible customers, except those connected to high voltage, can be supplied at regulated prices by OSHEE (as last-resort supplier) for two years. As a result, all distribution customers, except some of those connected to 35kV, effectively remain u</w:t>
      </w:r>
      <w:r>
        <w:rPr>
          <w:rFonts w:ascii="Times New Roman" w:eastAsia="Calibri" w:hAnsi="Times New Roman" w:cs="Times New Roman"/>
          <w:noProof/>
          <w:sz w:val="24"/>
          <w:szCs w:val="24"/>
        </w:rPr>
        <w:t>nder regulated supply. The electricity market is dominated by a regulated contract between state-owned generation and supply companies. This contract should be terminated urgently.</w:t>
      </w:r>
    </w:p>
    <w:p w:rsidR="00EE1719" w:rsidRDefault="000E39BA">
      <w:pPr>
        <w:suppressAutoHyphens/>
        <w:kinsoku w:val="0"/>
        <w:overflowPunct w:val="0"/>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ERE’s legal framework is generally in line with the acquis, except for a fe</w:t>
      </w:r>
      <w:r>
        <w:rPr>
          <w:rFonts w:ascii="Times New Roman" w:eastAsia="Malgun Gothic" w:hAnsi="Times New Roman" w:cs="Times New Roman"/>
          <w:noProof/>
          <w:sz w:val="24"/>
          <w:szCs w:val="24"/>
        </w:rPr>
        <w:t>w (albeit crucial) missing competences: the right to impose measures to promote competition, to require transmission and distribution system operators to change their terms and conditions, and to raise the level of the penalties that ERE can impose. On the</w:t>
      </w:r>
      <w:r>
        <w:rPr>
          <w:rFonts w:ascii="Times New Roman" w:eastAsia="Malgun Gothic" w:hAnsi="Times New Roman" w:cs="Times New Roman"/>
          <w:noProof/>
          <w:sz w:val="24"/>
          <w:szCs w:val="24"/>
        </w:rPr>
        <w:t xml:space="preserve"> practical side, ERE should develop into a well-equipped and skilled independent institution that addresses shortcomings in the national energy markets more actively. A new organisational structure has been approved in April 2020.</w:t>
      </w:r>
    </w:p>
    <w:p w:rsidR="00EE1719" w:rsidRDefault="000E39BA">
      <w:pPr>
        <w:suppressAutoHyphens/>
        <w:kinsoku w:val="0"/>
        <w:overflowPunct w:val="0"/>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The Vlora thermal power </w:t>
      </w:r>
      <w:r>
        <w:rPr>
          <w:rFonts w:ascii="Times New Roman" w:eastAsia="Malgun Gothic" w:hAnsi="Times New Roman" w:cs="Times New Roman"/>
          <w:noProof/>
          <w:sz w:val="24"/>
          <w:szCs w:val="24"/>
        </w:rPr>
        <w:t>plant, built with financing from the European Bank for Reconstruction and Development (EUR 40 million), the European Investment Bank (EUR 40 million) and the World Bank (EUR 20.5 million), has never been put into operation since its completion in 2011. Thi</w:t>
      </w:r>
      <w:r>
        <w:rPr>
          <w:rFonts w:ascii="Times New Roman" w:eastAsia="Malgun Gothic" w:hAnsi="Times New Roman" w:cs="Times New Roman"/>
          <w:noProof/>
          <w:sz w:val="24"/>
          <w:szCs w:val="24"/>
        </w:rPr>
        <w:t>s is due to a failure in its cooling system that has not been repaired. The planned conversion of the plant from oil to gas, once connected to the TAP, is encouraged. This would stabilise the generation of electricity during droughts in the southern part o</w:t>
      </w:r>
      <w:r>
        <w:rPr>
          <w:rFonts w:ascii="Times New Roman" w:eastAsia="Malgun Gothic" w:hAnsi="Times New Roman" w:cs="Times New Roman"/>
          <w:noProof/>
          <w:sz w:val="24"/>
          <w:szCs w:val="24"/>
        </w:rPr>
        <w:t>f Albania.</w:t>
      </w:r>
      <w:r>
        <w:rPr>
          <w:rFonts w:ascii="Times New Roman" w:eastAsia="Calibri" w:hAnsi="Times New Roman" w:cs="Times New Roman"/>
          <w:noProof/>
          <w:sz w:val="24"/>
          <w:szCs w:val="24"/>
        </w:rPr>
        <w:t xml:space="preserve"> Albania adopted acts implementing the 2015 Law on the natural gas sector.</w:t>
      </w:r>
    </w:p>
    <w:p w:rsidR="00EE1719" w:rsidRDefault="000E39BA">
      <w:pPr>
        <w:suppressAutoHyphens/>
        <w:kinsoku w:val="0"/>
        <w:overflowPunct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has not aligned its legislation with the </w:t>
      </w:r>
      <w:r>
        <w:rPr>
          <w:rFonts w:ascii="Times New Roman" w:eastAsia="Times New Roman" w:hAnsi="Times New Roman" w:cs="Times New Roman"/>
          <w:b/>
          <w:noProof/>
          <w:sz w:val="24"/>
          <w:szCs w:val="24"/>
        </w:rPr>
        <w:t>Hydrocarbons</w:t>
      </w:r>
      <w:r>
        <w:rPr>
          <w:rFonts w:ascii="Times New Roman" w:eastAsia="Times New Roman" w:hAnsi="Times New Roman" w:cs="Times New Roman"/>
          <w:noProof/>
          <w:sz w:val="24"/>
          <w:szCs w:val="24"/>
        </w:rPr>
        <w:t xml:space="preserve"> Licensing Directive, but it has made some progress on its secondary legislation. It has not transposed the Di</w:t>
      </w:r>
      <w:r>
        <w:rPr>
          <w:rFonts w:ascii="Times New Roman" w:eastAsia="Times New Roman" w:hAnsi="Times New Roman" w:cs="Times New Roman"/>
          <w:noProof/>
          <w:sz w:val="24"/>
          <w:szCs w:val="24"/>
        </w:rPr>
        <w:t>rective on the safety of off-shore oil and gas installations.</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Albania has made some progress in preparing the regulatory framework for </w:t>
      </w:r>
      <w:r>
        <w:rPr>
          <w:rFonts w:ascii="Times New Roman" w:eastAsia="Calibri" w:hAnsi="Times New Roman" w:cs="Times New Roman"/>
          <w:b/>
          <w:noProof/>
          <w:sz w:val="24"/>
          <w:szCs w:val="24"/>
        </w:rPr>
        <w:t>renewable energy</w:t>
      </w:r>
      <w:r>
        <w:rPr>
          <w:rFonts w:ascii="Times New Roman" w:eastAsia="Calibri" w:hAnsi="Times New Roman" w:cs="Times New Roman"/>
          <w:noProof/>
          <w:sz w:val="24"/>
          <w:szCs w:val="24"/>
        </w:rPr>
        <w:t>. The revised national renewable energy action plan (NREAP) for 2018-2020 envisages that 38% of the gross</w:t>
      </w:r>
      <w:r>
        <w:rPr>
          <w:rFonts w:ascii="Times New Roman" w:eastAsia="Calibri" w:hAnsi="Times New Roman" w:cs="Times New Roman"/>
          <w:noProof/>
          <w:sz w:val="24"/>
          <w:szCs w:val="24"/>
        </w:rPr>
        <w:t xml:space="preserve"> final energy consumption will come from renewable sources by 2020. With the adoption of the 2017 Law promoting renewable energy, Albania improved its compliance with the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The Law introduced schemes to support renewable-energy producers above 2MW (f</w:t>
      </w:r>
      <w:r>
        <w:rPr>
          <w:rFonts w:ascii="Times New Roman" w:eastAsia="Calibri" w:hAnsi="Times New Roman" w:cs="Times New Roman"/>
          <w:noProof/>
          <w:sz w:val="24"/>
          <w:szCs w:val="24"/>
        </w:rPr>
        <w:t>or solar power) and 3MW (for wind power) through a competitive procedure based on ’contracts for difference‘ support, to be paid on top of the market price for electricity. The Law incorporates a feed-in tariff and net metering scheme for photovoltaic or w</w:t>
      </w:r>
      <w:r>
        <w:rPr>
          <w:rFonts w:ascii="Times New Roman" w:eastAsia="Calibri" w:hAnsi="Times New Roman" w:cs="Times New Roman"/>
          <w:noProof/>
          <w:sz w:val="24"/>
          <w:szCs w:val="24"/>
        </w:rPr>
        <w:t xml:space="preserve">ind energy with a capacity of up to 500kW. The revised NREAP provides for generation from renewable sources, especially photovoltaics. However, urgent efforts are needed to reach the new targets by the end of 2020.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Albania depends almost exclusively (98%</w:t>
      </w:r>
      <w:r>
        <w:rPr>
          <w:rFonts w:ascii="Times New Roman" w:eastAsia="Calibri" w:hAnsi="Times New Roman" w:cs="Times New Roman"/>
          <w:noProof/>
          <w:sz w:val="24"/>
          <w:szCs w:val="24"/>
        </w:rPr>
        <w:t>) on hydropower for its electricity, making it vulnerable to unfavourable hydrological conditions in the summer. In addition, electricity from hydropower is not sufficient to meet its needs. It is a net importer of electricity and an integrated regional en</w:t>
      </w:r>
      <w:r>
        <w:rPr>
          <w:rFonts w:ascii="Times New Roman" w:eastAsia="Calibri" w:hAnsi="Times New Roman" w:cs="Times New Roman"/>
          <w:noProof/>
          <w:sz w:val="24"/>
          <w:szCs w:val="24"/>
        </w:rPr>
        <w:t>ergy market will ensure security of supply. It has made several investments in (local and foreign) renewable energy through concession contracts for the construction and operation of hydroelectric power plants. However, around 20% of the 500+ contracts con</w:t>
      </w:r>
      <w:r>
        <w:rPr>
          <w:rFonts w:ascii="Times New Roman" w:eastAsia="Calibri" w:hAnsi="Times New Roman" w:cs="Times New Roman"/>
          <w:noProof/>
          <w:sz w:val="24"/>
          <w:szCs w:val="24"/>
        </w:rPr>
        <w:t xml:space="preserve">cern sites in protected areas, and some plants have had a significant impact on local biodiversity. Plans for future plants have generated debate and protests about the need to address ecological and water rights considerations. </w:t>
      </w:r>
    </w:p>
    <w:p w:rsidR="00EE1719" w:rsidRDefault="000E39BA">
      <w:pPr>
        <w:spacing w:after="120" w:line="240" w:lineRule="auto"/>
        <w:jc w:val="both"/>
        <w:rPr>
          <w:rFonts w:ascii="Times New Roman" w:eastAsia="Courier New" w:hAnsi="Times New Roman" w:cs="Times New Roman"/>
          <w:noProof/>
          <w:kern w:val="2"/>
          <w:sz w:val="24"/>
          <w:szCs w:val="24"/>
        </w:rPr>
      </w:pPr>
      <w:r>
        <w:rPr>
          <w:rFonts w:ascii="Times New Roman" w:eastAsia="Calibri" w:hAnsi="Times New Roman" w:cs="Times New Roman"/>
          <w:bCs/>
          <w:noProof/>
          <w:sz w:val="24"/>
          <w:szCs w:val="24"/>
        </w:rPr>
        <w:t>Doubts have been expressed</w:t>
      </w:r>
      <w:r>
        <w:rPr>
          <w:rFonts w:ascii="Times New Roman" w:eastAsia="Calibri" w:hAnsi="Times New Roman" w:cs="Times New Roman"/>
          <w:bCs/>
          <w:noProof/>
          <w:sz w:val="24"/>
          <w:szCs w:val="24"/>
        </w:rPr>
        <w:t xml:space="preserve"> about the quality of</w:t>
      </w:r>
      <w:r>
        <w:rPr>
          <w:rFonts w:ascii="Times New Roman" w:eastAsia="Calibri" w:hAnsi="Times New Roman" w:cs="Times New Roman"/>
          <w:b/>
          <w:bCs/>
          <w:noProof/>
          <w:sz w:val="24"/>
          <w:szCs w:val="24"/>
        </w:rPr>
        <w:t xml:space="preserve"> </w:t>
      </w:r>
      <w:r>
        <w:rPr>
          <w:rFonts w:ascii="Times New Roman" w:eastAsia="Calibri" w:hAnsi="Times New Roman" w:cs="Times New Roman"/>
          <w:bCs/>
          <w:noProof/>
          <w:sz w:val="24"/>
          <w:szCs w:val="24"/>
        </w:rPr>
        <w:t>strategic environmental and environmental impact assessments</w:t>
      </w:r>
      <w:r>
        <w:rPr>
          <w:rFonts w:ascii="Times New Roman" w:eastAsia="Calibri" w:hAnsi="Times New Roman" w:cs="Times New Roman"/>
          <w:noProof/>
          <w:sz w:val="24"/>
          <w:szCs w:val="24"/>
        </w:rPr>
        <w:t xml:space="preserve"> (SEAs and EIAs) for energy projects. Investments in hydropower should be compliant with the environmental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Hydropower plants </w:t>
      </w:r>
      <w:r>
        <w:rPr>
          <w:rFonts w:ascii="Times New Roman" w:eastAsia="Calibri" w:hAnsi="Times New Roman" w:cs="Times New Roman"/>
          <w:bCs/>
          <w:noProof/>
          <w:sz w:val="24"/>
          <w:szCs w:val="24"/>
        </w:rPr>
        <w:t xml:space="preserve">in protected areas and sensitive </w:t>
      </w:r>
      <w:r>
        <w:rPr>
          <w:rFonts w:ascii="Times New Roman" w:eastAsia="Calibri" w:hAnsi="Times New Roman" w:cs="Times New Roman"/>
          <w:bCs/>
          <w:noProof/>
          <w:sz w:val="24"/>
          <w:szCs w:val="24"/>
        </w:rPr>
        <w:t>locations should undergo all necessary legal procedures, i.e. they should be subject to public consultation (Aarhus Convention), comply with national legislation and be subject to properly conducted EIAs and SEAs.</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main target of the </w:t>
      </w:r>
      <w:r>
        <w:rPr>
          <w:rFonts w:ascii="Times New Roman" w:eastAsia="Times New Roman" w:hAnsi="Times New Roman" w:cs="Times New Roman"/>
          <w:b/>
          <w:noProof/>
          <w:sz w:val="24"/>
          <w:szCs w:val="24"/>
        </w:rPr>
        <w:t>energy efficiency</w:t>
      </w:r>
      <w:r>
        <w:rPr>
          <w:rFonts w:ascii="Times New Roman" w:eastAsia="Times New Roman" w:hAnsi="Times New Roman" w:cs="Times New Roman"/>
          <w:noProof/>
          <w:sz w:val="24"/>
          <w:szCs w:val="24"/>
        </w:rPr>
        <w:t xml:space="preserve"> a</w:t>
      </w:r>
      <w:r>
        <w:rPr>
          <w:rFonts w:ascii="Times New Roman" w:eastAsia="Times New Roman" w:hAnsi="Times New Roman" w:cs="Times New Roman"/>
          <w:noProof/>
          <w:sz w:val="24"/>
          <w:szCs w:val="24"/>
        </w:rPr>
        <w:t>ction plans for 2017-2020 is a cumulative saving of 6.8% of the energy used in Albania by 2020. The Energy Efficiency Agency was set up in 2016 to implement energy efficiency policies and measures, but it was not fully staffed and became operational only i</w:t>
      </w:r>
      <w:r>
        <w:rPr>
          <w:rFonts w:ascii="Times New Roman" w:eastAsia="Times New Roman" w:hAnsi="Times New Roman" w:cs="Times New Roman"/>
          <w:noProof/>
          <w:sz w:val="24"/>
          <w:szCs w:val="24"/>
        </w:rPr>
        <w:t>n late 2018. It reports to the Ministry of Energy and Infrastructure. Plans for establishing an Energy Efficiency Fund, which is recommended but not mandatory under the Energy Efficiency Directive (EED), were abandoned. Full compliance with the Energy Comm</w:t>
      </w:r>
      <w:r>
        <w:rPr>
          <w:rFonts w:ascii="Times New Roman" w:eastAsia="Times New Roman" w:hAnsi="Times New Roman" w:cs="Times New Roman"/>
          <w:noProof/>
          <w:sz w:val="24"/>
          <w:szCs w:val="24"/>
        </w:rPr>
        <w:t xml:space="preserve">unity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has still not been achieved and the Energy Community’s Ministerial Council adopted a decision stating that Albania was in breach of its obligations. Albania still needs to start amending its Energy Efficiency Law to align with the EED. It only</w:t>
      </w:r>
      <w:r>
        <w:rPr>
          <w:rFonts w:ascii="Times New Roman" w:eastAsia="Times New Roman" w:hAnsi="Times New Roman" w:cs="Times New Roman"/>
          <w:noProof/>
          <w:sz w:val="24"/>
          <w:szCs w:val="24"/>
        </w:rPr>
        <w:t xml:space="preserve"> submitted </w:t>
      </w:r>
      <w:r>
        <w:rPr>
          <w:rFonts w:ascii="Times New Roman" w:eastAsia="Calibri" w:hAnsi="Times New Roman" w:cs="Times New Roman"/>
          <w:noProof/>
          <w:sz w:val="24"/>
          <w:szCs w:val="24"/>
        </w:rPr>
        <w:t>its second annual report under the EED (due in June 2018) in March 2019.</w:t>
      </w:r>
      <w:r>
        <w:rPr>
          <w:rFonts w:ascii="Times New Roman" w:eastAsia="Times New Roman" w:hAnsi="Times New Roman" w:cs="Times New Roman"/>
          <w:noProof/>
          <w:sz w:val="24"/>
          <w:szCs w:val="24"/>
        </w:rPr>
        <w:t xml:space="preserve"> </w:t>
      </w:r>
      <w:r>
        <w:rPr>
          <w:rFonts w:ascii="Times New Roman" w:eastAsia="Calibri" w:hAnsi="Times New Roman" w:cs="Times New Roman"/>
          <w:noProof/>
          <w:sz w:val="24"/>
          <w:szCs w:val="24"/>
        </w:rPr>
        <w:t xml:space="preserve">It still needs to adopt the necessary legislation to achieve full compliance with the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in the area of </w:t>
      </w:r>
      <w:r>
        <w:rPr>
          <w:rFonts w:ascii="Times New Roman" w:eastAsia="Times New Roman" w:hAnsi="Times New Roman" w:cs="Times New Roman"/>
          <w:noProof/>
          <w:sz w:val="24"/>
          <w:szCs w:val="24"/>
        </w:rPr>
        <w:t>energy performance in buildings.</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Albania has made little progres</w:t>
      </w:r>
      <w:r>
        <w:rPr>
          <w:rFonts w:ascii="Times New Roman" w:eastAsia="Calibri" w:hAnsi="Times New Roman" w:cs="Times New Roman"/>
          <w:noProof/>
          <w:sz w:val="24"/>
          <w:szCs w:val="24"/>
        </w:rPr>
        <w:t xml:space="preserve">s on </w:t>
      </w:r>
      <w:r>
        <w:rPr>
          <w:rFonts w:ascii="Times New Roman" w:eastAsia="Calibri" w:hAnsi="Times New Roman" w:cs="Times New Roman"/>
          <w:b/>
          <w:noProof/>
          <w:sz w:val="24"/>
          <w:szCs w:val="24"/>
        </w:rPr>
        <w:t>nuclear energy, nuclear safety and radiation protection</w:t>
      </w:r>
      <w:r>
        <w:rPr>
          <w:rFonts w:ascii="Times New Roman" w:eastAsia="Calibri" w:hAnsi="Times New Roman" w:cs="Times New Roman"/>
          <w:noProof/>
          <w:sz w:val="24"/>
          <w:szCs w:val="24"/>
        </w:rPr>
        <w:t xml:space="preserve">. In December, it adopted a Regulation on the </w:t>
      </w:r>
      <w:r>
        <w:rPr>
          <w:rFonts w:ascii="Times New Roman" w:eastAsia="Times New Roman" w:hAnsi="Times New Roman" w:cs="Times New Roman"/>
          <w:noProof/>
          <w:sz w:val="24"/>
          <w:szCs w:val="24"/>
        </w:rPr>
        <w:t xml:space="preserve">protection of public and employees professionally exposed to ionising radiation and safety from medical exposure to ionising radiation sources, which </w:t>
      </w:r>
      <w:r>
        <w:rPr>
          <w:rFonts w:ascii="Times New Roman" w:eastAsia="Times New Roman" w:hAnsi="Times New Roman" w:cs="Times New Roman"/>
          <w:noProof/>
          <w:sz w:val="24"/>
          <w:szCs w:val="24"/>
        </w:rPr>
        <w:t>is partly aligned with the 2013 Council (Euratom) Directive setting out basic safety standards for protection against the dangers arising from exposure to ionising radiation</w:t>
      </w:r>
      <w:r>
        <w:rPr>
          <w:rFonts w:ascii="Times New Roman" w:eastAsia="Calibri" w:hAnsi="Times New Roman" w:cs="Times New Roman"/>
          <w:noProof/>
          <w:sz w:val="24"/>
          <w:szCs w:val="24"/>
        </w:rPr>
        <w:t>.</w:t>
      </w:r>
    </w:p>
    <w:p w:rsidR="00EE1719" w:rsidRDefault="000E39BA">
      <w:pPr>
        <w:pStyle w:val="Heading2"/>
      </w:pPr>
      <w:bookmarkStart w:id="144" w:name="_Toc29803526"/>
      <w:bookmarkStart w:id="145" w:name="_Toc9430026"/>
      <w:bookmarkStart w:id="146" w:name="_Toc9331934"/>
      <w:bookmarkStart w:id="147" w:name="_Toc9328502"/>
      <w:bookmarkStart w:id="148" w:name="_Toc530733586"/>
      <w:bookmarkStart w:id="149" w:name="_Toc52745529"/>
      <w:r>
        <w:rPr>
          <w:rStyle w:val="Heading2Char"/>
          <w:rFonts w:eastAsiaTheme="minorEastAsia"/>
        </w:rPr>
        <w:t>5.16.</w:t>
      </w:r>
      <w:r>
        <w:t xml:space="preserve"> </w:t>
      </w:r>
      <w:r>
        <w:tab/>
        <w:t>Chapter 16: Taxation</w:t>
      </w:r>
      <w:bookmarkEnd w:id="143"/>
      <w:bookmarkEnd w:id="144"/>
      <w:bookmarkEnd w:id="145"/>
      <w:bookmarkEnd w:id="146"/>
      <w:bookmarkEnd w:id="147"/>
      <w:bookmarkEnd w:id="148"/>
      <w:bookmarkEnd w:id="149"/>
    </w:p>
    <w:p w:rsidR="00EE1719" w:rsidRDefault="000E39BA">
      <w:pPr>
        <w:spacing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EU rules on taxation cover value added tax and excise</w:t>
      </w:r>
      <w:r>
        <w:rPr>
          <w:rFonts w:ascii="Times New Roman" w:eastAsia="Calibri" w:hAnsi="Times New Roman" w:cs="Times New Roman"/>
          <w:i/>
          <w:noProof/>
          <w:sz w:val="24"/>
          <w:szCs w:val="24"/>
        </w:rPr>
        <w:t xml:space="preserve"> duties as well as aspects of corporate taxation. They also deal with cooperation between tax administrations, including the exchange of information to prevent tax evasion.</w:t>
      </w:r>
    </w:p>
    <w:p w:rsidR="00EE1719" w:rsidRDefault="000E39BA">
      <w:pPr>
        <w:pBdr>
          <w:top w:val="single" w:sz="4" w:space="1" w:color="auto"/>
          <w:left w:val="single" w:sz="4" w:space="1"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is </w:t>
      </w:r>
      <w:r>
        <w:rPr>
          <w:rFonts w:ascii="Times New Roman" w:eastAsia="Times New Roman" w:hAnsi="Times New Roman" w:cs="Times New Roman"/>
          <w:b/>
          <w:noProof/>
          <w:sz w:val="24"/>
          <w:szCs w:val="24"/>
        </w:rPr>
        <w:t>moderately prepared</w:t>
      </w:r>
      <w:r>
        <w:rPr>
          <w:rFonts w:ascii="Times New Roman" w:eastAsia="Times New Roman" w:hAnsi="Times New Roman" w:cs="Times New Roman"/>
          <w:noProof/>
          <w:sz w:val="24"/>
          <w:szCs w:val="24"/>
        </w:rPr>
        <w:t xml:space="preserve"> in the area of taxation. </w:t>
      </w:r>
      <w:r>
        <w:rPr>
          <w:rFonts w:ascii="Times New Roman" w:eastAsia="Times New Roman" w:hAnsi="Times New Roman" w:cs="Times New Roman"/>
          <w:b/>
          <w:noProof/>
          <w:sz w:val="24"/>
          <w:szCs w:val="24"/>
        </w:rPr>
        <w:t>Some progress</w:t>
      </w:r>
      <w:r>
        <w:rPr>
          <w:rFonts w:ascii="Times New Roman" w:eastAsia="Times New Roman" w:hAnsi="Times New Roman" w:cs="Times New Roman"/>
          <w:noProof/>
          <w:sz w:val="24"/>
          <w:szCs w:val="24"/>
        </w:rPr>
        <w:t xml:space="preserve"> was made thro</w:t>
      </w:r>
      <w:r>
        <w:rPr>
          <w:rFonts w:ascii="Times New Roman" w:eastAsia="Times New Roman" w:hAnsi="Times New Roman" w:cs="Times New Roman"/>
          <w:noProof/>
          <w:sz w:val="24"/>
          <w:szCs w:val="24"/>
        </w:rPr>
        <w:t>ugh joining the OECD inclusive framework on base erosion and profit shifting (BEPS) and through establishing a central liaison office to automatically exchange financial account information. Revenue performance in 2019 was above the 2018 levels (+ 1.7%) bu</w:t>
      </w:r>
      <w:r>
        <w:rPr>
          <w:rFonts w:ascii="Times New Roman" w:eastAsia="Times New Roman" w:hAnsi="Times New Roman" w:cs="Times New Roman"/>
          <w:noProof/>
          <w:sz w:val="24"/>
          <w:szCs w:val="24"/>
        </w:rPr>
        <w:t xml:space="preserve">t below target (-4.9%), largely due to underperformance of </w:t>
      </w:r>
      <w:r>
        <w:rPr>
          <w:rFonts w:ascii="Times New Roman" w:eastAsia="Calibri" w:hAnsi="Times New Roman" w:cs="Times New Roman"/>
          <w:noProof/>
          <w:sz w:val="24"/>
          <w:szCs w:val="24"/>
        </w:rPr>
        <w:t>VAT, customs duties, national taxes and excise</w:t>
      </w:r>
      <w:r>
        <w:rPr>
          <w:rFonts w:ascii="Times New Roman" w:eastAsia="Times New Roman" w:hAnsi="Times New Roman" w:cs="Times New Roman"/>
          <w:noProof/>
          <w:sz w:val="24"/>
          <w:szCs w:val="24"/>
        </w:rPr>
        <w:t xml:space="preserve">. </w:t>
      </w:r>
    </w:p>
    <w:p w:rsidR="00EE1719" w:rsidRDefault="000E39BA">
      <w:pPr>
        <w:pBdr>
          <w:top w:val="single" w:sz="4" w:space="1" w:color="auto"/>
          <w:left w:val="single" w:sz="4" w:space="1"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coming year, the country should in particular:</w:t>
      </w:r>
    </w:p>
    <w:p w:rsidR="00EE1719" w:rsidRDefault="000E39BA">
      <w:pPr>
        <w:numPr>
          <w:ilvl w:val="0"/>
          <w:numId w:val="52"/>
        </w:numPr>
        <w:pBdr>
          <w:top w:val="single" w:sz="4" w:space="1" w:color="auto"/>
          <w:left w:val="single" w:sz="4" w:space="1"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simplify the taxation system by encouraging enhanced tax compliance;</w:t>
      </w:r>
    </w:p>
    <w:p w:rsidR="00EE1719" w:rsidRDefault="000E39BA">
      <w:pPr>
        <w:numPr>
          <w:ilvl w:val="0"/>
          <w:numId w:val="52"/>
        </w:numPr>
        <w:pBdr>
          <w:top w:val="single" w:sz="4" w:space="1" w:color="auto"/>
          <w:left w:val="single" w:sz="4" w:space="1"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continue addressing syste</w:t>
      </w:r>
      <w:r>
        <w:rPr>
          <w:rFonts w:ascii="Times New Roman" w:eastAsia="Times New Roman" w:hAnsi="Times New Roman" w:cs="Times New Roman"/>
          <w:noProof/>
          <w:sz w:val="24"/>
          <w:szCs w:val="24"/>
        </w:rPr>
        <w:t xml:space="preserve">matically the recurrence of delays in VAT refunds and avoid large backlogs.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indirect taxation</w:t>
      </w:r>
      <w:r>
        <w:rPr>
          <w:rFonts w:ascii="Times New Roman" w:eastAsia="Times New Roman" w:hAnsi="Times New Roman" w:cs="Times New Roman"/>
          <w:noProof/>
          <w:sz w:val="24"/>
          <w:szCs w:val="24"/>
        </w:rPr>
        <w:t>, the standard VAT rate is 20% and the reduced rates are 6% and 10%. However, there is further increase in the number of exemptions, including exemptions relat</w:t>
      </w:r>
      <w:r>
        <w:rPr>
          <w:rFonts w:ascii="Times New Roman" w:eastAsia="Times New Roman" w:hAnsi="Times New Roman" w:cs="Times New Roman"/>
          <w:noProof/>
          <w:sz w:val="24"/>
          <w:szCs w:val="24"/>
        </w:rPr>
        <w:t>ed to the construction/re-construction activities in the areas affected by the 26 November earthquake. Albania accelerated the VAT refund and therefore the stock of VAT arrears was cleared by March 2020 with the exception of three large taxpayers with whom</w:t>
      </w:r>
      <w:r>
        <w:rPr>
          <w:rFonts w:ascii="Times New Roman" w:eastAsia="Times New Roman" w:hAnsi="Times New Roman" w:cs="Times New Roman"/>
          <w:noProof/>
          <w:sz w:val="24"/>
          <w:szCs w:val="24"/>
        </w:rPr>
        <w:t xml:space="preserve"> the Directorate General on Taxation (GDT) has a special arrangement, approved in February 2020.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Excise taxation is partially aligned with the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Mineral oils are marked for some uses. Tobacco excise duties are set to increase in annual steps, from EUR 49.8 per 1,000 cigarettes in 2019 to EUR 51.25 in 2020. Favourable excise taxation for manufactured tobacco with tobacco leaves cultivated in Alban</w:t>
      </w:r>
      <w:r>
        <w:rPr>
          <w:rFonts w:ascii="Times New Roman" w:eastAsia="Times New Roman" w:hAnsi="Times New Roman" w:cs="Times New Roman"/>
          <w:noProof/>
          <w:sz w:val="24"/>
          <w:szCs w:val="24"/>
        </w:rPr>
        <w:t>ia persists. Small producers of alcoholic beverages enjoy reduced tax rates. There are tax exemptions for up to 100 litres for spirits and up to 200 litres for wine for personal consumption. The excise Law taxes all energy products listed in Directive 2003</w:t>
      </w:r>
      <w:r>
        <w:rPr>
          <w:rFonts w:ascii="Times New Roman" w:eastAsia="Times New Roman" w:hAnsi="Times New Roman" w:cs="Times New Roman"/>
          <w:noProof/>
          <w:sz w:val="24"/>
          <w:szCs w:val="24"/>
        </w:rPr>
        <w:t xml:space="preserve">/96/EC.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Regarding </w:t>
      </w:r>
      <w:r>
        <w:rPr>
          <w:rFonts w:ascii="Times New Roman" w:eastAsia="Times New Roman" w:hAnsi="Times New Roman" w:cs="Times New Roman"/>
          <w:b/>
          <w:noProof/>
          <w:sz w:val="24"/>
          <w:szCs w:val="24"/>
        </w:rPr>
        <w:t>direct taxation</w:t>
      </w:r>
      <w:r>
        <w:rPr>
          <w:rFonts w:ascii="Times New Roman" w:eastAsia="Times New Roman" w:hAnsi="Times New Roman" w:cs="Times New Roman"/>
          <w:noProof/>
          <w:sz w:val="24"/>
          <w:szCs w:val="24"/>
        </w:rPr>
        <w:t>, financial institutions are legally required to calculate, withhold, and declare income tax on income from savings. In response to the COVID-19 situation, the deadline to submit the financial statements was extended, exem</w:t>
      </w:r>
      <w:r>
        <w:rPr>
          <w:rFonts w:ascii="Times New Roman" w:eastAsia="Times New Roman" w:hAnsi="Times New Roman" w:cs="Times New Roman"/>
          <w:noProof/>
          <w:sz w:val="24"/>
          <w:szCs w:val="24"/>
        </w:rPr>
        <w:t>ption of profit tax for small businesses, and deferral of and profit tax payments for all other businesses with few exceptions were introduced. Albania does not allow deferral of taxation as provided for in the Merger Directive. In May 2019, Albania joined</w:t>
      </w:r>
      <w:r>
        <w:rPr>
          <w:rFonts w:ascii="Times New Roman" w:eastAsia="Times New Roman" w:hAnsi="Times New Roman" w:cs="Times New Roman"/>
          <w:noProof/>
          <w:sz w:val="24"/>
          <w:szCs w:val="24"/>
        </w:rPr>
        <w:t xml:space="preserve"> the OECD inclusive framework on anti-base erosion and profit shifting and started developing legislation to implement its obligations in that respect.</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general directorate of taxation (GDT) has started to facilitate the communication with taxpayers thr</w:t>
      </w:r>
      <w:r>
        <w:rPr>
          <w:rFonts w:ascii="Times New Roman" w:eastAsia="Times New Roman" w:hAnsi="Times New Roman" w:cs="Times New Roman"/>
          <w:noProof/>
          <w:sz w:val="24"/>
          <w:szCs w:val="24"/>
        </w:rPr>
        <w:t xml:space="preserve">ough wider electronic methods and by simplifying regulations and taxpayers registration procedures. </w:t>
      </w:r>
      <w:r>
        <w:rPr>
          <w:rFonts w:ascii="Times New Roman" w:hAnsi="Times New Roman" w:cs="Times New Roman"/>
          <w:noProof/>
          <w:sz w:val="24"/>
          <w:szCs w:val="24"/>
        </w:rPr>
        <w:t>As a result of GDT sending personalised letters to employers and employees in selected sectors, contributions and personal income tax in January and Februar</w:t>
      </w:r>
      <w:r>
        <w:rPr>
          <w:rFonts w:ascii="Times New Roman" w:hAnsi="Times New Roman" w:cs="Times New Roman"/>
          <w:noProof/>
          <w:sz w:val="24"/>
          <w:szCs w:val="24"/>
        </w:rPr>
        <w:t xml:space="preserve">y 2020 increased. </w:t>
      </w:r>
      <w:r>
        <w:rPr>
          <w:rFonts w:ascii="Times New Roman" w:eastAsia="Calibri" w:hAnsi="Times New Roman" w:cs="Times New Roman"/>
          <w:noProof/>
          <w:sz w:val="24"/>
          <w:szCs w:val="24"/>
        </w:rPr>
        <w:t>Real-time monitoring of invoices and receipts is going to become operational in mid-2020, following the adoption of the so-called Law on fiscalisation in December 2019, which aims to increase the formalisation of economic operators and im</w:t>
      </w:r>
      <w:r>
        <w:rPr>
          <w:rFonts w:ascii="Times New Roman" w:eastAsia="Calibri" w:hAnsi="Times New Roman" w:cs="Times New Roman"/>
          <w:noProof/>
          <w:sz w:val="24"/>
          <w:szCs w:val="24"/>
        </w:rPr>
        <w:t>prove VAT collection.</w:t>
      </w:r>
      <w:r>
        <w:rPr>
          <w:rFonts w:ascii="Times New Roman" w:eastAsia="Times New Roman" w:hAnsi="Times New Roman" w:cs="Times New Roman"/>
          <w:noProof/>
          <w:sz w:val="24"/>
          <w:szCs w:val="24"/>
        </w:rPr>
        <w:t xml:space="preserve"> However, different thresholds to categorise economic operations apply for income and VAT, making the system more complicated to administer and probably encouraging tax avoidance and evasion.</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regards tax compliance, the GDT</w:t>
      </w:r>
      <w:r>
        <w:rPr>
          <w:rFonts w:ascii="Times New Roman" w:eastAsia="Times New Roman" w:hAnsi="Times New Roman" w:cs="Times New Roman"/>
          <w:noProof/>
          <w:sz w:val="24"/>
          <w:szCs w:val="24"/>
        </w:rPr>
        <w:t xml:space="preserve"> identifi</w:t>
      </w:r>
      <w:r>
        <w:rPr>
          <w:rFonts w:ascii="Times New Roman" w:eastAsia="Times New Roman" w:hAnsi="Times New Roman" w:cs="Times New Roman"/>
          <w:noProof/>
          <w:sz w:val="24"/>
          <w:szCs w:val="24"/>
        </w:rPr>
        <w:t xml:space="preserve">ed a considerable number of taxpayers who under-declare the salaries of their employees and drafted the strategy for addressing labour market informality.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administrative cooperation and mutual assistance</w:t>
      </w:r>
      <w:r>
        <w:rPr>
          <w:rFonts w:ascii="Times New Roman" w:eastAsia="Times New Roman" w:hAnsi="Times New Roman" w:cs="Times New Roman"/>
          <w:noProof/>
          <w:sz w:val="24"/>
          <w:szCs w:val="24"/>
        </w:rPr>
        <w:t>, Albania is yet to sign double taxation agreemen</w:t>
      </w:r>
      <w:r>
        <w:rPr>
          <w:rFonts w:ascii="Times New Roman" w:eastAsia="Times New Roman" w:hAnsi="Times New Roman" w:cs="Times New Roman"/>
          <w:noProof/>
          <w:sz w:val="24"/>
          <w:szCs w:val="24"/>
        </w:rPr>
        <w:t>ts with Denmark, Cyprus, Lithuania, Portugal, Slovakia and Finland. In April 2019, four additional staff in the GDT were approved to act as central liaison officers to exchange financial account information automatically based on the OECD single Global Sta</w:t>
      </w:r>
      <w:r>
        <w:rPr>
          <w:rFonts w:ascii="Times New Roman" w:eastAsia="Times New Roman" w:hAnsi="Times New Roman" w:cs="Times New Roman"/>
          <w:noProof/>
          <w:sz w:val="24"/>
          <w:szCs w:val="24"/>
        </w:rPr>
        <w:t xml:space="preserve">ndard. In 2019, the data exchange infrastructure has been developed but no automatic exchange has been conducted yet. </w:t>
      </w:r>
    </w:p>
    <w:p w:rsidR="00EE1719" w:rsidRDefault="000E39BA">
      <w:pPr>
        <w:spacing w:after="120" w:line="240" w:lineRule="auto"/>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z w:val="24"/>
          <w:szCs w:val="24"/>
        </w:rPr>
        <w:t xml:space="preserve">As regards </w:t>
      </w:r>
      <w:r>
        <w:rPr>
          <w:rFonts w:ascii="Times New Roman" w:eastAsia="Times New Roman" w:hAnsi="Times New Roman" w:cs="Times New Roman"/>
          <w:b/>
          <w:noProof/>
          <w:sz w:val="24"/>
          <w:szCs w:val="24"/>
        </w:rPr>
        <w:t>operational capacity and computerisation</w:t>
      </w:r>
      <w:r>
        <w:rPr>
          <w:rFonts w:ascii="Times New Roman" w:eastAsia="Times New Roman" w:hAnsi="Times New Roman" w:cs="Times New Roman"/>
          <w:noProof/>
          <w:sz w:val="24"/>
          <w:szCs w:val="24"/>
        </w:rPr>
        <w:t>, in March 2020 the personnel of the tax administration was further reduced from 1,512 to 1,450. In spite of this decrease of staff, as of June 2020 the number of vacancies remained very high at 193 (13.3%) compared with 206 in 2018 (13.1%). The annual tra</w:t>
      </w:r>
      <w:r>
        <w:rPr>
          <w:rFonts w:ascii="Times New Roman" w:eastAsia="Times New Roman" w:hAnsi="Times New Roman" w:cs="Times New Roman"/>
          <w:noProof/>
          <w:sz w:val="24"/>
          <w:szCs w:val="24"/>
        </w:rPr>
        <w:t xml:space="preserve">ining programme, approved in 2019, is needs-based and 1,081 employees of the GDT were trained in 2019.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January 2020, </w:t>
      </w:r>
      <w:r>
        <w:rPr>
          <w:rFonts w:ascii="Times New Roman" w:eastAsia="Calibri" w:hAnsi="Times New Roman" w:cs="Times New Roman"/>
          <w:noProof/>
          <w:sz w:val="24"/>
          <w:szCs w:val="24"/>
        </w:rPr>
        <w:t>the Law on automatic exchange of information on financial accounts was adopted, aiming at alignment with Conformity Reporting Standards</w:t>
      </w:r>
      <w:r>
        <w:rPr>
          <w:rFonts w:ascii="Times New Roman" w:eastAsia="Calibri" w:hAnsi="Times New Roman" w:cs="Times New Roman"/>
          <w:noProof/>
          <w:sz w:val="24"/>
          <w:szCs w:val="24"/>
        </w:rPr>
        <w:t xml:space="preserve"> and partial alignment with the relevant 2014 EU Directive. </w:t>
      </w:r>
      <w:r>
        <w:rPr>
          <w:rFonts w:ascii="Times New Roman" w:eastAsia="Times New Roman" w:hAnsi="Times New Roman" w:cs="Times New Roman"/>
          <w:noProof/>
          <w:sz w:val="24"/>
          <w:szCs w:val="24"/>
        </w:rPr>
        <w:t>Albania does not yet have the technical capacity to facilitate the efficient exchange of information, nor the appropriate infrastructure to apply EU IT standards. The electronic tax administration</w:t>
      </w:r>
      <w:r>
        <w:rPr>
          <w:rFonts w:ascii="Times New Roman" w:eastAsia="Times New Roman" w:hAnsi="Times New Roman" w:cs="Times New Roman"/>
          <w:noProof/>
          <w:sz w:val="24"/>
          <w:szCs w:val="24"/>
        </w:rPr>
        <w:t xml:space="preserve"> system has been operational since January 2015, but there are no deadlines to achieve interconnection and interoperability with EU systems.</w:t>
      </w:r>
    </w:p>
    <w:p w:rsidR="00EE1719" w:rsidRDefault="000E39BA">
      <w:pPr>
        <w:spacing w:after="120" w:line="240" w:lineRule="auto"/>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z w:val="24"/>
          <w:szCs w:val="24"/>
        </w:rPr>
        <w:t>The implementation of the legal basis for the fiscal cadastre, approved in 2018, was delayed, due to incomplete dat</w:t>
      </w:r>
      <w:r>
        <w:rPr>
          <w:rFonts w:ascii="Times New Roman" w:eastAsia="Times New Roman" w:hAnsi="Times New Roman" w:cs="Times New Roman"/>
          <w:noProof/>
          <w:sz w:val="24"/>
          <w:szCs w:val="24"/>
        </w:rPr>
        <w:t>a, impeding its functionality</w:t>
      </w:r>
      <w:r>
        <w:rPr>
          <w:rFonts w:ascii="Times New Roman" w:eastAsia="Times New Roman" w:hAnsi="Times New Roman" w:cs="Times New Roman"/>
          <w:noProof/>
          <w:snapToGrid w:val="0"/>
          <w:sz w:val="24"/>
          <w:szCs w:val="24"/>
        </w:rPr>
        <w:t>. The municipalities continued compiling the necessary information, while the legal base is planned to be amended.</w:t>
      </w:r>
    </w:p>
    <w:p w:rsidR="00EE1719" w:rsidRDefault="000E39BA">
      <w:pPr>
        <w:pStyle w:val="Heading2"/>
      </w:pPr>
      <w:bookmarkStart w:id="150" w:name="_Toc29803527"/>
      <w:bookmarkStart w:id="151" w:name="_Toc9430027"/>
      <w:bookmarkStart w:id="152" w:name="_Toc9331935"/>
      <w:bookmarkStart w:id="153" w:name="_Toc9328503"/>
      <w:bookmarkStart w:id="154" w:name="_Toc530733587"/>
      <w:bookmarkStart w:id="155" w:name="_Toc510686871"/>
      <w:bookmarkStart w:id="156" w:name="_Toc52745530"/>
      <w:r>
        <w:rPr>
          <w:rStyle w:val="Heading2Char"/>
          <w:rFonts w:eastAsiaTheme="minorEastAsia"/>
        </w:rPr>
        <w:t>5.17</w:t>
      </w:r>
      <w:r>
        <w:t>.</w:t>
      </w:r>
      <w:r>
        <w:tab/>
        <w:t>Chapter 17: Economic and monetary policy</w:t>
      </w:r>
      <w:bookmarkEnd w:id="150"/>
      <w:bookmarkEnd w:id="151"/>
      <w:bookmarkEnd w:id="152"/>
      <w:bookmarkEnd w:id="153"/>
      <w:bookmarkEnd w:id="154"/>
      <w:bookmarkEnd w:id="155"/>
      <w:bookmarkEnd w:id="156"/>
    </w:p>
    <w:p w:rsidR="00EE1719" w:rsidRDefault="000E39BA">
      <w:pPr>
        <w:keepNext/>
        <w:spacing w:after="120" w:line="240" w:lineRule="auto"/>
        <w:jc w:val="both"/>
        <w:rPr>
          <w:rFonts w:ascii="Times New Roman" w:eastAsia="Times New Roman" w:hAnsi="Times New Roman" w:cs="Times New Roman"/>
          <w:i/>
          <w:noProof/>
          <w:sz w:val="24"/>
          <w:szCs w:val="24"/>
        </w:rPr>
      </w:pPr>
      <w:bookmarkStart w:id="157" w:name="_Toc510686872"/>
      <w:r>
        <w:rPr>
          <w:rFonts w:ascii="Times New Roman" w:eastAsia="Times New Roman" w:hAnsi="Times New Roman" w:cs="Times New Roman"/>
          <w:i/>
          <w:noProof/>
          <w:sz w:val="24"/>
          <w:szCs w:val="24"/>
        </w:rPr>
        <w:t>EU rules require the independence of central banks and prohibit t</w:t>
      </w:r>
      <w:r>
        <w:rPr>
          <w:rFonts w:ascii="Times New Roman" w:eastAsia="Times New Roman" w:hAnsi="Times New Roman" w:cs="Times New Roman"/>
          <w:i/>
          <w:noProof/>
          <w:sz w:val="24"/>
          <w:szCs w:val="24"/>
        </w:rPr>
        <w:t>hem from directly financing the public sector. Member States coordinate their economic policies and are subject to fiscal, economic and financial surveillance.</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is </w:t>
      </w:r>
      <w:r>
        <w:rPr>
          <w:rFonts w:ascii="Times New Roman" w:eastAsia="Times New Roman" w:hAnsi="Times New Roman" w:cs="Times New Roman"/>
          <w:b/>
          <w:noProof/>
          <w:sz w:val="24"/>
          <w:szCs w:val="24"/>
        </w:rPr>
        <w:t>moderately prepared</w:t>
      </w:r>
      <w:r>
        <w:rPr>
          <w:rFonts w:ascii="Times New Roman" w:eastAsia="Times New Roman" w:hAnsi="Times New Roman" w:cs="Times New Roman"/>
          <w:noProof/>
          <w:sz w:val="24"/>
          <w:szCs w:val="24"/>
        </w:rPr>
        <w:t xml:space="preserve"> in the area of economic and monetary policy. </w:t>
      </w:r>
      <w:r>
        <w:rPr>
          <w:rFonts w:ascii="Times New Roman" w:eastAsia="Times New Roman" w:hAnsi="Times New Roman" w:cs="Times New Roman"/>
          <w:b/>
          <w:noProof/>
          <w:sz w:val="24"/>
          <w:szCs w:val="24"/>
        </w:rPr>
        <w:t xml:space="preserve">No progress </w:t>
      </w:r>
      <w:r>
        <w:rPr>
          <w:rFonts w:ascii="Times New Roman" w:eastAsia="Times New Roman" w:hAnsi="Times New Roman" w:cs="Times New Roman"/>
          <w:noProof/>
          <w:sz w:val="24"/>
          <w:szCs w:val="24"/>
        </w:rPr>
        <w:t>was made</w:t>
      </w:r>
      <w:r>
        <w:rPr>
          <w:rFonts w:ascii="Times New Roman" w:eastAsia="Times New Roman" w:hAnsi="Times New Roman" w:cs="Times New Roman"/>
          <w:noProof/>
          <w:sz w:val="24"/>
          <w:szCs w:val="24"/>
        </w:rPr>
        <w:t xml:space="preserve">, in particular, in complying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regarding the Bank of Albania’s  independence and its accountability to the Parliament, and government’s policy coordination and consultation mechanism with non-governmental stakeholders. </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Albania should tak</w:t>
      </w:r>
      <w:r>
        <w:rPr>
          <w:rFonts w:ascii="Times New Roman" w:eastAsia="Times New Roman" w:hAnsi="Times New Roman" w:cs="Times New Roman"/>
          <w:noProof/>
          <w:sz w:val="24"/>
          <w:szCs w:val="24"/>
        </w:rPr>
        <w:t>e further measures to:</w:t>
      </w:r>
    </w:p>
    <w:p w:rsidR="00EE1719" w:rsidRDefault="000E39BA">
      <w:pPr>
        <w:numPr>
          <w:ilvl w:val="0"/>
          <w:numId w:val="53"/>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align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the legislation on the Bank of Albania’s independence and accountability to the Parliament;</w:t>
      </w:r>
    </w:p>
    <w:p w:rsidR="00EE1719" w:rsidRDefault="000E39BA">
      <w:pPr>
        <w:numPr>
          <w:ilvl w:val="0"/>
          <w:numId w:val="53"/>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improve the government’s policy coordination and consultation mechanism with non</w:t>
      </w:r>
      <w:r>
        <w:rPr>
          <w:rFonts w:ascii="Times New Roman" w:eastAsia="Times New Roman" w:hAnsi="Times New Roman" w:cs="Times New Roman"/>
          <w:noProof/>
          <w:sz w:val="24"/>
          <w:szCs w:val="24"/>
        </w:rPr>
        <w:noBreakHyphen/>
        <w:t xml:space="preserve">governmental stakeholders when </w:t>
      </w:r>
      <w:r>
        <w:rPr>
          <w:rFonts w:ascii="Times New Roman" w:eastAsia="Times New Roman" w:hAnsi="Times New Roman" w:cs="Times New Roman"/>
          <w:noProof/>
          <w:sz w:val="24"/>
          <w:szCs w:val="24"/>
        </w:rPr>
        <w:t>formulating sector policies and economic reforms.</w:t>
      </w:r>
    </w:p>
    <w:p w:rsidR="00EE1719" w:rsidRDefault="000E39BA">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In the area of </w:t>
      </w:r>
      <w:r>
        <w:rPr>
          <w:rFonts w:ascii="Times New Roman" w:eastAsia="Times New Roman" w:hAnsi="Times New Roman" w:cs="Times New Roman"/>
          <w:b/>
          <w:bCs/>
          <w:noProof/>
          <w:sz w:val="24"/>
          <w:szCs w:val="24"/>
        </w:rPr>
        <w:t>monetary policy</w:t>
      </w:r>
      <w:r>
        <w:rPr>
          <w:rFonts w:ascii="Times New Roman" w:eastAsia="Times New Roman" w:hAnsi="Times New Roman" w:cs="Times New Roman"/>
          <w:bCs/>
          <w:noProof/>
          <w:sz w:val="24"/>
          <w:szCs w:val="24"/>
        </w:rPr>
        <w:t>,</w:t>
      </w:r>
      <w:r>
        <w:rPr>
          <w:rFonts w:ascii="Times New Roman" w:eastAsia="Times New Roman" w:hAnsi="Times New Roman" w:cs="Times New Roman"/>
          <w:noProof/>
          <w:sz w:val="24"/>
          <w:szCs w:val="24"/>
        </w:rPr>
        <w:t xml:space="preserve"> the primary objective of the central bank, as set out in the Law on the Bank of Albania (BoA), is to achieve and maintain price stability. BoA is financially independent and has sufficient instruments, competence and administrative capacity to function ef</w:t>
      </w:r>
      <w:r>
        <w:rPr>
          <w:rFonts w:ascii="Times New Roman" w:eastAsia="Times New Roman" w:hAnsi="Times New Roman" w:cs="Times New Roman"/>
          <w:noProof/>
          <w:sz w:val="24"/>
          <w:szCs w:val="24"/>
        </w:rPr>
        <w:t>fectively and to conduct an efficient monetary policy. The Supervisory Council of BoA is operational and has one vacant post, for which the recruitment process has begun. The monetary policy is conducted with a standard set of instruments: i) open market o</w:t>
      </w:r>
      <w:r>
        <w:rPr>
          <w:rFonts w:ascii="Times New Roman" w:eastAsia="Times New Roman" w:hAnsi="Times New Roman" w:cs="Times New Roman"/>
          <w:noProof/>
          <w:sz w:val="24"/>
          <w:szCs w:val="24"/>
        </w:rPr>
        <w:t xml:space="preserve">perations; ii) standing facilities; iii) required minimum reserves and within a free-floating exchange rate regime. The alignment of the 1997 Law on the Bank of Albania with the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as regards the personal independence of the Supervisory Council members</w:t>
      </w:r>
      <w:r>
        <w:rPr>
          <w:rFonts w:ascii="Times New Roman" w:eastAsia="Times New Roman" w:hAnsi="Times New Roman" w:cs="Times New Roman"/>
          <w:noProof/>
          <w:sz w:val="24"/>
          <w:szCs w:val="24"/>
        </w:rPr>
        <w:t>, especially of the governor, and BoA’s accountability to the Parliament remains incomplete. On 27 November 2019, the Supervisory Council of BoA approved the Medium-Term Development Strategy 2020-2022 of BoA, which confirms the aim to fully harmonise its o</w:t>
      </w:r>
      <w:r>
        <w:rPr>
          <w:rFonts w:ascii="Times New Roman" w:eastAsia="Times New Roman" w:hAnsi="Times New Roman" w:cs="Times New Roman"/>
          <w:noProof/>
          <w:sz w:val="24"/>
          <w:szCs w:val="24"/>
        </w:rPr>
        <w:t>rganic Law with the Statute of the European System of Central Banks.</w:t>
      </w:r>
      <w:r>
        <w:rPr>
          <w:rFonts w:ascii="Times New Roman" w:hAnsi="Times New Roman" w:cs="Times New Roman"/>
          <w:noProof/>
          <w:sz w:val="24"/>
          <w:szCs w:val="24"/>
        </w:rPr>
        <w:t xml:space="preserve"> In response to the economic effects of the COVID-19 crisis, BoA cut the policy rate to a new historic low of 0.5% and lowered the overnight lending rate from 1.9% to 0.9% on 25 March 2020</w:t>
      </w:r>
      <w:r>
        <w:rPr>
          <w:rFonts w:ascii="Times New Roman" w:hAnsi="Times New Roman" w:cs="Times New Roman"/>
          <w:noProof/>
          <w:sz w:val="24"/>
          <w:szCs w:val="24"/>
        </w:rPr>
        <w:t>. In addition, BoA is providing unlimited liquidity to the banking system to keep up lending to the private sector, enhanced its operational capacities to guarantee the sufficient cash supply to the economy and facilitated electronic payments.</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area </w:t>
      </w:r>
      <w:r>
        <w:rPr>
          <w:rFonts w:ascii="Times New Roman" w:eastAsia="Times New Roman" w:hAnsi="Times New Roman" w:cs="Times New Roman"/>
          <w:noProof/>
          <w:sz w:val="24"/>
          <w:szCs w:val="24"/>
        </w:rPr>
        <w:t xml:space="preserve">of </w:t>
      </w:r>
      <w:r>
        <w:rPr>
          <w:rFonts w:ascii="Times New Roman" w:eastAsia="Times New Roman" w:hAnsi="Times New Roman" w:cs="Times New Roman"/>
          <w:b/>
          <w:bCs/>
          <w:noProof/>
          <w:sz w:val="24"/>
          <w:szCs w:val="24"/>
        </w:rPr>
        <w:t>economic policy</w:t>
      </w:r>
      <w:r>
        <w:rPr>
          <w:rFonts w:ascii="Times New Roman" w:eastAsia="Times New Roman" w:hAnsi="Times New Roman" w:cs="Times New Roman"/>
          <w:noProof/>
          <w:sz w:val="24"/>
          <w:szCs w:val="24"/>
        </w:rPr>
        <w:t>,</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rPr>
        <w:t>further alignment with the Directive on Requirements for Budgetary Frameworks is needed.</w:t>
      </w:r>
      <w:r>
        <w:rPr>
          <w:rFonts w:ascii="Times New Roman" w:eastAsia="Times New Roman" w:hAnsi="Times New Roman" w:cs="Times New Roman"/>
          <w:bCs/>
          <w:noProof/>
          <w:sz w:val="24"/>
          <w:szCs w:val="24"/>
        </w:rPr>
        <w:t xml:space="preserve"> Albania has complied with the</w:t>
      </w:r>
      <w:r>
        <w:rPr>
          <w:rFonts w:ascii="Times New Roman" w:eastAsia="Times New Roman" w:hAnsi="Times New Roman" w:cs="Times New Roman"/>
          <w:noProof/>
          <w:sz w:val="24"/>
          <w:szCs w:val="24"/>
        </w:rPr>
        <w:t xml:space="preserve"> fiscal rule since its adoption in 2016. Excessive Deficit Procedure notification tables are submitted regularly to Eu</w:t>
      </w:r>
      <w:r>
        <w:rPr>
          <w:rFonts w:ascii="Times New Roman" w:eastAsia="Times New Roman" w:hAnsi="Times New Roman" w:cs="Times New Roman"/>
          <w:noProof/>
          <w:sz w:val="24"/>
          <w:szCs w:val="24"/>
        </w:rPr>
        <w:t>rostat on a best-effort basis, but they are not complete and not fully in line with the European System of National and Regional Accounts (ESA 2010) requirements. Following the completion in July 2019 of the pilot project on source data required for the ca</w:t>
      </w:r>
      <w:r>
        <w:rPr>
          <w:rFonts w:ascii="Times New Roman" w:eastAsia="Times New Roman" w:hAnsi="Times New Roman" w:cs="Times New Roman"/>
          <w:noProof/>
          <w:sz w:val="24"/>
          <w:szCs w:val="24"/>
        </w:rPr>
        <w:t>lculation of the macroeconomic imbalance procedures (MIP) indicators, Albania has reported to Eurostat and has shared the metadata for 14 available MIP scoreboard indicators. Further progress is needed on the calculation of nominal unit labour costs and ho</w:t>
      </w:r>
      <w:r>
        <w:rPr>
          <w:rFonts w:ascii="Times New Roman" w:eastAsia="Times New Roman" w:hAnsi="Times New Roman" w:cs="Times New Roman"/>
          <w:noProof/>
          <w:sz w:val="24"/>
          <w:szCs w:val="24"/>
        </w:rPr>
        <w:t xml:space="preserve">use price index deflated.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April and May 2020, the government ammended the 2020 budget to include additional expenditure to buffer the economic fall-out of the pandemic, adjust the planned fiscal deficit from 2.2% to 3.9% in view of the expected drop in</w:t>
      </w:r>
      <w:r>
        <w:rPr>
          <w:rFonts w:ascii="Times New Roman" w:eastAsia="Times New Roman" w:hAnsi="Times New Roman" w:cs="Times New Roman"/>
          <w:noProof/>
          <w:sz w:val="24"/>
          <w:szCs w:val="24"/>
        </w:rPr>
        <w:t xml:space="preserve"> revenue and plan the additional deficit financing. The budgetary measures intend to provide additional funds to the health sector, support small businesses and self-employed affected by the lock-down and cushion the socio-economic impact of the pandemic. </w:t>
      </w:r>
      <w:r>
        <w:rPr>
          <w:rFonts w:ascii="Times New Roman" w:eastAsia="Times New Roman" w:hAnsi="Times New Roman" w:cs="Times New Roman"/>
          <w:noProof/>
          <w:sz w:val="24"/>
          <w:szCs w:val="24"/>
        </w:rPr>
        <w:t xml:space="preserve">In addition, the government  allowed to postpone certain tax payments, waived penalties for late utility payments and issued two sovereign guarantees for loans to businesses.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Albania submitted its Economic Reform Programme 2020-2022 on time, but the COVID</w:t>
      </w:r>
      <w:r>
        <w:rPr>
          <w:rFonts w:ascii="Times New Roman" w:eastAsia="Times New Roman" w:hAnsi="Times New Roman" w:cs="Times New Roman"/>
          <w:noProof/>
          <w:sz w:val="24"/>
          <w:szCs w:val="24"/>
        </w:rPr>
        <w:t>-19 crisis rendered its macro-fiscal projections and policy priorities largely obsolete. Albania needs to strengthen its inter-institutional coordination mechanism for comprehensive strategic policy planning, including for the preparation of the programme.</w:t>
      </w:r>
      <w:r>
        <w:rPr>
          <w:rFonts w:ascii="Times New Roman" w:eastAsia="Times New Roman" w:hAnsi="Times New Roman" w:cs="Times New Roman"/>
          <w:noProof/>
          <w:sz w:val="24"/>
          <w:szCs w:val="24"/>
        </w:rPr>
        <w:t xml:space="preserve"> It needs to increase its administrative capacities and human resources for designing and coordinating economic policy and for monitoring the implementation and impact of structural reforms in consultation with local stakeholders. </w:t>
      </w:r>
    </w:p>
    <w:p w:rsidR="00EE1719" w:rsidRDefault="000E39BA">
      <w:pPr>
        <w:pStyle w:val="Heading2"/>
      </w:pPr>
      <w:bookmarkStart w:id="158" w:name="_Toc29803528"/>
      <w:bookmarkStart w:id="159" w:name="_Toc9430028"/>
      <w:bookmarkStart w:id="160" w:name="_Toc9331936"/>
      <w:bookmarkStart w:id="161" w:name="_Toc9328504"/>
      <w:bookmarkStart w:id="162" w:name="_Toc530733588"/>
      <w:bookmarkStart w:id="163" w:name="_Toc52745531"/>
      <w:r>
        <w:rPr>
          <w:rStyle w:val="Heading2Char"/>
          <w:rFonts w:eastAsiaTheme="minorEastAsia"/>
        </w:rPr>
        <w:t>5.18.</w:t>
      </w:r>
      <w:r>
        <w:t xml:space="preserve"> </w:t>
      </w:r>
      <w:r>
        <w:tab/>
        <w:t>Chapter 18: Stati</w:t>
      </w:r>
      <w:r>
        <w:t>stics</w:t>
      </w:r>
      <w:bookmarkEnd w:id="157"/>
      <w:bookmarkEnd w:id="158"/>
      <w:bookmarkEnd w:id="159"/>
      <w:bookmarkEnd w:id="160"/>
      <w:bookmarkEnd w:id="161"/>
      <w:bookmarkEnd w:id="162"/>
      <w:bookmarkEnd w:id="163"/>
    </w:p>
    <w:p w:rsidR="00EE1719" w:rsidRDefault="000E39BA">
      <w:pPr>
        <w:keepNext/>
        <w:autoSpaceDE w:val="0"/>
        <w:autoSpaceDN w:val="0"/>
        <w:adjustRightInd w:val="0"/>
        <w:spacing w:after="120" w:line="240" w:lineRule="auto"/>
        <w:jc w:val="both"/>
        <w:rPr>
          <w:rFonts w:ascii="Times New Roman" w:eastAsia="Calibri" w:hAnsi="Times New Roman" w:cs="Times New Roman"/>
          <w:i/>
          <w:iCs/>
          <w:noProof/>
          <w:sz w:val="24"/>
          <w:szCs w:val="24"/>
        </w:rPr>
      </w:pPr>
      <w:r>
        <w:rPr>
          <w:rFonts w:ascii="Times New Roman" w:eastAsia="Calibri" w:hAnsi="Times New Roman" w:cs="Times New Roman"/>
          <w:i/>
          <w:iCs/>
          <w:noProof/>
          <w:sz w:val="24"/>
          <w:szCs w:val="24"/>
        </w:rPr>
        <w:t>EU rules require that Member States are able to produce statistics based on professional independence, impartiality, reliability, transparency and confidentiality. Common rules are provided for the methodology, production and dissemination of statist</w:t>
      </w:r>
      <w:r>
        <w:rPr>
          <w:rFonts w:ascii="Times New Roman" w:eastAsia="Calibri" w:hAnsi="Times New Roman" w:cs="Times New Roman"/>
          <w:i/>
          <w:iCs/>
          <w:noProof/>
          <w:sz w:val="24"/>
          <w:szCs w:val="24"/>
        </w:rPr>
        <w:t>ical information.</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Albania is </w:t>
      </w:r>
      <w:r>
        <w:rPr>
          <w:rFonts w:ascii="Times New Roman" w:eastAsia="Times New Roman" w:hAnsi="Times New Roman" w:cs="Times New Roman"/>
          <w:b/>
          <w:noProof/>
          <w:sz w:val="24"/>
          <w:szCs w:val="24"/>
        </w:rPr>
        <w:t>moderately</w:t>
      </w:r>
      <w:r>
        <w:rPr>
          <w:rFonts w:ascii="Times New Roman" w:eastAsia="Calibri" w:hAnsi="Times New Roman" w:cs="Times New Roman"/>
          <w:b/>
          <w:noProof/>
          <w:sz w:val="24"/>
          <w:szCs w:val="24"/>
        </w:rPr>
        <w:t xml:space="preserve"> prepared</w:t>
      </w:r>
      <w:r>
        <w:rPr>
          <w:rFonts w:ascii="Times New Roman" w:eastAsia="Calibri" w:hAnsi="Times New Roman" w:cs="Times New Roman"/>
          <w:noProof/>
          <w:sz w:val="24"/>
          <w:szCs w:val="24"/>
        </w:rPr>
        <w:t xml:space="preserve"> on statistics. </w:t>
      </w:r>
      <w:r>
        <w:rPr>
          <w:rFonts w:ascii="Times New Roman" w:eastAsia="Calibri" w:hAnsi="Times New Roman" w:cs="Times New Roman"/>
          <w:b/>
          <w:noProof/>
          <w:sz w:val="24"/>
          <w:szCs w:val="24"/>
        </w:rPr>
        <w:t>Some progress</w:t>
      </w:r>
      <w:r>
        <w:rPr>
          <w:rFonts w:ascii="Times New Roman" w:eastAsia="Calibri" w:hAnsi="Times New Roman" w:cs="Times New Roman"/>
          <w:noProof/>
          <w:sz w:val="24"/>
          <w:szCs w:val="24"/>
        </w:rPr>
        <w:t xml:space="preserve"> was made, notably on the alignment with ESA 2010 standards, and faster and new publications of statistics and increased transmission to Eurostat. The role of the National Statistical System (INSTAT) was further strengthened and its resources improved; how</w:t>
      </w:r>
      <w:r>
        <w:rPr>
          <w:rFonts w:ascii="Times New Roman" w:eastAsia="Calibri" w:hAnsi="Times New Roman" w:cs="Times New Roman"/>
          <w:noProof/>
          <w:sz w:val="24"/>
          <w:szCs w:val="24"/>
        </w:rPr>
        <w:t>ever, the methods of data collection need to be modernised and the statistical production processes should be improved. Communications with stakeholders improved for some statistical domains.</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rPr>
        <w:t>In</w:t>
      </w:r>
      <w:r>
        <w:rPr>
          <w:rFonts w:ascii="Times New Roman" w:eastAsia="Calibri" w:hAnsi="Times New Roman" w:cs="Times New Roman"/>
          <w:noProof/>
          <w:sz w:val="24"/>
          <w:szCs w:val="24"/>
        </w:rPr>
        <w:t xml:space="preserve"> the coming year, Albania should in particular:</w:t>
      </w:r>
    </w:p>
    <w:p w:rsidR="00EE1719" w:rsidRDefault="000E39BA">
      <w:pPr>
        <w:pStyle w:val="ListParagraph"/>
        <w:numPr>
          <w:ilvl w:val="0"/>
          <w:numId w:val="54"/>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appoint a </w:t>
      </w:r>
      <w:r>
        <w:rPr>
          <w:rFonts w:ascii="Times New Roman" w:eastAsia="Times New Roman" w:hAnsi="Times New Roman" w:cs="Times New Roman"/>
          <w:noProof/>
          <w:sz w:val="24"/>
          <w:szCs w:val="24"/>
        </w:rPr>
        <w:t>Director General and continue to reinforce INSTAT’s resources;</w:t>
      </w:r>
    </w:p>
    <w:p w:rsidR="00EE1719" w:rsidRDefault="000E39BA">
      <w:pPr>
        <w:numPr>
          <w:ilvl w:val="0"/>
          <w:numId w:val="54"/>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adopt the Law on Population and Housing census and continue the preparation of the population and housing census in line with the relevant EU legislation and UN standards;</w:t>
      </w:r>
    </w:p>
    <w:p w:rsidR="00EE1719" w:rsidRDefault="000E39BA">
      <w:pPr>
        <w:numPr>
          <w:ilvl w:val="0"/>
          <w:numId w:val="54"/>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prepare the action pl</w:t>
      </w:r>
      <w:r>
        <w:rPr>
          <w:rFonts w:ascii="Times New Roman" w:eastAsia="Times New Roman" w:hAnsi="Times New Roman" w:cs="Times New Roman"/>
          <w:noProof/>
          <w:sz w:val="24"/>
          <w:szCs w:val="24"/>
        </w:rPr>
        <w:t>an and the detailed estimated budget for the 2022 census of agriculture;</w:t>
      </w:r>
    </w:p>
    <w:p w:rsidR="00EE1719" w:rsidRDefault="000E39BA">
      <w:pPr>
        <w:numPr>
          <w:ilvl w:val="0"/>
          <w:numId w:val="54"/>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implement the amended Law on Official Statistics and continue to expand the scope of official statistics in line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w:t>
      </w:r>
      <w:r>
        <w:rPr>
          <w:rFonts w:ascii="Times New Roman" w:eastAsia="Calibri" w:hAnsi="Times New Roman" w:cs="Times New Roman"/>
          <w:b/>
          <w:bCs/>
          <w:noProof/>
          <w:sz w:val="24"/>
          <w:szCs w:val="24"/>
        </w:rPr>
        <w:t>statistical infrastructure</w:t>
      </w:r>
      <w:r>
        <w:rPr>
          <w:rFonts w:ascii="Times New Roman" w:eastAsia="Calibri" w:hAnsi="Times New Roman" w:cs="Times New Roman"/>
          <w:noProof/>
          <w:sz w:val="24"/>
          <w:szCs w:val="24"/>
        </w:rPr>
        <w:t>, Albania’s L</w:t>
      </w:r>
      <w:r>
        <w:rPr>
          <w:rFonts w:ascii="Times New Roman" w:eastAsia="Calibri" w:hAnsi="Times New Roman" w:cs="Times New Roman"/>
          <w:noProof/>
          <w:sz w:val="24"/>
          <w:szCs w:val="24"/>
        </w:rPr>
        <w:t>aw on Official Statistics is in line with the European Statistics Code of Practice and most classifications are in line with EU standards. The annual work plan for 2020 for the implementation of the 5</w:t>
      </w:r>
      <w:r>
        <w:rPr>
          <w:rFonts w:ascii="Times New Roman" w:eastAsia="Calibri" w:hAnsi="Times New Roman" w:cs="Times New Roman"/>
          <w:noProof/>
          <w:sz w:val="24"/>
          <w:szCs w:val="24"/>
        </w:rPr>
        <w:noBreakHyphen/>
        <w:t>year programme on the official statistics for 2017-2021</w:t>
      </w:r>
      <w:r>
        <w:rPr>
          <w:rFonts w:ascii="Times New Roman" w:eastAsia="Calibri" w:hAnsi="Times New Roman" w:cs="Times New Roman"/>
          <w:noProof/>
          <w:sz w:val="24"/>
          <w:szCs w:val="24"/>
        </w:rPr>
        <w:t xml:space="preserve"> further to the Law on Official Statistics is not adopted by the Parliament and its draft will need to be revised due to the Covid-19 crisis. The Institute for Statistics (INSTAT) has continued its organisational restructuring following the 2018 amendments</w:t>
      </w:r>
      <w:r>
        <w:rPr>
          <w:rFonts w:ascii="Times New Roman" w:eastAsia="Calibri" w:hAnsi="Times New Roman" w:cs="Times New Roman"/>
          <w:noProof/>
          <w:sz w:val="24"/>
          <w:szCs w:val="24"/>
        </w:rPr>
        <w:t xml:space="preserve"> to the Law on Official Statistics. In 2019, 62 employees were recruited while the recruitment process for the 30 remaining vacancies is ongoing. </w:t>
      </w:r>
      <w:r>
        <w:rPr>
          <w:rFonts w:ascii="Times New Roman" w:eastAsia="Times New Roman" w:hAnsi="Times New Roman" w:cs="Times New Roman"/>
          <w:noProof/>
          <w:sz w:val="24"/>
          <w:szCs w:val="24"/>
        </w:rPr>
        <w:t xml:space="preserve">INSTAT’s budget and staffing continued to be insufficient for </w:t>
      </w:r>
      <w:r>
        <w:rPr>
          <w:rFonts w:ascii="Times New Roman" w:eastAsia="Calibri" w:hAnsi="Times New Roman" w:cs="Times New Roman"/>
          <w:noProof/>
          <w:sz w:val="24"/>
          <w:szCs w:val="24"/>
        </w:rPr>
        <w:t>fully implementing</w:t>
      </w:r>
      <w:r>
        <w:rPr>
          <w:rFonts w:ascii="Times New Roman" w:eastAsia="Times New Roman" w:hAnsi="Times New Roman" w:cs="Times New Roman"/>
          <w:noProof/>
          <w:sz w:val="24"/>
          <w:szCs w:val="24"/>
        </w:rPr>
        <w:t xml:space="preserve"> </w:t>
      </w:r>
      <w:r>
        <w:rPr>
          <w:rFonts w:ascii="Times New Roman" w:eastAsia="Calibri" w:hAnsi="Times New Roman" w:cs="Times New Roman"/>
          <w:noProof/>
          <w:sz w:val="24"/>
          <w:szCs w:val="24"/>
        </w:rPr>
        <w:t xml:space="preserve">the </w:t>
      </w:r>
      <w:r>
        <w:rPr>
          <w:rFonts w:ascii="Times New Roman" w:eastAsia="Times New Roman" w:hAnsi="Times New Roman" w:cs="Times New Roman"/>
          <w:noProof/>
          <w:sz w:val="24"/>
          <w:szCs w:val="24"/>
        </w:rPr>
        <w:t xml:space="preserve">EU </w:t>
      </w:r>
      <w:r>
        <w:rPr>
          <w:rFonts w:ascii="Times New Roman" w:eastAsia="Times New Roman" w:hAnsi="Times New Roman" w:cs="Times New Roman"/>
          <w:i/>
          <w:iCs/>
          <w:noProof/>
          <w:sz w:val="24"/>
          <w:szCs w:val="24"/>
        </w:rPr>
        <w:t>acquis</w:t>
      </w:r>
      <w:r>
        <w:rPr>
          <w:rFonts w:ascii="Times New Roman" w:eastAsia="Times New Roman" w:hAnsi="Times New Roman" w:cs="Times New Roman"/>
          <w:noProof/>
          <w:sz w:val="24"/>
          <w:szCs w:val="24"/>
        </w:rPr>
        <w:t xml:space="preserve"> in the field of</w:t>
      </w:r>
      <w:r>
        <w:rPr>
          <w:rFonts w:ascii="Times New Roman" w:eastAsia="Times New Roman" w:hAnsi="Times New Roman" w:cs="Times New Roman"/>
          <w:noProof/>
          <w:sz w:val="24"/>
          <w:szCs w:val="24"/>
        </w:rPr>
        <w:t xml:space="preserve"> statistics</w:t>
      </w:r>
      <w:r>
        <w:rPr>
          <w:rFonts w:ascii="Times New Roman" w:eastAsia="Calibri" w:hAnsi="Times New Roman" w:cs="Times New Roman"/>
          <w:noProof/>
          <w:sz w:val="24"/>
          <w:szCs w:val="24"/>
        </w:rPr>
        <w:t xml:space="preserve">. The position of the General Director of INSTAT is still vacant. An additional memorandum of understanding was signed during 2019 with data custodians on access to statistics, and another one </w:t>
      </w:r>
      <w:r>
        <w:rPr>
          <w:rFonts w:ascii="Times New Roman" w:hAnsi="Times New Roman" w:cs="Times New Roman"/>
          <w:noProof/>
          <w:sz w:val="24"/>
          <w:szCs w:val="24"/>
        </w:rPr>
        <w:t>with the General Prosecutor Office.</w:t>
      </w:r>
      <w:r>
        <w:rPr>
          <w:rFonts w:ascii="Times New Roman" w:eastAsia="Calibri" w:hAnsi="Times New Roman" w:cs="Times New Roman"/>
          <w:noProof/>
          <w:sz w:val="24"/>
          <w:szCs w:val="24"/>
        </w:rPr>
        <w:t xml:space="preserve"> The ones signed </w:t>
      </w:r>
      <w:r>
        <w:rPr>
          <w:rFonts w:ascii="Times New Roman" w:eastAsia="Calibri" w:hAnsi="Times New Roman" w:cs="Times New Roman"/>
          <w:noProof/>
          <w:sz w:val="24"/>
          <w:szCs w:val="24"/>
        </w:rPr>
        <w:t xml:space="preserve">before 2018 were adapted to be in line with the Law on Official Statistics.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macroeconomic statistics</w:t>
      </w:r>
      <w:r>
        <w:rPr>
          <w:rFonts w:ascii="Times New Roman" w:eastAsia="Calibri" w:hAnsi="Times New Roman" w:cs="Times New Roman"/>
          <w:noProof/>
          <w:sz w:val="24"/>
          <w:szCs w:val="24"/>
        </w:rPr>
        <w:t xml:space="preserve">, annual and quarterly GDP data are produced according to the production and expenditure approach, in current and </w:t>
      </w:r>
      <w:r>
        <w:rPr>
          <w:rFonts w:ascii="Times New Roman" w:hAnsi="Times New Roman" w:cs="Times New Roman"/>
          <w:noProof/>
          <w:sz w:val="24"/>
          <w:szCs w:val="24"/>
        </w:rPr>
        <w:t>previous year prices as well as in cha</w:t>
      </w:r>
      <w:r>
        <w:rPr>
          <w:rFonts w:ascii="Times New Roman" w:hAnsi="Times New Roman" w:cs="Times New Roman"/>
          <w:noProof/>
          <w:sz w:val="24"/>
          <w:szCs w:val="24"/>
        </w:rPr>
        <w:t>in-linked volume and seasonally adjusted</w:t>
      </w:r>
      <w:r>
        <w:rPr>
          <w:rFonts w:ascii="Times New Roman" w:eastAsia="Calibri" w:hAnsi="Times New Roman" w:cs="Times New Roman"/>
          <w:noProof/>
          <w:sz w:val="24"/>
          <w:szCs w:val="24"/>
        </w:rPr>
        <w:t>. Supply and use tables and derived input-output tables are harmonised with the definitions of the European System of National and Regional Accounts (ESA 2010). Further efforts are needed to improve the completeness of the excessive deficit procedure notif</w:t>
      </w:r>
      <w:r>
        <w:rPr>
          <w:rFonts w:ascii="Times New Roman" w:eastAsia="Calibri" w:hAnsi="Times New Roman" w:cs="Times New Roman"/>
          <w:noProof/>
          <w:sz w:val="24"/>
          <w:szCs w:val="24"/>
        </w:rPr>
        <w:t xml:space="preserve">ication tables, which are sent regularly to Eurostat on a best-effort basis. </w:t>
      </w:r>
      <w:r>
        <w:rPr>
          <w:rFonts w:ascii="Times New Roman" w:eastAsia="Calibri" w:hAnsi="Times New Roman" w:cs="Times New Roman"/>
          <w:noProof/>
          <w:spacing w:val="-3"/>
          <w:sz w:val="24"/>
          <w:szCs w:val="24"/>
        </w:rPr>
        <w:t>Further improvements are needed in government finance statistics in order to meet legislative requirements.</w:t>
      </w:r>
      <w:r>
        <w:rPr>
          <w:rFonts w:ascii="Times New Roman" w:eastAsia="Calibri" w:hAnsi="Times New Roman" w:cs="Times New Roman"/>
          <w:noProof/>
          <w:spacing w:val="4"/>
          <w:sz w:val="24"/>
          <w:szCs w:val="24"/>
        </w:rPr>
        <w:t xml:space="preserve"> </w:t>
      </w:r>
      <w:r>
        <w:rPr>
          <w:rFonts w:ascii="Times New Roman" w:eastAsia="Times New Roman" w:hAnsi="Times New Roman" w:cs="Times New Roman"/>
          <w:noProof/>
          <w:sz w:val="24"/>
          <w:szCs w:val="24"/>
        </w:rPr>
        <w:t>INSTAT produces and publishes the harmonised index of consumer prices a</w:t>
      </w:r>
      <w:r>
        <w:rPr>
          <w:rFonts w:ascii="Times New Roman" w:eastAsia="Times New Roman" w:hAnsi="Times New Roman" w:cs="Times New Roman"/>
          <w:noProof/>
          <w:sz w:val="24"/>
          <w:szCs w:val="24"/>
        </w:rPr>
        <w:t xml:space="preserve">nd since May 2018 the production accounts generation of income accounts.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rPr>
        <w:t xml:space="preserve">As regards structural </w:t>
      </w:r>
      <w:r>
        <w:rPr>
          <w:rFonts w:ascii="Times New Roman" w:eastAsia="Times New Roman" w:hAnsi="Times New Roman" w:cs="Times New Roman"/>
          <w:b/>
          <w:bCs/>
          <w:noProof/>
          <w:sz w:val="24"/>
          <w:szCs w:val="24"/>
        </w:rPr>
        <w:t>business statistics</w:t>
      </w:r>
      <w:r>
        <w:rPr>
          <w:rFonts w:ascii="Times New Roman" w:eastAsia="Times New Roman" w:hAnsi="Times New Roman" w:cs="Times New Roman"/>
          <w:noProof/>
          <w:sz w:val="24"/>
          <w:szCs w:val="24"/>
        </w:rPr>
        <w:t xml:space="preserve">, data collection and production have further improved. </w:t>
      </w:r>
      <w:r>
        <w:rPr>
          <w:rFonts w:ascii="Times New Roman" w:hAnsi="Times New Roman" w:cs="Times New Roman"/>
          <w:noProof/>
          <w:sz w:val="24"/>
          <w:szCs w:val="24"/>
        </w:rPr>
        <w:t>Albania carried out an industrial production survey, although data is not collected b</w:t>
      </w:r>
      <w:r>
        <w:rPr>
          <w:rFonts w:ascii="Times New Roman" w:hAnsi="Times New Roman" w:cs="Times New Roman"/>
          <w:noProof/>
          <w:sz w:val="24"/>
          <w:szCs w:val="24"/>
        </w:rPr>
        <w:t xml:space="preserve">y the PRODCOM list in force, nor transmitted to Eurostat. </w:t>
      </w:r>
      <w:r>
        <w:rPr>
          <w:rFonts w:ascii="Times New Roman" w:eastAsia="Calibri" w:hAnsi="Times New Roman" w:cs="Times New Roman"/>
          <w:bCs/>
          <w:noProof/>
          <w:sz w:val="24"/>
          <w:szCs w:val="24"/>
        </w:rPr>
        <w:t>In addition, Albania is partly compliant for all Short Term Statistics domains (industry, construction, retail trade and other service), but some important indicators are still not transmitted to Eu</w:t>
      </w:r>
      <w:r>
        <w:rPr>
          <w:rFonts w:ascii="Times New Roman" w:eastAsia="Calibri" w:hAnsi="Times New Roman" w:cs="Times New Roman"/>
          <w:bCs/>
          <w:noProof/>
          <w:sz w:val="24"/>
          <w:szCs w:val="24"/>
        </w:rPr>
        <w:t>rostat, in particular the index of industrial production and the services price</w:t>
      </w:r>
      <w:r>
        <w:rPr>
          <w:rFonts w:ascii="Times New Roman" w:hAnsi="Times New Roman" w:cs="Times New Roman"/>
          <w:i/>
          <w:iCs/>
          <w:noProof/>
          <w:sz w:val="24"/>
          <w:szCs w:val="24"/>
        </w:rPr>
        <w:t xml:space="preserve"> </w:t>
      </w:r>
      <w:r>
        <w:rPr>
          <w:rFonts w:ascii="Times New Roman" w:eastAsia="Calibri" w:hAnsi="Times New Roman" w:cs="Times New Roman"/>
          <w:bCs/>
          <w:noProof/>
          <w:sz w:val="24"/>
          <w:szCs w:val="24"/>
        </w:rPr>
        <w:t>indices. A special publication was finalised in cooperation with the Bank of Albania on the main tourism indicators for the period 2014-2018 and has completed the data collecti</w:t>
      </w:r>
      <w:r>
        <w:rPr>
          <w:rFonts w:ascii="Times New Roman" w:eastAsia="Calibri" w:hAnsi="Times New Roman" w:cs="Times New Roman"/>
          <w:bCs/>
          <w:noProof/>
          <w:sz w:val="24"/>
          <w:szCs w:val="24"/>
        </w:rPr>
        <w:t xml:space="preserve">on for the enterprise tourism survey "Accommodation structures survey" (to be published in 2020). </w:t>
      </w:r>
      <w:r>
        <w:rPr>
          <w:rFonts w:ascii="Times New Roman" w:eastAsia="Calibri" w:hAnsi="Times New Roman" w:cs="Times New Roman"/>
          <w:noProof/>
          <w:sz w:val="24"/>
          <w:szCs w:val="24"/>
        </w:rPr>
        <w:t xml:space="preserve">INSTAT has good relationships with respondents, and achieves quite high response rates in both business and household surveys.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 xml:space="preserve">On </w:t>
      </w:r>
      <w:r>
        <w:rPr>
          <w:rFonts w:ascii="Times New Roman" w:eastAsia="Calibri" w:hAnsi="Times New Roman" w:cs="Times New Roman"/>
          <w:b/>
          <w:bCs/>
          <w:noProof/>
          <w:sz w:val="24"/>
          <w:szCs w:val="24"/>
        </w:rPr>
        <w:t>social statistics</w:t>
      </w:r>
      <w:r>
        <w:rPr>
          <w:rFonts w:ascii="Times New Roman" w:eastAsia="Calibri" w:hAnsi="Times New Roman" w:cs="Times New Roman"/>
          <w:bCs/>
          <w:noProof/>
          <w:sz w:val="24"/>
          <w:szCs w:val="24"/>
        </w:rPr>
        <w:t>, the labo</w:t>
      </w:r>
      <w:r>
        <w:rPr>
          <w:rFonts w:ascii="Times New Roman" w:eastAsia="Calibri" w:hAnsi="Times New Roman" w:cs="Times New Roman"/>
          <w:bCs/>
          <w:noProof/>
          <w:sz w:val="24"/>
          <w:szCs w:val="24"/>
        </w:rPr>
        <w:t>ur force survey is conducted regularly and micro-data are provided to Eurostat.</w:t>
      </w:r>
      <w:r>
        <w:rPr>
          <w:rFonts w:ascii="Times New Roman" w:eastAsia="Calibri" w:hAnsi="Times New Roman" w:cs="Times New Roman"/>
          <w:noProof/>
          <w:sz w:val="24"/>
          <w:szCs w:val="24"/>
        </w:rPr>
        <w:t xml:space="preserve"> INSTAT does not produce job vacancy statistics yet. Labour cost statistics are calculated on the basis of a labour cost survey. A Structure of Earning Survey was conducted for </w:t>
      </w:r>
      <w:r>
        <w:rPr>
          <w:rFonts w:ascii="Times New Roman" w:eastAsia="Calibri" w:hAnsi="Times New Roman" w:cs="Times New Roman"/>
          <w:noProof/>
          <w:sz w:val="24"/>
          <w:szCs w:val="24"/>
        </w:rPr>
        <w:t xml:space="preserve">the first time in 2019 (data to be published in 2020). INSTAT conducted the survey of income and living conditions wave 3 (SILC 2019) between April and July 2019, and published the 2017 and 2018 SILC results on 26 December 2019.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INSTAT published in 2020, </w:t>
      </w:r>
      <w:r>
        <w:rPr>
          <w:rFonts w:ascii="Times New Roman" w:eastAsia="Calibri" w:hAnsi="Times New Roman" w:cs="Times New Roman"/>
          <w:noProof/>
          <w:sz w:val="24"/>
          <w:szCs w:val="24"/>
        </w:rPr>
        <w:t>for the first time, the gender equality index for Albania. The index measures gender equality in six core domains: work, money, knowledge, time, power, health, and two additional domains: intersecting inequalities and violence.</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Statistics on external migra</w:t>
      </w:r>
      <w:r>
        <w:rPr>
          <w:rFonts w:ascii="Times New Roman" w:eastAsia="Calibri" w:hAnsi="Times New Roman" w:cs="Times New Roman"/>
          <w:noProof/>
          <w:sz w:val="24"/>
          <w:szCs w:val="24"/>
        </w:rPr>
        <w:t xml:space="preserve">tion and asylum are partly aligned with the EU legislation. Crime statistics are published on a quarterly basis.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preparatory work for the population and housing census continued. During October-November 2019, INSTAT carried out the pilot population an</w:t>
      </w:r>
      <w:r>
        <w:rPr>
          <w:rFonts w:ascii="Times New Roman" w:eastAsia="Calibri" w:hAnsi="Times New Roman" w:cs="Times New Roman"/>
          <w:noProof/>
          <w:sz w:val="24"/>
          <w:szCs w:val="24"/>
        </w:rPr>
        <w:t>d housing census. However, the law on population and housing census has not been adopted yet. Albania should ensure funding for its full implementation.</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b/>
          <w:bCs/>
          <w:noProof/>
          <w:sz w:val="24"/>
          <w:szCs w:val="24"/>
        </w:rPr>
        <w:t xml:space="preserve">Agricultural statistics </w:t>
      </w:r>
      <w:r>
        <w:rPr>
          <w:rFonts w:ascii="Times New Roman" w:eastAsia="Times New Roman" w:hAnsi="Times New Roman" w:cs="Times New Roman"/>
          <w:noProof/>
          <w:sz w:val="24"/>
          <w:szCs w:val="24"/>
        </w:rPr>
        <w:t xml:space="preserve">are partially aligned with the EU </w:t>
      </w:r>
      <w:r>
        <w:rPr>
          <w:rFonts w:ascii="Times New Roman" w:eastAsia="Times New Roman" w:hAnsi="Times New Roman" w:cs="Times New Roman"/>
          <w:i/>
          <w:iCs/>
          <w:noProof/>
          <w:sz w:val="24"/>
          <w:szCs w:val="24"/>
        </w:rPr>
        <w:t>acquis</w:t>
      </w:r>
      <w:r>
        <w:rPr>
          <w:rFonts w:ascii="Times New Roman" w:eastAsia="Times New Roman" w:hAnsi="Times New Roman" w:cs="Times New Roman"/>
          <w:noProof/>
          <w:sz w:val="24"/>
          <w:szCs w:val="24"/>
        </w:rPr>
        <w:t>. It is essential to improve the qualit</w:t>
      </w:r>
      <w:r>
        <w:rPr>
          <w:rFonts w:ascii="Times New Roman" w:eastAsia="Times New Roman" w:hAnsi="Times New Roman" w:cs="Times New Roman"/>
          <w:noProof/>
          <w:sz w:val="24"/>
          <w:szCs w:val="24"/>
        </w:rPr>
        <w:t xml:space="preserve">y of the data of the administrative registers, such as the farm register, individual register of animals and the animal holding registers, among others. </w:t>
      </w:r>
      <w:r>
        <w:rPr>
          <w:rFonts w:ascii="Times New Roman" w:eastAsia="Calibri" w:hAnsi="Times New Roman" w:cs="Times New Roman"/>
          <w:noProof/>
          <w:sz w:val="24"/>
          <w:szCs w:val="24"/>
        </w:rPr>
        <w:t>INSTAT should start the preparation of the strategic document for the census of agriculture holdings, p</w:t>
      </w:r>
      <w:r>
        <w:rPr>
          <w:rFonts w:ascii="Times New Roman" w:eastAsia="Calibri" w:hAnsi="Times New Roman" w:cs="Times New Roman"/>
          <w:noProof/>
          <w:sz w:val="24"/>
          <w:szCs w:val="24"/>
        </w:rPr>
        <w:t>lanned for 2022, including a corresponding action plan and the budget. INSTAT is working to introduce the possibility to move from a system based on an expert estimates to survey-based agriculture statistics.</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b/>
          <w:bCs/>
          <w:noProof/>
          <w:sz w:val="24"/>
          <w:szCs w:val="24"/>
        </w:rPr>
        <w:t xml:space="preserve">Environmental statistics </w:t>
      </w:r>
      <w:r>
        <w:rPr>
          <w:rFonts w:ascii="Times New Roman" w:eastAsia="Times New Roman" w:hAnsi="Times New Roman" w:cs="Times New Roman"/>
          <w:noProof/>
          <w:sz w:val="24"/>
          <w:szCs w:val="24"/>
        </w:rPr>
        <w:t xml:space="preserve">are in line with the EU </w:t>
      </w:r>
      <w:r>
        <w:rPr>
          <w:rFonts w:ascii="Times New Roman" w:eastAsia="Times New Roman" w:hAnsi="Times New Roman" w:cs="Times New Roman"/>
          <w:i/>
          <w:iCs/>
          <w:noProof/>
          <w:sz w:val="24"/>
          <w:szCs w:val="24"/>
        </w:rPr>
        <w:t xml:space="preserve">acquis </w:t>
      </w:r>
      <w:r>
        <w:rPr>
          <w:rFonts w:ascii="Times New Roman" w:eastAsia="Times New Roman" w:hAnsi="Times New Roman" w:cs="Times New Roman"/>
          <w:noProof/>
          <w:sz w:val="24"/>
          <w:szCs w:val="24"/>
        </w:rPr>
        <w:t xml:space="preserve">to a very limited extent, while </w:t>
      </w:r>
      <w:r>
        <w:rPr>
          <w:rFonts w:ascii="Times New Roman" w:eastAsia="Times New Roman" w:hAnsi="Times New Roman" w:cs="Times New Roman"/>
          <w:b/>
          <w:noProof/>
          <w:sz w:val="24"/>
          <w:szCs w:val="24"/>
        </w:rPr>
        <w:t>energy statistics</w:t>
      </w:r>
      <w:r>
        <w:rPr>
          <w:rFonts w:ascii="Times New Roman" w:eastAsia="Times New Roman" w:hAnsi="Times New Roman" w:cs="Times New Roman"/>
          <w:noProof/>
          <w:sz w:val="24"/>
          <w:szCs w:val="24"/>
        </w:rPr>
        <w:t xml:space="preserve"> are moderately aligned. INSTAT produces the balance of electricity on a quarterly basis and publishes the general energy balance produced by the National Agency of Natural Res</w:t>
      </w:r>
      <w:r>
        <w:rPr>
          <w:rFonts w:ascii="Times New Roman" w:eastAsia="Times New Roman" w:hAnsi="Times New Roman" w:cs="Times New Roman"/>
          <w:noProof/>
          <w:sz w:val="24"/>
          <w:szCs w:val="24"/>
        </w:rPr>
        <w:t xml:space="preserve">ources. Short-term energy statistics are still produced as volume data for electricity only. Detailed data on municipal waste statistics is provided. Air emission accounts are partially in compliance with the EU requirements. </w:t>
      </w:r>
      <w:r>
        <w:rPr>
          <w:rFonts w:ascii="Times New Roman" w:eastAsia="Calibri" w:hAnsi="Times New Roman" w:cs="Times New Roman"/>
          <w:noProof/>
          <w:sz w:val="24"/>
          <w:szCs w:val="24"/>
        </w:rPr>
        <w:t>INSTAT continues to publish en</w:t>
      </w:r>
      <w:r>
        <w:rPr>
          <w:rFonts w:ascii="Times New Roman" w:eastAsia="Calibri" w:hAnsi="Times New Roman" w:cs="Times New Roman"/>
          <w:noProof/>
          <w:sz w:val="24"/>
          <w:szCs w:val="24"/>
        </w:rPr>
        <w:t>vironment-related taxes by economic activity on its website; the 2017 data were published in 2019.</w:t>
      </w:r>
    </w:p>
    <w:p w:rsidR="00EE1719" w:rsidRDefault="000E39BA">
      <w:pPr>
        <w:pStyle w:val="Heading2"/>
      </w:pPr>
      <w:bookmarkStart w:id="164" w:name="_Toc29803529"/>
      <w:bookmarkStart w:id="165" w:name="_Toc9430029"/>
      <w:bookmarkStart w:id="166" w:name="_Toc9331937"/>
      <w:bookmarkStart w:id="167" w:name="_Toc9328505"/>
      <w:bookmarkStart w:id="168" w:name="_Toc510686873"/>
      <w:bookmarkStart w:id="169" w:name="_Toc530733589"/>
      <w:bookmarkStart w:id="170" w:name="_Toc52745532"/>
      <w:r>
        <w:t xml:space="preserve">5.19. </w:t>
      </w:r>
      <w:r>
        <w:tab/>
        <w:t>Chapter 19: Social policy and employment</w:t>
      </w:r>
      <w:bookmarkEnd w:id="164"/>
      <w:bookmarkEnd w:id="165"/>
      <w:bookmarkEnd w:id="166"/>
      <w:bookmarkEnd w:id="167"/>
      <w:bookmarkEnd w:id="168"/>
      <w:bookmarkEnd w:id="169"/>
      <w:bookmarkEnd w:id="170"/>
    </w:p>
    <w:p w:rsidR="00EE1719" w:rsidRDefault="000E39BA">
      <w:pPr>
        <w:keepNext/>
        <w:spacing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 xml:space="preserve">EU rules in the social field include minimum standards for labour law, equality, health and safety at work </w:t>
      </w:r>
      <w:r>
        <w:rPr>
          <w:rFonts w:ascii="Times New Roman" w:eastAsia="Times New Roman" w:hAnsi="Times New Roman" w:cs="Times New Roman"/>
          <w:i/>
          <w:noProof/>
          <w:sz w:val="24"/>
          <w:szCs w:val="24"/>
        </w:rPr>
        <w:t>and non-discrimination. They also promote social dialogue at European level.</w:t>
      </w:r>
    </w:p>
    <w:p w:rsidR="00EE1719" w:rsidRDefault="000E39BA">
      <w:pPr>
        <w:pBdr>
          <w:top w:val="single" w:sz="4" w:space="1" w:color="auto"/>
          <w:left w:val="single" w:sz="4" w:space="3"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has </w:t>
      </w:r>
      <w:r>
        <w:rPr>
          <w:rFonts w:ascii="Times New Roman" w:eastAsia="Times New Roman" w:hAnsi="Times New Roman" w:cs="Times New Roman"/>
          <w:b/>
          <w:noProof/>
          <w:sz w:val="24"/>
          <w:szCs w:val="24"/>
        </w:rPr>
        <w:t>some level of preparation</w:t>
      </w:r>
      <w:r>
        <w:rPr>
          <w:rFonts w:ascii="Times New Roman" w:eastAsia="Times New Roman" w:hAnsi="Times New Roman" w:cs="Times New Roman"/>
          <w:noProof/>
          <w:sz w:val="24"/>
          <w:szCs w:val="24"/>
        </w:rPr>
        <w:t xml:space="preserve"> on social policy and employment. </w:t>
      </w:r>
      <w:r>
        <w:rPr>
          <w:rFonts w:ascii="Times New Roman" w:eastAsia="Times New Roman" w:hAnsi="Times New Roman" w:cs="Times New Roman"/>
          <w:b/>
          <w:noProof/>
          <w:sz w:val="24"/>
          <w:szCs w:val="24"/>
        </w:rPr>
        <w:t>Some progress</w:t>
      </w:r>
      <w:r>
        <w:rPr>
          <w:rFonts w:ascii="Times New Roman" w:eastAsia="Times New Roman" w:hAnsi="Times New Roman" w:cs="Times New Roman"/>
          <w:noProof/>
          <w:sz w:val="24"/>
          <w:szCs w:val="24"/>
        </w:rPr>
        <w:t xml:space="preserve"> was made on implementing recommendations of the previous report, especially on increasing labo</w:t>
      </w:r>
      <w:r>
        <w:rPr>
          <w:rFonts w:ascii="Times New Roman" w:eastAsia="Times New Roman" w:hAnsi="Times New Roman" w:cs="Times New Roman"/>
          <w:noProof/>
          <w:sz w:val="24"/>
          <w:szCs w:val="24"/>
        </w:rPr>
        <w:t>ur market participation and on improving the quality and effectiveness of labour market institutions and services. Albania has continued the restructuring of its employment governance system, in line with the laws on vocational education and training and e</w:t>
      </w:r>
      <w:r>
        <w:rPr>
          <w:rFonts w:ascii="Times New Roman" w:eastAsia="Times New Roman" w:hAnsi="Times New Roman" w:cs="Times New Roman"/>
          <w:noProof/>
          <w:sz w:val="24"/>
          <w:szCs w:val="24"/>
        </w:rPr>
        <w:t>mployment promotion. The employment rate and labour market participation remain low, and the informal economy is still a significant job provider. Social services reform is progressing but financial and administrative efforts should be stepped up to streng</w:t>
      </w:r>
      <w:r>
        <w:rPr>
          <w:rFonts w:ascii="Times New Roman" w:eastAsia="Times New Roman" w:hAnsi="Times New Roman" w:cs="Times New Roman"/>
          <w:noProof/>
          <w:sz w:val="24"/>
          <w:szCs w:val="24"/>
        </w:rPr>
        <w:t xml:space="preserve">then the local level. No progress was achieved regarding the tripartite social dialogue, as </w:t>
      </w:r>
      <w:r>
        <w:rPr>
          <w:rFonts w:ascii="Times New Roman" w:eastAsia="Calibri" w:hAnsi="Times New Roman" w:cs="Times New Roman"/>
          <w:noProof/>
          <w:sz w:val="24"/>
          <w:szCs w:val="24"/>
        </w:rPr>
        <w:t>clear representativeness criteria are still under discussion and have not yet been set in the law.</w:t>
      </w:r>
    </w:p>
    <w:p w:rsidR="00EE1719" w:rsidRDefault="000E39BA">
      <w:pPr>
        <w:pBdr>
          <w:top w:val="single" w:sz="4" w:space="1" w:color="auto"/>
          <w:left w:val="single" w:sz="4" w:space="3" w:color="auto"/>
          <w:bottom w:val="single" w:sz="4" w:space="1" w:color="auto"/>
          <w:right w:val="single" w:sz="4" w:space="4" w:color="auto"/>
        </w:pBdr>
        <w:shd w:val="clear" w:color="auto" w:fill="D9D9D9"/>
        <w:tabs>
          <w:tab w:val="left" w:pos="5425"/>
        </w:tabs>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coming year, the country should:</w:t>
      </w:r>
      <w:r>
        <w:rPr>
          <w:rFonts w:ascii="Times New Roman" w:eastAsia="Times New Roman" w:hAnsi="Times New Roman" w:cs="Times New Roman"/>
          <w:noProof/>
          <w:sz w:val="24"/>
          <w:szCs w:val="24"/>
        </w:rPr>
        <w:tab/>
      </w:r>
    </w:p>
    <w:p w:rsidR="00EE1719" w:rsidRDefault="000E39BA">
      <w:pPr>
        <w:numPr>
          <w:ilvl w:val="0"/>
          <w:numId w:val="55"/>
        </w:numPr>
        <w:pBdr>
          <w:top w:val="single" w:sz="4" w:space="1" w:color="auto"/>
          <w:left w:val="single" w:sz="4" w:space="3" w:color="auto"/>
          <w:bottom w:val="single" w:sz="4" w:space="1" w:color="auto"/>
          <w:right w:val="single" w:sz="4" w:space="4" w:color="auto"/>
        </w:pBdr>
        <w:shd w:val="clear" w:color="auto" w:fill="D9D9D9"/>
        <w:tabs>
          <w:tab w:val="left" w:pos="0"/>
        </w:tabs>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continue the operational</w:t>
      </w:r>
      <w:r>
        <w:rPr>
          <w:rFonts w:ascii="Times New Roman" w:eastAsia="Times New Roman" w:hAnsi="Times New Roman" w:cs="Times New Roman"/>
          <w:noProof/>
          <w:sz w:val="24"/>
          <w:szCs w:val="24"/>
        </w:rPr>
        <w:t>isation of the employment and vocational education and training (VET) structure, following the establishment of the new National Agency for Employment and Skills (NAES), and finalise the adoption of the necessary implementing legislation for the employment</w:t>
      </w:r>
      <w:r>
        <w:rPr>
          <w:rFonts w:ascii="Times New Roman" w:eastAsia="Times New Roman" w:hAnsi="Times New Roman" w:cs="Times New Roman"/>
          <w:noProof/>
          <w:sz w:val="24"/>
          <w:szCs w:val="24"/>
        </w:rPr>
        <w:t xml:space="preserve"> reform; </w:t>
      </w:r>
    </w:p>
    <w:p w:rsidR="00EE1719" w:rsidRDefault="000E39BA">
      <w:pPr>
        <w:numPr>
          <w:ilvl w:val="0"/>
          <w:numId w:val="55"/>
        </w:numPr>
        <w:pBdr>
          <w:top w:val="single" w:sz="4" w:space="1" w:color="auto"/>
          <w:left w:val="single" w:sz="4" w:space="3"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ensure implementation of the National Strategy on Social Protection (2020-2023) and the social inclusion policy document (2015-2023) and strengthen inter-institutional coordination on measures affecting the most at risk groups;  </w:t>
      </w:r>
    </w:p>
    <w:p w:rsidR="00EE1719" w:rsidRDefault="000E39BA">
      <w:pPr>
        <w:numPr>
          <w:ilvl w:val="0"/>
          <w:numId w:val="55"/>
        </w:numPr>
        <w:pBdr>
          <w:top w:val="single" w:sz="4" w:space="1" w:color="auto"/>
          <w:left w:val="single" w:sz="4" w:space="3"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adopt the </w:t>
      </w:r>
      <w:r>
        <w:rPr>
          <w:rFonts w:ascii="Times New Roman" w:eastAsia="Times New Roman" w:hAnsi="Times New Roman" w:cs="Times New Roman"/>
          <w:noProof/>
          <w:sz w:val="24"/>
          <w:szCs w:val="24"/>
        </w:rPr>
        <w:t>implementing legislation on representativeness criteria for membership in the National Labour Council and the bylaws for the establishment of the tripartite regional council.</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Regarding the </w:t>
      </w:r>
      <w:r>
        <w:rPr>
          <w:rFonts w:ascii="Times New Roman" w:eastAsia="Times New Roman" w:hAnsi="Times New Roman" w:cs="Times New Roman"/>
          <w:b/>
          <w:noProof/>
          <w:sz w:val="24"/>
          <w:szCs w:val="24"/>
        </w:rPr>
        <w:t>labour law</w:t>
      </w:r>
      <w:r>
        <w:rPr>
          <w:rFonts w:ascii="Times New Roman" w:eastAsia="Times New Roman" w:hAnsi="Times New Roman" w:cs="Times New Roman"/>
          <w:noProof/>
          <w:sz w:val="24"/>
          <w:szCs w:val="24"/>
        </w:rPr>
        <w:t>, the amended Labour Code is being implemented, but its i</w:t>
      </w:r>
      <w:r>
        <w:rPr>
          <w:rFonts w:ascii="Times New Roman" w:eastAsia="Times New Roman" w:hAnsi="Times New Roman" w:cs="Times New Roman"/>
          <w:noProof/>
          <w:sz w:val="24"/>
          <w:szCs w:val="24"/>
        </w:rPr>
        <w:t>mplementation and enforcement still needs to be monitored more closely. Some progress was made as regards the number and impact of inspections and the training of labour inspectors. However, the capacity of the State Labour Inspectorate needs to be further</w:t>
      </w:r>
      <w:r>
        <w:rPr>
          <w:rFonts w:ascii="Times New Roman" w:eastAsia="Times New Roman" w:hAnsi="Times New Roman" w:cs="Times New Roman"/>
          <w:noProof/>
          <w:sz w:val="24"/>
          <w:szCs w:val="24"/>
        </w:rPr>
        <w:t xml:space="preserve"> strengthened when it comes to human resources, as the </w:t>
      </w:r>
      <w:r>
        <w:rPr>
          <w:rFonts w:ascii="Times New Roman" w:eastAsia="Calibri" w:hAnsi="Times New Roman" w:cs="Times New Roman"/>
          <w:noProof/>
          <w:sz w:val="24"/>
          <w:szCs w:val="24"/>
        </w:rPr>
        <w:t xml:space="preserve">staffing decreased in 2019. </w:t>
      </w:r>
      <w:r>
        <w:rPr>
          <w:rFonts w:ascii="Times New Roman" w:eastAsia="Times New Roman" w:hAnsi="Times New Roman" w:cs="Times New Roman"/>
          <w:noProof/>
          <w:sz w:val="24"/>
          <w:szCs w:val="24"/>
        </w:rPr>
        <w:t xml:space="preserve">The labour inspectors should continue to receive regular training and adequate resources to perform their duties. Additional efforts are needed to ensure sound coordination </w:t>
      </w:r>
      <w:r>
        <w:rPr>
          <w:rFonts w:ascii="Times New Roman" w:eastAsia="Times New Roman" w:hAnsi="Times New Roman" w:cs="Times New Roman"/>
          <w:noProof/>
          <w:sz w:val="24"/>
          <w:szCs w:val="24"/>
        </w:rPr>
        <w:t xml:space="preserve">with the State Health Inspectorate and social partners to ensure proper enforcement and monitoring of the occupational health and safety legislation.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w:t>
      </w:r>
      <w:r>
        <w:rPr>
          <w:rFonts w:ascii="Times New Roman" w:eastAsia="Calibri" w:hAnsi="Times New Roman" w:cs="Times New Roman"/>
          <w:b/>
          <w:noProof/>
          <w:sz w:val="24"/>
          <w:szCs w:val="24"/>
        </w:rPr>
        <w:t>informal economy</w:t>
      </w:r>
      <w:r>
        <w:rPr>
          <w:rFonts w:ascii="Times New Roman" w:eastAsia="Calibri" w:hAnsi="Times New Roman" w:cs="Times New Roman"/>
          <w:noProof/>
          <w:sz w:val="24"/>
          <w:szCs w:val="24"/>
        </w:rPr>
        <w:t xml:space="preserve"> remains significant with the share of informal employment in the non-agricultural sector at 30% (LFS 2019). The highest percentage of informal employment was reported in trade activities (42.2%), manufacturing (17.3%) and construction (16.6%), according t</w:t>
      </w:r>
      <w:r>
        <w:rPr>
          <w:rFonts w:ascii="Times New Roman" w:eastAsia="Calibri" w:hAnsi="Times New Roman" w:cs="Times New Roman"/>
          <w:noProof/>
          <w:sz w:val="24"/>
          <w:szCs w:val="24"/>
        </w:rPr>
        <w:t>o the Labour Inspectorate. During 2019, 10,042 inspections were carried out (9,994 in the private sector) in both private and public sectors. 2,879 (out of which 994 female) uninsured employees were identified, of which 2,794 (of which 970 female) were for</w:t>
      </w:r>
      <w:r>
        <w:rPr>
          <w:rFonts w:ascii="Times New Roman" w:eastAsia="Calibri" w:hAnsi="Times New Roman" w:cs="Times New Roman"/>
          <w:noProof/>
          <w:sz w:val="24"/>
          <w:szCs w:val="24"/>
        </w:rPr>
        <w:t xml:space="preserve">malised. The sectors in which irregularities were assessed are: manufacturing, mining, construction, trade and hospitality.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Albania adopted the 2019-2021 National Action Plan for the Protection of Children from Economic Exploitation. It still needs to str</w:t>
      </w:r>
      <w:r>
        <w:rPr>
          <w:rFonts w:ascii="Times New Roman" w:eastAsia="Times New Roman" w:hAnsi="Times New Roman" w:cs="Times New Roman"/>
          <w:noProof/>
          <w:sz w:val="24"/>
          <w:szCs w:val="24"/>
        </w:rPr>
        <w:t>engthen the system for monitoring child labour and other forms of exploitation. Albania has become a pathfinder country under the global Alliance 8.7 with a goal to eliminating child labour.</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health and safety at work</w:t>
      </w:r>
      <w:r>
        <w:rPr>
          <w:rFonts w:ascii="Times New Roman" w:eastAsia="Times New Roman" w:hAnsi="Times New Roman" w:cs="Times New Roman"/>
          <w:noProof/>
          <w:sz w:val="24"/>
          <w:szCs w:val="24"/>
        </w:rPr>
        <w:t>, Albania is implementing the 2016-20</w:t>
      </w:r>
      <w:r>
        <w:rPr>
          <w:rFonts w:ascii="Times New Roman" w:eastAsia="Times New Roman" w:hAnsi="Times New Roman" w:cs="Times New Roman"/>
          <w:noProof/>
          <w:sz w:val="24"/>
          <w:szCs w:val="24"/>
        </w:rPr>
        <w:t xml:space="preserve">20 occupational, safety and health policy document and action plan. Albania progressed on the legal framework with the adoption of most of the legislation transposing the EU Framework Directive on health and safety at work. However, the implementation and </w:t>
      </w:r>
      <w:r>
        <w:rPr>
          <w:rFonts w:ascii="Times New Roman" w:eastAsia="Times New Roman" w:hAnsi="Times New Roman" w:cs="Times New Roman"/>
          <w:noProof/>
          <w:sz w:val="24"/>
          <w:szCs w:val="24"/>
        </w:rPr>
        <w:t>enforcement of health and safety at work legislation is limited due to insufficient financial and human capacities. This remains a particular issue in the shoe/textile and mining sector. Reported accidents at work decreased from 195 in 2018 to 176 in 2019,</w:t>
      </w:r>
      <w:r>
        <w:rPr>
          <w:rFonts w:ascii="Times New Roman" w:eastAsia="Times New Roman" w:hAnsi="Times New Roman" w:cs="Times New Roman"/>
          <w:noProof/>
          <w:sz w:val="24"/>
          <w:szCs w:val="24"/>
        </w:rPr>
        <w:t xml:space="preserve"> while fatalities at work increased from 27 to 38 in the same timeframe. </w:t>
      </w:r>
    </w:p>
    <w:p w:rsidR="00EE1719" w:rsidRDefault="000E39BA">
      <w:pPr>
        <w:widowControl w:val="0"/>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Bipartite</w:t>
      </w:r>
      <w:r>
        <w:rPr>
          <w:rFonts w:ascii="Times New Roman" w:eastAsia="Calibri" w:hAnsi="Times New Roman" w:cs="Times New Roman"/>
          <w:b/>
          <w:noProof/>
          <w:sz w:val="24"/>
          <w:szCs w:val="24"/>
        </w:rPr>
        <w:t xml:space="preserve"> social dialogue</w:t>
      </w:r>
      <w:r>
        <w:rPr>
          <w:rFonts w:ascii="Times New Roman" w:eastAsia="Calibri" w:hAnsi="Times New Roman" w:cs="Times New Roman"/>
          <w:noProof/>
          <w:sz w:val="24"/>
          <w:szCs w:val="24"/>
        </w:rPr>
        <w:t xml:space="preserve"> remains weak in both the private and the public sector, </w:t>
      </w:r>
      <w:r>
        <w:rPr>
          <w:rFonts w:ascii="Times New Roman" w:hAnsi="Times New Roman" w:cs="Times New Roman"/>
          <w:noProof/>
          <w:sz w:val="24"/>
          <w:szCs w:val="24"/>
        </w:rPr>
        <w:t>mainly due to insufficient experience of trade unions, lack of a culture of dialogue, as well as emp</w:t>
      </w:r>
      <w:r>
        <w:rPr>
          <w:rFonts w:ascii="Times New Roman" w:hAnsi="Times New Roman" w:cs="Times New Roman"/>
          <w:noProof/>
          <w:sz w:val="24"/>
          <w:szCs w:val="24"/>
        </w:rPr>
        <w:t>loyers’ scepticism towards the trade unions</w:t>
      </w:r>
      <w:r>
        <w:rPr>
          <w:rFonts w:ascii="Times New Roman" w:eastAsia="Calibri" w:hAnsi="Times New Roman" w:cs="Times New Roman"/>
          <w:noProof/>
          <w:sz w:val="24"/>
          <w:szCs w:val="24"/>
        </w:rPr>
        <w:t>. Coverage by collective bargaining agreements is higher in the public sector in comparison with the private sector, with 73.7% of public sector employees, 28% of private sector non-agricultural employees and 3.8%</w:t>
      </w:r>
      <w:r>
        <w:rPr>
          <w:rFonts w:ascii="Times New Roman" w:eastAsia="Calibri" w:hAnsi="Times New Roman" w:cs="Times New Roman"/>
          <w:noProof/>
          <w:sz w:val="24"/>
          <w:szCs w:val="24"/>
        </w:rPr>
        <w:t xml:space="preserve"> of private agricultural employees being covered (2018 data). The union freedom and the right to strike need to be guaranteed to all workers, and trade union members shall not be discriminated. Also, the amicable labour disputes resolution system needs fur</w:t>
      </w:r>
      <w:r>
        <w:rPr>
          <w:rFonts w:ascii="Times New Roman" w:eastAsia="Calibri" w:hAnsi="Times New Roman" w:cs="Times New Roman"/>
          <w:noProof/>
          <w:sz w:val="24"/>
          <w:szCs w:val="24"/>
        </w:rPr>
        <w:t>ther consolidation. Regarding tripartite social dialogue, the mandate of the National Labour Council (NLC) was renewed in 2018. However, clear representativeness criteria have not yet been set in the law. Significant efforts are still needed to transform t</w:t>
      </w:r>
      <w:r>
        <w:rPr>
          <w:rFonts w:ascii="Times New Roman" w:eastAsia="Calibri" w:hAnsi="Times New Roman" w:cs="Times New Roman"/>
          <w:noProof/>
          <w:sz w:val="24"/>
          <w:szCs w:val="24"/>
        </w:rPr>
        <w:t>he NLC into an effective and regular social dialogue forum, aiming at improving collective bargaining. To be effective, work and regular meetings of committees established under NLC shall be promoted in order to prepare meaningful plenary meetings of the N</w:t>
      </w:r>
      <w:r>
        <w:rPr>
          <w:rFonts w:ascii="Times New Roman" w:eastAsia="Calibri" w:hAnsi="Times New Roman" w:cs="Times New Roman"/>
          <w:noProof/>
          <w:sz w:val="24"/>
          <w:szCs w:val="24"/>
        </w:rPr>
        <w:t>LC. At regional level, the decision on tripartite Regional Consultative Councils, consisting of representatives of employers’ organisations, trade unions and representatives of state structures, expected to be established by the end of 2018, is still await</w:t>
      </w:r>
      <w:r>
        <w:rPr>
          <w:rFonts w:ascii="Times New Roman" w:eastAsia="Calibri" w:hAnsi="Times New Roman" w:cs="Times New Roman"/>
          <w:noProof/>
          <w:sz w:val="24"/>
          <w:szCs w:val="24"/>
        </w:rPr>
        <w:t xml:space="preserve">ing adoption. </w:t>
      </w:r>
    </w:p>
    <w:p w:rsidR="00EE1719" w:rsidRDefault="000E39BA">
      <w:pPr>
        <w:spacing w:after="12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employment policy</w:t>
      </w:r>
      <w:r>
        <w:rPr>
          <w:rFonts w:ascii="Times New Roman" w:eastAsia="Calibri" w:hAnsi="Times New Roman" w:cs="Times New Roman"/>
          <w:noProof/>
          <w:sz w:val="24"/>
          <w:szCs w:val="24"/>
        </w:rPr>
        <w:t>, the administrative reform and the reduction in human capacities continues to affect the design, implementation and monitoring of employment policies and measures. While the labour market participation has improved, effo</w:t>
      </w:r>
      <w:r>
        <w:rPr>
          <w:rFonts w:ascii="Times New Roman" w:eastAsia="Calibri" w:hAnsi="Times New Roman" w:cs="Times New Roman"/>
          <w:noProof/>
          <w:sz w:val="24"/>
          <w:szCs w:val="24"/>
        </w:rPr>
        <w:t>rts are still needed regarding the alignment of education and training (including adult education and lifelong learning) to the needs of the labour market and the provision of targeted support to low skilled people. Employment and labour market participati</w:t>
      </w:r>
      <w:r>
        <w:rPr>
          <w:rFonts w:ascii="Times New Roman" w:eastAsia="Calibri" w:hAnsi="Times New Roman" w:cs="Times New Roman"/>
          <w:noProof/>
          <w:sz w:val="24"/>
          <w:szCs w:val="24"/>
        </w:rPr>
        <w:t xml:space="preserve">on continued to grow in 2019, but these figures hide a high underemployment. In 2019, job creation remains one of the major cross-sectoral priorities of the current government. Following the mid-term review of the </w:t>
      </w:r>
      <w:r>
        <w:rPr>
          <w:rFonts w:ascii="Times New Roman" w:eastAsia="Times New Roman" w:hAnsi="Times New Roman" w:cs="Times New Roman"/>
          <w:noProof/>
          <w:sz w:val="24"/>
          <w:szCs w:val="24"/>
        </w:rPr>
        <w:t>National Employment and Skills Strategy</w:t>
      </w:r>
      <w:r>
        <w:rPr>
          <w:rFonts w:ascii="Times New Roman" w:eastAsia="Calibri" w:hAnsi="Times New Roman" w:cs="Times New Roman"/>
          <w:noProof/>
          <w:sz w:val="24"/>
          <w:szCs w:val="24"/>
        </w:rPr>
        <w:t xml:space="preserve"> (N</w:t>
      </w:r>
      <w:r>
        <w:rPr>
          <w:rFonts w:ascii="Times New Roman" w:eastAsia="Calibri" w:hAnsi="Times New Roman" w:cs="Times New Roman"/>
          <w:noProof/>
          <w:sz w:val="24"/>
          <w:szCs w:val="24"/>
        </w:rPr>
        <w:t xml:space="preserve">ESS) conducted at the end of 2018, a revised action plan was completed in 2019 and the policy framework extended by two years in view of the limited progress on the promotion of employment services at local level and social cohesion. </w:t>
      </w:r>
      <w:r>
        <w:rPr>
          <w:rFonts w:ascii="Times New Roman" w:hAnsi="Times New Roman" w:cs="Times New Roman"/>
          <w:noProof/>
          <w:sz w:val="24"/>
          <w:szCs w:val="24"/>
        </w:rPr>
        <w:t>The Institute of Stati</w:t>
      </w:r>
      <w:r>
        <w:rPr>
          <w:rFonts w:ascii="Times New Roman" w:hAnsi="Times New Roman" w:cs="Times New Roman"/>
          <w:noProof/>
          <w:sz w:val="24"/>
          <w:szCs w:val="24"/>
        </w:rPr>
        <w:t xml:space="preserve">stics has sufficient resources to contribute to policies with comprehensive and reliable data. Special focus should be placed on urban/rural ratios in all labour-related statistics.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There was progress regarding the adoption of the Law on employment promot</w:t>
      </w:r>
      <w:r>
        <w:rPr>
          <w:rFonts w:ascii="Times New Roman" w:eastAsia="Calibri" w:hAnsi="Times New Roman" w:cs="Times New Roman"/>
          <w:noProof/>
          <w:sz w:val="24"/>
          <w:szCs w:val="24"/>
        </w:rPr>
        <w:t>ion in March 2019 and the establishment of the National Agency for Employment and Skills (NAES) through a bylaw in July 2019.</w:t>
      </w:r>
      <w:r>
        <w:rPr>
          <w:rFonts w:ascii="Times New Roman" w:eastAsia="Times New Roman" w:hAnsi="Times New Roman" w:cs="Times New Roman"/>
          <w:noProof/>
          <w:sz w:val="24"/>
          <w:szCs w:val="24"/>
        </w:rPr>
        <w:t xml:space="preserve"> The new Agency will manage the implementation of employment and skills policies and administer the employment offices at the regio</w:t>
      </w:r>
      <w:r>
        <w:rPr>
          <w:rFonts w:ascii="Times New Roman" w:eastAsia="Times New Roman" w:hAnsi="Times New Roman" w:cs="Times New Roman"/>
          <w:noProof/>
          <w:sz w:val="24"/>
          <w:szCs w:val="24"/>
        </w:rPr>
        <w:t>nal and local level, as well as the network of public vocational education and training (VET) providers (VET high schools, training centres). It is crucial that the new agency is fully equipped financially and in terms of human resources to implement its m</w:t>
      </w:r>
      <w:r>
        <w:rPr>
          <w:rFonts w:ascii="Times New Roman" w:eastAsia="Times New Roman" w:hAnsi="Times New Roman" w:cs="Times New Roman"/>
          <w:noProof/>
          <w:sz w:val="24"/>
          <w:szCs w:val="24"/>
        </w:rPr>
        <w:t xml:space="preserve">andate. </w:t>
      </w:r>
      <w:r>
        <w:rPr>
          <w:rFonts w:ascii="Times New Roman" w:eastAsia="Calibri" w:hAnsi="Times New Roman" w:cs="Times New Roman"/>
          <w:noProof/>
          <w:sz w:val="24"/>
          <w:szCs w:val="24"/>
        </w:rPr>
        <w:t>In December 2019, a new structure of NAES was adopted with a significant increase in human resources, but still pending enforcement with financial support.</w:t>
      </w:r>
      <w:r>
        <w:rPr>
          <w:rFonts w:ascii="Times New Roman" w:eastAsia="Times New Roman" w:hAnsi="Times New Roman" w:cs="Times New Roman"/>
          <w:noProof/>
          <w:sz w:val="24"/>
          <w:szCs w:val="24"/>
        </w:rPr>
        <w:t xml:space="preserve">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Existing </w:t>
      </w:r>
      <w:r>
        <w:rPr>
          <w:rFonts w:ascii="Times New Roman" w:eastAsia="Times New Roman" w:hAnsi="Times New Roman" w:cs="Times New Roman"/>
          <w:b/>
          <w:noProof/>
          <w:sz w:val="24"/>
          <w:szCs w:val="24"/>
        </w:rPr>
        <w:t>employment promotion programmes</w:t>
      </w:r>
      <w:r>
        <w:rPr>
          <w:rFonts w:ascii="Times New Roman" w:eastAsia="Times New Roman" w:hAnsi="Times New Roman" w:cs="Times New Roman"/>
          <w:noProof/>
          <w:sz w:val="24"/>
          <w:szCs w:val="24"/>
        </w:rPr>
        <w:t xml:space="preserve"> (EPPs) were revised to better address the needs of</w:t>
      </w:r>
      <w:r>
        <w:rPr>
          <w:rFonts w:ascii="Times New Roman" w:eastAsia="Times New Roman" w:hAnsi="Times New Roman" w:cs="Times New Roman"/>
          <w:noProof/>
          <w:sz w:val="24"/>
          <w:szCs w:val="24"/>
        </w:rPr>
        <w:t xml:space="preserve"> unemployed people and two new EPPs were developed (on self-employment and community employment)  and .Operational guidelines for the implementation of new and revised EPPs  have been developed and their implementation is to be launched in autumn.  A good </w:t>
      </w:r>
      <w:r>
        <w:rPr>
          <w:rFonts w:ascii="Times New Roman" w:eastAsia="Times New Roman" w:hAnsi="Times New Roman" w:cs="Times New Roman"/>
          <w:noProof/>
          <w:sz w:val="24"/>
          <w:szCs w:val="24"/>
        </w:rPr>
        <w:t xml:space="preserve">sign is the incorporation of support measures in terms of transport compensation or childcare provision for beneficiaries of EPPs. The implementation of EPPs in the coming years will show whether the </w:t>
      </w:r>
      <w:r>
        <w:rPr>
          <w:rFonts w:ascii="Times New Roman" w:hAnsi="Times New Roman" w:cs="Times New Roman"/>
          <w:noProof/>
          <w:sz w:val="24"/>
          <w:szCs w:val="24"/>
        </w:rPr>
        <w:t>2019 policy guidance to better target those measures wil</w:t>
      </w:r>
      <w:r>
        <w:rPr>
          <w:rFonts w:ascii="Times New Roman" w:hAnsi="Times New Roman" w:cs="Times New Roman"/>
          <w:noProof/>
          <w:sz w:val="24"/>
          <w:szCs w:val="24"/>
        </w:rPr>
        <w:t>l be achieved,</w:t>
      </w:r>
      <w:r>
        <w:rPr>
          <w:rFonts w:ascii="Times New Roman" w:eastAsia="Times New Roman" w:hAnsi="Times New Roman" w:cs="Times New Roman"/>
          <w:noProof/>
          <w:sz w:val="24"/>
          <w:szCs w:val="24"/>
        </w:rPr>
        <w:t xml:space="preserve"> especially when it comes to vulnerable groups such as </w:t>
      </w:r>
      <w:r>
        <w:rPr>
          <w:rFonts w:ascii="Times New Roman" w:eastAsia="Calibri" w:hAnsi="Times New Roman" w:cs="Times New Roman"/>
          <w:noProof/>
          <w:sz w:val="24"/>
          <w:szCs w:val="24"/>
        </w:rPr>
        <w:t>long-term unemployed, young people neither in employment nor in education or training, women, low-skilled and Roma and Egyptian communities</w:t>
      </w:r>
      <w:r>
        <w:rPr>
          <w:rFonts w:ascii="Times New Roman" w:eastAsia="Times New Roman" w:hAnsi="Times New Roman" w:cs="Times New Roman"/>
          <w:noProof/>
          <w:sz w:val="24"/>
          <w:szCs w:val="24"/>
        </w:rPr>
        <w:t xml:space="preserve">.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a reaction to lay-offs due to Covid-19 cri</w:t>
      </w:r>
      <w:r>
        <w:rPr>
          <w:rFonts w:ascii="Times New Roman" w:eastAsia="Times New Roman" w:hAnsi="Times New Roman" w:cs="Times New Roman"/>
          <w:noProof/>
          <w:sz w:val="24"/>
          <w:szCs w:val="24"/>
        </w:rPr>
        <w:t>sis, the Council of Ministers approved on 29 July 2020 two additional and temporary employment promotion programmes for recently unemployed jobseekers laid off during the peak period of quarantine measures between 10 March and 23 June. One of the programme</w:t>
      </w:r>
      <w:r>
        <w:rPr>
          <w:rFonts w:ascii="Times New Roman" w:eastAsia="Times New Roman" w:hAnsi="Times New Roman" w:cs="Times New Roman"/>
          <w:noProof/>
          <w:sz w:val="24"/>
          <w:szCs w:val="24"/>
        </w:rPr>
        <w:t xml:space="preserve">s targets people who self-declare as informal workers prior to their lay-off. The overall budget for active labour market measures for 2020 was increased by more than 50% from 390 million Lek to 590 Lek.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Some progress was made in strengthening </w:t>
      </w:r>
      <w:r>
        <w:rPr>
          <w:rFonts w:ascii="Times New Roman" w:eastAsia="Calibri" w:hAnsi="Times New Roman" w:cs="Times New Roman"/>
          <w:b/>
          <w:noProof/>
          <w:sz w:val="24"/>
          <w:szCs w:val="24"/>
        </w:rPr>
        <w:t xml:space="preserve">linkages </w:t>
      </w:r>
      <w:r>
        <w:rPr>
          <w:rFonts w:ascii="Times New Roman" w:eastAsia="Calibri" w:hAnsi="Times New Roman" w:cs="Times New Roman"/>
          <w:b/>
          <w:noProof/>
          <w:sz w:val="24"/>
          <w:szCs w:val="24"/>
        </w:rPr>
        <w:t>between the active labour market policies and the social assistance scheme</w:t>
      </w:r>
      <w:r>
        <w:rPr>
          <w:rFonts w:ascii="Times New Roman" w:eastAsia="Calibri" w:hAnsi="Times New Roman" w:cs="Times New Roman"/>
          <w:noProof/>
          <w:sz w:val="24"/>
          <w:szCs w:val="24"/>
        </w:rPr>
        <w:t xml:space="preserve">, with the adoption of the operational plan for labour market integration of cash assistance beneficiaries for the year 2019-2020. Emphasis is however missing as regards social care </w:t>
      </w:r>
      <w:r>
        <w:rPr>
          <w:rFonts w:ascii="Times New Roman" w:eastAsia="Calibri" w:hAnsi="Times New Roman" w:cs="Times New Roman"/>
          <w:noProof/>
          <w:sz w:val="24"/>
          <w:szCs w:val="24"/>
        </w:rPr>
        <w:t xml:space="preserve">services in the absence of which it is often impossible to enable labour market integration of cash assistance beneficiaries. In addition, social inclusion through labour market integration will only be possible for a part of cash assistance beneficiaries </w:t>
      </w:r>
      <w:r>
        <w:rPr>
          <w:rFonts w:ascii="Times New Roman" w:eastAsia="Calibri" w:hAnsi="Times New Roman" w:cs="Times New Roman"/>
          <w:noProof/>
          <w:sz w:val="24"/>
          <w:szCs w:val="24"/>
        </w:rPr>
        <w:t xml:space="preserve">and it remains unclear what will happen with those beneficiaries who phase out from the programme after five years without having been integrated into the labour market. Close monitoring of this programme alongside with the employment promotional measures </w:t>
      </w:r>
      <w:r>
        <w:rPr>
          <w:rFonts w:ascii="Times New Roman" w:eastAsia="Calibri" w:hAnsi="Times New Roman" w:cs="Times New Roman"/>
          <w:noProof/>
          <w:sz w:val="24"/>
          <w:szCs w:val="24"/>
        </w:rPr>
        <w:t xml:space="preserve">will be crucial to ensure a long-term solution for beneficiaries of the economic aid scheme.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Public employment services made progress in establishing performance indicators and procedures, improved visibility and outreach services for vulnerable groups. W</w:t>
      </w:r>
      <w:r>
        <w:rPr>
          <w:rFonts w:ascii="Times New Roman" w:eastAsia="Times New Roman" w:hAnsi="Times New Roman" w:cs="Times New Roman"/>
          <w:noProof/>
          <w:sz w:val="24"/>
          <w:szCs w:val="24"/>
        </w:rPr>
        <w:t xml:space="preserve">ork is ongoing on the development of an information system that will enable automation of many processes now done manually and will assist in better profiling the job seekers and ensuring traceability. Efforts are needed to introduce </w:t>
      </w:r>
      <w:r>
        <w:rPr>
          <w:rFonts w:ascii="Times New Roman" w:eastAsia="Calibri" w:hAnsi="Times New Roman" w:cs="Times New Roman"/>
          <w:noProof/>
          <w:sz w:val="24"/>
          <w:szCs w:val="24"/>
        </w:rPr>
        <w:t>new technologies, incl</w:t>
      </w:r>
      <w:r>
        <w:rPr>
          <w:rFonts w:ascii="Times New Roman" w:eastAsia="Calibri" w:hAnsi="Times New Roman" w:cs="Times New Roman"/>
          <w:noProof/>
          <w:sz w:val="24"/>
          <w:szCs w:val="24"/>
        </w:rPr>
        <w:t xml:space="preserve">uding self-service tools and innovation methods. </w:t>
      </w:r>
      <w:r>
        <w:rPr>
          <w:rFonts w:ascii="Times New Roman" w:eastAsia="Times New Roman" w:hAnsi="Times New Roman" w:cs="Times New Roman"/>
          <w:noProof/>
          <w:sz w:val="24"/>
          <w:szCs w:val="24"/>
        </w:rPr>
        <w:t xml:space="preserve">Work is also needed to finalise the reorganisation of the remaining employment offices and ensure that their services remain relevant for local jobseekers especially those having a higher level of education </w:t>
      </w:r>
      <w:r>
        <w:rPr>
          <w:rFonts w:ascii="Times New Roman" w:eastAsia="Times New Roman" w:hAnsi="Times New Roman" w:cs="Times New Roman"/>
          <w:noProof/>
          <w:sz w:val="24"/>
          <w:szCs w:val="24"/>
        </w:rPr>
        <w:t xml:space="preserve">and young people because </w:t>
      </w:r>
      <w:r>
        <w:rPr>
          <w:rFonts w:ascii="Times New Roman" w:eastAsia="Calibri" w:hAnsi="Times New Roman" w:cs="Times New Roman"/>
          <w:noProof/>
          <w:sz w:val="24"/>
          <w:szCs w:val="24"/>
        </w:rPr>
        <w:t>only less than half of the unemployed seek help to find employment through public employment services.</w:t>
      </w:r>
      <w:r>
        <w:rPr>
          <w:rFonts w:ascii="Times New Roman" w:eastAsia="Times New Roman" w:hAnsi="Times New Roman" w:cs="Times New Roman"/>
          <w:noProof/>
          <w:sz w:val="24"/>
          <w:szCs w:val="24"/>
        </w:rPr>
        <w:t xml:space="preserve">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2019, there were </w:t>
      </w:r>
      <w:r>
        <w:rPr>
          <w:rFonts w:ascii="Times New Roman" w:eastAsia="Calibri" w:hAnsi="Times New Roman" w:cs="Times New Roman"/>
          <w:noProof/>
          <w:sz w:val="24"/>
          <w:szCs w:val="24"/>
        </w:rPr>
        <w:t xml:space="preserve">70,930 </w:t>
      </w:r>
      <w:r>
        <w:rPr>
          <w:rFonts w:ascii="Times New Roman" w:eastAsia="Times New Roman" w:hAnsi="Times New Roman" w:cs="Times New Roman"/>
          <w:noProof/>
          <w:sz w:val="24"/>
          <w:szCs w:val="24"/>
        </w:rPr>
        <w:t xml:space="preserve">registered unemployed jobseekers (out of which 52% women). Labour offices do not succeed in attracting a significant part of unemployed people, whose number in 2019 was </w:t>
      </w:r>
      <w:r>
        <w:rPr>
          <w:rFonts w:ascii="Times New Roman" w:hAnsi="Times New Roman" w:cs="Times New Roman"/>
          <w:noProof/>
          <w:sz w:val="24"/>
          <w:szCs w:val="24"/>
        </w:rPr>
        <w:t>164,160</w:t>
      </w:r>
      <w:r>
        <w:rPr>
          <w:rFonts w:ascii="Times New Roman" w:eastAsia="Times New Roman" w:hAnsi="Times New Roman" w:cs="Times New Roman"/>
          <w:noProof/>
          <w:sz w:val="24"/>
          <w:szCs w:val="24"/>
        </w:rPr>
        <w:t xml:space="preserve"> according to Labour Force Survey, in particular those with upper secondary and </w:t>
      </w:r>
      <w:r>
        <w:rPr>
          <w:rFonts w:ascii="Times New Roman" w:eastAsia="Times New Roman" w:hAnsi="Times New Roman" w:cs="Times New Roman"/>
          <w:noProof/>
          <w:sz w:val="24"/>
          <w:szCs w:val="24"/>
        </w:rPr>
        <w:t>university education. The profile of registered jobseekers tends to be the one of lower educated people, having at most primary education (39,582 or 56% of registered unemployed), with a lower proportion of people having upper secondary education (26,062 o</w:t>
      </w:r>
      <w:r>
        <w:rPr>
          <w:rFonts w:ascii="Times New Roman" w:eastAsia="Times New Roman" w:hAnsi="Times New Roman" w:cs="Times New Roman"/>
          <w:noProof/>
          <w:sz w:val="24"/>
          <w:szCs w:val="24"/>
        </w:rPr>
        <w:t>r 37%) and a very low coverage of unemployed having university education (5,286 or 7%). This is in stark contrast with the composition of unemployed work force according to Labour Force Survey: 52,859 people having at most primary education (32%), 73,932 p</w:t>
      </w:r>
      <w:r>
        <w:rPr>
          <w:rFonts w:ascii="Times New Roman" w:eastAsia="Times New Roman" w:hAnsi="Times New Roman" w:cs="Times New Roman"/>
          <w:noProof/>
          <w:sz w:val="24"/>
          <w:szCs w:val="24"/>
        </w:rPr>
        <w:t>eople having upper secondary education (45%) and 37,369 people having university education (23%). In addition, almost two thirds of young people not being employment, educated or trained were not actively seeking a job and are out of reach of the labour of</w:t>
      </w:r>
      <w:r>
        <w:rPr>
          <w:rFonts w:ascii="Times New Roman" w:eastAsia="Times New Roman" w:hAnsi="Times New Roman" w:cs="Times New Roman"/>
          <w:noProof/>
          <w:sz w:val="24"/>
          <w:szCs w:val="24"/>
        </w:rPr>
        <w:t xml:space="preserve">fices. In 2019, </w:t>
      </w:r>
      <w:r>
        <w:rPr>
          <w:rFonts w:ascii="Times New Roman" w:eastAsia="Calibri" w:hAnsi="Times New Roman" w:cs="Times New Roman"/>
          <w:noProof/>
          <w:sz w:val="24"/>
          <w:szCs w:val="24"/>
        </w:rPr>
        <w:t xml:space="preserve">30,391 registered unemployed </w:t>
      </w:r>
      <w:r>
        <w:rPr>
          <w:rFonts w:ascii="Times New Roman" w:eastAsia="Times New Roman" w:hAnsi="Times New Roman" w:cs="Times New Roman"/>
          <w:noProof/>
          <w:sz w:val="24"/>
          <w:szCs w:val="24"/>
        </w:rPr>
        <w:t xml:space="preserve">(out of which 49% women) found a job through labour offices (LOs). The number of vacancies announced in LOs reached </w:t>
      </w:r>
      <w:r>
        <w:rPr>
          <w:rFonts w:ascii="Times New Roman" w:eastAsia="Calibri" w:hAnsi="Times New Roman" w:cs="Times New Roman"/>
          <w:noProof/>
          <w:sz w:val="24"/>
          <w:szCs w:val="24"/>
        </w:rPr>
        <w:t>50,785 in 2019 (minus 17% compared to the previous year).</w:t>
      </w:r>
      <w:r>
        <w:rPr>
          <w:rFonts w:ascii="Times New Roman" w:eastAsia="Times New Roman" w:hAnsi="Times New Roman" w:cs="Times New Roman"/>
          <w:noProof/>
          <w:sz w:val="24"/>
          <w:szCs w:val="24"/>
        </w:rPr>
        <w:t xml:space="preserve"> Only a very low proportion of registe</w:t>
      </w:r>
      <w:r>
        <w:rPr>
          <w:rFonts w:ascii="Times New Roman" w:eastAsia="Times New Roman" w:hAnsi="Times New Roman" w:cs="Times New Roman"/>
          <w:noProof/>
          <w:sz w:val="24"/>
          <w:szCs w:val="24"/>
        </w:rPr>
        <w:t xml:space="preserve">red unemployed (4% or 2,781) were receiving an unemployment benefit and 48% were long-term unemployed. </w:t>
      </w:r>
      <w:r>
        <w:rPr>
          <w:rFonts w:ascii="Times New Roman" w:eastAsia="Calibri" w:hAnsi="Times New Roman" w:cs="Times New Roman"/>
          <w:noProof/>
          <w:sz w:val="24"/>
          <w:szCs w:val="24"/>
        </w:rPr>
        <w:t>To support the transition to the labour market of the unemployed</w:t>
      </w:r>
      <w:r>
        <w:rPr>
          <w:rFonts w:ascii="Times New Roman" w:eastAsia="Times New Roman" w:hAnsi="Times New Roman" w:cs="Times New Roman"/>
          <w:noProof/>
          <w:sz w:val="24"/>
          <w:szCs w:val="24"/>
        </w:rPr>
        <w:t xml:space="preserve">, a training on soft skills (so-called Start Smart) was delivered to 12,327 </w:t>
      </w:r>
      <w:r>
        <w:rPr>
          <w:rFonts w:ascii="Times New Roman" w:eastAsia="Calibri" w:hAnsi="Times New Roman" w:cs="Times New Roman"/>
          <w:noProof/>
          <w:sz w:val="24"/>
          <w:szCs w:val="24"/>
        </w:rPr>
        <w:t>unemployed jo</w:t>
      </w:r>
      <w:r>
        <w:rPr>
          <w:rFonts w:ascii="Times New Roman" w:eastAsia="Calibri" w:hAnsi="Times New Roman" w:cs="Times New Roman"/>
          <w:noProof/>
          <w:sz w:val="24"/>
          <w:szCs w:val="24"/>
        </w:rPr>
        <w:t xml:space="preserve">bseekers </w:t>
      </w:r>
      <w:r>
        <w:rPr>
          <w:rFonts w:ascii="Times New Roman" w:eastAsia="Times New Roman" w:hAnsi="Times New Roman" w:cs="Times New Roman"/>
          <w:noProof/>
          <w:sz w:val="24"/>
          <w:szCs w:val="24"/>
        </w:rPr>
        <w:t xml:space="preserve">in 2019, especially young people. Other </w:t>
      </w:r>
      <w:r>
        <w:rPr>
          <w:rFonts w:ascii="Times New Roman" w:eastAsia="MS Mincho" w:hAnsi="Times New Roman" w:cs="Times New Roman"/>
          <w:noProof/>
          <w:sz w:val="24"/>
          <w:szCs w:val="24"/>
        </w:rPr>
        <w:t xml:space="preserve">8,714 </w:t>
      </w:r>
      <w:r>
        <w:rPr>
          <w:rFonts w:ascii="Times New Roman" w:eastAsia="Times New Roman" w:hAnsi="Times New Roman" w:cs="Times New Roman"/>
          <w:noProof/>
          <w:sz w:val="24"/>
          <w:szCs w:val="24"/>
        </w:rPr>
        <w:t xml:space="preserve">unemployed jobseekers were participants in vocational training courses (comparable to the previous year) and 5,338 unemployed jobseekers were beneficiaries from EPPs, of whom 2,589 started benefitting </w:t>
      </w:r>
      <w:r>
        <w:rPr>
          <w:rFonts w:ascii="Times New Roman" w:eastAsia="Times New Roman" w:hAnsi="Times New Roman" w:cs="Times New Roman"/>
          <w:noProof/>
          <w:sz w:val="24"/>
          <w:szCs w:val="24"/>
        </w:rPr>
        <w:t>from it in 2019.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Despite some improvement, the overall </w:t>
      </w:r>
      <w:r>
        <w:rPr>
          <w:rFonts w:ascii="Times New Roman" w:eastAsia="Calibri" w:hAnsi="Times New Roman" w:cs="Times New Roman"/>
          <w:b/>
          <w:noProof/>
          <w:sz w:val="24"/>
          <w:szCs w:val="24"/>
        </w:rPr>
        <w:t>unemployment rate</w:t>
      </w:r>
      <w:r>
        <w:rPr>
          <w:rFonts w:ascii="Times New Roman" w:eastAsia="Calibri" w:hAnsi="Times New Roman" w:cs="Times New Roman"/>
          <w:noProof/>
          <w:sz w:val="24"/>
          <w:szCs w:val="24"/>
        </w:rPr>
        <w:t xml:space="preserve"> remains high, particularly among women, young people, Roma and Egyptians, and people with disabilities. According to annual LFS data, the unemployment rate (15-64 age range) fell to</w:t>
      </w:r>
      <w:r>
        <w:rPr>
          <w:rFonts w:ascii="Times New Roman" w:eastAsia="Calibri" w:hAnsi="Times New Roman" w:cs="Times New Roman"/>
          <w:noProof/>
          <w:sz w:val="24"/>
          <w:szCs w:val="24"/>
        </w:rPr>
        <w:t xml:space="preserve"> 12% in 2019 (11.8% for women), from 12.8% 2018 (12.3% for women). Meanwhile, labour force participation rose to 69.6% (61.6% for women), 1.9 pps more compared to the same period in 2018. However, this remains below European averages, with a significant di</w:t>
      </w:r>
      <w:r>
        <w:rPr>
          <w:rFonts w:ascii="Times New Roman" w:eastAsia="Calibri" w:hAnsi="Times New Roman" w:cs="Times New Roman"/>
          <w:noProof/>
          <w:sz w:val="24"/>
          <w:szCs w:val="24"/>
        </w:rPr>
        <w:t>fference between males and females. The youth unemployment rate (15</w:t>
      </w:r>
      <w:r>
        <w:rPr>
          <w:rFonts w:ascii="Times New Roman" w:eastAsia="Calibri" w:hAnsi="Times New Roman" w:cs="Times New Roman"/>
          <w:noProof/>
          <w:sz w:val="24"/>
          <w:szCs w:val="24"/>
        </w:rPr>
        <w:noBreakHyphen/>
        <w:t>24 age range) was 27.2% in 2019 down from 28.3% in 2018. Young people aged 25-29 presented significantly better figures, with a 16.7% unemployment rate. Although it decreased as compared t</w:t>
      </w:r>
      <w:r>
        <w:rPr>
          <w:rFonts w:ascii="Times New Roman" w:eastAsia="Calibri" w:hAnsi="Times New Roman" w:cs="Times New Roman"/>
          <w:noProof/>
          <w:sz w:val="24"/>
          <w:szCs w:val="24"/>
        </w:rPr>
        <w:t xml:space="preserve">o the previous year, it remains high. There was a high percentage of young people not being educated, employed or trained (NEET) at 25.5% (15-24 age range) and 26.6% (15-29 age range). There is a big challenge in the transition of upper-secondary (VET and </w:t>
      </w:r>
      <w:r>
        <w:rPr>
          <w:rFonts w:ascii="Times New Roman" w:eastAsia="Calibri" w:hAnsi="Times New Roman" w:cs="Times New Roman"/>
          <w:noProof/>
          <w:sz w:val="24"/>
          <w:szCs w:val="24"/>
        </w:rPr>
        <w:t xml:space="preserve">gymnasia) and university graduates from education to jobs as attested by a higher NEETs rate for these groups as compared to lower NEETs rates for young people having primary education. These trends and developments are likely to be obscured by the impact </w:t>
      </w:r>
      <w:r>
        <w:rPr>
          <w:rFonts w:ascii="Times New Roman" w:eastAsia="Calibri" w:hAnsi="Times New Roman" w:cs="Times New Roman"/>
          <w:noProof/>
          <w:sz w:val="24"/>
          <w:szCs w:val="24"/>
        </w:rPr>
        <w:t xml:space="preserve">of the COVID-19 pandemic on growth and employment in 2020, with a particular emphasis for services industries, which constitute a large size of the Albanian economy.  </w:t>
      </w:r>
    </w:p>
    <w:p w:rsidR="00EE1719" w:rsidRDefault="000E39BA">
      <w:pPr>
        <w:keepNext/>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Long-term unemployment remains a challenge that Albania should to address through more f</w:t>
      </w:r>
      <w:r>
        <w:rPr>
          <w:rFonts w:ascii="Times New Roman" w:eastAsia="Calibri" w:hAnsi="Times New Roman" w:cs="Times New Roman"/>
          <w:noProof/>
          <w:sz w:val="24"/>
          <w:szCs w:val="24"/>
        </w:rPr>
        <w:t>lexible and tailored policy interventions. Labour force participation rates (15-64 age range) kept increasing (69.6% in 2019) and approaching the EU-28 average (74.0% in 2019), with a notable difference of 16 percentage points between males and females, si</w:t>
      </w:r>
      <w:r>
        <w:rPr>
          <w:rFonts w:ascii="Times New Roman" w:eastAsia="Calibri" w:hAnsi="Times New Roman" w:cs="Times New Roman"/>
          <w:noProof/>
          <w:sz w:val="24"/>
          <w:szCs w:val="24"/>
        </w:rPr>
        <w:t>gnificantly more pronounced than in the EU-28 where it was 10.8 percentage points. In 2019, the labour force participation rate of young people aged 15-24 was lower than for the rest of the population (36.7%), which can be explained by attendance in educat</w:t>
      </w:r>
      <w:r>
        <w:rPr>
          <w:rFonts w:ascii="Times New Roman" w:eastAsia="Calibri" w:hAnsi="Times New Roman" w:cs="Times New Roman"/>
          <w:noProof/>
          <w:sz w:val="24"/>
          <w:szCs w:val="24"/>
        </w:rPr>
        <w:t xml:space="preserve">ion as well as a high share of young people not being employed, educated or trained in this age group. However, for the age group 25-29, the labour force participation rate was very high (82.0%) and comparable to the EU-28 average (82.8%). </w:t>
      </w:r>
    </w:p>
    <w:p w:rsidR="00EE1719" w:rsidRDefault="000E39BA">
      <w:pPr>
        <w:keepNext/>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There were no d</w:t>
      </w:r>
      <w:r>
        <w:rPr>
          <w:rFonts w:ascii="Times New Roman" w:eastAsia="Calibri" w:hAnsi="Times New Roman" w:cs="Times New Roman"/>
          <w:noProof/>
          <w:sz w:val="24"/>
          <w:szCs w:val="24"/>
        </w:rPr>
        <w:t xml:space="preserve">evelopments as regards preparations for the </w:t>
      </w:r>
      <w:r>
        <w:rPr>
          <w:rFonts w:ascii="Times New Roman" w:eastAsia="Calibri" w:hAnsi="Times New Roman" w:cs="Times New Roman"/>
          <w:b/>
          <w:noProof/>
          <w:sz w:val="24"/>
          <w:szCs w:val="24"/>
        </w:rPr>
        <w:t>European Social Fund</w:t>
      </w:r>
      <w:r>
        <w:rPr>
          <w:rFonts w:ascii="Times New Roman" w:eastAsia="Calibri" w:hAnsi="Times New Roman" w:cs="Times New Roman"/>
          <w:noProof/>
          <w:sz w:val="24"/>
          <w:szCs w:val="24"/>
        </w:rPr>
        <w:t>.</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social protection and inclusion</w:t>
      </w:r>
      <w:r>
        <w:rPr>
          <w:rFonts w:ascii="Times New Roman" w:eastAsia="Times New Roman" w:hAnsi="Times New Roman" w:cs="Times New Roman"/>
          <w:noProof/>
          <w:sz w:val="24"/>
          <w:szCs w:val="24"/>
        </w:rPr>
        <w:t>, the 2015</w:t>
      </w:r>
      <w:r>
        <w:rPr>
          <w:rFonts w:ascii="Times New Roman" w:eastAsia="Times New Roman" w:hAnsi="Times New Roman" w:cs="Times New Roman"/>
          <w:noProof/>
          <w:sz w:val="24"/>
          <w:szCs w:val="24"/>
        </w:rPr>
        <w:noBreakHyphen/>
        <w:t>2020 national strategy on social protection was revised and extended until 2023. Public spending on social inclusion programmes is modest and all</w:t>
      </w:r>
      <w:r>
        <w:rPr>
          <w:rFonts w:ascii="Times New Roman" w:eastAsia="Times New Roman" w:hAnsi="Times New Roman" w:cs="Times New Roman"/>
          <w:noProof/>
          <w:sz w:val="24"/>
          <w:szCs w:val="24"/>
        </w:rPr>
        <w:t xml:space="preserve"> too often the government structures fail to address adequately the needs of marginalised and vulnerable groups, since there is no </w:t>
      </w:r>
      <w:r>
        <w:rPr>
          <w:rFonts w:ascii="Times New Roman" w:eastAsia="Calibri" w:hAnsi="Times New Roman" w:cs="Times New Roman"/>
          <w:noProof/>
          <w:sz w:val="24"/>
          <w:szCs w:val="24"/>
        </w:rPr>
        <w:t xml:space="preserve">mechanism for monitoring the situation of those who are vulnerable and/or excluded from society, including those affected by </w:t>
      </w:r>
      <w:r>
        <w:rPr>
          <w:rFonts w:ascii="Times New Roman" w:eastAsia="Calibri" w:hAnsi="Times New Roman" w:cs="Times New Roman"/>
          <w:noProof/>
          <w:sz w:val="24"/>
          <w:szCs w:val="24"/>
        </w:rPr>
        <w:t>emigration.</w:t>
      </w:r>
    </w:p>
    <w:p w:rsidR="00EE1719" w:rsidRDefault="000E39BA">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a response to the COVID-19 crisis, the Government undertook in March several emergency measures to respond and protect the most vulnerable groups. Around 70,000 vulnerable families are benefiting a relief package (food and hygiene items) for a period of</w:t>
      </w:r>
      <w:r>
        <w:rPr>
          <w:rFonts w:ascii="Times New Roman" w:hAnsi="Times New Roman" w:cs="Times New Roman"/>
          <w:noProof/>
          <w:sz w:val="24"/>
          <w:szCs w:val="24"/>
        </w:rPr>
        <w:t xml:space="preserve"> 3 months. In addition, around 63,251 families on cash assistance scheme are benefiting the double amount of cash assistance for 3 months. People with disabilities and invalids of work will continue to benefit the monthly entitlements without going through</w:t>
      </w:r>
      <w:r>
        <w:rPr>
          <w:rFonts w:ascii="Times New Roman" w:hAnsi="Times New Roman" w:cs="Times New Roman"/>
          <w:noProof/>
          <w:sz w:val="24"/>
          <w:szCs w:val="24"/>
        </w:rPr>
        <w:t xml:space="preserve"> the evaluation commissions.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Without cash transfers, the social care services accounted for only 0.40% of the government budget in 2018. Cash transfers continue to constitute about 95% of the social protection sector’s overall budget. The needs assessment</w:t>
      </w:r>
      <w:r>
        <w:rPr>
          <w:rFonts w:ascii="Times New Roman" w:eastAsia="Times New Roman" w:hAnsi="Times New Roman" w:cs="Times New Roman"/>
          <w:noProof/>
          <w:sz w:val="24"/>
          <w:szCs w:val="24"/>
        </w:rPr>
        <w:t xml:space="preserve"> for social services conducted in 2019 by the State Social Service in the 12 regions of Albania highlights that 34% of municipalities (21 municipalities) do not provide any social care services. 62% or 38 municipalities do not have services for elderly and</w:t>
      </w:r>
      <w:r>
        <w:rPr>
          <w:rFonts w:ascii="Times New Roman" w:eastAsia="Times New Roman" w:hAnsi="Times New Roman" w:cs="Times New Roman"/>
          <w:noProof/>
          <w:sz w:val="24"/>
          <w:szCs w:val="24"/>
        </w:rPr>
        <w:t xml:space="preserve"> 61% or 37 municipalities do not provide services for people with disabilities. Local social care services are undeveloped and lack investments and human resources in many municipalities. According to Social Services data, social care coverage is criticall</w:t>
      </w:r>
      <w:r>
        <w:rPr>
          <w:rFonts w:ascii="Times New Roman" w:eastAsia="Times New Roman" w:hAnsi="Times New Roman" w:cs="Times New Roman"/>
          <w:noProof/>
          <w:sz w:val="24"/>
          <w:szCs w:val="24"/>
        </w:rPr>
        <w:t xml:space="preserve">y low, with only about 10,000 users in 2019 (0.35% of the population). </w:t>
      </w:r>
      <w:r>
        <w:rPr>
          <w:rFonts w:ascii="Times New Roman" w:eastAsia="Calibri" w:hAnsi="Times New Roman" w:cs="Times New Roman"/>
          <w:noProof/>
          <w:sz w:val="24"/>
          <w:szCs w:val="24"/>
        </w:rPr>
        <w:t xml:space="preserve">Increased investment in the development of new social care services and wider geographical coverage are urgently needed. </w:t>
      </w:r>
      <w:r>
        <w:rPr>
          <w:rFonts w:ascii="Times New Roman" w:eastAsia="Times New Roman" w:hAnsi="Times New Roman" w:cs="Times New Roman"/>
          <w:noProof/>
          <w:sz w:val="24"/>
          <w:szCs w:val="24"/>
        </w:rPr>
        <w:t>Local government units (LGUs) are expected to assess needs in th</w:t>
      </w:r>
      <w:r>
        <w:rPr>
          <w:rFonts w:ascii="Times New Roman" w:eastAsia="Times New Roman" w:hAnsi="Times New Roman" w:cs="Times New Roman"/>
          <w:noProof/>
          <w:sz w:val="24"/>
          <w:szCs w:val="24"/>
        </w:rPr>
        <w:t>eir territory and prepare local social care plans, but they lack human and financial resources to deliver on this task. Only 24 municipalities approved and budgeted for social care plans outlining the needs of vulnerable communities and the services that n</w:t>
      </w:r>
      <w:r>
        <w:rPr>
          <w:rFonts w:ascii="Times New Roman" w:eastAsia="Times New Roman" w:hAnsi="Times New Roman" w:cs="Times New Roman"/>
          <w:noProof/>
          <w:sz w:val="24"/>
          <w:szCs w:val="24"/>
        </w:rPr>
        <w:t xml:space="preserve">eed to be established in response. The work also involves assessing the costs for services and identifying the costs that can be supported by the municipality budget.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Secondary legislation implementing the Law on social care services adopted in 2019 speci</w:t>
      </w:r>
      <w:r>
        <w:rPr>
          <w:rFonts w:ascii="Times New Roman" w:eastAsia="Times New Roman" w:hAnsi="Times New Roman" w:cs="Times New Roman"/>
          <w:noProof/>
          <w:sz w:val="24"/>
          <w:szCs w:val="24"/>
        </w:rPr>
        <w:t>fies that central government will have to resource the social fund with central budget allocating such budget to the approved local social care plans. In April 2019, the government set up the Social Fund Mechanism as a transitory measure to distribute fund</w:t>
      </w:r>
      <w:r>
        <w:rPr>
          <w:rFonts w:ascii="Times New Roman" w:eastAsia="Times New Roman" w:hAnsi="Times New Roman" w:cs="Times New Roman"/>
          <w:noProof/>
          <w:sz w:val="24"/>
          <w:szCs w:val="24"/>
        </w:rPr>
        <w:t>ing from the state budget to municipalities. The Ministry of Health and Social Protection has started to operationalise the social fund by awarding 14 projects to support establishment of social care services at the local level. Application is open only to</w:t>
      </w:r>
      <w:r>
        <w:rPr>
          <w:rFonts w:ascii="Times New Roman" w:eastAsia="Times New Roman" w:hAnsi="Times New Roman" w:cs="Times New Roman"/>
          <w:noProof/>
          <w:sz w:val="24"/>
          <w:szCs w:val="24"/>
        </w:rPr>
        <w:t xml:space="preserve"> municipalities with an approved and budgeted social care plan underlining the need to increase the number of municipalities with an approved and budgeted plan.</w:t>
      </w:r>
    </w:p>
    <w:p w:rsidR="00EE1719" w:rsidRDefault="000E39BA">
      <w:pPr>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The implementation of the reform of the</w:t>
      </w:r>
      <w:r>
        <w:rPr>
          <w:rFonts w:ascii="Times New Roman" w:eastAsia="Courier New" w:hAnsi="Times New Roman" w:cs="Times New Roman"/>
          <w:noProof/>
          <w:kern w:val="2"/>
          <w:sz w:val="24"/>
          <w:szCs w:val="24"/>
        </w:rPr>
        <w:t xml:space="preserve"> disability assessment system on the basis of a ‘bio-psycho-social’ model</w:t>
      </w:r>
      <w:r>
        <w:rPr>
          <w:rFonts w:ascii="Times New Roman" w:eastAsia="Times New Roman" w:hAnsi="Times New Roman" w:cs="Times New Roman"/>
          <w:noProof/>
          <w:sz w:val="24"/>
          <w:szCs w:val="24"/>
        </w:rPr>
        <w:t xml:space="preserve"> is continuing and was extended from two administrative units of the capital to the whole municipality of Tirana covering about one third of the Albanian population. Some progress was</w:t>
      </w:r>
      <w:r>
        <w:rPr>
          <w:rFonts w:ascii="Times New Roman" w:eastAsia="Times New Roman" w:hAnsi="Times New Roman" w:cs="Times New Roman"/>
          <w:noProof/>
          <w:sz w:val="24"/>
          <w:szCs w:val="24"/>
        </w:rPr>
        <w:t xml:space="preserve"> achieved with the initial (pilot phase) implementation of the management information system for people with disabilities. The accessibility of many public services is still a critical issue.</w:t>
      </w:r>
      <w:r>
        <w:rPr>
          <w:rFonts w:ascii="Times New Roman" w:eastAsia="Calibri" w:hAnsi="Times New Roman" w:cs="Times New Roman"/>
          <w:noProof/>
          <w:sz w:val="24"/>
          <w:szCs w:val="24"/>
        </w:rPr>
        <w:t xml:space="preserve"> Access to services for people with disabilities in rural areas i</w:t>
      </w:r>
      <w:r>
        <w:rPr>
          <w:rFonts w:ascii="Times New Roman" w:eastAsia="Calibri" w:hAnsi="Times New Roman" w:cs="Times New Roman"/>
          <w:noProof/>
          <w:sz w:val="24"/>
          <w:szCs w:val="24"/>
        </w:rPr>
        <w:t>s significantly lower than for those living in urban areas and in particular for those over 21 years of age.</w:t>
      </w:r>
      <w:r>
        <w:rPr>
          <w:rFonts w:ascii="Times New Roman" w:eastAsia="Times New Roman" w:hAnsi="Times New Roman" w:cs="Times New Roman"/>
          <w:noProof/>
          <w:sz w:val="24"/>
          <w:szCs w:val="24"/>
        </w:rPr>
        <w:t xml:space="preserve"> The state social services promote foster care and other forms of alternative care for children without parental care but more emphasis should be pu</w:t>
      </w:r>
      <w:r>
        <w:rPr>
          <w:rFonts w:ascii="Times New Roman" w:eastAsia="Times New Roman" w:hAnsi="Times New Roman" w:cs="Times New Roman"/>
          <w:noProof/>
          <w:sz w:val="24"/>
          <w:szCs w:val="24"/>
        </w:rPr>
        <w:t xml:space="preserve">t on preventing institutionalisation of children, and targeted support for parents suffering from poverty is critical in many cases. In addition, more state financial and human resources should be allocated to alternative care services.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regards the 201</w:t>
      </w:r>
      <w:r>
        <w:rPr>
          <w:rFonts w:ascii="Times New Roman" w:eastAsia="Times New Roman" w:hAnsi="Times New Roman" w:cs="Times New Roman"/>
          <w:noProof/>
          <w:sz w:val="24"/>
          <w:szCs w:val="24"/>
        </w:rPr>
        <w:t>6-2020 cross-sectoral document on social inclusion policy, little progress was made in setting up the necessary structures at central level or clarifying arrangements for implementing the policy. The SILC statistics on income and living conditions were pub</w:t>
      </w:r>
      <w:r>
        <w:rPr>
          <w:rFonts w:ascii="Times New Roman" w:eastAsia="Times New Roman" w:hAnsi="Times New Roman" w:cs="Times New Roman"/>
          <w:noProof/>
          <w:sz w:val="24"/>
          <w:szCs w:val="24"/>
        </w:rPr>
        <w:t>lished for the first time in December 2019. In 2018, half of the population (49%) was at risk of poverty or social exclusion (AROPE), which is more than double the EU average (22.4% in 2017). The at-risk-of-poverty rate was 23.4%, while 38.3% of the popula</w:t>
      </w:r>
      <w:r>
        <w:rPr>
          <w:rFonts w:ascii="Times New Roman" w:eastAsia="Times New Roman" w:hAnsi="Times New Roman" w:cs="Times New Roman"/>
          <w:noProof/>
          <w:sz w:val="24"/>
          <w:szCs w:val="24"/>
        </w:rPr>
        <w:t>tion was estimated to live in severe material deprivation and 13.3% of individuals aged 18-59 were estimated to live in households with very low work intensity.</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rPr>
        <w:t>The implementation of Social Housing Law of May 2018 addresses shortcomings in the field of hou</w:t>
      </w:r>
      <w:r>
        <w:rPr>
          <w:rFonts w:ascii="Times New Roman" w:eastAsia="Times New Roman" w:hAnsi="Times New Roman" w:cs="Times New Roman"/>
          <w:noProof/>
          <w:sz w:val="24"/>
          <w:szCs w:val="24"/>
        </w:rPr>
        <w:t xml:space="preserve">sing and forced eviction and introduces key social housing concepts and principles. Although, </w:t>
      </w:r>
      <w:r>
        <w:rPr>
          <w:rFonts w:ascii="Times New Roman" w:eastAsia="Calibri" w:hAnsi="Times New Roman" w:cs="Times New Roman"/>
          <w:noProof/>
          <w:sz w:val="24"/>
          <w:szCs w:val="24"/>
        </w:rPr>
        <w:t>some progress was made in the preparation and adoption of sublegal acts, implementation of the law hinges on the adoption of the full legal framework.</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non-disc</w:t>
      </w:r>
      <w:r>
        <w:rPr>
          <w:rFonts w:ascii="Times New Roman" w:eastAsia="Times New Roman" w:hAnsi="Times New Roman" w:cs="Times New Roman"/>
          <w:b/>
          <w:noProof/>
          <w:sz w:val="24"/>
          <w:szCs w:val="24"/>
        </w:rPr>
        <w:t>rimination</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in employment and social policy</w:t>
      </w:r>
      <w:r>
        <w:rPr>
          <w:rFonts w:ascii="Times New Roman" w:eastAsia="Times New Roman" w:hAnsi="Times New Roman" w:cs="Times New Roman"/>
          <w:noProof/>
          <w:sz w:val="24"/>
          <w:szCs w:val="24"/>
        </w:rPr>
        <w:t>, legislative amendments were adopted on employment and the workplace environment for women, defining sexual harassment and reversing the burden of proof.</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 xml:space="preserve">As regards </w:t>
      </w:r>
      <w:r>
        <w:rPr>
          <w:rFonts w:ascii="Times New Roman" w:eastAsia="Calibri" w:hAnsi="Times New Roman" w:cs="Times New Roman"/>
          <w:b/>
          <w:noProof/>
          <w:sz w:val="24"/>
          <w:szCs w:val="24"/>
        </w:rPr>
        <w:t>equality between women and men</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in employment and</w:t>
      </w:r>
      <w:r>
        <w:rPr>
          <w:rFonts w:ascii="Times New Roman" w:eastAsia="Calibri" w:hAnsi="Times New Roman" w:cs="Times New Roman"/>
          <w:b/>
          <w:noProof/>
          <w:sz w:val="24"/>
          <w:szCs w:val="24"/>
        </w:rPr>
        <w:t xml:space="preserve"> social policy</w:t>
      </w:r>
      <w:r>
        <w:rPr>
          <w:rFonts w:ascii="Times New Roman" w:eastAsia="Calibri" w:hAnsi="Times New Roman" w:cs="Times New Roman"/>
          <w:noProof/>
          <w:sz w:val="24"/>
          <w:szCs w:val="24"/>
        </w:rPr>
        <w:t xml:space="preserve">, according to 2019 LFS </w:t>
      </w:r>
      <w:r>
        <w:rPr>
          <w:rFonts w:ascii="Times New Roman" w:eastAsia="Times New Roman" w:hAnsi="Times New Roman" w:cs="Times New Roman"/>
          <w:noProof/>
          <w:sz w:val="24"/>
          <w:szCs w:val="24"/>
        </w:rPr>
        <w:t xml:space="preserve">data, employment rate for the population aged 15-64 is 68.2% for men and 54.4% for women. </w:t>
      </w:r>
      <w:r>
        <w:rPr>
          <w:rFonts w:ascii="Times New Roman" w:hAnsi="Times New Roman" w:cs="Times New Roman"/>
          <w:noProof/>
          <w:sz w:val="24"/>
          <w:szCs w:val="24"/>
        </w:rPr>
        <w:t xml:space="preserve">The structure of employees indicates that 29.0% of working women engage in unpaid work in the family business, compared to only </w:t>
      </w:r>
      <w:r>
        <w:rPr>
          <w:rFonts w:ascii="Times New Roman" w:hAnsi="Times New Roman" w:cs="Times New Roman"/>
          <w:noProof/>
          <w:sz w:val="24"/>
          <w:szCs w:val="24"/>
        </w:rPr>
        <w:t>16.4% of working men. A significant percentage (39.6%) of working men are self-employed, compared to 23.1% of working women. The gender pay gap amounted to 10.1% in 2019 compared to 10.7% in 2018. </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According to the 2019 World Economic Forum’s gender gap in</w:t>
      </w:r>
      <w:r>
        <w:rPr>
          <w:rFonts w:ascii="Times New Roman" w:eastAsia="Calibri" w:hAnsi="Times New Roman" w:cs="Times New Roman"/>
          <w:noProof/>
          <w:sz w:val="24"/>
          <w:szCs w:val="24"/>
        </w:rPr>
        <w:t>dex report, Albania ranked 20 out of 153 countries, improving in particular in areas of political empowerment and economic participation and opportunities. Albania published for the first time the Gender Index measuring gender equality in six core domains:</w:t>
      </w:r>
      <w:r>
        <w:rPr>
          <w:rFonts w:ascii="Times New Roman" w:eastAsia="Calibri" w:hAnsi="Times New Roman" w:cs="Times New Roman"/>
          <w:noProof/>
          <w:sz w:val="24"/>
          <w:szCs w:val="24"/>
        </w:rPr>
        <w:t xml:space="preserve"> work, money, knowledge, time, power, health, and two additional domains: intersecting inequalities and violence. The overall Gender Equality Index for the Republic of Albania reached 60.4 in 2017, indicating a gender gap of 7.4 points below the EU-28 aver</w:t>
      </w:r>
      <w:r>
        <w:rPr>
          <w:rFonts w:ascii="Times New Roman" w:eastAsia="Calibri" w:hAnsi="Times New Roman" w:cs="Times New Roman"/>
          <w:noProof/>
          <w:sz w:val="24"/>
          <w:szCs w:val="24"/>
        </w:rPr>
        <w:t xml:space="preserve">age (67.4). The largest gaps to the EU-28 are in the domains of knowledge, money and time, while scores are similar in the domains of work and health. </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According to the labour force survey 2019 on causes of inactivity, women remain out of the labour force </w:t>
      </w:r>
      <w:r>
        <w:rPr>
          <w:rFonts w:ascii="Times New Roman" w:eastAsia="Calibri" w:hAnsi="Times New Roman" w:cs="Times New Roman"/>
          <w:noProof/>
          <w:sz w:val="24"/>
          <w:szCs w:val="24"/>
        </w:rPr>
        <w:t>mostly because they are busy with unpaid work at home (21.4%) or are attending school (22.0%). On the other hand, only 1.0% of men declare housework as the reason behind their inactivity, while 30.4% are students or pupils.</w:t>
      </w:r>
    </w:p>
    <w:p w:rsidR="00EE1719" w:rsidRDefault="000E39BA">
      <w:pPr>
        <w:autoSpaceDE w:val="0"/>
        <w:autoSpaceDN w:val="0"/>
        <w:adjustRightInd w:val="0"/>
        <w:spacing w:after="120" w:line="240" w:lineRule="auto"/>
        <w:jc w:val="both"/>
        <w:rPr>
          <w:rFonts w:ascii="Times New Roman" w:eastAsia="Times New Roman" w:hAnsi="Times New Roman" w:cs="Times New Roman"/>
          <w:i/>
          <w:noProof/>
          <w:sz w:val="24"/>
          <w:szCs w:val="24"/>
        </w:rPr>
      </w:pPr>
      <w:r>
        <w:rPr>
          <w:rFonts w:ascii="Times New Roman" w:eastAsia="Calibri" w:hAnsi="Times New Roman" w:cs="Times New Roman"/>
          <w:noProof/>
          <w:sz w:val="24"/>
          <w:szCs w:val="24"/>
        </w:rPr>
        <w:t>The changes to the Labour Code i</w:t>
      </w:r>
      <w:r>
        <w:rPr>
          <w:rFonts w:ascii="Times New Roman" w:eastAsia="Calibri" w:hAnsi="Times New Roman" w:cs="Times New Roman"/>
          <w:noProof/>
          <w:sz w:val="24"/>
          <w:szCs w:val="24"/>
        </w:rPr>
        <w:t xml:space="preserve">ntroduced more measures to support </w:t>
      </w:r>
      <w:r>
        <w:rPr>
          <w:rFonts w:ascii="Times New Roman" w:hAnsi="Times New Roman" w:cs="Times New Roman"/>
          <w:noProof/>
          <w:sz w:val="24"/>
          <w:szCs w:val="24"/>
        </w:rPr>
        <w:t xml:space="preserve">gender equality in the labour market, mainly related to raising the awareness and </w:t>
      </w:r>
      <w:r>
        <w:rPr>
          <w:rFonts w:ascii="Times New Roman" w:hAnsi="Times New Roman" w:cs="Times New Roman"/>
          <w:noProof/>
          <w:sz w:val="24"/>
          <w:szCs w:val="24"/>
          <w:shd w:val="clear" w:color="auto" w:fill="FFFFFF"/>
        </w:rPr>
        <w:t xml:space="preserve">supporting the economic empowerment of women in the labour market, </w:t>
      </w:r>
      <w:r>
        <w:rPr>
          <w:rFonts w:ascii="Times New Roman" w:eastAsia="Calibri" w:hAnsi="Times New Roman" w:cs="Times New Roman"/>
          <w:noProof/>
          <w:sz w:val="24"/>
          <w:szCs w:val="24"/>
        </w:rPr>
        <w:t xml:space="preserve">but there is no monitoring of the implementation of these changes. </w:t>
      </w:r>
      <w:r>
        <w:rPr>
          <w:rFonts w:ascii="Times New Roman" w:eastAsia="Calibri" w:hAnsi="Times New Roman" w:cs="Times New Roman"/>
          <w:noProof/>
          <w:sz w:val="24"/>
          <w:szCs w:val="24"/>
        </w:rPr>
        <w:t>Concerns remain over the proportion of women in the informal labour market, especially the textile and shoe industries, without appropriate labour and social protection. There are also concerns over the lack of disaggregated data on the number of working w</w:t>
      </w:r>
      <w:r>
        <w:rPr>
          <w:rFonts w:ascii="Times New Roman" w:eastAsia="Calibri" w:hAnsi="Times New Roman" w:cs="Times New Roman"/>
          <w:noProof/>
          <w:sz w:val="24"/>
          <w:szCs w:val="24"/>
        </w:rPr>
        <w:t>omen in the informal economy.</w:t>
      </w:r>
    </w:p>
    <w:p w:rsidR="00EE1719" w:rsidRDefault="000E39BA">
      <w:pPr>
        <w:pStyle w:val="Heading2"/>
      </w:pPr>
      <w:bookmarkStart w:id="171" w:name="_Toc29803530"/>
      <w:bookmarkStart w:id="172" w:name="_Toc9430030"/>
      <w:bookmarkStart w:id="173" w:name="_Toc9331938"/>
      <w:bookmarkStart w:id="174" w:name="_Toc9328506"/>
      <w:bookmarkStart w:id="175" w:name="_Toc510686874"/>
      <w:bookmarkStart w:id="176" w:name="_Toc530733590"/>
      <w:bookmarkStart w:id="177" w:name="_Toc52745533"/>
      <w:r>
        <w:rPr>
          <w:rStyle w:val="Heading2Char"/>
          <w:rFonts w:eastAsiaTheme="minorEastAsia"/>
        </w:rPr>
        <w:t>5.20</w:t>
      </w:r>
      <w:r>
        <w:t xml:space="preserve">. </w:t>
      </w:r>
      <w:r>
        <w:tab/>
        <w:t>Chapter 20: Enterprise and industrial policy</w:t>
      </w:r>
      <w:bookmarkEnd w:id="171"/>
      <w:bookmarkEnd w:id="172"/>
      <w:bookmarkEnd w:id="173"/>
      <w:bookmarkEnd w:id="174"/>
      <w:bookmarkEnd w:id="175"/>
      <w:bookmarkEnd w:id="176"/>
      <w:bookmarkEnd w:id="177"/>
    </w:p>
    <w:p w:rsidR="00EE1719" w:rsidRDefault="000E39BA">
      <w:pPr>
        <w:spacing w:after="120" w:line="240" w:lineRule="auto"/>
        <w:jc w:val="both"/>
        <w:rPr>
          <w:rFonts w:ascii="Times New Roman" w:eastAsia="Times New Roman" w:hAnsi="Times New Roman" w:cs="Times New Roman"/>
          <w:i/>
          <w:noProof/>
          <w:sz w:val="24"/>
          <w:szCs w:val="24"/>
        </w:rPr>
      </w:pPr>
      <w:bookmarkStart w:id="178" w:name="_Toc510686875"/>
      <w:r>
        <w:rPr>
          <w:rFonts w:ascii="Times New Roman" w:eastAsia="Times New Roman" w:hAnsi="Times New Roman" w:cs="Times New Roman"/>
          <w:i/>
          <w:noProof/>
          <w:sz w:val="24"/>
          <w:szCs w:val="24"/>
        </w:rPr>
        <w:t>EU industrial policy strengthens competitiveness, facilitates structural change and encourages a business-friendly environment that stimulates small and medium-sized enterpri</w:t>
      </w:r>
      <w:r>
        <w:rPr>
          <w:rFonts w:ascii="Times New Roman" w:eastAsia="Times New Roman" w:hAnsi="Times New Roman" w:cs="Times New Roman"/>
          <w:i/>
          <w:noProof/>
          <w:sz w:val="24"/>
          <w:szCs w:val="24"/>
        </w:rPr>
        <w:t>ses (SMEs).</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is </w:t>
      </w:r>
      <w:r>
        <w:rPr>
          <w:rFonts w:ascii="Times New Roman" w:eastAsia="Times New Roman" w:hAnsi="Times New Roman" w:cs="Times New Roman"/>
          <w:b/>
          <w:noProof/>
          <w:sz w:val="24"/>
          <w:szCs w:val="24"/>
        </w:rPr>
        <w:t>moderately prepared</w:t>
      </w:r>
      <w:r>
        <w:rPr>
          <w:rFonts w:ascii="Times New Roman" w:eastAsia="Times New Roman" w:hAnsi="Times New Roman" w:cs="Times New Roman"/>
          <w:noProof/>
          <w:sz w:val="24"/>
          <w:szCs w:val="24"/>
        </w:rPr>
        <w:t xml:space="preserve"> in the area of enterprise and industrial policy. </w:t>
      </w:r>
      <w:r>
        <w:rPr>
          <w:rFonts w:ascii="Times New Roman" w:eastAsia="Times New Roman" w:hAnsi="Times New Roman" w:cs="Times New Roman"/>
          <w:b/>
          <w:noProof/>
          <w:sz w:val="24"/>
          <w:szCs w:val="24"/>
        </w:rPr>
        <w:t>Some progress</w:t>
      </w:r>
      <w:r>
        <w:rPr>
          <w:rFonts w:ascii="Times New Roman" w:eastAsia="Times New Roman" w:hAnsi="Times New Roman" w:cs="Times New Roman"/>
          <w:noProof/>
          <w:sz w:val="24"/>
          <w:szCs w:val="24"/>
        </w:rPr>
        <w:t xml:space="preserve"> was made with the endorsement of the Investment Policy Reform Action Plan as part of the MAP-REA regional efforts on investments, maintaining incentiv</w:t>
      </w:r>
      <w:r>
        <w:rPr>
          <w:rFonts w:ascii="Times New Roman" w:eastAsia="Times New Roman" w:hAnsi="Times New Roman" w:cs="Times New Roman"/>
          <w:noProof/>
          <w:sz w:val="24"/>
          <w:szCs w:val="24"/>
        </w:rPr>
        <w:t>es to stimulate investment in the tourism sector and implementing an innovation support programme. Legislative work for approximation with the Late Payments Directive has started, while the implementation of the triple-helix action plan continues to face d</w:t>
      </w:r>
      <w:r>
        <w:rPr>
          <w:rFonts w:ascii="Times New Roman" w:eastAsia="Times New Roman" w:hAnsi="Times New Roman" w:cs="Times New Roman"/>
          <w:noProof/>
          <w:sz w:val="24"/>
          <w:szCs w:val="24"/>
        </w:rPr>
        <w:t>elays. Efforts to improve the business environment continue, but have limited impact.</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coming year, Albania should, in particular:</w:t>
      </w:r>
    </w:p>
    <w:p w:rsidR="00EE1719" w:rsidRDefault="000E39BA">
      <w:pPr>
        <w:numPr>
          <w:ilvl w:val="0"/>
          <w:numId w:val="5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effectively implement the triple-helix action plan;</w:t>
      </w:r>
    </w:p>
    <w:p w:rsidR="00EE1719" w:rsidRDefault="000E39BA">
      <w:pPr>
        <w:numPr>
          <w:ilvl w:val="0"/>
          <w:numId w:val="5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accelerate the full alignment of its legislation with the Late </w:t>
      </w:r>
      <w:r>
        <w:rPr>
          <w:rFonts w:ascii="Times New Roman" w:eastAsia="Times New Roman" w:hAnsi="Times New Roman" w:cs="Times New Roman"/>
          <w:noProof/>
          <w:sz w:val="24"/>
          <w:szCs w:val="24"/>
        </w:rPr>
        <w:t>Payment Directive;</w:t>
      </w:r>
    </w:p>
    <w:p w:rsidR="00EE1719" w:rsidRDefault="000E39BA">
      <w:pPr>
        <w:numPr>
          <w:ilvl w:val="0"/>
          <w:numId w:val="57"/>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address the main challenges to the business environment, notably reducing regulatory burden more vigorously and enhancing participation in the available funding programs for businesses;</w:t>
      </w:r>
    </w:p>
    <w:p w:rsidR="00EE1719" w:rsidRDefault="000E39BA">
      <w:pPr>
        <w:numPr>
          <w:ilvl w:val="0"/>
          <w:numId w:val="57"/>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prepare the next Business Investment Development St</w:t>
      </w:r>
      <w:r>
        <w:rPr>
          <w:rFonts w:ascii="Times New Roman" w:eastAsia="Times New Roman" w:hAnsi="Times New Roman" w:cs="Times New Roman"/>
          <w:noProof/>
          <w:sz w:val="24"/>
          <w:szCs w:val="24"/>
        </w:rPr>
        <w:t>rategy to address challenges to competitiveness and growth as stressed in the May 2019 joint recommendations of the Economic Reform Program 2019-2021.</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2014-2020 business and investment development strategy (BIDS) sets the strategic framework for Albani</w:t>
      </w:r>
      <w:r>
        <w:rPr>
          <w:rFonts w:ascii="Times New Roman" w:eastAsia="Times New Roman" w:hAnsi="Times New Roman" w:cs="Times New Roman"/>
          <w:noProof/>
          <w:sz w:val="24"/>
          <w:szCs w:val="24"/>
        </w:rPr>
        <w:t xml:space="preserve">a’s </w:t>
      </w:r>
      <w:r>
        <w:rPr>
          <w:rFonts w:ascii="Times New Roman" w:eastAsia="Times New Roman" w:hAnsi="Times New Roman" w:cs="Times New Roman"/>
          <w:b/>
          <w:noProof/>
          <w:sz w:val="24"/>
          <w:szCs w:val="24"/>
        </w:rPr>
        <w:t>enterprise and industrial policy</w:t>
      </w:r>
      <w:r>
        <w:rPr>
          <w:rFonts w:ascii="Times New Roman" w:eastAsia="Times New Roman" w:hAnsi="Times New Roman" w:cs="Times New Roman"/>
          <w:noProof/>
          <w:sz w:val="24"/>
          <w:szCs w:val="24"/>
        </w:rPr>
        <w:t>. A monitoring report, finalised in February 2020, identifies the challenges to progress in implementing and monitoring the BIDS. Work to draft a new BIDS 2020-2025, covering SMEs skills development, innovation, sustaina</w:t>
      </w:r>
      <w:r>
        <w:rPr>
          <w:rFonts w:ascii="Times New Roman" w:eastAsia="Times New Roman" w:hAnsi="Times New Roman" w:cs="Times New Roman"/>
          <w:noProof/>
          <w:sz w:val="24"/>
          <w:szCs w:val="24"/>
        </w:rPr>
        <w:t>ble growth, and conditions for attracting foreign investment, started in February 2020. The BIDS will also incorporate the strategy on development of the non-food industry. The government has initiated the drafting of the Economic Recovery Plan - 2030 with</w:t>
      </w:r>
      <w:r>
        <w:rPr>
          <w:rFonts w:ascii="Times New Roman" w:eastAsia="Times New Roman" w:hAnsi="Times New Roman" w:cs="Times New Roman"/>
          <w:noProof/>
          <w:sz w:val="24"/>
          <w:szCs w:val="24"/>
        </w:rPr>
        <w:t xml:space="preserve"> the intention to supplement the post-November earthquake 2019 and post-COVID-19 crisis economic recovery measures and to extend them until 2030. This action plan needs to be aligned with the national strategic documents for development and integration as </w:t>
      </w:r>
      <w:r>
        <w:rPr>
          <w:rFonts w:ascii="Times New Roman" w:eastAsia="Times New Roman" w:hAnsi="Times New Roman" w:cs="Times New Roman"/>
          <w:noProof/>
          <w:sz w:val="24"/>
          <w:szCs w:val="24"/>
        </w:rPr>
        <w:t>well as the Economic Reform Program 2020-2022.</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continues to implement the South-East Europe 2020 regional initiative and actions under the Western Balkans Multi-Annual Action Plan for the development of Regional Economic Area (MAP-REA). As part of </w:t>
      </w:r>
      <w:r>
        <w:rPr>
          <w:rFonts w:ascii="Times New Roman" w:eastAsia="Times New Roman" w:hAnsi="Times New Roman" w:cs="Times New Roman"/>
          <w:noProof/>
          <w:sz w:val="24"/>
          <w:szCs w:val="24"/>
        </w:rPr>
        <w:t>the MAP-REA Investment pillar, Albania has been involved in the Investment Policy Reform Action Plan, analysis and reporting on issues related to investment entry and establishment, investment protection and retention and investment attraction and promotio</w:t>
      </w:r>
      <w:r>
        <w:rPr>
          <w:rFonts w:ascii="Times New Roman" w:eastAsia="Times New Roman" w:hAnsi="Times New Roman" w:cs="Times New Roman"/>
          <w:noProof/>
          <w:sz w:val="24"/>
          <w:szCs w:val="24"/>
        </w:rPr>
        <w:t xml:space="preserve">n. Albania has adopted in principle at the WB6 level the </w:t>
      </w:r>
      <w:r>
        <w:rPr>
          <w:rFonts w:ascii="Times New Roman" w:hAnsi="Times New Roman" w:cs="Times New Roman"/>
          <w:noProof/>
          <w:sz w:val="24"/>
          <w:szCs w:val="24"/>
        </w:rPr>
        <w:t xml:space="preserve">standards on International Investment Agreement, and procedure for internal adoption has been initiated. </w:t>
      </w:r>
      <w:r>
        <w:rPr>
          <w:rFonts w:ascii="Times New Roman" w:eastAsia="Times New Roman" w:hAnsi="Times New Roman" w:cs="Times New Roman"/>
          <w:noProof/>
          <w:sz w:val="24"/>
          <w:szCs w:val="24"/>
        </w:rPr>
        <w:t>Some progress has been made on the implementation of the action plan based on a ‘triple helix’</w:t>
      </w:r>
      <w:r>
        <w:rPr>
          <w:rFonts w:ascii="Times New Roman" w:eastAsia="Times New Roman" w:hAnsi="Times New Roman" w:cs="Times New Roman"/>
          <w:noProof/>
          <w:sz w:val="24"/>
          <w:szCs w:val="24"/>
        </w:rPr>
        <w:t xml:space="preserve"> model that incorporates measures requiring the involvement of the public and private sectors together with universities, mainly related to drafting of innovation start-up legislation. Albania is behind schedule with the overall implementation of the 'trip</w:t>
      </w:r>
      <w:r>
        <w:rPr>
          <w:rFonts w:ascii="Times New Roman" w:eastAsia="Times New Roman" w:hAnsi="Times New Roman" w:cs="Times New Roman"/>
          <w:noProof/>
          <w:sz w:val="24"/>
          <w:szCs w:val="24"/>
        </w:rPr>
        <w:t>le helix' action plan. It started to implement the national Strategy on Innovation and Technology adopted in 2017 and established a TechSpace for start-up and innovation in ICT in February 2019.</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Albania follows the implementation of the Small Business Act.</w:t>
      </w:r>
      <w:r>
        <w:rPr>
          <w:rFonts w:ascii="Times New Roman" w:eastAsia="Times New Roman" w:hAnsi="Times New Roman" w:cs="Times New Roman"/>
          <w:noProof/>
          <w:sz w:val="24"/>
          <w:szCs w:val="24"/>
        </w:rPr>
        <w:t xml:space="preserve"> Despite some improvement in the business environment, SMEs continue to identify their main challenges as being: the informal economy (particularly in tourism), a lack of transparency in public procurement especially as regards Public Private Partnerships </w:t>
      </w:r>
      <w:r>
        <w:rPr>
          <w:rFonts w:ascii="Times New Roman" w:eastAsia="Times New Roman" w:hAnsi="Times New Roman" w:cs="Times New Roman"/>
          <w:noProof/>
          <w:sz w:val="24"/>
          <w:szCs w:val="24"/>
        </w:rPr>
        <w:t>(PPPs), the need for stable state institutions, unclear ownership of property titles, and the enforcement of the rule of law. Concerning the combating of informal economy, Albania continued to implement measures to expand the taxpayer bases aiming to enfor</w:t>
      </w:r>
      <w:r>
        <w:rPr>
          <w:rFonts w:ascii="Times New Roman" w:eastAsia="Times New Roman" w:hAnsi="Times New Roman" w:cs="Times New Roman"/>
          <w:noProof/>
          <w:sz w:val="24"/>
          <w:szCs w:val="24"/>
        </w:rPr>
        <w:t>ce compliance and contribute to creating a level-playing field for economic operators. It also continued to privatise state assets, partly through privatisation vouchers; some of these assets were purchased by land -owners exercising their pre-emption righ</w:t>
      </w:r>
      <w:r>
        <w:rPr>
          <w:rFonts w:ascii="Times New Roman" w:eastAsia="Times New Roman" w:hAnsi="Times New Roman" w:cs="Times New Roman"/>
          <w:noProof/>
          <w:sz w:val="24"/>
          <w:szCs w:val="24"/>
        </w:rPr>
        <w:t>t. A Law on the Establishment and Operation of Economic Zones exists but no development can be reported regarding their establishment. A Technological Economic Development Area (TEDA) for the construction of the Industrial Plant for the integrated processi</w:t>
      </w:r>
      <w:r>
        <w:rPr>
          <w:rFonts w:ascii="Times New Roman" w:eastAsia="Times New Roman" w:hAnsi="Times New Roman" w:cs="Times New Roman"/>
          <w:noProof/>
          <w:sz w:val="24"/>
          <w:szCs w:val="24"/>
        </w:rPr>
        <w:t xml:space="preserve">ng and management of metal scrap in Rrashbull, Durres, is still in a development phase. The contract for </w:t>
      </w:r>
      <w:r>
        <w:rPr>
          <w:rFonts w:ascii="Times New Roman" w:hAnsi="Times New Roman" w:cs="Times New Roman"/>
          <w:noProof/>
          <w:sz w:val="24"/>
          <w:szCs w:val="24"/>
        </w:rPr>
        <w:t>construction, maintenance and operation of the technology and economic development zone in Elbasani</w:t>
      </w:r>
      <w:r>
        <w:rPr>
          <w:rFonts w:ascii="Times New Roman" w:eastAsia="Times New Roman" w:hAnsi="Times New Roman" w:cs="Times New Roman"/>
          <w:noProof/>
          <w:sz w:val="24"/>
          <w:szCs w:val="24"/>
        </w:rPr>
        <w:t xml:space="preserve"> was signed in March 2020. Following the application</w:t>
      </w:r>
      <w:r>
        <w:rPr>
          <w:rFonts w:ascii="Times New Roman" w:eastAsia="Times New Roman" w:hAnsi="Times New Roman" w:cs="Times New Roman"/>
          <w:noProof/>
          <w:sz w:val="24"/>
          <w:szCs w:val="24"/>
        </w:rPr>
        <w:t xml:space="preserve"> by the Tirana Municipality, in May the TEDA Kashar was granted the status of strategic investor. The issue on the expiry of the 2015 Strategic Investments Law has been postponed to the end of 2020, while the draft unified law on investments is being final</w:t>
      </w:r>
      <w:r>
        <w:rPr>
          <w:rFonts w:ascii="Times New Roman" w:eastAsia="Times New Roman" w:hAnsi="Times New Roman" w:cs="Times New Roman"/>
          <w:noProof/>
          <w:sz w:val="24"/>
          <w:szCs w:val="24"/>
        </w:rPr>
        <w:t>ised. Since the adoption of the law, 15 investment projects have obtained the status of 'strategic investment', the majority of which are in the tourism sector, followed by agriculture and energy. A further 23 applications are under consideration. A new La</w:t>
      </w:r>
      <w:r>
        <w:rPr>
          <w:rFonts w:ascii="Times New Roman" w:eastAsia="Times New Roman" w:hAnsi="Times New Roman" w:cs="Times New Roman"/>
          <w:noProof/>
          <w:sz w:val="24"/>
          <w:szCs w:val="24"/>
        </w:rPr>
        <w:t>w on establishing an Albanian Investment Corporation was adopted in December 2019, and the main implementing regulations are to be adopted by the Council of Ministers in 2020.</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area of </w:t>
      </w:r>
      <w:r>
        <w:rPr>
          <w:rFonts w:ascii="Times New Roman" w:eastAsia="Times New Roman" w:hAnsi="Times New Roman" w:cs="Times New Roman"/>
          <w:b/>
          <w:noProof/>
          <w:sz w:val="24"/>
          <w:szCs w:val="24"/>
        </w:rPr>
        <w:t>enterprise and industry policy instruments</w:t>
      </w:r>
      <w:r>
        <w:rPr>
          <w:rFonts w:ascii="Times New Roman" w:eastAsia="Times New Roman" w:hAnsi="Times New Roman" w:cs="Times New Roman"/>
          <w:noProof/>
          <w:sz w:val="24"/>
          <w:szCs w:val="24"/>
        </w:rPr>
        <w:t>, the Albanian Investme</w:t>
      </w:r>
      <w:r>
        <w:rPr>
          <w:rFonts w:ascii="Times New Roman" w:eastAsia="Times New Roman" w:hAnsi="Times New Roman" w:cs="Times New Roman"/>
          <w:noProof/>
          <w:sz w:val="24"/>
          <w:szCs w:val="24"/>
        </w:rPr>
        <w:t>nt Development Agency (AIDA) continued to offer funding instruments to stimulate start-ups and entrepreneurship in tourism, handicrafts and innovation, as well as competitiveness. Overall, the absorption capacity improved compared with the previous year, r</w:t>
      </w:r>
      <w:r>
        <w:rPr>
          <w:rFonts w:ascii="Times New Roman" w:eastAsia="Times New Roman" w:hAnsi="Times New Roman" w:cs="Times New Roman"/>
          <w:noProof/>
          <w:sz w:val="24"/>
          <w:szCs w:val="24"/>
        </w:rPr>
        <w:t>eaching 78% of applications and 92% of fund disbursement, while the funds remain limited. No funds were distributed during the first half of 2020, as the government re-oriented the funds towards COVID-response measures for businesses. The authorities are d</w:t>
      </w:r>
      <w:r>
        <w:rPr>
          <w:rFonts w:ascii="Times New Roman" w:eastAsia="Times New Roman" w:hAnsi="Times New Roman" w:cs="Times New Roman"/>
          <w:noProof/>
          <w:sz w:val="24"/>
          <w:szCs w:val="24"/>
        </w:rPr>
        <w:t>rafting new regulations on the competitiveness fund and on the creative economy fund. Access to finance remains a serious challenge for businesses. As part of response to COVID-19 measures, two sovereign guarantee loans were adopted by the government and a</w:t>
      </w:r>
      <w:r>
        <w:rPr>
          <w:rFonts w:ascii="Times New Roman" w:eastAsia="Times New Roman" w:hAnsi="Times New Roman" w:cs="Times New Roman"/>
          <w:noProof/>
          <w:sz w:val="24"/>
          <w:szCs w:val="24"/>
        </w:rPr>
        <w:t>greements were signed with second tier banks to enable liquidity for businesses to cover salaries of their employees and to finance their operational costs. With donor support, the National Agency for Information Society has established in February 2019 th</w:t>
      </w:r>
      <w:r>
        <w:rPr>
          <w:rFonts w:ascii="Times New Roman" w:eastAsia="Times New Roman" w:hAnsi="Times New Roman" w:cs="Times New Roman"/>
          <w:noProof/>
          <w:sz w:val="24"/>
          <w:szCs w:val="24"/>
        </w:rPr>
        <w:t>e TechSpace, aiming to set up a creative environment for developing start-ups. TechSpace is dedicated to training on technology, innovation and entrepreneurship activities, mentoring start-ups in the field of ICT. Since its establishment, 100 start-up idea</w:t>
      </w:r>
      <w:r>
        <w:rPr>
          <w:rFonts w:ascii="Times New Roman" w:eastAsia="Times New Roman" w:hAnsi="Times New Roman" w:cs="Times New Roman"/>
          <w:noProof/>
          <w:sz w:val="24"/>
          <w:szCs w:val="24"/>
        </w:rPr>
        <w:t xml:space="preserve">s have been registered and there have been over 1,000 visitors. The “Roadmap to Silicon Valley” pilot program for start-ups – launched in January 2020 – </w:t>
      </w:r>
      <w:r>
        <w:rPr>
          <w:rFonts w:ascii="Times New Roman" w:eastAsia="Calibri" w:hAnsi="Times New Roman" w:cs="Times New Roman"/>
          <w:noProof/>
          <w:sz w:val="24"/>
          <w:szCs w:val="24"/>
        </w:rPr>
        <w:t>includes an incubation phase at TechSpace, workshops, extensive research and a combination of lean star</w:t>
      </w:r>
      <w:r>
        <w:rPr>
          <w:rFonts w:ascii="Times New Roman" w:eastAsia="Calibri" w:hAnsi="Times New Roman" w:cs="Times New Roman"/>
          <w:noProof/>
          <w:sz w:val="24"/>
          <w:szCs w:val="24"/>
        </w:rPr>
        <w:t>t-up methods</w:t>
      </w:r>
      <w:r>
        <w:rPr>
          <w:rFonts w:ascii="Times New Roman" w:eastAsia="Times New Roman" w:hAnsi="Times New Roman" w:cs="Times New Roman"/>
          <w:noProof/>
          <w:sz w:val="24"/>
          <w:szCs w:val="24"/>
        </w:rPr>
        <w:t>. Cooperation agreements were signed with public universities, and public and private vocational high schools. A new Law on Start-Ups is being drafted.</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Albania participates in the EU’s COSME programme for SMEs with participation in COSME’s majo</w:t>
      </w:r>
      <w:r>
        <w:rPr>
          <w:rFonts w:ascii="Times New Roman" w:eastAsia="Times New Roman" w:hAnsi="Times New Roman" w:cs="Times New Roman"/>
          <w:noProof/>
          <w:sz w:val="24"/>
          <w:szCs w:val="24"/>
        </w:rPr>
        <w:t xml:space="preserve">r actions like Erasmus for Young Entrepreneurs (EYE) with the intermediary organisation Protik and the Enterprise Europe Network (EEN) through a consortium led by the AIDA. The second and third EEN projects were completed by the end of 2018 and in 2019. A </w:t>
      </w:r>
      <w:r>
        <w:rPr>
          <w:rFonts w:ascii="Times New Roman" w:eastAsia="Times New Roman" w:hAnsi="Times New Roman" w:cs="Times New Roman"/>
          <w:noProof/>
          <w:sz w:val="24"/>
          <w:szCs w:val="24"/>
        </w:rPr>
        <w:t>new consortium with three new organisations led by AIDA started the fourth EEN project for the operation period 2020-2021. Ten new partnership agreements were signed during 2019 and two more during the first quarter of 2020, 53 companies have registered th</w:t>
      </w:r>
      <w:r>
        <w:rPr>
          <w:rFonts w:ascii="Times New Roman" w:eastAsia="Times New Roman" w:hAnsi="Times New Roman" w:cs="Times New Roman"/>
          <w:noProof/>
          <w:sz w:val="24"/>
          <w:szCs w:val="24"/>
        </w:rPr>
        <w:t>eir profiles in the EEN database and 50 new profiles were published to attract business partners. Two financial intermediaries were selected to provide COSME financial instruments to SMEs.  The potential of COSME to assist SMEs in accessing markets remains</w:t>
      </w:r>
      <w:r>
        <w:rPr>
          <w:rFonts w:ascii="Times New Roman" w:eastAsia="Times New Roman" w:hAnsi="Times New Roman" w:cs="Times New Roman"/>
          <w:noProof/>
          <w:sz w:val="24"/>
          <w:szCs w:val="24"/>
        </w:rPr>
        <w:t xml:space="preserve"> underused. The relevant Albanian legislation is partially aligned with the 2011 Late Payment Directive and full alignment should be accelerated. Albania has partly aligned its definition of SMEs with the EU Recommendation. The national capacity for policy</w:t>
      </w:r>
      <w:r>
        <w:rPr>
          <w:rFonts w:ascii="Times New Roman" w:eastAsia="Times New Roman" w:hAnsi="Times New Roman" w:cs="Times New Roman"/>
          <w:noProof/>
          <w:sz w:val="24"/>
          <w:szCs w:val="24"/>
        </w:rPr>
        <w:t xml:space="preserve"> making and implementation in the field of SME policies and support remains very limited.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regards </w:t>
      </w:r>
      <w:r>
        <w:rPr>
          <w:rFonts w:ascii="Times New Roman" w:eastAsia="Times New Roman" w:hAnsi="Times New Roman" w:cs="Times New Roman"/>
          <w:b/>
          <w:noProof/>
          <w:sz w:val="24"/>
          <w:szCs w:val="24"/>
        </w:rPr>
        <w:t>sectoral policies</w:t>
      </w:r>
      <w:r>
        <w:rPr>
          <w:rFonts w:ascii="Times New Roman" w:eastAsia="Times New Roman" w:hAnsi="Times New Roman" w:cs="Times New Roman"/>
          <w:noProof/>
          <w:sz w:val="24"/>
          <w:szCs w:val="24"/>
        </w:rPr>
        <w:t>, a fiscal incentive package adopted in 2018 for 4-5 star hotels remained in place in 2019. Incentives for the agro</w:t>
      </w:r>
      <w:r>
        <w:rPr>
          <w:rFonts w:ascii="Times New Roman" w:eastAsia="Times New Roman" w:hAnsi="Times New Roman" w:cs="Times New Roman"/>
          <w:noProof/>
          <w:sz w:val="24"/>
          <w:szCs w:val="24"/>
        </w:rPr>
        <w:noBreakHyphen/>
      </w:r>
      <w:r>
        <w:rPr>
          <w:rFonts w:ascii="Times New Roman" w:eastAsia="Times New Roman" w:hAnsi="Times New Roman" w:cs="Times New Roman"/>
          <w:noProof/>
          <w:sz w:val="24"/>
          <w:szCs w:val="24"/>
        </w:rPr>
        <w:t>processing industry continued to be implemented. The 2019-2023 national strategy for the sustainable development and tourism and action plan were adopted in June 2019 and its implementation is underway. The regulatory framework on classification and catego</w:t>
      </w:r>
      <w:r>
        <w:rPr>
          <w:rFonts w:ascii="Times New Roman" w:eastAsia="Times New Roman" w:hAnsi="Times New Roman" w:cs="Times New Roman"/>
          <w:noProof/>
          <w:sz w:val="24"/>
          <w:szCs w:val="24"/>
        </w:rPr>
        <w:t xml:space="preserve">risation of accommodation structures was adopted in July 2019 following the adoption of the tourism strategy. A law on </w:t>
      </w:r>
      <w:r>
        <w:rPr>
          <w:rFonts w:ascii="Times New Roman" w:hAnsi="Times New Roman" w:cs="Times New Roman"/>
          <w:noProof/>
          <w:sz w:val="24"/>
          <w:szCs w:val="24"/>
          <w:lang w:eastAsia="zh-CN"/>
        </w:rPr>
        <w:t>activities of maritime tourism was adopted in June 2020, followed by a law on introducing VAT exemptions for the imported tourism boats/y</w:t>
      </w:r>
      <w:r>
        <w:rPr>
          <w:rFonts w:ascii="Times New Roman" w:hAnsi="Times New Roman" w:cs="Times New Roman"/>
          <w:noProof/>
          <w:sz w:val="24"/>
          <w:szCs w:val="24"/>
          <w:lang w:eastAsia="zh-CN"/>
        </w:rPr>
        <w:t xml:space="preserve">achts. </w:t>
      </w:r>
      <w:r>
        <w:rPr>
          <w:rFonts w:ascii="Times New Roman" w:eastAsia="Times New Roman" w:hAnsi="Times New Roman" w:cs="Times New Roman"/>
          <w:noProof/>
          <w:sz w:val="24"/>
          <w:szCs w:val="24"/>
        </w:rPr>
        <w:t xml:space="preserve">A ministerial guideline on recovery measures in tourism was adopted in March, focusing on the areas affected by the November 2019 earthquake, and a protocol </w:t>
      </w:r>
      <w:r>
        <w:rPr>
          <w:rFonts w:ascii="Times New Roman" w:hAnsi="Times New Roman" w:cs="Times New Roman"/>
          <w:noProof/>
          <w:sz w:val="24"/>
          <w:szCs w:val="24"/>
          <w:lang w:eastAsia="zh-CN"/>
        </w:rPr>
        <w:t>of tourism services for the post COVID-19 period to ensure the safety for all the guests and</w:t>
      </w:r>
      <w:r>
        <w:rPr>
          <w:rFonts w:ascii="Times New Roman" w:hAnsi="Times New Roman" w:cs="Times New Roman"/>
          <w:noProof/>
          <w:sz w:val="24"/>
          <w:szCs w:val="24"/>
          <w:lang w:eastAsia="zh-CN"/>
        </w:rPr>
        <w:t xml:space="preserve"> the employees was endorsed. </w:t>
      </w:r>
      <w:r>
        <w:rPr>
          <w:rFonts w:ascii="Times New Roman" w:eastAsia="Times New Roman" w:hAnsi="Times New Roman" w:cs="Times New Roman"/>
          <w:noProof/>
          <w:sz w:val="24"/>
          <w:szCs w:val="24"/>
        </w:rPr>
        <w:t>AIDA worked on an investment and export outreach campaign for the agribusiness sector, including support for Albanian enterprises in preparing project proposals and finding foreign partners targeting the country and potential i</w:t>
      </w:r>
      <w:r>
        <w:rPr>
          <w:rFonts w:ascii="Times New Roman" w:eastAsia="Times New Roman" w:hAnsi="Times New Roman" w:cs="Times New Roman"/>
          <w:noProof/>
          <w:sz w:val="24"/>
          <w:szCs w:val="24"/>
        </w:rPr>
        <w:t>nterested stakeholders. Preparations started for the launch of the second outreach campaign for light manufacturing and the automotive industry at the beginning of 2020. To respond to the COVID-19 crisis, the government introduced financial support measure</w:t>
      </w:r>
      <w:r>
        <w:rPr>
          <w:rFonts w:ascii="Times New Roman" w:eastAsia="Times New Roman" w:hAnsi="Times New Roman" w:cs="Times New Roman"/>
          <w:noProof/>
          <w:sz w:val="24"/>
          <w:szCs w:val="24"/>
        </w:rPr>
        <w:t>s for small businesses. The fiscal policy was relaxed, including the postponement of tax filing and tax payment in the end of 2020; removal of corporate tax for SMEs for 2020 and the postponement of profit tax installments to 2021 for some other business c</w:t>
      </w:r>
      <w:r>
        <w:rPr>
          <w:rFonts w:ascii="Times New Roman" w:eastAsia="Times New Roman" w:hAnsi="Times New Roman" w:cs="Times New Roman"/>
          <w:noProof/>
          <w:sz w:val="24"/>
          <w:szCs w:val="24"/>
        </w:rPr>
        <w:t>ategories and some relaxation meassures under local taxes;  salary payment support schemes  were introduced for the categories most at risk of unemployment due to closure of businesses, bonus payment for employees of other businesses affected by confinemen</w:t>
      </w:r>
      <w:r>
        <w:rPr>
          <w:rFonts w:ascii="Times New Roman" w:eastAsia="Times New Roman" w:hAnsi="Times New Roman" w:cs="Times New Roman"/>
          <w:noProof/>
          <w:sz w:val="24"/>
          <w:szCs w:val="24"/>
        </w:rPr>
        <w:t>t. Specific measures are planned to address the needs of businesses in the most affected sectors such as tourism, inward processing and manufacturing.</w:t>
      </w:r>
    </w:p>
    <w:p w:rsidR="00EE1719" w:rsidRDefault="000E39BA">
      <w:pPr>
        <w:pStyle w:val="Heading2"/>
        <w:rPr>
          <w:rFonts w:eastAsiaTheme="majorEastAsia"/>
        </w:rPr>
      </w:pPr>
      <w:bookmarkStart w:id="179" w:name="_Toc29803531"/>
      <w:bookmarkStart w:id="180" w:name="_Toc9430031"/>
      <w:bookmarkStart w:id="181" w:name="_Toc9331939"/>
      <w:bookmarkStart w:id="182" w:name="_Toc9328507"/>
      <w:bookmarkStart w:id="183" w:name="_Toc530733591"/>
      <w:bookmarkStart w:id="184" w:name="_Toc52745534"/>
      <w:bookmarkEnd w:id="178"/>
      <w:r>
        <w:rPr>
          <w:rStyle w:val="Heading2Char"/>
          <w:rFonts w:eastAsiaTheme="majorEastAsia"/>
        </w:rPr>
        <w:t>5.21</w:t>
      </w:r>
      <w:r>
        <w:rPr>
          <w:rFonts w:eastAsiaTheme="majorEastAsia"/>
        </w:rPr>
        <w:t xml:space="preserve">. </w:t>
      </w:r>
      <w:r>
        <w:rPr>
          <w:rFonts w:eastAsiaTheme="majorEastAsia"/>
        </w:rPr>
        <w:tab/>
        <w:t>Chapter 21: Trans-European networks</w:t>
      </w:r>
      <w:bookmarkEnd w:id="179"/>
      <w:bookmarkEnd w:id="180"/>
      <w:bookmarkEnd w:id="181"/>
      <w:bookmarkEnd w:id="182"/>
      <w:bookmarkEnd w:id="183"/>
      <w:bookmarkEnd w:id="184"/>
    </w:p>
    <w:p w:rsidR="00EE1719" w:rsidRDefault="000E39BA">
      <w:pPr>
        <w:spacing w:after="120" w:line="240" w:lineRule="auto"/>
        <w:jc w:val="both"/>
        <w:rPr>
          <w:rFonts w:ascii="Times New Roman" w:eastAsia="Times New Roman" w:hAnsi="Times New Roman" w:cs="Times New Roman"/>
          <w:i/>
          <w:noProof/>
          <w:sz w:val="24"/>
          <w:szCs w:val="24"/>
        </w:rPr>
      </w:pPr>
      <w:bookmarkStart w:id="185" w:name="_Toc510686876"/>
      <w:r>
        <w:rPr>
          <w:rFonts w:ascii="Times New Roman" w:eastAsia="Times New Roman" w:hAnsi="Times New Roman" w:cs="Times New Roman"/>
          <w:i/>
          <w:noProof/>
          <w:sz w:val="24"/>
          <w:szCs w:val="24"/>
        </w:rPr>
        <w:t>The EU promotes trans-European networks (TENs) in the areas of</w:t>
      </w:r>
      <w:r>
        <w:rPr>
          <w:rFonts w:ascii="Times New Roman" w:eastAsia="Times New Roman" w:hAnsi="Times New Roman" w:cs="Times New Roman"/>
          <w:i/>
          <w:noProof/>
          <w:sz w:val="24"/>
          <w:szCs w:val="24"/>
        </w:rPr>
        <w:t xml:space="preserve"> transport, telecommunications and energy to strengthen the internal market and contribute to growth and employment.</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has </w:t>
      </w:r>
      <w:r>
        <w:rPr>
          <w:rFonts w:ascii="Times New Roman" w:eastAsia="Times New Roman" w:hAnsi="Times New Roman" w:cs="Times New Roman"/>
          <w:b/>
          <w:bCs/>
          <w:noProof/>
          <w:sz w:val="24"/>
          <w:szCs w:val="24"/>
        </w:rPr>
        <w:t xml:space="preserve">some level of preparation </w:t>
      </w:r>
      <w:r>
        <w:rPr>
          <w:rFonts w:ascii="Times New Roman" w:eastAsia="Times New Roman" w:hAnsi="Times New Roman" w:cs="Times New Roman"/>
          <w:noProof/>
          <w:sz w:val="24"/>
          <w:szCs w:val="24"/>
        </w:rPr>
        <w:t xml:space="preserve">in the area of trans-European networks. </w:t>
      </w:r>
      <w:r>
        <w:rPr>
          <w:rFonts w:ascii="Times New Roman" w:eastAsia="Times New Roman" w:hAnsi="Times New Roman" w:cs="Times New Roman"/>
          <w:b/>
          <w:bCs/>
          <w:noProof/>
          <w:sz w:val="24"/>
          <w:szCs w:val="24"/>
        </w:rPr>
        <w:t xml:space="preserve">Some progress </w:t>
      </w:r>
      <w:r>
        <w:rPr>
          <w:rFonts w:ascii="Times New Roman" w:eastAsia="Times New Roman" w:hAnsi="Times New Roman" w:cs="Times New Roman"/>
          <w:noProof/>
          <w:sz w:val="24"/>
          <w:szCs w:val="24"/>
        </w:rPr>
        <w:t xml:space="preserve">was made in developing transport and energy </w:t>
      </w:r>
      <w:r>
        <w:rPr>
          <w:rFonts w:ascii="Times New Roman" w:eastAsia="Times New Roman" w:hAnsi="Times New Roman" w:cs="Times New Roman"/>
          <w:noProof/>
          <w:sz w:val="24"/>
          <w:szCs w:val="24"/>
        </w:rPr>
        <w:t>networks, including operationalisation of its power connection with Kosovo and developing its gas connections with completion of the</w:t>
      </w:r>
      <w:r>
        <w:rPr>
          <w:rFonts w:ascii="Times New Roman" w:eastAsia="Calibri" w:hAnsi="Times New Roman" w:cs="Times New Roman"/>
          <w:noProof/>
          <w:sz w:val="24"/>
          <w:szCs w:val="24"/>
        </w:rPr>
        <w:t xml:space="preserve"> trans-A</w:t>
      </w:r>
      <w:r>
        <w:rPr>
          <w:rFonts w:ascii="Times New Roman" w:eastAsia="Times New Roman" w:hAnsi="Times New Roman" w:cs="Times New Roman"/>
          <w:noProof/>
          <w:sz w:val="24"/>
          <w:szCs w:val="24"/>
        </w:rPr>
        <w:t>driatic pipeline (TAP) project.</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coming year, Albania should in particular:</w:t>
      </w:r>
    </w:p>
    <w:p w:rsidR="00EE1719" w:rsidRDefault="000E39BA">
      <w:pPr>
        <w:numPr>
          <w:ilvl w:val="0"/>
          <w:numId w:val="58"/>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continue developing the core trans</w:t>
      </w:r>
      <w:r>
        <w:rPr>
          <w:rFonts w:ascii="Times New Roman" w:eastAsia="Times New Roman" w:hAnsi="Times New Roman" w:cs="Times New Roman"/>
          <w:noProof/>
          <w:sz w:val="24"/>
          <w:szCs w:val="24"/>
        </w:rPr>
        <w:t>port and energy networks in line with: (i) the national strategies for transport and energy; (ii) the infrastructure investment prioritisation under the single project pipeline; and (iii) the connectivity agenda;</w:t>
      </w:r>
    </w:p>
    <w:p w:rsidR="00EE1719" w:rsidRDefault="000E39BA">
      <w:pPr>
        <w:numPr>
          <w:ilvl w:val="0"/>
          <w:numId w:val="58"/>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 xml:space="preserve">harmonise the legal framework with the EU </w:t>
      </w:r>
      <w:r>
        <w:rPr>
          <w:rFonts w:ascii="Times New Roman" w:eastAsia="Times New Roman" w:hAnsi="Times New Roman" w:cs="Times New Roman"/>
          <w:i/>
          <w:noProof/>
          <w:sz w:val="24"/>
          <w:szCs w:val="24"/>
        </w:rPr>
        <w:t>a</w:t>
      </w:r>
      <w:r>
        <w:rPr>
          <w:rFonts w:ascii="Times New Roman" w:eastAsia="Times New Roman" w:hAnsi="Times New Roman" w:cs="Times New Roman"/>
          <w:i/>
          <w:noProof/>
          <w:sz w:val="24"/>
          <w:szCs w:val="24"/>
        </w:rPr>
        <w:t>cquis</w:t>
      </w:r>
      <w:r>
        <w:rPr>
          <w:rFonts w:ascii="Times New Roman" w:eastAsia="Calibri" w:hAnsi="Times New Roman" w:cs="Times New Roman"/>
          <w:bCs/>
          <w:noProof/>
          <w:sz w:val="24"/>
          <w:szCs w:val="24"/>
        </w:rPr>
        <w:t xml:space="preserve"> </w:t>
      </w:r>
      <w:r>
        <w:rPr>
          <w:rFonts w:ascii="Times New Roman" w:eastAsia="Times New Roman" w:hAnsi="Times New Roman" w:cs="Times New Roman"/>
          <w:bCs/>
          <w:noProof/>
          <w:sz w:val="24"/>
          <w:szCs w:val="24"/>
        </w:rPr>
        <w:t>and the regulations on TEN-T (</w:t>
      </w:r>
      <w:r>
        <w:rPr>
          <w:rFonts w:ascii="Times New Roman" w:eastAsia="Times New Roman" w:hAnsi="Times New Roman" w:cs="Times New Roman"/>
          <w:noProof/>
          <w:sz w:val="24"/>
          <w:szCs w:val="24"/>
        </w:rPr>
        <w:t>trans-European transport networks)</w:t>
      </w:r>
      <w:r>
        <w:rPr>
          <w:rFonts w:ascii="Times New Roman" w:eastAsia="Times New Roman" w:hAnsi="Times New Roman" w:cs="Times New Roman"/>
          <w:bCs/>
          <w:noProof/>
          <w:sz w:val="24"/>
          <w:szCs w:val="24"/>
        </w:rPr>
        <w:t xml:space="preserve"> and TEN-E (</w:t>
      </w:r>
      <w:r>
        <w:rPr>
          <w:rFonts w:ascii="Times New Roman" w:eastAsia="Times New Roman" w:hAnsi="Times New Roman" w:cs="Times New Roman"/>
          <w:noProof/>
          <w:sz w:val="24"/>
          <w:szCs w:val="24"/>
        </w:rPr>
        <w:t xml:space="preserve">trans-European energy networks), including </w:t>
      </w:r>
      <w:r>
        <w:rPr>
          <w:rFonts w:ascii="Times New Roman" w:eastAsia="Times New Roman" w:hAnsi="Times New Roman" w:cs="Times New Roman"/>
          <w:noProof/>
          <w:sz w:val="24"/>
          <w:szCs w:val="24"/>
          <w:lang w:bidi="en-US"/>
        </w:rPr>
        <w:t>transposition of guidelines for trans</w:t>
      </w:r>
      <w:r>
        <w:rPr>
          <w:rFonts w:ascii="Times New Roman" w:eastAsia="Times New Roman" w:hAnsi="Times New Roman" w:cs="Times New Roman"/>
          <w:noProof/>
          <w:sz w:val="24"/>
          <w:szCs w:val="24"/>
          <w:lang w:bidi="en-US"/>
        </w:rPr>
        <w:noBreakHyphen/>
        <w:t>European energy infrastructure</w:t>
      </w:r>
      <w:r>
        <w:rPr>
          <w:rFonts w:ascii="Times New Roman" w:eastAsia="Times New Roman" w:hAnsi="Times New Roman" w:cs="Times New Roman"/>
          <w:bCs/>
          <w:noProof/>
          <w:sz w:val="24"/>
          <w:szCs w:val="24"/>
        </w:rPr>
        <w:t>;</w:t>
      </w:r>
    </w:p>
    <w:p w:rsidR="00EE1719" w:rsidRDefault="000E39BA">
      <w:pPr>
        <w:numPr>
          <w:ilvl w:val="0"/>
          <w:numId w:val="58"/>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noProof/>
          <w:sz w:val="24"/>
          <w:szCs w:val="24"/>
        </w:rPr>
        <w:t>i</w:t>
      </w:r>
      <w:r>
        <w:rPr>
          <w:rFonts w:ascii="Times New Roman" w:eastAsia="Times New Roman" w:hAnsi="Times New Roman" w:cs="Times New Roman"/>
          <w:bCs/>
          <w:noProof/>
          <w:sz w:val="24"/>
          <w:szCs w:val="24"/>
        </w:rPr>
        <w:t>mplement connectivity reform measures</w:t>
      </w:r>
      <w:r>
        <w:rPr>
          <w:rFonts w:ascii="Times New Roman" w:eastAsia="Times New Roman" w:hAnsi="Times New Roman" w:cs="Times New Roman"/>
          <w:noProof/>
          <w:sz w:val="24"/>
          <w:szCs w:val="24"/>
        </w:rPr>
        <w:t xml:space="preserve"> and strengthen the institutional framework and administrative capacity to </w:t>
      </w:r>
      <w:r>
        <w:rPr>
          <w:rFonts w:ascii="Times New Roman" w:eastAsia="Times New Roman" w:hAnsi="Times New Roman" w:cs="Times New Roman"/>
          <w:bCs/>
          <w:iCs/>
          <w:noProof/>
          <w:sz w:val="24"/>
          <w:szCs w:val="24"/>
        </w:rPr>
        <w:t>develop and monitor TENs.</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Albania</w:t>
      </w:r>
      <w:r>
        <w:rPr>
          <w:rFonts w:ascii="Times New Roman" w:eastAsia="Calibri" w:hAnsi="Times New Roman" w:cs="Times New Roman"/>
          <w:b/>
          <w:bCs/>
          <w:noProof/>
          <w:sz w:val="24"/>
          <w:szCs w:val="24"/>
        </w:rPr>
        <w:t xml:space="preserve"> </w:t>
      </w:r>
      <w:r>
        <w:rPr>
          <w:rFonts w:ascii="Times New Roman" w:eastAsia="Calibri" w:hAnsi="Times New Roman" w:cs="Times New Roman"/>
          <w:bCs/>
          <w:noProof/>
          <w:sz w:val="24"/>
          <w:szCs w:val="24"/>
        </w:rPr>
        <w:t>is making good progress on its strategic framework for</w:t>
      </w:r>
      <w:r>
        <w:rPr>
          <w:rFonts w:ascii="Times New Roman" w:eastAsia="Calibri" w:hAnsi="Times New Roman" w:cs="Times New Roman"/>
          <w:b/>
          <w:bCs/>
          <w:noProof/>
          <w:sz w:val="24"/>
          <w:szCs w:val="24"/>
        </w:rPr>
        <w:t xml:space="preserve"> transport networks. </w:t>
      </w:r>
      <w:r>
        <w:rPr>
          <w:rFonts w:ascii="Times New Roman" w:eastAsia="Calibri" w:hAnsi="Times New Roman" w:cs="Times New Roman"/>
          <w:bCs/>
          <w:noProof/>
          <w:sz w:val="24"/>
          <w:szCs w:val="24"/>
        </w:rPr>
        <w:t>It continued to harmonise its legal and institutional framework with the</w:t>
      </w:r>
      <w:r>
        <w:rPr>
          <w:rFonts w:ascii="Times New Roman" w:eastAsia="Calibri" w:hAnsi="Times New Roman" w:cs="Times New Roman"/>
          <w:bCs/>
          <w:noProof/>
          <w:sz w:val="24"/>
          <w:szCs w:val="24"/>
        </w:rPr>
        <w:t xml:space="preserve"> EU Trans-European Transport Networks (TEN-T) Regulation and </w:t>
      </w:r>
      <w:r>
        <w:rPr>
          <w:rFonts w:ascii="Times New Roman" w:eastAsia="Calibri" w:hAnsi="Times New Roman" w:cs="Times New Roman"/>
          <w:noProof/>
          <w:sz w:val="24"/>
          <w:szCs w:val="24"/>
        </w:rPr>
        <w:t xml:space="preserve">the Transport Community Treaty (TCT). It participates actively in TCT Regional Steering Committee (RSC) meetings and the TCT Secretariat’s technical committees on railways, roads and road safety </w:t>
      </w:r>
      <w:r>
        <w:rPr>
          <w:rFonts w:ascii="Times New Roman" w:eastAsia="Calibri" w:hAnsi="Times New Roman" w:cs="Times New Roman"/>
          <w:noProof/>
          <w:sz w:val="24"/>
          <w:szCs w:val="24"/>
        </w:rPr>
        <w:t>transport facilitation. In 2020, it holds the RSC presidency. The Albanian authorities are encouraged to maintain and intensify cooperation in the framework of the TCT.</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2016-2020 national transport strategy and action plan provide for the extension of </w:t>
      </w:r>
      <w:r>
        <w:rPr>
          <w:rFonts w:ascii="Times New Roman" w:eastAsia="Calibri" w:hAnsi="Times New Roman" w:cs="Times New Roman"/>
          <w:noProof/>
          <w:sz w:val="24"/>
          <w:szCs w:val="24"/>
        </w:rPr>
        <w:t xml:space="preserve">the TEN-T comprehensive and core networks to Albania and its alignment with TEN-T guidelines and EU standards and regulations. Albania has made progress in drafting a </w:t>
      </w:r>
      <w:r>
        <w:rPr>
          <w:rFonts w:ascii="Times New Roman" w:eastAsia="Calibri" w:hAnsi="Times New Roman" w:cs="Times New Roman"/>
          <w:bCs/>
          <w:iCs/>
          <w:noProof/>
          <w:sz w:val="24"/>
          <w:szCs w:val="24"/>
        </w:rPr>
        <w:t>Council of Ministers Decision to transpose the guidelines for the development of the TEN-</w:t>
      </w:r>
      <w:r>
        <w:rPr>
          <w:rFonts w:ascii="Times New Roman" w:eastAsia="Calibri" w:hAnsi="Times New Roman" w:cs="Times New Roman"/>
          <w:bCs/>
          <w:iCs/>
          <w:noProof/>
          <w:sz w:val="24"/>
          <w:szCs w:val="24"/>
        </w:rPr>
        <w:t xml:space="preserve">T; adoption is expected by the end of 2020. </w:t>
      </w:r>
      <w:r>
        <w:rPr>
          <w:rFonts w:ascii="Times New Roman" w:eastAsia="Calibri" w:hAnsi="Times New Roman" w:cs="Times New Roman"/>
          <w:noProof/>
          <w:sz w:val="24"/>
          <w:szCs w:val="24"/>
        </w:rPr>
        <w:t xml:space="preserve">The second review of ANTP3 was completed in January 2019 and adopted in January 2020 </w:t>
      </w:r>
      <w:r>
        <w:rPr>
          <w:rFonts w:ascii="Times New Roman" w:eastAsia="Times New Roman" w:hAnsi="Times New Roman" w:cs="Times New Roman"/>
          <w:noProof/>
          <w:sz w:val="24"/>
          <w:szCs w:val="24"/>
        </w:rPr>
        <w:t>by order of the Minister for Infrastructure and Energy</w:t>
      </w:r>
      <w:r>
        <w:rPr>
          <w:rFonts w:ascii="Times New Roman" w:eastAsia="Calibri" w:hAnsi="Times New Roman" w:cs="Times New Roman"/>
          <w:noProof/>
          <w:sz w:val="24"/>
          <w:szCs w:val="24"/>
        </w:rPr>
        <w:t>. Albania needs to start preparations for the 2021-2026 national transpor</w:t>
      </w:r>
      <w:r>
        <w:rPr>
          <w:rFonts w:ascii="Times New Roman" w:eastAsia="Calibri" w:hAnsi="Times New Roman" w:cs="Times New Roman"/>
          <w:noProof/>
          <w:sz w:val="24"/>
          <w:szCs w:val="24"/>
        </w:rPr>
        <w:t xml:space="preserve">t strategy and action plan in line with ANTP3 </w:t>
      </w:r>
      <w:r>
        <w:rPr>
          <w:rFonts w:ascii="Times New Roman" w:eastAsia="Calibri" w:hAnsi="Times New Roman" w:cs="Times New Roman"/>
          <w:i/>
          <w:noProof/>
          <w:sz w:val="24"/>
          <w:szCs w:val="24"/>
        </w:rPr>
        <w:t>(see Chapter 14 - Transport)</w:t>
      </w:r>
      <w:r>
        <w:rPr>
          <w:rFonts w:ascii="Times New Roman" w:eastAsia="Calibri" w:hAnsi="Times New Roman" w:cs="Times New Roman"/>
          <w:noProof/>
          <w:sz w:val="24"/>
          <w:szCs w:val="24"/>
        </w:rPr>
        <w:t xml:space="preserve">.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Albania has made some progress in repairing and maintaining its core road infrastructure. It is progressing with the preparation of road, rail and port infrastructure projects, </w:t>
      </w:r>
      <w:r>
        <w:rPr>
          <w:rFonts w:ascii="Times New Roman" w:eastAsia="Calibri" w:hAnsi="Times New Roman" w:cs="Times New Roman"/>
          <w:noProof/>
          <w:sz w:val="24"/>
          <w:szCs w:val="24"/>
        </w:rPr>
        <w:t>especially along the Adriatic-Ionian corridor and corridor VIII (Varna–Durrës). The construction of Fieri, Tepelena and Vlora bypasses is progressing, but expropriation issues still hamper the speed of works. Works to rehabilitate the Durrës-Tirana rail li</w:t>
      </w:r>
      <w:r>
        <w:rPr>
          <w:rFonts w:ascii="Times New Roman" w:eastAsia="Calibri" w:hAnsi="Times New Roman" w:cs="Times New Roman"/>
          <w:noProof/>
          <w:sz w:val="24"/>
          <w:szCs w:val="24"/>
        </w:rPr>
        <w:t>ne and construct a new line to the international airport are due to start by mid-2020.</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Albania should ensure that its transport network projects are implemented in line with the TEN-T regulatory framework. Current and future infrastructure investments shou</w:t>
      </w:r>
      <w:r>
        <w:rPr>
          <w:rFonts w:ascii="Times New Roman" w:eastAsia="Calibri" w:hAnsi="Times New Roman" w:cs="Times New Roman"/>
          <w:noProof/>
          <w:sz w:val="24"/>
          <w:szCs w:val="24"/>
        </w:rPr>
        <w:t>ld comply with EU standards on public procurement, State aid and EIAs. Also, investments need to be implemented in accordance with cost/benefit analyses carried out in line with EU best practice. Projects are channelled through a single project pipeline, c</w:t>
      </w:r>
      <w:r>
        <w:rPr>
          <w:rFonts w:ascii="Times New Roman" w:eastAsia="Calibri" w:hAnsi="Times New Roman" w:cs="Times New Roman"/>
          <w:noProof/>
          <w:sz w:val="24"/>
          <w:szCs w:val="24"/>
        </w:rPr>
        <w:t>onfirming the country’s strategic orientation towards TENs. Further efforts are needed on road safety. More serious measures should be taken to eliminate ‘blackspots’ identified on stretches with high accident rates resulting in fatalities and injuries. Th</w:t>
      </w:r>
      <w:r>
        <w:rPr>
          <w:rFonts w:ascii="Times New Roman" w:eastAsia="Calibri" w:hAnsi="Times New Roman" w:cs="Times New Roman"/>
          <w:noProof/>
          <w:sz w:val="24"/>
          <w:szCs w:val="24"/>
        </w:rPr>
        <w:t xml:space="preserve">e </w:t>
      </w:r>
      <w:r>
        <w:rPr>
          <w:rFonts w:ascii="Times New Roman" w:eastAsia="Times New Roman" w:hAnsi="Times New Roman" w:cs="Times New Roman"/>
          <w:noProof/>
          <w:sz w:val="24"/>
          <w:szCs w:val="24"/>
        </w:rPr>
        <w:t>adoption of the multiannual maintenance plans for the entire (rail and road) core network remains a challenge.</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Albania is </w:t>
      </w:r>
      <w:r>
        <w:rPr>
          <w:rFonts w:ascii="Times New Roman" w:eastAsia="Calibri" w:hAnsi="Times New Roman" w:cs="Times New Roman"/>
          <w:bCs/>
          <w:iCs/>
          <w:noProof/>
          <w:sz w:val="24"/>
          <w:szCs w:val="24"/>
        </w:rPr>
        <w:t>partially aligned</w:t>
      </w:r>
      <w:r>
        <w:rPr>
          <w:rFonts w:ascii="Times New Roman" w:eastAsia="Calibri" w:hAnsi="Times New Roman" w:cs="Times New Roman"/>
          <w:b/>
          <w:bCs/>
          <w:iCs/>
          <w:noProof/>
          <w:sz w:val="24"/>
          <w:szCs w:val="24"/>
        </w:rPr>
        <w:t xml:space="preserve"> </w:t>
      </w:r>
      <w:r>
        <w:rPr>
          <w:rFonts w:ascii="Times New Roman" w:eastAsia="Calibri" w:hAnsi="Times New Roman" w:cs="Times New Roman"/>
          <w:bCs/>
          <w:iCs/>
          <w:noProof/>
          <w:sz w:val="24"/>
          <w:szCs w:val="24"/>
        </w:rPr>
        <w:t xml:space="preserve">with the </w:t>
      </w:r>
      <w:r>
        <w:rPr>
          <w:rFonts w:ascii="Times New Roman" w:eastAsia="Calibri" w:hAnsi="Times New Roman" w:cs="Times New Roman"/>
          <w:bCs/>
          <w:i/>
          <w:iCs/>
          <w:noProof/>
          <w:sz w:val="24"/>
          <w:szCs w:val="24"/>
        </w:rPr>
        <w:t>acquis</w:t>
      </w:r>
      <w:r>
        <w:rPr>
          <w:rFonts w:ascii="Times New Roman" w:eastAsia="Calibri" w:hAnsi="Times New Roman" w:cs="Times New Roman"/>
          <w:bCs/>
          <w:iCs/>
          <w:noProof/>
          <w:sz w:val="24"/>
          <w:szCs w:val="24"/>
        </w:rPr>
        <w:t xml:space="preserve"> on a single European railway area, railway system interoperability and rail freight corridors for </w:t>
      </w:r>
      <w:r>
        <w:rPr>
          <w:rFonts w:ascii="Times New Roman" w:eastAsia="Calibri" w:hAnsi="Times New Roman" w:cs="Times New Roman"/>
          <w:bCs/>
          <w:iCs/>
          <w:noProof/>
          <w:sz w:val="24"/>
          <w:szCs w:val="24"/>
        </w:rPr>
        <w:t>competitive freight. It should make further efforts to fully align the country with the ITS Directive, develop a national strategy on the deployment of ITS</w:t>
      </w:r>
      <w:r>
        <w:rPr>
          <w:rFonts w:ascii="Times New Roman" w:eastAsia="Times New Roman" w:hAnsi="Times New Roman" w:cs="Times New Roman"/>
          <w:bCs/>
          <w:noProof/>
          <w:sz w:val="24"/>
          <w:szCs w:val="24"/>
        </w:rPr>
        <w:t xml:space="preserve"> </w:t>
      </w:r>
      <w:r>
        <w:rPr>
          <w:rFonts w:ascii="Times New Roman" w:eastAsia="Calibri" w:hAnsi="Times New Roman" w:cs="Times New Roman"/>
          <w:bCs/>
          <w:iCs/>
          <w:noProof/>
          <w:sz w:val="24"/>
          <w:szCs w:val="24"/>
        </w:rPr>
        <w:t>and prepare for the implementation of the strategy</w:t>
      </w:r>
      <w:r>
        <w:rPr>
          <w:rFonts w:ascii="Times New Roman" w:eastAsia="Calibri" w:hAnsi="Times New Roman" w:cs="Times New Roman"/>
          <w:noProof/>
          <w:sz w:val="24"/>
          <w:szCs w:val="24"/>
        </w:rPr>
        <w:t xml:space="preserve">.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 xml:space="preserve">On </w:t>
      </w:r>
      <w:r>
        <w:rPr>
          <w:rFonts w:ascii="Times New Roman" w:eastAsia="Calibri" w:hAnsi="Times New Roman" w:cs="Times New Roman"/>
          <w:b/>
          <w:bCs/>
          <w:noProof/>
          <w:sz w:val="24"/>
          <w:szCs w:val="24"/>
        </w:rPr>
        <w:t>energy networks</w:t>
      </w:r>
      <w:r>
        <w:rPr>
          <w:rFonts w:ascii="Times New Roman" w:eastAsia="Calibri" w:hAnsi="Times New Roman" w:cs="Times New Roman"/>
          <w:bCs/>
          <w:noProof/>
          <w:sz w:val="24"/>
          <w:szCs w:val="24"/>
        </w:rPr>
        <w:t>, further efforts should be m</w:t>
      </w:r>
      <w:r>
        <w:rPr>
          <w:rFonts w:ascii="Times New Roman" w:eastAsia="Calibri" w:hAnsi="Times New Roman" w:cs="Times New Roman"/>
          <w:bCs/>
          <w:noProof/>
          <w:sz w:val="24"/>
          <w:szCs w:val="24"/>
        </w:rPr>
        <w:t xml:space="preserve">ade to adopt the strategic environmental assessment (SEA) and project identification plan under the gas master plan. This will help the development of TEN-E projects. </w:t>
      </w:r>
      <w:r>
        <w:rPr>
          <w:rFonts w:ascii="Times New Roman" w:eastAsia="Calibri" w:hAnsi="Times New Roman" w:cs="Times New Roman"/>
          <w:noProof/>
          <w:sz w:val="24"/>
          <w:szCs w:val="24"/>
        </w:rPr>
        <w:t>The trans-Adriatic pipeline is on schedule, with 99</w:t>
      </w:r>
      <w:r>
        <w:rPr>
          <w:rFonts w:ascii="Times New Roman" w:eastAsia="Times New Roman" w:hAnsi="Times New Roman" w:cs="Times New Roman"/>
          <w:noProof/>
          <w:sz w:val="24"/>
          <w:szCs w:val="24"/>
        </w:rPr>
        <w:t>% of the project completed in June 202</w:t>
      </w:r>
      <w:r>
        <w:rPr>
          <w:rFonts w:ascii="Times New Roman" w:eastAsia="Times New Roman" w:hAnsi="Times New Roman" w:cs="Times New Roman"/>
          <w:noProof/>
          <w:sz w:val="24"/>
          <w:szCs w:val="24"/>
        </w:rPr>
        <w:t xml:space="preserve">0. The pipeline </w:t>
      </w:r>
      <w:r>
        <w:rPr>
          <w:rFonts w:ascii="Times New Roman" w:eastAsia="Calibri" w:hAnsi="Times New Roman" w:cs="Times New Roman"/>
          <w:noProof/>
          <w:sz w:val="24"/>
          <w:szCs w:val="24"/>
        </w:rPr>
        <w:t>is expected to be operational in autumn 2020. The gas master plan provides for major gas interconnector projects such as the Ionian-Adriatic pipeline and the Albania-Kosovo gas interconnector pipeline (ALKOGAP) which are at an early stage o</w:t>
      </w:r>
      <w:r>
        <w:rPr>
          <w:rFonts w:ascii="Times New Roman" w:eastAsia="Calibri" w:hAnsi="Times New Roman" w:cs="Times New Roman"/>
          <w:noProof/>
          <w:sz w:val="24"/>
          <w:szCs w:val="24"/>
        </w:rPr>
        <w:t xml:space="preserve">f planning.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 xml:space="preserve">Progress was made on improving </w:t>
      </w:r>
      <w:r>
        <w:rPr>
          <w:rFonts w:ascii="Times New Roman" w:eastAsia="Calibri" w:hAnsi="Times New Roman" w:cs="Times New Roman"/>
          <w:noProof/>
          <w:sz w:val="24"/>
          <w:szCs w:val="24"/>
        </w:rPr>
        <w:t>the infrastructure for power transmission. Albania has functional power interconnection lines with Greece and Montenegro. A technically functional 400kV line Between Albania and Kosovo was completed in June 2016,</w:t>
      </w:r>
      <w:r>
        <w:rPr>
          <w:rFonts w:ascii="Times New Roman" w:eastAsia="Calibri" w:hAnsi="Times New Roman" w:cs="Times New Roman"/>
          <w:noProof/>
          <w:sz w:val="24"/>
          <w:szCs w:val="24"/>
        </w:rPr>
        <w:t xml:space="preserve"> but has not been put into operation, thus representing a huge financial drain for both parties. In April 2020, the Kosovo transmission system operator KOSTT SA concluded a new connection agreement with the European Network of Transmission System Operators</w:t>
      </w:r>
      <w:r>
        <w:rPr>
          <w:rFonts w:ascii="Times New Roman" w:eastAsia="Calibri" w:hAnsi="Times New Roman" w:cs="Times New Roman"/>
          <w:noProof/>
          <w:sz w:val="24"/>
          <w:szCs w:val="24"/>
        </w:rPr>
        <w:t xml:space="preserve"> ENTSO-E. With this agreement, KOSTT and Kosovo will finally leave the Serbia, Montenegro and North Macedonia control block and join the Kosovo-Albania control block. This should pave the way for KOSTT to integrate into the regional energy market, particip</w:t>
      </w:r>
      <w:r>
        <w:rPr>
          <w:rFonts w:ascii="Times New Roman" w:eastAsia="Calibri" w:hAnsi="Times New Roman" w:cs="Times New Roman"/>
          <w:noProof/>
          <w:sz w:val="24"/>
          <w:szCs w:val="24"/>
        </w:rPr>
        <w:t xml:space="preserve">ate in the Albanian Energy Exchange (APEX) and finally put into operation the connection.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government approved the construction of a 400kV line between Elbasan in Albania and Bitola in North Macedonia in June 2016. Selection of the winning bidders for </w:t>
      </w:r>
      <w:r>
        <w:rPr>
          <w:rFonts w:ascii="Times New Roman" w:eastAsia="Calibri" w:hAnsi="Times New Roman" w:cs="Times New Roman"/>
          <w:noProof/>
          <w:sz w:val="24"/>
          <w:szCs w:val="24"/>
        </w:rPr>
        <w:t>the pre-qualification phase was completed in 2019. The technical stage procedure is still ongoing. The line is projected to cost €70 million and</w:t>
      </w:r>
      <w:r>
        <w:rPr>
          <w:rFonts w:ascii="Times New Roman" w:eastAsia="Times New Roman" w:hAnsi="Times New Roman" w:cs="Times New Roman"/>
          <w:noProof/>
          <w:sz w:val="24"/>
          <w:szCs w:val="24"/>
        </w:rPr>
        <w:t xml:space="preserve"> the project is scheduled for completion in 2021.</w:t>
      </w:r>
    </w:p>
    <w:p w:rsidR="00EE1719" w:rsidRDefault="000E39BA">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rPr>
        <w:t>Albania participates in EUSAIR, under which the improvement of</w:t>
      </w:r>
      <w:r>
        <w:rPr>
          <w:rFonts w:ascii="Times New Roman" w:eastAsia="Times New Roman" w:hAnsi="Times New Roman" w:cs="Times New Roman"/>
          <w:bCs/>
          <w:noProof/>
          <w:sz w:val="24"/>
          <w:szCs w:val="24"/>
        </w:rPr>
        <w:t xml:space="preserve"> connectivity (transport and energy networks) is a top priority.</w:t>
      </w:r>
    </w:p>
    <w:p w:rsidR="00EE1719" w:rsidRDefault="000E39BA">
      <w:pPr>
        <w:pStyle w:val="Heading2"/>
        <w:rPr>
          <w:rFonts w:eastAsiaTheme="majorEastAsia"/>
        </w:rPr>
      </w:pPr>
      <w:bookmarkStart w:id="186" w:name="_Toc29803532"/>
      <w:bookmarkStart w:id="187" w:name="_Toc9430032"/>
      <w:bookmarkStart w:id="188" w:name="_Toc9331940"/>
      <w:bookmarkStart w:id="189" w:name="_Toc9328508"/>
      <w:bookmarkStart w:id="190" w:name="_Toc510807849"/>
      <w:bookmarkStart w:id="191" w:name="_Toc530733592"/>
      <w:bookmarkStart w:id="192" w:name="_Toc52745535"/>
      <w:bookmarkEnd w:id="185"/>
      <w:r>
        <w:rPr>
          <w:rStyle w:val="Heading2Char"/>
          <w:rFonts w:eastAsiaTheme="majorEastAsia"/>
        </w:rPr>
        <w:t>5.22</w:t>
      </w:r>
      <w:r>
        <w:rPr>
          <w:rFonts w:eastAsiaTheme="majorEastAsia"/>
        </w:rPr>
        <w:t xml:space="preserve">. </w:t>
      </w:r>
      <w:r>
        <w:rPr>
          <w:rFonts w:eastAsiaTheme="majorEastAsia"/>
        </w:rPr>
        <w:tab/>
        <w:t>Chapter 22: Regional policy and coordination of structural instruments</w:t>
      </w:r>
      <w:bookmarkEnd w:id="186"/>
      <w:bookmarkEnd w:id="187"/>
      <w:bookmarkEnd w:id="188"/>
      <w:bookmarkEnd w:id="189"/>
      <w:bookmarkEnd w:id="190"/>
      <w:bookmarkEnd w:id="191"/>
      <w:bookmarkEnd w:id="192"/>
    </w:p>
    <w:p w:rsidR="00EE1719" w:rsidRDefault="000E39BA">
      <w:pPr>
        <w:keepNext/>
        <w:spacing w:after="120" w:line="240" w:lineRule="auto"/>
        <w:jc w:val="both"/>
        <w:rPr>
          <w:rFonts w:ascii="Times New Roman" w:hAnsi="Times New Roman" w:cs="Times New Roman"/>
          <w:noProof/>
          <w:sz w:val="24"/>
          <w:szCs w:val="24"/>
        </w:rPr>
      </w:pPr>
      <w:bookmarkStart w:id="193" w:name="_Toc29803533"/>
      <w:bookmarkStart w:id="194" w:name="_Toc9430033"/>
      <w:bookmarkStart w:id="195" w:name="_Toc9331941"/>
      <w:bookmarkStart w:id="196" w:name="_Toc9328509"/>
      <w:bookmarkStart w:id="197" w:name="_Toc530733593"/>
      <w:r>
        <w:rPr>
          <w:rFonts w:ascii="Times New Roman" w:hAnsi="Times New Roman" w:cs="Times New Roman"/>
          <w:i/>
          <w:iCs/>
          <w:noProof/>
          <w:sz w:val="24"/>
          <w:szCs w:val="24"/>
        </w:rPr>
        <w:t xml:space="preserve">Regional policy is the EU’s main tool for investing in sustainable and inclusive economic growth. Member States </w:t>
      </w:r>
      <w:r>
        <w:rPr>
          <w:rFonts w:ascii="Times New Roman" w:hAnsi="Times New Roman" w:cs="Times New Roman"/>
          <w:i/>
          <w:iCs/>
          <w:noProof/>
          <w:sz w:val="24"/>
          <w:szCs w:val="24"/>
        </w:rPr>
        <w:t>are responsible for its implementation, which requires adequate administrative capacity and sound financial management of project design and execution.</w:t>
      </w:r>
    </w:p>
    <w:p w:rsidR="00EE1719" w:rsidRDefault="000E39BA">
      <w:pPr>
        <w:pBdr>
          <w:top w:val="single" w:sz="4" w:space="1" w:color="auto"/>
          <w:left w:val="single" w:sz="4" w:space="4" w:color="auto"/>
          <w:bottom w:val="single" w:sz="4" w:space="1" w:color="auto"/>
          <w:right w:val="single" w:sz="4" w:space="4" w:color="auto"/>
        </w:pBdr>
        <w:shd w:val="clear" w:color="auto" w:fill="D9D9D9"/>
        <w:autoSpaceDE w:val="0"/>
        <w:autoSpaceDN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Albania is </w:t>
      </w:r>
      <w:r>
        <w:rPr>
          <w:rFonts w:ascii="Times New Roman" w:eastAsia="Calibri" w:hAnsi="Times New Roman" w:cs="Times New Roman"/>
          <w:b/>
          <w:noProof/>
          <w:sz w:val="24"/>
          <w:szCs w:val="24"/>
        </w:rPr>
        <w:t>moderately prepared</w:t>
      </w:r>
      <w:r>
        <w:rPr>
          <w:rFonts w:ascii="Times New Roman" w:eastAsia="Calibri" w:hAnsi="Times New Roman" w:cs="Times New Roman"/>
          <w:noProof/>
          <w:sz w:val="24"/>
          <w:szCs w:val="24"/>
        </w:rPr>
        <w:t xml:space="preserve"> in the area of regional policy</w:t>
      </w:r>
      <w:r>
        <w:rPr>
          <w:rFonts w:ascii="Times New Roman" w:eastAsia="Times New Roman" w:hAnsi="Times New Roman" w:cs="Times New Roman"/>
          <w:noProof/>
          <w:sz w:val="24"/>
          <w:szCs w:val="24"/>
        </w:rPr>
        <w:t xml:space="preserve"> </w:t>
      </w:r>
      <w:r>
        <w:rPr>
          <w:rFonts w:ascii="Times New Roman" w:eastAsia="Calibri" w:hAnsi="Times New Roman" w:cs="Times New Roman"/>
          <w:noProof/>
          <w:sz w:val="24"/>
          <w:szCs w:val="24"/>
        </w:rPr>
        <w:t>and coordination of structural instruments</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 xml:space="preserve">Limited progress </w:t>
      </w:r>
      <w:r>
        <w:rPr>
          <w:rFonts w:ascii="Times New Roman" w:eastAsia="Calibri" w:hAnsi="Times New Roman" w:cs="Times New Roman"/>
          <w:noProof/>
          <w:sz w:val="24"/>
          <w:szCs w:val="24"/>
        </w:rPr>
        <w:t xml:space="preserve">was made, in particular with the signature of the Financing Agreement for the 2017 IPA national programme and the completion of the IPA 2018 programme. </w:t>
      </w:r>
    </w:p>
    <w:p w:rsidR="00EE1719" w:rsidRDefault="000E39BA">
      <w:pPr>
        <w:pBdr>
          <w:top w:val="single" w:sz="4" w:space="1" w:color="auto"/>
          <w:left w:val="single" w:sz="4" w:space="4" w:color="auto"/>
          <w:bottom w:val="single" w:sz="4" w:space="1" w:color="auto"/>
          <w:right w:val="single" w:sz="4" w:space="4" w:color="auto"/>
        </w:pBdr>
        <w:shd w:val="clear" w:color="auto" w:fill="D9D9D9"/>
        <w:autoSpaceDE w:val="0"/>
        <w:autoSpaceDN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coming year, the country should in particular: </w:t>
      </w:r>
    </w:p>
    <w:p w:rsidR="00EE1719" w:rsidRDefault="000E39BA">
      <w:pPr>
        <w:numPr>
          <w:ilvl w:val="0"/>
          <w:numId w:val="59"/>
        </w:numPr>
        <w:pBdr>
          <w:top w:val="single" w:sz="4" w:space="1" w:color="auto"/>
          <w:left w:val="single" w:sz="4" w:space="4" w:color="auto"/>
          <w:bottom w:val="single" w:sz="4" w:space="1" w:color="auto"/>
          <w:right w:val="single" w:sz="4" w:space="4" w:color="auto"/>
        </w:pBdr>
        <w:shd w:val="clear" w:color="auto" w:fill="D9D9D9"/>
        <w:autoSpaceDE w:val="0"/>
        <w:autoSpaceDN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strengthen its administrative</w:t>
      </w:r>
      <w:r>
        <w:rPr>
          <w:rFonts w:ascii="Times New Roman" w:eastAsia="Calibri" w:hAnsi="Times New Roman" w:cs="Times New Roman"/>
          <w:noProof/>
          <w:sz w:val="24"/>
          <w:szCs w:val="24"/>
        </w:rPr>
        <w:t xml:space="preserve"> capacity, especially the Central Finance and Contracting Unit (CFCU) of the Ministry of Finance and Economy, the National Authorising Officer’s Support Office and the Audit Authority as well as the Ministry for Europe and Foreign Affairs;</w:t>
      </w:r>
    </w:p>
    <w:p w:rsidR="00EE1719" w:rsidRDefault="000E39BA">
      <w:pPr>
        <w:numPr>
          <w:ilvl w:val="0"/>
          <w:numId w:val="59"/>
        </w:numPr>
        <w:pBdr>
          <w:top w:val="single" w:sz="4" w:space="1" w:color="auto"/>
          <w:left w:val="single" w:sz="4" w:space="4" w:color="auto"/>
          <w:bottom w:val="single" w:sz="4" w:space="1" w:color="auto"/>
          <w:right w:val="single" w:sz="4" w:space="4" w:color="auto"/>
        </w:pBdr>
        <w:shd w:val="clear" w:color="auto" w:fill="D9D9D9"/>
        <w:autoSpaceDE w:val="0"/>
        <w:autoSpaceDN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accelerate the p</w:t>
      </w:r>
      <w:r>
        <w:rPr>
          <w:rFonts w:ascii="Times New Roman" w:eastAsia="Calibri" w:hAnsi="Times New Roman" w:cs="Times New Roman"/>
          <w:noProof/>
          <w:sz w:val="24"/>
          <w:szCs w:val="24"/>
        </w:rPr>
        <w:t>reparation of project documentation to avoid delays in the use of EU funds and difficulties in meeting contracting deadlines, as observed in the 2013, 2014, 2015 and 2016 programmes;</w:t>
      </w:r>
    </w:p>
    <w:p w:rsidR="00EE1719" w:rsidRDefault="000E39BA">
      <w:pPr>
        <w:numPr>
          <w:ilvl w:val="0"/>
          <w:numId w:val="59"/>
        </w:numPr>
        <w:pBdr>
          <w:top w:val="single" w:sz="4" w:space="1" w:color="auto"/>
          <w:left w:val="single" w:sz="4" w:space="4" w:color="auto"/>
          <w:bottom w:val="single" w:sz="4" w:space="1" w:color="auto"/>
          <w:right w:val="single" w:sz="4" w:space="4" w:color="auto"/>
        </w:pBdr>
        <w:shd w:val="clear" w:color="auto" w:fill="D9D9D9"/>
        <w:autoSpaceDE w:val="0"/>
        <w:autoSpaceDN w:val="0"/>
        <w:spacing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increase programming capacity in line with the sectoral approach and sect</w:t>
      </w:r>
      <w:r>
        <w:rPr>
          <w:rFonts w:ascii="Times New Roman" w:eastAsia="Calibri" w:hAnsi="Times New Roman" w:cs="Times New Roman"/>
          <w:noProof/>
          <w:sz w:val="24"/>
          <w:szCs w:val="24"/>
        </w:rPr>
        <w:t>oral policies, and improve the design of mature sector project pipelines.</w:t>
      </w:r>
    </w:p>
    <w:p w:rsidR="00EE1719" w:rsidRDefault="000E39BA">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bCs/>
          <w:noProof/>
          <w:sz w:val="24"/>
          <w:szCs w:val="24"/>
        </w:rPr>
        <w:t>legislative framework</w:t>
      </w:r>
      <w:r>
        <w:rPr>
          <w:rFonts w:ascii="Times New Roman" w:hAnsi="Times New Roman" w:cs="Times New Roman"/>
          <w:bCs/>
          <w:noProof/>
          <w:sz w:val="24"/>
          <w:szCs w:val="24"/>
        </w:rPr>
        <w:t xml:space="preserve"> for regional policy, Albania </w:t>
      </w:r>
      <w:r>
        <w:rPr>
          <w:rFonts w:ascii="Times New Roman" w:hAnsi="Times New Roman" w:cs="Times New Roman"/>
          <w:noProof/>
          <w:sz w:val="24"/>
          <w:szCs w:val="24"/>
        </w:rPr>
        <w:t xml:space="preserve">has adopted and is implementing a national strategy for development and integration, and several sectoral reform </w:t>
      </w:r>
      <w:r>
        <w:rPr>
          <w:rFonts w:ascii="Times New Roman" w:hAnsi="Times New Roman" w:cs="Times New Roman"/>
          <w:noProof/>
          <w:sz w:val="24"/>
          <w:szCs w:val="24"/>
        </w:rPr>
        <w:t>strategies. It has yet to establish adequate co-financing capacity for EU programmes at national and local levels.</w:t>
      </w:r>
    </w:p>
    <w:p w:rsidR="00EE1719" w:rsidRDefault="000E39BA">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w:t>
      </w:r>
      <w:r>
        <w:rPr>
          <w:rFonts w:ascii="Times New Roman" w:hAnsi="Times New Roman" w:cs="Times New Roman"/>
          <w:b/>
          <w:bCs/>
          <w:noProof/>
          <w:sz w:val="24"/>
          <w:szCs w:val="24"/>
        </w:rPr>
        <w:t>institutional framework</w:t>
      </w:r>
      <w:r>
        <w:rPr>
          <w:rFonts w:ascii="Times New Roman" w:hAnsi="Times New Roman" w:cs="Times New Roman"/>
          <w:noProof/>
          <w:sz w:val="24"/>
          <w:szCs w:val="24"/>
        </w:rPr>
        <w:t xml:space="preserve">, Albania should ensure coordination on EU integration and EU assistance between national entities such as the </w:t>
      </w:r>
      <w:r>
        <w:rPr>
          <w:rFonts w:ascii="Times New Roman" w:hAnsi="Times New Roman" w:cs="Times New Roman"/>
          <w:noProof/>
          <w:sz w:val="24"/>
          <w:szCs w:val="24"/>
        </w:rPr>
        <w:t>Albanian Development Fund, the Ministry for Europe and Foreign Affairs, MOFE, the Prime Minister’s Office and line ministries.</w:t>
      </w:r>
    </w:p>
    <w:p w:rsidR="00EE1719" w:rsidRDefault="000E39BA">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administrative capacity,</w:t>
      </w:r>
      <w:r>
        <w:rPr>
          <w:rFonts w:ascii="Times New Roman" w:hAnsi="Times New Roman" w:cs="Times New Roman"/>
          <w:noProof/>
          <w:sz w:val="24"/>
          <w:szCs w:val="24"/>
        </w:rPr>
        <w:t xml:space="preserve"> the staff of the structures involved in indirect management received further training. A proper reten</w:t>
      </w:r>
      <w:r>
        <w:rPr>
          <w:rFonts w:ascii="Times New Roman" w:hAnsi="Times New Roman" w:cs="Times New Roman"/>
          <w:noProof/>
          <w:sz w:val="24"/>
          <w:szCs w:val="24"/>
        </w:rPr>
        <w:t>tion strategy needs to be developed for all indirect management structures. The administrative capacity for coordinating and monitoring sectoral reform through the integrated policy management groups and sectoral steering committees needs to be improved. S</w:t>
      </w:r>
      <w:r>
        <w:rPr>
          <w:rFonts w:ascii="Times New Roman" w:hAnsi="Times New Roman" w:cs="Times New Roman"/>
          <w:noProof/>
          <w:sz w:val="24"/>
          <w:szCs w:val="24"/>
        </w:rPr>
        <w:t>taffing of the relevant secretariats needs to be confirmed. The involvement of development partners, local governments and civil society organisations in sectoral dialogue should be improved.</w:t>
      </w:r>
    </w:p>
    <w:p w:rsidR="00EE1719" w:rsidRDefault="000E39BA">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Programming</w:t>
      </w:r>
      <w:r>
        <w:rPr>
          <w:rFonts w:ascii="Times New Roman" w:hAnsi="Times New Roman" w:cs="Times New Roman"/>
          <w:noProof/>
          <w:sz w:val="24"/>
          <w:szCs w:val="24"/>
        </w:rPr>
        <w:t xml:space="preserve"> of IPA 2019/2020 was completed, but efforts are stil</w:t>
      </w:r>
      <w:r>
        <w:rPr>
          <w:rFonts w:ascii="Times New Roman" w:hAnsi="Times New Roman" w:cs="Times New Roman"/>
          <w:noProof/>
          <w:sz w:val="24"/>
          <w:szCs w:val="24"/>
        </w:rPr>
        <w:t xml:space="preserve">l needed to address strategic planning beyond 2020 and strengthen sectoral programming in line with the sectoral approach under the 2014-2020 IPA framework and in preparation for IPA-III (2021-2027). The national project pipeline of investments, including </w:t>
      </w:r>
      <w:r>
        <w:rPr>
          <w:rFonts w:ascii="Times New Roman" w:hAnsi="Times New Roman" w:cs="Times New Roman"/>
          <w:noProof/>
          <w:sz w:val="24"/>
          <w:szCs w:val="24"/>
        </w:rPr>
        <w:t xml:space="preserve">those for regional development, is not yet fully aligned with the medium-term budget programme and the planning and management of nationwide public investment. </w:t>
      </w:r>
    </w:p>
    <w:p w:rsidR="00EE1719" w:rsidRDefault="000E39BA">
      <w:pPr>
        <w:autoSpaceDE w:val="0"/>
        <w:autoSpaceDN w:val="0"/>
        <w:spacing w:after="120" w:line="240" w:lineRule="auto"/>
        <w:jc w:val="both"/>
        <w:rPr>
          <w:rFonts w:ascii="Times New Roman" w:hAnsi="Times New Roman" w:cs="Times New Roman"/>
          <w:strike/>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monitoring and evaluation</w:t>
      </w:r>
      <w:r>
        <w:rPr>
          <w:rFonts w:ascii="Times New Roman" w:hAnsi="Times New Roman" w:cs="Times New Roman"/>
          <w:noProof/>
          <w:sz w:val="24"/>
          <w:szCs w:val="24"/>
        </w:rPr>
        <w:t xml:space="preserve">, the sectoral monitoring committees have been formally set up and </w:t>
      </w:r>
      <w:r>
        <w:rPr>
          <w:rFonts w:ascii="Times New Roman" w:hAnsi="Times New Roman" w:cs="Times New Roman"/>
          <w:noProof/>
          <w:sz w:val="24"/>
          <w:szCs w:val="24"/>
        </w:rPr>
        <w:t xml:space="preserve">convened, and they have issued operational recommendations. They ensure the proper monitoring of EU pre-accession assistance and should continue to meet twice a year. </w:t>
      </w:r>
    </w:p>
    <w:p w:rsidR="00EE1719" w:rsidRDefault="000E39BA">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financial management, control and audit</w:t>
      </w:r>
      <w:r>
        <w:rPr>
          <w:rFonts w:ascii="Times New Roman" w:hAnsi="Times New Roman" w:cs="Times New Roman"/>
          <w:noProof/>
          <w:sz w:val="24"/>
          <w:szCs w:val="24"/>
        </w:rPr>
        <w:t>, the Audit Authority has improved its contrad</w:t>
      </w:r>
      <w:r>
        <w:rPr>
          <w:rFonts w:ascii="Times New Roman" w:hAnsi="Times New Roman" w:cs="Times New Roman"/>
          <w:noProof/>
          <w:sz w:val="24"/>
          <w:szCs w:val="24"/>
        </w:rPr>
        <w:t>ictory procedure. In March 2020, a new structure of the Central Finance and contracting unit was adopted by Order of the Prime Minister.  The prolonged absence of the national authorising officer after tendering his resignation had an adverse effect on the</w:t>
      </w:r>
      <w:r>
        <w:rPr>
          <w:rFonts w:ascii="Times New Roman" w:hAnsi="Times New Roman" w:cs="Times New Roman"/>
          <w:noProof/>
          <w:sz w:val="24"/>
          <w:szCs w:val="24"/>
        </w:rPr>
        <w:t xml:space="preserve"> functioning of internal control systems. The national authorising officer’s support office needs to improve the quality of its management declaration and the reliability of its self-assessment of management and control systems. Its monitoring of control a</w:t>
      </w:r>
      <w:r>
        <w:rPr>
          <w:rFonts w:ascii="Times New Roman" w:hAnsi="Times New Roman" w:cs="Times New Roman"/>
          <w:noProof/>
          <w:sz w:val="24"/>
          <w:szCs w:val="24"/>
        </w:rPr>
        <w:t>ctivities and its management of irregularities need to be stepped up.</w:t>
      </w:r>
    </w:p>
    <w:p w:rsidR="00EE1719" w:rsidRDefault="000E39BA">
      <w:pPr>
        <w:spacing w:after="120" w:line="240" w:lineRule="auto"/>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 xml:space="preserve">Since the transfer of functions from the regional development agencies (RDAs), the Agency for Regional Economic Development, and the National Agency for Regional Development to the </w:t>
      </w:r>
      <w:r>
        <w:rPr>
          <w:rFonts w:ascii="Times New Roman" w:hAnsi="Times New Roman" w:cs="Times New Roman"/>
          <w:noProof/>
          <w:sz w:val="24"/>
          <w:szCs w:val="24"/>
          <w:lang w:eastAsia="zh-CN"/>
        </w:rPr>
        <w:t>Albanian Development Fund (ADF) in July 2018, the ADF has been the sole executive agency for regional development at national and regional level. The Prime Minister’s Office is leading regional development reform and is responsible for the policy framework</w:t>
      </w:r>
      <w:r>
        <w:rPr>
          <w:rFonts w:ascii="Times New Roman" w:hAnsi="Times New Roman" w:cs="Times New Roman"/>
          <w:noProof/>
          <w:sz w:val="24"/>
          <w:szCs w:val="24"/>
          <w:lang w:eastAsia="zh-CN"/>
        </w:rPr>
        <w:t>.</w:t>
      </w:r>
    </w:p>
    <w:p w:rsidR="00EE1719" w:rsidRDefault="000E39BA">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adoption of the draft Law on regional development and cohesion policy was delayed due to the need for revision to reflect the above institutional and procedural changes. It is currently undergoing consultation with relevant stakeholders and is due to</w:t>
      </w:r>
      <w:r>
        <w:rPr>
          <w:rFonts w:ascii="Times New Roman" w:hAnsi="Times New Roman" w:cs="Times New Roman"/>
          <w:noProof/>
          <w:sz w:val="24"/>
          <w:szCs w:val="24"/>
        </w:rPr>
        <w:t xml:space="preserve"> be submitted to Parliament by April 2020. In the meantime, the ADF has drafted a national development and cohesion strategy and plan for 2021-2027 and four regional development plans (2021-2024). As managing authority for regional development, it is also </w:t>
      </w:r>
      <w:r>
        <w:rPr>
          <w:rFonts w:ascii="Times New Roman" w:hAnsi="Times New Roman" w:cs="Times New Roman"/>
          <w:noProof/>
          <w:sz w:val="24"/>
          <w:szCs w:val="24"/>
        </w:rPr>
        <w:t>preparing a multi-annual (2021-2027)</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 xml:space="preserve">operational programme for regional development. </w:t>
      </w:r>
    </w:p>
    <w:p w:rsidR="00EE1719" w:rsidRDefault="000E39BA">
      <w:pPr>
        <w:spacing w:after="120" w:line="240" w:lineRule="auto"/>
        <w:jc w:val="both"/>
        <w:rPr>
          <w:rFonts w:ascii="Times New Roman" w:eastAsiaTheme="majorEastAsia" w:hAnsi="Times New Roman" w:cs="Times New Roman"/>
          <w:noProof/>
          <w:sz w:val="24"/>
          <w:szCs w:val="24"/>
        </w:rPr>
      </w:pPr>
      <w:r>
        <w:rPr>
          <w:rFonts w:ascii="Times New Roman" w:hAnsi="Times New Roman" w:cs="Times New Roman"/>
          <w:noProof/>
          <w:sz w:val="24"/>
          <w:szCs w:val="24"/>
          <w:lang w:eastAsia="zh-CN"/>
        </w:rPr>
        <w:t>The ADF strengthened its regional structures and implemented the Regional Development Fund (RDF) budget allocations, the main beneficiaries of which are the local governm</w:t>
      </w:r>
      <w:r>
        <w:rPr>
          <w:rFonts w:ascii="Times New Roman" w:hAnsi="Times New Roman" w:cs="Times New Roman"/>
          <w:noProof/>
          <w:sz w:val="24"/>
          <w:szCs w:val="24"/>
          <w:lang w:eastAsia="zh-CN"/>
        </w:rPr>
        <w:t>ent units. The RDF focused on supporting the completion of on-going interventions and the government’s ’programme of 100 villages‘. In parallel, the ADF and the regional development units (former RDAs) implemented a pilot grant scheme, based on rules simil</w:t>
      </w:r>
      <w:r>
        <w:rPr>
          <w:rFonts w:ascii="Times New Roman" w:hAnsi="Times New Roman" w:cs="Times New Roman"/>
          <w:noProof/>
          <w:sz w:val="24"/>
          <w:szCs w:val="24"/>
          <w:lang w:eastAsia="zh-CN"/>
        </w:rPr>
        <w:t>ar to those in the European Commission’s practical guide.</w:t>
      </w:r>
    </w:p>
    <w:p w:rsidR="00EE1719" w:rsidRDefault="000E39BA">
      <w:pPr>
        <w:pStyle w:val="Heading2"/>
        <w:rPr>
          <w:rFonts w:eastAsiaTheme="majorEastAsia"/>
        </w:rPr>
      </w:pPr>
      <w:bookmarkStart w:id="198" w:name="_Toc52745536"/>
      <w:r>
        <w:rPr>
          <w:rStyle w:val="Heading2Char"/>
          <w:rFonts w:eastAsiaTheme="majorEastAsia"/>
        </w:rPr>
        <w:t>5.25.</w:t>
      </w:r>
      <w:r>
        <w:rPr>
          <w:rFonts w:eastAsiaTheme="majorEastAsia"/>
        </w:rPr>
        <w:t xml:space="preserve"> </w:t>
      </w:r>
      <w:r>
        <w:rPr>
          <w:rFonts w:eastAsiaTheme="majorEastAsia"/>
        </w:rPr>
        <w:tab/>
        <w:t>Chapter 25: Science and research</w:t>
      </w:r>
      <w:bookmarkEnd w:id="193"/>
      <w:bookmarkEnd w:id="194"/>
      <w:bookmarkEnd w:id="195"/>
      <w:bookmarkEnd w:id="196"/>
      <w:bookmarkEnd w:id="197"/>
      <w:bookmarkEnd w:id="198"/>
    </w:p>
    <w:p w:rsidR="00EE1719" w:rsidRDefault="000E39BA">
      <w:pPr>
        <w:keepNext/>
        <w:spacing w:after="120" w:line="240" w:lineRule="auto"/>
        <w:jc w:val="both"/>
        <w:rPr>
          <w:rFonts w:ascii="Times New Roman" w:eastAsia="Times New Roman" w:hAnsi="Times New Roman" w:cs="Times New Roman"/>
          <w:i/>
          <w:iCs/>
          <w:noProof/>
          <w:sz w:val="24"/>
          <w:szCs w:val="24"/>
        </w:rPr>
      </w:pPr>
      <w:bookmarkStart w:id="199" w:name="_Toc510686878"/>
      <w:r>
        <w:rPr>
          <w:rFonts w:ascii="Times New Roman" w:eastAsia="Times New Roman" w:hAnsi="Times New Roman" w:cs="Times New Roman"/>
          <w:i/>
          <w:iCs/>
          <w:noProof/>
          <w:sz w:val="24"/>
          <w:szCs w:val="24"/>
        </w:rPr>
        <w:t xml:space="preserve">The EU provides significant support for research and innovation. All Member States can benefit from the EU’s research programmes, especially where there is </w:t>
      </w:r>
      <w:r>
        <w:rPr>
          <w:rFonts w:ascii="Times New Roman" w:eastAsia="Times New Roman" w:hAnsi="Times New Roman" w:cs="Times New Roman"/>
          <w:i/>
          <w:iCs/>
          <w:noProof/>
          <w:sz w:val="24"/>
          <w:szCs w:val="24"/>
        </w:rPr>
        <w:t>scientific excellence and solid investment in research.</w:t>
      </w:r>
    </w:p>
    <w:p w:rsidR="00EE1719" w:rsidRDefault="000E39B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Albania is at an </w:t>
      </w:r>
      <w:r>
        <w:rPr>
          <w:rFonts w:ascii="Times New Roman" w:eastAsia="Calibri" w:hAnsi="Times New Roman" w:cs="Times New Roman"/>
          <w:b/>
          <w:bCs/>
          <w:noProof/>
          <w:sz w:val="24"/>
          <w:szCs w:val="24"/>
        </w:rPr>
        <w:t xml:space="preserve">early stage </w:t>
      </w:r>
      <w:r>
        <w:rPr>
          <w:rFonts w:ascii="Times New Roman" w:eastAsia="Calibri" w:hAnsi="Times New Roman" w:cs="Times New Roman"/>
          <w:noProof/>
          <w:sz w:val="24"/>
          <w:szCs w:val="24"/>
        </w:rPr>
        <w:t xml:space="preserve">in the area of science and research. </w:t>
      </w:r>
      <w:r>
        <w:rPr>
          <w:rFonts w:ascii="Times New Roman" w:eastAsia="Calibri" w:hAnsi="Times New Roman" w:cs="Times New Roman"/>
          <w:b/>
          <w:bCs/>
          <w:noProof/>
          <w:sz w:val="24"/>
          <w:szCs w:val="24"/>
        </w:rPr>
        <w:t xml:space="preserve">Some progress </w:t>
      </w:r>
      <w:r>
        <w:rPr>
          <w:rFonts w:ascii="Times New Roman" w:eastAsia="Calibri" w:hAnsi="Times New Roman" w:cs="Times New Roman"/>
          <w:bCs/>
          <w:noProof/>
          <w:sz w:val="24"/>
          <w:szCs w:val="24"/>
        </w:rPr>
        <w:t>was</w:t>
      </w:r>
      <w:r>
        <w:rPr>
          <w:rFonts w:ascii="Times New Roman" w:eastAsia="Calibri" w:hAnsi="Times New Roman" w:cs="Times New Roman"/>
          <w:noProof/>
          <w:sz w:val="24"/>
          <w:szCs w:val="24"/>
        </w:rPr>
        <w:t xml:space="preserve"> made over the reporting period, especially with the completion of the mapping phase of the Smart Specialisation Stra</w:t>
      </w:r>
      <w:r>
        <w:rPr>
          <w:rFonts w:ascii="Times New Roman" w:eastAsia="Calibri" w:hAnsi="Times New Roman" w:cs="Times New Roman"/>
          <w:noProof/>
          <w:sz w:val="24"/>
          <w:szCs w:val="24"/>
        </w:rPr>
        <w:t>tegy. However, last year’s recommendations have not been fully addressed and therefore remain valid.</w:t>
      </w:r>
    </w:p>
    <w:p w:rsidR="00EE1719" w:rsidRDefault="000E39B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coming year, the country should in particular:</w:t>
      </w:r>
    </w:p>
    <w:p w:rsidR="00EE1719" w:rsidRDefault="000E39BA">
      <w:pPr>
        <w:numPr>
          <w:ilvl w:val="0"/>
          <w:numId w:val="60"/>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increase investment in research, in line with its own commitments and European research area prioriti</w:t>
      </w:r>
      <w:r>
        <w:rPr>
          <w:rFonts w:ascii="Times New Roman" w:eastAsia="Times New Roman" w:hAnsi="Times New Roman" w:cs="Times New Roman"/>
          <w:noProof/>
          <w:sz w:val="24"/>
          <w:szCs w:val="24"/>
        </w:rPr>
        <w:t>es;</w:t>
      </w:r>
    </w:p>
    <w:p w:rsidR="00EE1719" w:rsidRDefault="000E39BA">
      <w:pPr>
        <w:numPr>
          <w:ilvl w:val="0"/>
          <w:numId w:val="60"/>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progress on the development of the Smart Specialisation Strategy;</w:t>
      </w:r>
    </w:p>
    <w:p w:rsidR="00EE1719" w:rsidRDefault="000E39BA">
      <w:pPr>
        <w:numPr>
          <w:ilvl w:val="0"/>
          <w:numId w:val="60"/>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ensure higher participation in Horizon 2020. </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research and innovation policy</w:t>
      </w:r>
      <w:r>
        <w:rPr>
          <w:rFonts w:ascii="Times New Roman" w:eastAsia="Calibri" w:hAnsi="Times New Roman" w:cs="Times New Roman"/>
          <w:noProof/>
          <w:sz w:val="24"/>
          <w:szCs w:val="24"/>
        </w:rPr>
        <w:t xml:space="preserve">, the implementation of the 2017-2022 national strategy for scientific research, technology and innovation </w:t>
      </w:r>
      <w:r>
        <w:rPr>
          <w:rFonts w:ascii="Times New Roman" w:eastAsia="Calibri" w:hAnsi="Times New Roman" w:cs="Times New Roman"/>
          <w:noProof/>
          <w:sz w:val="24"/>
          <w:szCs w:val="24"/>
        </w:rPr>
        <w:t>was monitored for the first time in 2019. Key recommendations included carrying out a review of resources planned in the draft midterm 2020-2022 budget planning for increasing scientific research funds to 1 % of GDP by 2022. Despite a significant increase</w:t>
      </w:r>
      <w:r>
        <w:rPr>
          <w:rFonts w:ascii="Times New Roman" w:hAnsi="Times New Roman" w:cs="Times New Roman"/>
          <w:noProof/>
          <w:sz w:val="24"/>
          <w:szCs w:val="24"/>
        </w:rPr>
        <w:t xml:space="preserve"> </w:t>
      </w:r>
      <w:r>
        <w:rPr>
          <w:rFonts w:ascii="Times New Roman" w:hAnsi="Times New Roman" w:cs="Times New Roman"/>
          <w:noProof/>
          <w:sz w:val="24"/>
          <w:szCs w:val="24"/>
        </w:rPr>
        <w:t xml:space="preserve"> in national resources for research and innovation (from ALL 62.12 million for 2018 to ALL 227.34 million for 2019), this is still well below the target and still needs to step up </w:t>
      </w:r>
      <w:r>
        <w:rPr>
          <w:rFonts w:ascii="Times New Roman" w:eastAsia="Calibri" w:hAnsi="Times New Roman" w:cs="Times New Roman"/>
          <w:noProof/>
          <w:sz w:val="24"/>
          <w:szCs w:val="24"/>
        </w:rPr>
        <w:t xml:space="preserve">investments in </w:t>
      </w:r>
      <w:r>
        <w:rPr>
          <w:rFonts w:ascii="Times New Roman" w:hAnsi="Times New Roman" w:cs="Times New Roman"/>
          <w:noProof/>
          <w:sz w:val="24"/>
          <w:szCs w:val="24"/>
        </w:rPr>
        <w:t xml:space="preserve">scientific </w:t>
      </w:r>
      <w:r>
        <w:rPr>
          <w:rFonts w:ascii="Times New Roman" w:eastAsia="Calibri" w:hAnsi="Times New Roman" w:cs="Times New Roman"/>
          <w:noProof/>
          <w:sz w:val="24"/>
          <w:szCs w:val="24"/>
        </w:rPr>
        <w:t>research and other measures to strengthen research</w:t>
      </w:r>
      <w:r>
        <w:rPr>
          <w:rFonts w:ascii="Times New Roman" w:eastAsia="Calibri" w:hAnsi="Times New Roman" w:cs="Times New Roman"/>
          <w:noProof/>
          <w:sz w:val="24"/>
          <w:szCs w:val="24"/>
        </w:rPr>
        <w:t xml:space="preserve"> and innovation capacity at national level.</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Albania does not have a clear methodology to establish funding for research and science. </w:t>
      </w:r>
      <w:r>
        <w:rPr>
          <w:rFonts w:ascii="Times New Roman" w:hAnsi="Times New Roman" w:cs="Times New Roman"/>
          <w:noProof/>
          <w:sz w:val="24"/>
          <w:szCs w:val="24"/>
        </w:rPr>
        <w:t xml:space="preserve">Despite attempts to map the research infrastructure since 2018, which is expected to be updated again in 2020, Albania has </w:t>
      </w:r>
      <w:r>
        <w:rPr>
          <w:rFonts w:ascii="Times New Roman" w:hAnsi="Times New Roman" w:cs="Times New Roman"/>
          <w:noProof/>
          <w:sz w:val="24"/>
          <w:szCs w:val="24"/>
        </w:rPr>
        <w:t>not yet developed a roadmap to address this at national level. In 2019 the Prime Minister’s Office initiated a plan to continuously update Albania’s research infrastructure data, based on Frascati indicators. However, to date, no survey has been circulated</w:t>
      </w:r>
      <w:r>
        <w:rPr>
          <w:rFonts w:ascii="Times New Roman" w:hAnsi="Times New Roman" w:cs="Times New Roman"/>
          <w:noProof/>
          <w:sz w:val="24"/>
          <w:szCs w:val="24"/>
        </w:rPr>
        <w:t xml:space="preserve"> for such data collection.</w:t>
      </w:r>
      <w:r>
        <w:rPr>
          <w:rFonts w:ascii="Times New Roman" w:eastAsia="Calibri" w:hAnsi="Times New Roman" w:cs="Times New Roman"/>
          <w:noProof/>
          <w:sz w:val="24"/>
          <w:szCs w:val="24"/>
        </w:rPr>
        <w:t xml:space="preserve"> </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Limited progress was made with the implementation of the 2017-2021 action plan to support the development of innovative policies, which is aimed at promoting better links between academia, industry and government. Now that </w:t>
      </w:r>
      <w:r>
        <w:rPr>
          <w:rFonts w:ascii="Times New Roman" w:eastAsia="Calibri" w:hAnsi="Times New Roman" w:cs="Times New Roman"/>
          <w:noProof/>
          <w:sz w:val="24"/>
          <w:szCs w:val="24"/>
        </w:rPr>
        <w:t>Albanian’s National Research and Education Network is connected to the</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pan</w:t>
      </w:r>
      <w:r>
        <w:rPr>
          <w:rFonts w:ascii="Times New Roman" w:eastAsia="Calibri" w:hAnsi="Times New Roman" w:cs="Times New Roman"/>
          <w:noProof/>
          <w:sz w:val="24"/>
          <w:szCs w:val="24"/>
        </w:rPr>
        <w:noBreakHyphen/>
        <w:t>European GÉANT network for scientific excellence, research, education and innovation,, national efforts should be made in the fields of open access and open data.</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Law on the Aca</w:t>
      </w:r>
      <w:r>
        <w:rPr>
          <w:rFonts w:ascii="Times New Roman" w:eastAsia="Calibri" w:hAnsi="Times New Roman" w:cs="Times New Roman"/>
          <w:noProof/>
          <w:sz w:val="24"/>
          <w:szCs w:val="24"/>
        </w:rPr>
        <w:t>demy of Sciences was adopted in September 2019, regulating the functioning of the Academy of Science, the Youth Academy and aiming at increasing the integrity of the scientific research system. The new draft law on scientific research has been finalised bu</w:t>
      </w:r>
      <w:r>
        <w:rPr>
          <w:rFonts w:ascii="Times New Roman" w:eastAsia="Calibri" w:hAnsi="Times New Roman" w:cs="Times New Roman"/>
          <w:noProof/>
          <w:sz w:val="24"/>
          <w:szCs w:val="24"/>
        </w:rPr>
        <w:t xml:space="preserve">t is still pending adoption. </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development of a </w:t>
      </w:r>
      <w:r>
        <w:rPr>
          <w:rFonts w:ascii="Times New Roman" w:eastAsia="Calibri" w:hAnsi="Times New Roman" w:cs="Times New Roman"/>
          <w:b/>
          <w:noProof/>
          <w:sz w:val="24"/>
          <w:szCs w:val="24"/>
        </w:rPr>
        <w:t>Smart Specialisation Strategy (S3)</w:t>
      </w:r>
      <w:r>
        <w:rPr>
          <w:rFonts w:ascii="Times New Roman" w:eastAsia="Calibri" w:hAnsi="Times New Roman" w:cs="Times New Roman"/>
          <w:noProof/>
          <w:sz w:val="24"/>
          <w:szCs w:val="24"/>
        </w:rPr>
        <w:t xml:space="preserve"> started in 2017 under the lead of the Ministry of Education, Sports and Youth, in cooperation with the European Commission; a road map for the S3 process was drafted and the mapping phase of the S3 process was completed in December 2019 with EU support. F</w:t>
      </w:r>
      <w:r>
        <w:rPr>
          <w:rFonts w:ascii="Times New Roman" w:eastAsia="Calibri" w:hAnsi="Times New Roman" w:cs="Times New Roman"/>
          <w:noProof/>
          <w:sz w:val="24"/>
          <w:szCs w:val="24"/>
        </w:rPr>
        <w:t xml:space="preserve">urther steps on the S3 in 2020 should involve finalization of the qualitative analysis phase and the launch of the Entrepreneurial discovery process. </w:t>
      </w:r>
    </w:p>
    <w:p w:rsidR="00EE1719" w:rsidRDefault="000E39BA">
      <w:pPr>
        <w:autoSpaceDE w:val="0"/>
        <w:autoSpaceDN w:val="0"/>
        <w:adjustRightInd w:val="0"/>
        <w:spacing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noProof/>
          <w:sz w:val="24"/>
          <w:szCs w:val="24"/>
        </w:rPr>
        <w:t xml:space="preserve">As regards </w:t>
      </w:r>
      <w:r>
        <w:rPr>
          <w:rFonts w:ascii="Times New Roman" w:eastAsia="Calibri" w:hAnsi="Times New Roman" w:cs="Times New Roman"/>
          <w:b/>
          <w:noProof/>
          <w:sz w:val="24"/>
          <w:szCs w:val="24"/>
        </w:rPr>
        <w:t>EU framework</w:t>
      </w:r>
      <w:r>
        <w:rPr>
          <w:rFonts w:ascii="Times New Roman" w:eastAsia="Calibri" w:hAnsi="Times New Roman" w:cs="Times New Roman"/>
          <w:noProof/>
          <w:sz w:val="24"/>
          <w:szCs w:val="24"/>
        </w:rPr>
        <w:t xml:space="preserve"> </w:t>
      </w:r>
      <w:r>
        <w:rPr>
          <w:rFonts w:ascii="Times New Roman" w:eastAsia="Calibri" w:hAnsi="Times New Roman" w:cs="Times New Roman"/>
          <w:b/>
          <w:bCs/>
          <w:noProof/>
          <w:sz w:val="24"/>
          <w:szCs w:val="24"/>
        </w:rPr>
        <w:t>programmes</w:t>
      </w:r>
      <w:r>
        <w:rPr>
          <w:rFonts w:ascii="Times New Roman" w:eastAsia="Calibri" w:hAnsi="Times New Roman" w:cs="Times New Roman"/>
          <w:noProof/>
          <w:sz w:val="24"/>
          <w:szCs w:val="24"/>
        </w:rPr>
        <w:t>, Albania participates in Horizon 2020 as an associated country. Its pa</w:t>
      </w:r>
      <w:r>
        <w:rPr>
          <w:rFonts w:ascii="Times New Roman" w:eastAsia="Calibri" w:hAnsi="Times New Roman" w:cs="Times New Roman"/>
          <w:noProof/>
          <w:sz w:val="24"/>
          <w:szCs w:val="24"/>
        </w:rPr>
        <w:t xml:space="preserve">rticipation in Horizon 2020 has improved and shows a good trend for 2019, nonetheless its performance continues to be low. Albanian entities have participated </w:t>
      </w:r>
      <w:r>
        <w:rPr>
          <w:rFonts w:ascii="Times New Roman" w:eastAsia="Calibri" w:hAnsi="Times New Roman" w:cs="Times New Roman"/>
          <w:bCs/>
          <w:noProof/>
          <w:sz w:val="24"/>
          <w:szCs w:val="24"/>
        </w:rPr>
        <w:t>in</w:t>
      </w:r>
      <w:r>
        <w:rPr>
          <w:rFonts w:ascii="Times New Roman" w:eastAsia="Calibri" w:hAnsi="Times New Roman" w:cs="Times New Roman"/>
          <w:noProof/>
          <w:sz w:val="24"/>
          <w:szCs w:val="24"/>
        </w:rPr>
        <w:t xml:space="preserve"> </w:t>
      </w:r>
      <w:r>
        <w:rPr>
          <w:rFonts w:ascii="Times New Roman" w:eastAsia="Calibri" w:hAnsi="Times New Roman" w:cs="Times New Roman"/>
          <w:bCs/>
          <w:noProof/>
          <w:sz w:val="24"/>
          <w:szCs w:val="24"/>
        </w:rPr>
        <w:t>40 actions</w:t>
      </w:r>
      <w:r>
        <w:rPr>
          <w:rFonts w:ascii="Times New Roman" w:eastAsia="Calibri" w:hAnsi="Times New Roman" w:cs="Times New Roman"/>
          <w:noProof/>
          <w:sz w:val="24"/>
          <w:szCs w:val="24"/>
        </w:rPr>
        <w:t xml:space="preserve"> of Horizon 2020, receiving </w:t>
      </w:r>
      <w:r>
        <w:rPr>
          <w:rFonts w:ascii="Times New Roman" w:eastAsia="Calibri" w:hAnsi="Times New Roman" w:cs="Times New Roman"/>
          <w:bCs/>
          <w:noProof/>
          <w:sz w:val="24"/>
          <w:szCs w:val="24"/>
        </w:rPr>
        <w:t>4.2 million euros</w:t>
      </w:r>
      <w:r>
        <w:rPr>
          <w:rFonts w:ascii="Times New Roman" w:eastAsia="Calibri" w:hAnsi="Times New Roman" w:cs="Times New Roman"/>
          <w:noProof/>
          <w:sz w:val="24"/>
          <w:szCs w:val="24"/>
        </w:rPr>
        <w:t xml:space="preserve"> of direct EU contribution. The success</w:t>
      </w:r>
      <w:r>
        <w:rPr>
          <w:rFonts w:ascii="Times New Roman" w:eastAsia="Calibri" w:hAnsi="Times New Roman" w:cs="Times New Roman"/>
          <w:noProof/>
          <w:sz w:val="24"/>
          <w:szCs w:val="24"/>
        </w:rPr>
        <w:t xml:space="preserve"> rate of proposals with Albanian participation is  of </w:t>
      </w:r>
      <w:r>
        <w:rPr>
          <w:rFonts w:ascii="Times New Roman" w:eastAsia="Times New Roman" w:hAnsi="Times New Roman" w:cs="Times New Roman"/>
          <w:noProof/>
          <w:sz w:val="24"/>
          <w:szCs w:val="24"/>
        </w:rPr>
        <w:t>8.1 % (up from 7.8 % since last year) compared to 15.6%  Horizon 2020 success rate.</w:t>
      </w:r>
      <w:r>
        <w:rPr>
          <w:rFonts w:ascii="Times New Roman" w:eastAsia="Calibri" w:hAnsi="Times New Roman" w:cs="Times New Roman"/>
          <w:noProof/>
          <w:sz w:val="24"/>
          <w:szCs w:val="24"/>
        </w:rPr>
        <w:t xml:space="preserve"> Private sector participation in the programme continues to remain particularly low. </w:t>
      </w:r>
      <w:r>
        <w:rPr>
          <w:rFonts w:ascii="Times New Roman" w:hAnsi="Times New Roman" w:cs="Times New Roman"/>
          <w:noProof/>
          <w:sz w:val="24"/>
          <w:szCs w:val="24"/>
        </w:rPr>
        <w:t>A further positive trend is an inc</w:t>
      </w:r>
      <w:r>
        <w:rPr>
          <w:rFonts w:ascii="Times New Roman" w:hAnsi="Times New Roman" w:cs="Times New Roman"/>
          <w:noProof/>
          <w:sz w:val="24"/>
          <w:szCs w:val="24"/>
        </w:rPr>
        <w:t xml:space="preserve">reased number of publications, 842 publications per 1000 researchers. </w:t>
      </w:r>
      <w:r>
        <w:rPr>
          <w:rFonts w:ascii="Times New Roman" w:eastAsia="Calibri" w:hAnsi="Times New Roman" w:cs="Times New Roman"/>
          <w:bCs/>
          <w:noProof/>
          <w:sz w:val="24"/>
          <w:szCs w:val="24"/>
        </w:rPr>
        <w:t xml:space="preserve">The National Agency for Scientific Research and Innovation (NASRI) has strengthened its efforts to raise awareness on Horizon funding opportunities. Apart from awareness raising events, </w:t>
      </w:r>
      <w:r>
        <w:rPr>
          <w:rFonts w:ascii="Times New Roman" w:eastAsia="Calibri" w:hAnsi="Times New Roman" w:cs="Times New Roman"/>
          <w:bCs/>
          <w:noProof/>
          <w:sz w:val="24"/>
          <w:szCs w:val="24"/>
        </w:rPr>
        <w:t>no other measure to support participation in Horizon2020 are present.</w:t>
      </w:r>
    </w:p>
    <w:p w:rsidR="00EE1719" w:rsidRDefault="000E39BA">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integration into the </w:t>
      </w:r>
      <w:r>
        <w:rPr>
          <w:rFonts w:ascii="Times New Roman" w:hAnsi="Times New Roman" w:cs="Times New Roman"/>
          <w:b/>
          <w:bCs/>
          <w:noProof/>
          <w:sz w:val="24"/>
          <w:szCs w:val="24"/>
        </w:rPr>
        <w:t>European research area</w:t>
      </w:r>
      <w:r>
        <w:rPr>
          <w:rFonts w:ascii="Times New Roman" w:hAnsi="Times New Roman" w:cs="Times New Roman"/>
          <w:noProof/>
          <w:sz w:val="24"/>
          <w:szCs w:val="24"/>
        </w:rPr>
        <w:t>, Albania should be more active in all six priority areas, and should improve its networking with European partners to engage in internation</w:t>
      </w:r>
      <w:r>
        <w:rPr>
          <w:rFonts w:ascii="Times New Roman" w:hAnsi="Times New Roman" w:cs="Times New Roman"/>
          <w:noProof/>
          <w:sz w:val="24"/>
          <w:szCs w:val="24"/>
        </w:rPr>
        <w:t>al cooperative research, where there is already active engagement in COST.</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the </w:t>
      </w:r>
      <w:r>
        <w:rPr>
          <w:rFonts w:ascii="Times New Roman" w:eastAsia="Calibri" w:hAnsi="Times New Roman" w:cs="Times New Roman"/>
          <w:b/>
          <w:noProof/>
          <w:sz w:val="24"/>
          <w:szCs w:val="24"/>
        </w:rPr>
        <w:t>innovation Union</w:t>
      </w:r>
      <w:r>
        <w:rPr>
          <w:rFonts w:ascii="Times New Roman" w:eastAsia="Calibri" w:hAnsi="Times New Roman" w:cs="Times New Roman"/>
          <w:noProof/>
          <w:sz w:val="24"/>
          <w:szCs w:val="24"/>
        </w:rPr>
        <w:t>, the National Agency of Scientific Research and Innovation has financed six national research projects for a total of around €400 000 in six priority</w:t>
      </w:r>
      <w:r>
        <w:rPr>
          <w:rFonts w:ascii="Times New Roman" w:eastAsia="Calibri" w:hAnsi="Times New Roman" w:cs="Times New Roman"/>
          <w:noProof/>
          <w:sz w:val="24"/>
          <w:szCs w:val="24"/>
        </w:rPr>
        <w:t xml:space="preserve"> research areas and is currently funding bilateral technological and scientific research projects with Italian and Austrian support. </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European Innovation Scoreboard is not yet available for Albania, however a plan to provide indicators showed that eigh</w:t>
      </w:r>
      <w:r>
        <w:rPr>
          <w:rFonts w:ascii="Times New Roman" w:eastAsia="Calibri" w:hAnsi="Times New Roman" w:cs="Times New Roman"/>
          <w:noProof/>
          <w:sz w:val="24"/>
          <w:szCs w:val="24"/>
        </w:rPr>
        <w:t>t indicators from international sources are already present. Albania should make efforts to produce statistics and reliable data on science and technology, including the indicator on gross domestic expenditure on R&amp;D, with a view to participating in the Eu</w:t>
      </w:r>
      <w:r>
        <w:rPr>
          <w:rFonts w:ascii="Times New Roman" w:eastAsia="Calibri" w:hAnsi="Times New Roman" w:cs="Times New Roman"/>
          <w:noProof/>
          <w:sz w:val="24"/>
          <w:szCs w:val="24"/>
        </w:rPr>
        <w:t>ropean Innovation Scoreboard.</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On brain circulation, considering that the human capital in the diaspora is an important asset for Albania, work on building a platform for brain circulation has started with the gathering of data on the Albanian specialists/r</w:t>
      </w:r>
      <w:r>
        <w:rPr>
          <w:rFonts w:ascii="Times New Roman" w:hAnsi="Times New Roman" w:cs="Times New Roman"/>
          <w:noProof/>
          <w:sz w:val="24"/>
          <w:szCs w:val="24"/>
        </w:rPr>
        <w:t>esearchers/experts working abroad.</w:t>
      </w:r>
    </w:p>
    <w:p w:rsidR="00EE1719" w:rsidRDefault="000E39BA">
      <w:pPr>
        <w:pStyle w:val="Heading2"/>
        <w:rPr>
          <w:rFonts w:eastAsiaTheme="majorEastAsia"/>
        </w:rPr>
      </w:pPr>
      <w:bookmarkStart w:id="200" w:name="_Toc29803534"/>
      <w:bookmarkStart w:id="201" w:name="_Toc9430034"/>
      <w:bookmarkStart w:id="202" w:name="_Toc9331942"/>
      <w:bookmarkStart w:id="203" w:name="_Toc9328510"/>
      <w:bookmarkStart w:id="204" w:name="_Toc530733594"/>
      <w:bookmarkStart w:id="205" w:name="_Toc52745537"/>
      <w:r>
        <w:rPr>
          <w:rStyle w:val="Heading2Char"/>
          <w:rFonts w:eastAsiaTheme="majorEastAsia"/>
        </w:rPr>
        <w:t>5.26</w:t>
      </w:r>
      <w:r>
        <w:rPr>
          <w:rFonts w:eastAsiaTheme="majorEastAsia"/>
        </w:rPr>
        <w:t>.</w:t>
      </w:r>
      <w:r>
        <w:rPr>
          <w:rFonts w:eastAsiaTheme="majorEastAsia"/>
        </w:rPr>
        <w:tab/>
        <w:t xml:space="preserve"> Chapter 26: Education and culture</w:t>
      </w:r>
      <w:bookmarkEnd w:id="199"/>
      <w:bookmarkEnd w:id="200"/>
      <w:bookmarkEnd w:id="201"/>
      <w:bookmarkEnd w:id="202"/>
      <w:bookmarkEnd w:id="203"/>
      <w:bookmarkEnd w:id="204"/>
      <w:bookmarkEnd w:id="205"/>
    </w:p>
    <w:p w:rsidR="00EE1719" w:rsidRDefault="000E39BA">
      <w:pPr>
        <w:spacing w:after="120" w:line="240" w:lineRule="auto"/>
        <w:jc w:val="both"/>
        <w:rPr>
          <w:rFonts w:ascii="Times New Roman" w:eastAsia="Times New Roman" w:hAnsi="Times New Roman" w:cs="Times New Roman"/>
          <w:bCs/>
          <w:i/>
          <w:noProof/>
          <w:sz w:val="24"/>
          <w:szCs w:val="24"/>
        </w:rPr>
      </w:pPr>
      <w:bookmarkStart w:id="206" w:name="_Toc510686879"/>
      <w:r>
        <w:rPr>
          <w:rFonts w:ascii="Times New Roman" w:eastAsia="Times New Roman" w:hAnsi="Times New Roman" w:cs="Times New Roman"/>
          <w:bCs/>
          <w:i/>
          <w:noProof/>
          <w:sz w:val="24"/>
          <w:szCs w:val="24"/>
        </w:rPr>
        <w:t xml:space="preserve">The EU supports cooperation in education and culture through funding programmes and the coordination of Member State policy through the open method of coordination. The EU and the </w:t>
      </w:r>
      <w:r>
        <w:rPr>
          <w:rFonts w:ascii="Times New Roman" w:eastAsia="Times New Roman" w:hAnsi="Times New Roman" w:cs="Times New Roman"/>
          <w:bCs/>
          <w:i/>
          <w:noProof/>
          <w:sz w:val="24"/>
          <w:szCs w:val="24"/>
        </w:rPr>
        <w:t>Member States must also prevent discrimination and ensure quality education for children of migrant workers, including those from disadvantaged backgrounds.</w:t>
      </w:r>
    </w:p>
    <w:p w:rsidR="00EE1719" w:rsidRDefault="000E39BA">
      <w:pPr>
        <w:pBdr>
          <w:top w:val="single" w:sz="4" w:space="1" w:color="auto"/>
          <w:left w:val="single" w:sz="4" w:space="3" w:color="auto"/>
          <w:bottom w:val="single" w:sz="4" w:space="0"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 xml:space="preserve">Albania is </w:t>
      </w:r>
      <w:r>
        <w:rPr>
          <w:rFonts w:ascii="Times New Roman" w:eastAsia="Times New Roman" w:hAnsi="Times New Roman" w:cs="Times New Roman"/>
          <w:b/>
          <w:bCs/>
          <w:noProof/>
          <w:sz w:val="24"/>
          <w:szCs w:val="24"/>
        </w:rPr>
        <w:t>moderately prepared</w:t>
      </w:r>
      <w:r>
        <w:rPr>
          <w:rFonts w:ascii="Times New Roman" w:eastAsia="Times New Roman" w:hAnsi="Times New Roman" w:cs="Times New Roman"/>
          <w:bCs/>
          <w:noProof/>
          <w:sz w:val="24"/>
          <w:szCs w:val="24"/>
        </w:rPr>
        <w:t xml:space="preserve"> in the field of education and culture. </w:t>
      </w:r>
      <w:r>
        <w:rPr>
          <w:rFonts w:ascii="Times New Roman" w:eastAsia="Times New Roman" w:hAnsi="Times New Roman" w:cs="Times New Roman"/>
          <w:b/>
          <w:bCs/>
          <w:noProof/>
          <w:sz w:val="24"/>
          <w:szCs w:val="24"/>
        </w:rPr>
        <w:t>Some progress</w:t>
      </w:r>
      <w:r>
        <w:rPr>
          <w:rFonts w:ascii="Times New Roman" w:eastAsia="Times New Roman" w:hAnsi="Times New Roman" w:cs="Times New Roman"/>
          <w:bCs/>
          <w:noProof/>
          <w:sz w:val="24"/>
          <w:szCs w:val="24"/>
        </w:rPr>
        <w:t xml:space="preserve"> was made </w:t>
      </w:r>
      <w:r>
        <w:rPr>
          <w:rFonts w:ascii="Times New Roman" w:hAnsi="Times New Roman" w:cs="Times New Roman"/>
          <w:noProof/>
          <w:sz w:val="24"/>
          <w:szCs w:val="24"/>
        </w:rPr>
        <w:t>on imp</w:t>
      </w:r>
      <w:r>
        <w:rPr>
          <w:rFonts w:ascii="Times New Roman" w:hAnsi="Times New Roman" w:cs="Times New Roman"/>
          <w:noProof/>
          <w:sz w:val="24"/>
          <w:szCs w:val="24"/>
        </w:rPr>
        <w:t xml:space="preserve">lementing recommendations of the previous report </w:t>
      </w:r>
      <w:r>
        <w:rPr>
          <w:rFonts w:ascii="Times New Roman" w:eastAsia="Times New Roman" w:hAnsi="Times New Roman" w:cs="Times New Roman"/>
          <w:bCs/>
          <w:noProof/>
          <w:sz w:val="24"/>
          <w:szCs w:val="24"/>
        </w:rPr>
        <w:t xml:space="preserve">in this area, especially on establishing a policy framework for pre-school education Concerning vocational education and training (VET), some </w:t>
      </w:r>
      <w:r>
        <w:rPr>
          <w:rFonts w:ascii="Times New Roman" w:eastAsia="Times New Roman" w:hAnsi="Times New Roman" w:cs="Times New Roman"/>
          <w:noProof/>
          <w:sz w:val="24"/>
          <w:szCs w:val="24"/>
        </w:rPr>
        <w:t>progress was registered with the establishment of the National Ag</w:t>
      </w:r>
      <w:r>
        <w:rPr>
          <w:rFonts w:ascii="Times New Roman" w:eastAsia="Times New Roman" w:hAnsi="Times New Roman" w:cs="Times New Roman"/>
          <w:noProof/>
          <w:sz w:val="24"/>
          <w:szCs w:val="24"/>
        </w:rPr>
        <w:t xml:space="preserve">ency for Employment and Skills, the restructuring of </w:t>
      </w:r>
      <w:r>
        <w:rPr>
          <w:rFonts w:ascii="Times New Roman" w:hAnsi="Times New Roman" w:cs="Times New Roman"/>
          <w:noProof/>
          <w:sz w:val="24"/>
          <w:szCs w:val="24"/>
        </w:rPr>
        <w:t xml:space="preserve">National Agency for Education, Vocational Training and Qualifications, the implementation of the Albanian Qualification Framework Law and </w:t>
      </w:r>
      <w:r>
        <w:rPr>
          <w:rFonts w:ascii="Times New Roman" w:eastAsia="Times New Roman" w:hAnsi="Times New Roman" w:cs="Times New Roman"/>
          <w:noProof/>
          <w:sz w:val="24"/>
          <w:szCs w:val="24"/>
        </w:rPr>
        <w:t xml:space="preserve">in the adoption of the implementing legislation for the VET Law. </w:t>
      </w:r>
      <w:r>
        <w:rPr>
          <w:rFonts w:ascii="Times New Roman" w:eastAsia="Times New Roman" w:hAnsi="Times New Roman" w:cs="Times New Roman"/>
          <w:noProof/>
          <w:sz w:val="24"/>
          <w:szCs w:val="24"/>
        </w:rPr>
        <w:t xml:space="preserve">Also, the strategy on culture for 2019-2023 was adopted.                                                                                                                                                                                     </w:t>
      </w:r>
    </w:p>
    <w:p w:rsidR="00EE1719" w:rsidRDefault="000E39BA">
      <w:pPr>
        <w:pBdr>
          <w:top w:val="single" w:sz="4" w:space="1" w:color="auto"/>
          <w:left w:val="single" w:sz="4" w:space="3" w:color="auto"/>
          <w:bottom w:val="single" w:sz="4" w:space="0" w:color="auto"/>
          <w:right w:val="single" w:sz="4" w:space="4" w:color="auto"/>
        </w:pBdr>
        <w:shd w:val="clear" w:color="auto" w:fill="D9D9D9"/>
        <w:spacing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In the coming year</w:t>
      </w:r>
      <w:r>
        <w:rPr>
          <w:rFonts w:ascii="Times New Roman" w:eastAsia="Times New Roman" w:hAnsi="Times New Roman" w:cs="Times New Roman"/>
          <w:bCs/>
          <w:noProof/>
          <w:sz w:val="24"/>
          <w:szCs w:val="24"/>
        </w:rPr>
        <w:t>, Albania should in particular:</w:t>
      </w:r>
    </w:p>
    <w:p w:rsidR="00EE1719" w:rsidRDefault="000E39BA">
      <w:pPr>
        <w:numPr>
          <w:ilvl w:val="0"/>
          <w:numId w:val="61"/>
        </w:numPr>
        <w:pBdr>
          <w:top w:val="single" w:sz="4" w:space="1" w:color="auto"/>
          <w:left w:val="single" w:sz="4" w:space="3" w:color="auto"/>
          <w:bottom w:val="single" w:sz="4" w:space="0"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draft the new strategy on education, covering all levels;</w:t>
      </w:r>
    </w:p>
    <w:p w:rsidR="00EE1719" w:rsidRDefault="000E39BA">
      <w:pPr>
        <w:numPr>
          <w:ilvl w:val="0"/>
          <w:numId w:val="61"/>
        </w:numPr>
        <w:pBdr>
          <w:top w:val="single" w:sz="4" w:space="1" w:color="auto"/>
          <w:left w:val="single" w:sz="4" w:space="3" w:color="auto"/>
          <w:bottom w:val="single" w:sz="4" w:space="0"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finalise the implementing legislation of the VET Law and continue with the optimisation of the VET system to develop services and competences in line with the needs </w:t>
      </w:r>
      <w:r>
        <w:rPr>
          <w:rFonts w:ascii="Times New Roman" w:eastAsia="Times New Roman" w:hAnsi="Times New Roman" w:cs="Times New Roman"/>
          <w:noProof/>
          <w:sz w:val="24"/>
          <w:szCs w:val="24"/>
        </w:rPr>
        <w:t>of the private sector;</w:t>
      </w:r>
    </w:p>
    <w:p w:rsidR="00EE1719" w:rsidRDefault="000E39BA">
      <w:pPr>
        <w:numPr>
          <w:ilvl w:val="0"/>
          <w:numId w:val="61"/>
        </w:numPr>
        <w:pBdr>
          <w:top w:val="single" w:sz="4" w:space="1" w:color="auto"/>
          <w:left w:val="single" w:sz="4" w:space="3" w:color="auto"/>
          <w:bottom w:val="single" w:sz="4" w:space="0"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fully adopt the implementing legislation on the Law on Cultural Heritage and Museums.</w:t>
      </w:r>
    </w:p>
    <w:p w:rsidR="00EE1719" w:rsidRDefault="000E39BA">
      <w:pPr>
        <w:tabs>
          <w:tab w:val="right" w:pos="9180"/>
        </w:tabs>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 xml:space="preserve">education and training, </w:t>
      </w:r>
      <w:r>
        <w:rPr>
          <w:rFonts w:ascii="Times New Roman" w:eastAsia="Times New Roman" w:hAnsi="Times New Roman" w:cs="Times New Roman"/>
          <w:noProof/>
          <w:sz w:val="24"/>
          <w:szCs w:val="24"/>
        </w:rPr>
        <w:t>progress was made with the appraisal of the current policy framework, the implementation of curricular and legislative f</w:t>
      </w:r>
      <w:r>
        <w:rPr>
          <w:rFonts w:ascii="Times New Roman" w:eastAsia="Times New Roman" w:hAnsi="Times New Roman" w:cs="Times New Roman"/>
          <w:noProof/>
          <w:sz w:val="24"/>
          <w:szCs w:val="24"/>
        </w:rPr>
        <w:t xml:space="preserve">rameworks and </w:t>
      </w:r>
      <w:r>
        <w:rPr>
          <w:rFonts w:ascii="Times New Roman" w:hAnsi="Times New Roman" w:cs="Times New Roman"/>
          <w:noProof/>
          <w:sz w:val="24"/>
          <w:szCs w:val="24"/>
        </w:rPr>
        <w:t>the delivery of free textbooks to pupils in primary education</w:t>
      </w:r>
      <w:r>
        <w:rPr>
          <w:rFonts w:ascii="Times New Roman" w:eastAsia="Times New Roman" w:hAnsi="Times New Roman" w:cs="Times New Roman"/>
          <w:noProof/>
          <w:sz w:val="24"/>
          <w:szCs w:val="24"/>
        </w:rPr>
        <w:t>. About 225,000</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free textbooks were delivered for the 2019/2020 academic year, including 155,000 for primary school children and 70,000 students from the most vulnerable groups. Aro</w:t>
      </w:r>
      <w:r>
        <w:rPr>
          <w:rFonts w:ascii="Times New Roman" w:eastAsia="Times New Roman" w:hAnsi="Times New Roman" w:cs="Times New Roman"/>
          <w:noProof/>
          <w:sz w:val="24"/>
          <w:szCs w:val="24"/>
        </w:rPr>
        <w:t xml:space="preserve">und 3,000 early childhood education teachers and directors were trained on the new competence-based curricula. </w:t>
      </w:r>
    </w:p>
    <w:p w:rsidR="00EE1719" w:rsidRDefault="000E39BA">
      <w:pPr>
        <w:tabs>
          <w:tab w:val="right" w:pos="9180"/>
        </w:tabs>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Progress was noted on enrolment in the preparatory/pre-school classes for 5-6 year-olds – only 10% of boys and 11% of girls country wide, are not yet enrolled in formal education. Moreover, the enrolment rate in early childhood education and care for 3-4 y</w:t>
      </w:r>
      <w:r>
        <w:rPr>
          <w:rFonts w:ascii="Times New Roman" w:hAnsi="Times New Roman" w:cs="Times New Roman"/>
          <w:noProof/>
          <w:sz w:val="24"/>
          <w:szCs w:val="24"/>
        </w:rPr>
        <w:t xml:space="preserve">ear-olds reached 73%, in the school year 2017-2018 compared with </w:t>
      </w:r>
      <w:r>
        <w:rPr>
          <w:rFonts w:ascii="Times New Roman" w:eastAsia="Times New Roman" w:hAnsi="Times New Roman" w:cs="Times New Roman"/>
          <w:bCs/>
          <w:noProof/>
          <w:sz w:val="24"/>
          <w:szCs w:val="24"/>
        </w:rPr>
        <w:t>55% in 2008</w:t>
      </w:r>
      <w:r>
        <w:rPr>
          <w:rFonts w:ascii="Times New Roman" w:hAnsi="Times New Roman" w:cs="Times New Roman"/>
          <w:noProof/>
          <w:sz w:val="24"/>
          <w:szCs w:val="24"/>
        </w:rPr>
        <w:t xml:space="preserve">. It also marks an increase in participation of children from disadvantaged backgrounds (66 % in 2018 against 26 % in 2017). </w:t>
      </w:r>
    </w:p>
    <w:p w:rsidR="00EE1719" w:rsidRDefault="000E39BA">
      <w:pPr>
        <w:tabs>
          <w:tab w:val="right" w:pos="9180"/>
        </w:tabs>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LFS data of 2018, adult (25-64) participa</w:t>
      </w:r>
      <w:r>
        <w:rPr>
          <w:rFonts w:ascii="Times New Roman" w:hAnsi="Times New Roman" w:cs="Times New Roman"/>
          <w:noProof/>
          <w:sz w:val="24"/>
          <w:szCs w:val="24"/>
        </w:rPr>
        <w:t>tion in formal or non-formal education and training was extremely low (0.9%) compared to the EU-28 average (11.1%). The Adult Education Survey (AES), which measures participation over a longer time span of one year, also shows a significant gap between Alb</w:t>
      </w:r>
      <w:r>
        <w:rPr>
          <w:rFonts w:ascii="Times New Roman" w:hAnsi="Times New Roman" w:cs="Times New Roman"/>
          <w:noProof/>
          <w:sz w:val="24"/>
          <w:szCs w:val="24"/>
        </w:rPr>
        <w:t>ania (9.2%) and the EU-28 average (45.1%).</w:t>
      </w:r>
      <w:r>
        <w:rPr>
          <w:rFonts w:ascii="Times New Roman" w:eastAsia="Times New Roman" w:hAnsi="Times New Roman" w:cs="Times New Roman"/>
          <w:noProof/>
          <w:sz w:val="24"/>
          <w:szCs w:val="24"/>
        </w:rPr>
        <w:t xml:space="preserve"> In 2019, </w:t>
      </w:r>
      <w:r>
        <w:rPr>
          <w:rFonts w:ascii="Times New Roman" w:hAnsi="Times New Roman" w:cs="Times New Roman"/>
          <w:noProof/>
          <w:sz w:val="24"/>
          <w:szCs w:val="24"/>
        </w:rPr>
        <w:t>19,589 people (including 8 480 women) were registered in vocational courses, of whom 8,714 unemployed from the employment offices. In total, 13,570 people were certified during this period.</w:t>
      </w:r>
    </w:p>
    <w:p w:rsidR="00EE1719" w:rsidRDefault="000E39BA">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new Agency f</w:t>
      </w:r>
      <w:r>
        <w:rPr>
          <w:rFonts w:ascii="Times New Roman" w:hAnsi="Times New Roman" w:cs="Times New Roman"/>
          <w:noProof/>
          <w:sz w:val="24"/>
          <w:szCs w:val="24"/>
        </w:rPr>
        <w:t>or Quality Assurance in Pre-University Education was established in 2019 to strengthen quality performance. It is responsible for development of the school curriculum in line with the competence-based approach, in-service teacher training policy, and monit</w:t>
      </w:r>
      <w:r>
        <w:rPr>
          <w:rFonts w:ascii="Times New Roman" w:hAnsi="Times New Roman" w:cs="Times New Roman"/>
          <w:noProof/>
          <w:sz w:val="24"/>
          <w:szCs w:val="24"/>
        </w:rPr>
        <w:t xml:space="preserve">oring of performance in pre-university education. As a result of piloting and implementing a competency-based curriculum system, the Agency conducted an external evaluation of the new curriculum. </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Although very low overall, the enrolment rates of Roma peop</w:t>
      </w:r>
      <w:r>
        <w:rPr>
          <w:rFonts w:ascii="Times New Roman" w:eastAsia="Times New Roman" w:hAnsi="Times New Roman" w:cs="Times New Roman"/>
          <w:noProof/>
          <w:sz w:val="24"/>
          <w:szCs w:val="24"/>
        </w:rPr>
        <w:t>le and Egyptians increased from the previous academic year in both pre-university (+6 %) and early childhood education and care. Their access to higher education also improved, by 13.8% in the 2018/2019 academic year. Nevertheless, the gap in access to edu</w:t>
      </w:r>
      <w:r>
        <w:rPr>
          <w:rFonts w:ascii="Times New Roman" w:eastAsia="Times New Roman" w:hAnsi="Times New Roman" w:cs="Times New Roman"/>
          <w:noProof/>
          <w:sz w:val="24"/>
          <w:szCs w:val="24"/>
        </w:rPr>
        <w:t xml:space="preserve">cation between Roma/Egyptian children and the rest of children living in the same areas remains very large. The measures planned to facilitate access to universities (a quota system and university fee waivers) are in general not implemented. </w:t>
      </w:r>
    </w:p>
    <w:p w:rsidR="00EE1719" w:rsidRDefault="000E39BA">
      <w:pPr>
        <w:autoSpaceDE w:val="0"/>
        <w:autoSpaceDN w:val="0"/>
        <w:adjustRightInd w:val="0"/>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Under the cur</w:t>
      </w:r>
      <w:r>
        <w:rPr>
          <w:rFonts w:ascii="Times New Roman" w:eastAsia="Times New Roman" w:hAnsi="Times New Roman" w:cs="Times New Roman"/>
          <w:noProof/>
          <w:sz w:val="24"/>
          <w:szCs w:val="24"/>
        </w:rPr>
        <w:t>riculum reform, in-service teachers received basic training before the introduction of a new curriculum for each grade. However, the new competence-based approach requires pedagogical skills that current teachers did not acquire at university, as well as f</w:t>
      </w:r>
      <w:r>
        <w:rPr>
          <w:rFonts w:ascii="Times New Roman" w:eastAsia="Times New Roman" w:hAnsi="Times New Roman" w:cs="Times New Roman"/>
          <w:noProof/>
          <w:sz w:val="24"/>
          <w:szCs w:val="24"/>
        </w:rPr>
        <w:t xml:space="preserve">urther training, adequate ongoing mentoring, and support. Such support should be arranged in order to ensure effective and meaningful implementation of the reform, help </w:t>
      </w:r>
      <w:r>
        <w:rPr>
          <w:rFonts w:ascii="Times New Roman" w:hAnsi="Times New Roman" w:cs="Times New Roman"/>
          <w:noProof/>
          <w:sz w:val="24"/>
          <w:szCs w:val="24"/>
        </w:rPr>
        <w:t>teachers make the shift from memorization type of learning and teacher-centred learning</w:t>
      </w:r>
      <w:r>
        <w:rPr>
          <w:rFonts w:ascii="Times New Roman" w:hAnsi="Times New Roman" w:cs="Times New Roman"/>
          <w:noProof/>
          <w:sz w:val="24"/>
          <w:szCs w:val="24"/>
        </w:rPr>
        <w:t xml:space="preserve"> to the child-centred approach and embrace the concept of formative assessment</w:t>
      </w:r>
      <w:r>
        <w:rPr>
          <w:rFonts w:ascii="Times New Roman" w:eastAsia="Times New Roman" w:hAnsi="Times New Roman" w:cs="Times New Roman"/>
          <w:noProof/>
          <w:sz w:val="24"/>
          <w:szCs w:val="24"/>
        </w:rPr>
        <w:t>. The review of the content and structure of curricula for initial teacher training in higher education institutions has started but the study programmes have not yet been aligne</w:t>
      </w:r>
      <w:r>
        <w:rPr>
          <w:rFonts w:ascii="Times New Roman" w:eastAsia="Times New Roman" w:hAnsi="Times New Roman" w:cs="Times New Roman"/>
          <w:noProof/>
          <w:sz w:val="24"/>
          <w:szCs w:val="24"/>
        </w:rPr>
        <w:t xml:space="preserve">d with the curricula in pre-university education. In addition, </w:t>
      </w:r>
      <w:r>
        <w:rPr>
          <w:rFonts w:ascii="Times New Roman" w:hAnsi="Times New Roman" w:cs="Times New Roman"/>
          <w:noProof/>
          <w:sz w:val="24"/>
          <w:szCs w:val="24"/>
        </w:rPr>
        <w:t>teachers and principals are trained at least 3 days a year and the trainings are conducted according to the "on-demand" system, based on the needs of teachers and offers from accredited trainin</w:t>
      </w:r>
      <w:r>
        <w:rPr>
          <w:rFonts w:ascii="Times New Roman" w:hAnsi="Times New Roman" w:cs="Times New Roman"/>
          <w:noProof/>
          <w:sz w:val="24"/>
          <w:szCs w:val="24"/>
        </w:rPr>
        <w:t xml:space="preserve">g agencies. </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However, this is not sufficient to ensure a consistent upscale of pedagogical skills, especially those related to the implementation of the competence-based approach and overall skills in the thematic areas of competence of teachers and direct</w:t>
      </w:r>
      <w:r>
        <w:rPr>
          <w:rFonts w:ascii="Times New Roman" w:hAnsi="Times New Roman" w:cs="Times New Roman"/>
          <w:noProof/>
          <w:sz w:val="24"/>
          <w:szCs w:val="24"/>
        </w:rPr>
        <w:t>ors. The school interruption occurred toward the end of 2019 due to the tragic earthquake in central Albania and during the first quarter of 2020 to the COVID-19 pandemic outbreak, clearly highlighted the shortcomings and the challenges in the provision of</w:t>
      </w:r>
      <w:r>
        <w:rPr>
          <w:rFonts w:ascii="Times New Roman" w:hAnsi="Times New Roman" w:cs="Times New Roman"/>
          <w:noProof/>
          <w:sz w:val="24"/>
          <w:szCs w:val="24"/>
        </w:rPr>
        <w:t xml:space="preserve"> distance learning at all levels of education. </w:t>
      </w:r>
      <w:r>
        <w:rPr>
          <w:rFonts w:ascii="Times New Roman" w:eastAsia="Times New Roman" w:hAnsi="Times New Roman" w:cs="Times New Roman"/>
          <w:noProof/>
          <w:sz w:val="24"/>
          <w:szCs w:val="24"/>
        </w:rPr>
        <w:t xml:space="preserve">Due to financial resource and capacity constraints, the quality of education remains an issue across the country. </w:t>
      </w:r>
      <w:r>
        <w:rPr>
          <w:rFonts w:ascii="Times New Roman" w:hAnsi="Times New Roman" w:cs="Times New Roman"/>
          <w:noProof/>
          <w:w w:val="105"/>
          <w:sz w:val="24"/>
          <w:szCs w:val="24"/>
        </w:rPr>
        <w:t>Inclusive pre-university provision is particularly inadequate in rural</w:t>
      </w:r>
      <w:r>
        <w:rPr>
          <w:rFonts w:ascii="Times New Roman" w:eastAsia="Times New Roman" w:hAnsi="Times New Roman" w:cs="Times New Roman"/>
          <w:noProof/>
          <w:sz w:val="24"/>
          <w:szCs w:val="24"/>
        </w:rPr>
        <w:t xml:space="preserve"> and isolated areas </w:t>
      </w:r>
      <w:r>
        <w:rPr>
          <w:rFonts w:ascii="Times New Roman" w:hAnsi="Times New Roman" w:cs="Times New Roman"/>
          <w:noProof/>
          <w:w w:val="105"/>
          <w:sz w:val="24"/>
          <w:szCs w:val="24"/>
        </w:rPr>
        <w:t>where</w:t>
      </w:r>
      <w:r>
        <w:rPr>
          <w:rFonts w:ascii="Times New Roman" w:hAnsi="Times New Roman" w:cs="Times New Roman"/>
          <w:noProof/>
          <w:w w:val="105"/>
          <w:sz w:val="24"/>
          <w:szCs w:val="24"/>
        </w:rPr>
        <w:t xml:space="preserve"> school premises, often in poor conditions, are used for both early childhood education and care and primary education, and it is difficult to attract qualified teachers. </w:t>
      </w:r>
      <w:r>
        <w:rPr>
          <w:rFonts w:ascii="Times New Roman" w:eastAsia="Times New Roman" w:hAnsi="Times New Roman" w:cs="Times New Roman"/>
          <w:noProof/>
          <w:sz w:val="24"/>
          <w:szCs w:val="24"/>
        </w:rPr>
        <w:t>In general, the education budget should be increased and used more transparently, inc</w:t>
      </w:r>
      <w:r>
        <w:rPr>
          <w:rFonts w:ascii="Times New Roman" w:eastAsia="Times New Roman" w:hAnsi="Times New Roman" w:cs="Times New Roman"/>
          <w:noProof/>
          <w:sz w:val="24"/>
          <w:szCs w:val="24"/>
        </w:rPr>
        <w:t>luding for private higher-education institutions.</w:t>
      </w:r>
    </w:p>
    <w:p w:rsidR="00EE1719" w:rsidRDefault="000E39BA">
      <w:pPr>
        <w:shd w:val="clear" w:color="auto" w:fill="FFFFFF"/>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revised Qualification Framework Law, adopted in 2018, was complemented by secondary legislation on establishing sectoral skills committees. Albania is currently preparing its referencing to the European</w:t>
      </w:r>
      <w:r>
        <w:rPr>
          <w:rFonts w:ascii="Times New Roman" w:eastAsia="Calibri" w:hAnsi="Times New Roman" w:cs="Times New Roman"/>
          <w:noProof/>
          <w:sz w:val="24"/>
          <w:szCs w:val="24"/>
        </w:rPr>
        <w:t xml:space="preserve"> Qualification Framework, expected to take place in 2021. Validation of non-formal and informal learning is one of the priority measures in the national strategy for employment and skills 2014-22 and provided for in both the VET and AQF laws. Implementatio</w:t>
      </w:r>
      <w:r>
        <w:rPr>
          <w:rFonts w:ascii="Times New Roman" w:eastAsia="Calibri" w:hAnsi="Times New Roman" w:cs="Times New Roman"/>
          <w:noProof/>
          <w:sz w:val="24"/>
          <w:szCs w:val="24"/>
        </w:rPr>
        <w:t>n so far has been confined to pilots and has not yet been applied countrywide.</w:t>
      </w:r>
    </w:p>
    <w:p w:rsidR="00EE1719" w:rsidRDefault="000E39BA">
      <w:pPr>
        <w:shd w:val="clear" w:color="auto" w:fill="FFFFFF"/>
        <w:spacing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 xml:space="preserve">Despite some progress in 2019, </w:t>
      </w:r>
      <w:r>
        <w:rPr>
          <w:rFonts w:ascii="Times New Roman" w:eastAsia="Times New Roman" w:hAnsi="Times New Roman" w:cs="Times New Roman"/>
          <w:noProof/>
          <w:sz w:val="24"/>
          <w:szCs w:val="24"/>
        </w:rPr>
        <w:t>the implementing legislation of the 2017 VET Law is not yet fully adopted. Qualification standards and framework curricula for most VET programmes</w:t>
      </w:r>
      <w:r>
        <w:rPr>
          <w:rFonts w:ascii="Times New Roman" w:eastAsia="Times New Roman" w:hAnsi="Times New Roman" w:cs="Times New Roman"/>
          <w:noProof/>
          <w:sz w:val="24"/>
          <w:szCs w:val="24"/>
        </w:rPr>
        <w:t xml:space="preserve"> are being modernised, but some schools lack the teaching skills and equipment to put them into practice. The government has recently rationalised VET institutions, by establishing of the National Agency for Employment and Skills and further restructuring </w:t>
      </w:r>
      <w:r>
        <w:rPr>
          <w:rFonts w:ascii="Times New Roman" w:eastAsia="Times New Roman" w:hAnsi="Times New Roman" w:cs="Times New Roman"/>
          <w:noProof/>
          <w:sz w:val="24"/>
          <w:szCs w:val="24"/>
        </w:rPr>
        <w:t>the National Agency for VET and Qualifications. However, implementation challenges persist and much remains to be done before these important modernisation efforts have a positive impact on the labour market. Qualification standards and framework curricula</w:t>
      </w:r>
      <w:r>
        <w:rPr>
          <w:rFonts w:ascii="Times New Roman" w:eastAsia="Times New Roman" w:hAnsi="Times New Roman" w:cs="Times New Roman"/>
          <w:noProof/>
          <w:sz w:val="24"/>
          <w:szCs w:val="24"/>
        </w:rPr>
        <w:t xml:space="preserve"> for most VET programmes are being modernised, even though some Albanian schools lack the teaching skills and adequate equipment to put them into practice. </w:t>
      </w:r>
      <w:r>
        <w:rPr>
          <w:rFonts w:ascii="Times New Roman" w:hAnsi="Times New Roman" w:cs="Times New Roman"/>
          <w:noProof/>
          <w:sz w:val="24"/>
          <w:szCs w:val="24"/>
        </w:rPr>
        <w:t xml:space="preserve">Despite promotional activities and support to students from rural areas in following VET education, </w:t>
      </w:r>
      <w:r>
        <w:rPr>
          <w:rFonts w:ascii="Times New Roman" w:hAnsi="Times New Roman" w:cs="Times New Roman"/>
          <w:noProof/>
          <w:sz w:val="24"/>
          <w:szCs w:val="24"/>
        </w:rPr>
        <w:t>participation in VET is low in regional comparison with only 18.2% of upper secondary students enrolled in vocational schools in 2019.</w:t>
      </w:r>
    </w:p>
    <w:p w:rsidR="00EE1719" w:rsidRDefault="000E39BA">
      <w:pPr>
        <w:shd w:val="clear" w:color="auto" w:fill="FFFFFF"/>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Despite demonstrated faster transition into employment for VET graduates as well as promotion efforts, the enrolment into</w:t>
      </w:r>
      <w:r>
        <w:rPr>
          <w:rFonts w:ascii="Times New Roman" w:eastAsia="Times New Roman" w:hAnsi="Times New Roman" w:cs="Times New Roman"/>
          <w:noProof/>
          <w:sz w:val="24"/>
          <w:szCs w:val="24"/>
        </w:rPr>
        <w:t xml:space="preserve"> this learning path is not increasing. Teacher professionalization, curricula design, VET centre management, inclusion and quality assurance all need to be significantly strengthened so that learner’s aspirations and labour demands are properly addressed.</w:t>
      </w:r>
      <w:r>
        <w:rPr>
          <w:rFonts w:ascii="Times New Roman" w:hAnsi="Times New Roman" w:cs="Times New Roman"/>
          <w:noProof/>
          <w:sz w:val="24"/>
          <w:szCs w:val="24"/>
        </w:rPr>
        <w:t xml:space="preserve"> </w:t>
      </w:r>
      <w:r>
        <w:rPr>
          <w:rFonts w:ascii="Times New Roman" w:hAnsi="Times New Roman" w:cs="Times New Roman"/>
          <w:noProof/>
          <w:sz w:val="24"/>
          <w:szCs w:val="24"/>
        </w:rPr>
        <w:t>Albania is an active member of the European Alliance for Apprenticeships (EAfA) which aims to strengthen the quality, supply and image of apprenticeship in Europe, and more recently the mobility of apprentices.</w:t>
      </w:r>
      <w:r>
        <w:rPr>
          <w:rFonts w:ascii="Times New Roman" w:eastAsia="Times New Roman" w:hAnsi="Times New Roman" w:cs="Times New Roman"/>
          <w:noProof/>
          <w:sz w:val="24"/>
          <w:szCs w:val="24"/>
        </w:rPr>
        <w:t xml:space="preserve"> The country is committed to implement and mon</w:t>
      </w:r>
      <w:r>
        <w:rPr>
          <w:rFonts w:ascii="Times New Roman" w:eastAsia="Times New Roman" w:hAnsi="Times New Roman" w:cs="Times New Roman"/>
          <w:noProof/>
          <w:sz w:val="24"/>
          <w:szCs w:val="24"/>
        </w:rPr>
        <w:t>itor the 2015 Riga Conclusions on Vocational Education and Training. Although the</w:t>
      </w:r>
      <w:r>
        <w:rPr>
          <w:rFonts w:ascii="Times New Roman" w:hAnsi="Times New Roman" w:cs="Times New Roman"/>
          <w:noProof/>
          <w:sz w:val="24"/>
          <w:szCs w:val="24"/>
        </w:rPr>
        <w:t xml:space="preserve"> number of VET students with disabilities rose recently, more efforts are needed to ensure inclusion of populations at risk of exclusion. </w:t>
      </w:r>
    </w:p>
    <w:p w:rsidR="00EE1719" w:rsidRDefault="000E39BA">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A working group was established to d</w:t>
      </w:r>
      <w:r>
        <w:rPr>
          <w:rFonts w:ascii="Times New Roman" w:eastAsia="Times New Roman" w:hAnsi="Times New Roman" w:cs="Times New Roman"/>
          <w:noProof/>
          <w:sz w:val="24"/>
          <w:szCs w:val="24"/>
        </w:rPr>
        <w:t xml:space="preserve">raft a strategy on education </w:t>
      </w:r>
      <w:r>
        <w:rPr>
          <w:rFonts w:ascii="Times New Roman" w:hAnsi="Times New Roman" w:cs="Times New Roman"/>
          <w:noProof/>
          <w:sz w:val="24"/>
          <w:szCs w:val="24"/>
        </w:rPr>
        <w:t xml:space="preserve">from early childhood to higher education for the coming years and the first draft should be ready by the first quarter of 2021. </w:t>
      </w:r>
    </w:p>
    <w:p w:rsidR="00EE1719" w:rsidRDefault="000E39BA">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Albania maintained its efforts on </w:t>
      </w:r>
      <w:r>
        <w:rPr>
          <w:rFonts w:ascii="Times New Roman" w:hAnsi="Times New Roman" w:cs="Times New Roman"/>
          <w:noProof/>
          <w:sz w:val="24"/>
          <w:szCs w:val="24"/>
        </w:rPr>
        <w:t>automatic diploma recognition; it joined Bosnia and Herzegovina,</w:t>
      </w:r>
      <w:r>
        <w:rPr>
          <w:rFonts w:ascii="Times New Roman" w:hAnsi="Times New Roman" w:cs="Times New Roman"/>
          <w:noProof/>
          <w:sz w:val="24"/>
          <w:szCs w:val="24"/>
        </w:rPr>
        <w:t xml:space="preserve"> Croatia, Italy and North Macedonia in the network of Adriatic national information centres on the recognition of qualifications. The country will host the Secretariat of the Bologna Process from the end of 2020 until the following ministerial conference. </w:t>
      </w:r>
      <w:r>
        <w:rPr>
          <w:rFonts w:ascii="Times New Roman" w:eastAsia="Times New Roman" w:hAnsi="Times New Roman" w:cs="Times New Roman"/>
          <w:noProof/>
          <w:sz w:val="24"/>
          <w:szCs w:val="24"/>
        </w:rPr>
        <w:t xml:space="preserve">Albania continued to participate actively in EU programmes, in particular Erasmus+ , with very good results in 2019, </w:t>
      </w:r>
      <w:r>
        <w:rPr>
          <w:rFonts w:ascii="Times New Roman" w:hAnsi="Times New Roman" w:cs="Times New Roman"/>
          <w:noProof/>
          <w:sz w:val="24"/>
          <w:szCs w:val="24"/>
        </w:rPr>
        <w:t>especially in terms of mobility (6,067 students, as against 4,028 in 2018) and capacity building in higher education projects, where five A</w:t>
      </w:r>
      <w:r>
        <w:rPr>
          <w:rFonts w:ascii="Times New Roman" w:hAnsi="Times New Roman" w:cs="Times New Roman"/>
          <w:noProof/>
          <w:sz w:val="24"/>
          <w:szCs w:val="24"/>
        </w:rPr>
        <w:t xml:space="preserve">lbanian higher education institutions were selected as lead project coordinators. </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results of Albania’s 2018 participation in the OECD Programme for International Student Assessment (PISA) were published in December 2019. Despite steady improvement ove</w:t>
      </w:r>
      <w:r>
        <w:rPr>
          <w:rFonts w:ascii="Times New Roman" w:eastAsia="Times New Roman" w:hAnsi="Times New Roman" w:cs="Times New Roman"/>
          <w:noProof/>
          <w:sz w:val="24"/>
          <w:szCs w:val="24"/>
        </w:rPr>
        <w:t xml:space="preserve">r the previous four testing rounds (2000, 2009, 2012 and 2015), Albania continued to perform poorly in 2018: </w:t>
      </w:r>
      <w:r>
        <w:rPr>
          <w:rFonts w:ascii="Times New Roman" w:hAnsi="Times New Roman" w:cs="Times New Roman"/>
          <w:noProof/>
          <w:sz w:val="24"/>
          <w:szCs w:val="24"/>
        </w:rPr>
        <w:t>50.3 % of 15-year olds underperformed at PISA levels I or II in reading and 53.3 % in mathematics.</w:t>
      </w:r>
      <w:r>
        <w:rPr>
          <w:rFonts w:ascii="Times New Roman" w:eastAsia="Times New Roman" w:hAnsi="Times New Roman" w:cs="Times New Roman"/>
          <w:bCs/>
          <w:noProof/>
          <w:sz w:val="24"/>
          <w:szCs w:val="24"/>
        </w:rPr>
        <w:t xml:space="preserve"> </w:t>
      </w:r>
      <w:r>
        <w:rPr>
          <w:rFonts w:ascii="Times New Roman" w:eastAsia="Times New Roman" w:hAnsi="Times New Roman" w:cs="Times New Roman"/>
          <w:noProof/>
          <w:sz w:val="24"/>
          <w:szCs w:val="24"/>
        </w:rPr>
        <w:t>Preparations are ongoing for Albania’s participa</w:t>
      </w:r>
      <w:r>
        <w:rPr>
          <w:rFonts w:ascii="Times New Roman" w:eastAsia="Times New Roman" w:hAnsi="Times New Roman" w:cs="Times New Roman"/>
          <w:noProof/>
          <w:sz w:val="24"/>
          <w:szCs w:val="24"/>
        </w:rPr>
        <w:t xml:space="preserve">tion in PISA 2021. The country participates in the trends in international mathematics and science study (TIMSS) 2019 and progress in international reading literacy study 2021 international assessments (PIRLS). </w:t>
      </w:r>
    </w:p>
    <w:p w:rsidR="00EE1719" w:rsidRDefault="000E39BA">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Regarding the </w:t>
      </w:r>
      <w:r>
        <w:rPr>
          <w:rFonts w:ascii="Times New Roman" w:eastAsia="Times New Roman" w:hAnsi="Times New Roman" w:cs="Times New Roman"/>
          <w:b/>
          <w:noProof/>
          <w:sz w:val="24"/>
          <w:szCs w:val="24"/>
        </w:rPr>
        <w:t xml:space="preserve">culture </w:t>
      </w:r>
      <w:r>
        <w:rPr>
          <w:rFonts w:ascii="Times New Roman" w:eastAsia="Times New Roman" w:hAnsi="Times New Roman" w:cs="Times New Roman"/>
          <w:noProof/>
          <w:sz w:val="24"/>
          <w:szCs w:val="24"/>
        </w:rPr>
        <w:t xml:space="preserve">sector, the national </w:t>
      </w:r>
      <w:r>
        <w:rPr>
          <w:rFonts w:ascii="Times New Roman" w:eastAsia="Times New Roman" w:hAnsi="Times New Roman" w:cs="Times New Roman"/>
          <w:noProof/>
          <w:sz w:val="24"/>
          <w:szCs w:val="24"/>
        </w:rPr>
        <w:t>strategy for</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culture for 2019-2025 was adopted in December 2019.  A law on cultural heritage and museums was adopted in May 2018, but the implementing legislation needed  is not yet fully in place. The demolition of the National Theatre in May 2020 came at</w:t>
      </w:r>
      <w:r>
        <w:rPr>
          <w:rFonts w:ascii="Times New Roman" w:eastAsia="Times New Roman" w:hAnsi="Times New Roman" w:cs="Times New Roman"/>
          <w:noProof/>
          <w:sz w:val="24"/>
          <w:szCs w:val="24"/>
        </w:rPr>
        <w:t xml:space="preserve"> a moment when the European Union had consistently called for dialogue between authorities, civil society and other stakeholders, before an irreversible decision was taken. </w:t>
      </w:r>
      <w:r>
        <w:rPr>
          <w:rFonts w:ascii="Times New Roman" w:hAnsi="Times New Roman" w:cs="Times New Roman"/>
          <w:noProof/>
          <w:sz w:val="24"/>
          <w:szCs w:val="24"/>
        </w:rPr>
        <w:t>Albania is invited to respect and exploit fully the potential of its existing cultu</w:t>
      </w:r>
      <w:r>
        <w:rPr>
          <w:rFonts w:ascii="Times New Roman" w:hAnsi="Times New Roman" w:cs="Times New Roman"/>
          <w:noProof/>
          <w:sz w:val="24"/>
          <w:szCs w:val="24"/>
        </w:rPr>
        <w:t>ral heritage. Albania needs to continue to cooperate with UNESCO on the management of its World heritage sites and progress in elaborating the integrated management plans for its sites following a participatory approach. Cross-border cooperation on the pre</w:t>
      </w:r>
      <w:r>
        <w:rPr>
          <w:rFonts w:ascii="Times New Roman" w:hAnsi="Times New Roman" w:cs="Times New Roman"/>
          <w:noProof/>
          <w:sz w:val="24"/>
          <w:szCs w:val="24"/>
        </w:rPr>
        <w:t xml:space="preserve">servation of Ohrid with the authorities of North Macedonia should be encouraged. </w:t>
      </w:r>
      <w:r>
        <w:rPr>
          <w:rFonts w:ascii="Times New Roman" w:eastAsia="Times New Roman" w:hAnsi="Times New Roman" w:cs="Times New Roman"/>
          <w:noProof/>
          <w:sz w:val="24"/>
          <w:szCs w:val="24"/>
        </w:rPr>
        <w:t xml:space="preserve"> </w:t>
      </w:r>
    </w:p>
    <w:p w:rsidR="00EE1719" w:rsidRDefault="000E39BA">
      <w:pPr>
        <w:suppressAutoHyphens/>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line with the 2017 Law on the protection of national minorities, the government adopted in 2019 two implementing laws on </w:t>
      </w:r>
      <w:r>
        <w:rPr>
          <w:rFonts w:ascii="Times New Roman" w:eastAsia="Courier New" w:hAnsi="Times New Roman" w:cs="Times New Roman"/>
          <w:noProof/>
          <w:kern w:val="2"/>
          <w:sz w:val="24"/>
          <w:szCs w:val="24"/>
        </w:rPr>
        <w:t>the participation of national minorities in publi</w:t>
      </w:r>
      <w:r>
        <w:rPr>
          <w:rFonts w:ascii="Times New Roman" w:eastAsia="Courier New" w:hAnsi="Times New Roman" w:cs="Times New Roman"/>
          <w:noProof/>
          <w:kern w:val="2"/>
          <w:sz w:val="24"/>
          <w:szCs w:val="24"/>
        </w:rPr>
        <w:t>c, cultural, social and economic life and on the conditions for national minorities to use fundamental elements of minority identity, including their language</w:t>
      </w:r>
      <w:r>
        <w:rPr>
          <w:rFonts w:ascii="Times New Roman" w:eastAsia="Times New Roman" w:hAnsi="Times New Roman" w:cs="Times New Roman"/>
          <w:noProof/>
          <w:sz w:val="24"/>
          <w:szCs w:val="24"/>
        </w:rPr>
        <w:t>.</w:t>
      </w:r>
    </w:p>
    <w:p w:rsidR="00EE1719" w:rsidRDefault="000E39BA">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Albania continued to participate in the EU Creative Europe programme. </w:t>
      </w:r>
      <w:r>
        <w:rPr>
          <w:rFonts w:ascii="Times New Roman" w:eastAsia="Calibri" w:hAnsi="Times New Roman" w:cs="Times New Roman"/>
          <w:noProof/>
          <w:sz w:val="24"/>
          <w:szCs w:val="24"/>
        </w:rPr>
        <w:t>In 2019, Albania benefited</w:t>
      </w:r>
      <w:r>
        <w:rPr>
          <w:rFonts w:ascii="Times New Roman" w:eastAsia="Calibri" w:hAnsi="Times New Roman" w:cs="Times New Roman"/>
          <w:noProof/>
          <w:sz w:val="24"/>
          <w:szCs w:val="24"/>
        </w:rPr>
        <w:t xml:space="preserve"> of three  projects under this programme, and during the reporting period the Ministry organised two information sessions about the programme.</w:t>
      </w:r>
      <w:r>
        <w:rPr>
          <w:rFonts w:ascii="Times New Roman" w:hAnsi="Times New Roman" w:cs="Times New Roman"/>
          <w:noProof/>
          <w:sz w:val="24"/>
          <w:szCs w:val="24"/>
        </w:rPr>
        <w:t xml:space="preserve"> Albania has better success rates projects under the Culture strand of Creative Europe (and particularly with Lite</w:t>
      </w:r>
      <w:r>
        <w:rPr>
          <w:rFonts w:ascii="Times New Roman" w:hAnsi="Times New Roman" w:cs="Times New Roman"/>
          <w:noProof/>
          <w:sz w:val="24"/>
          <w:szCs w:val="24"/>
        </w:rPr>
        <w:t xml:space="preserve">rary Translations) but could improve participation in the MEDIA strand. In the new mobility action, i-Portunus, 4 artists from Albania were funded. </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Law on </w:t>
      </w:r>
      <w:r>
        <w:rPr>
          <w:rFonts w:ascii="Times New Roman" w:eastAsia="Times New Roman" w:hAnsi="Times New Roman" w:cs="Times New Roman"/>
          <w:b/>
          <w:noProof/>
          <w:sz w:val="24"/>
          <w:szCs w:val="24"/>
        </w:rPr>
        <w:t>youth</w:t>
      </w:r>
      <w:r>
        <w:rPr>
          <w:rFonts w:ascii="Times New Roman" w:eastAsia="Times New Roman" w:hAnsi="Times New Roman" w:cs="Times New Roman"/>
          <w:noProof/>
          <w:sz w:val="24"/>
          <w:szCs w:val="24"/>
        </w:rPr>
        <w:t xml:space="preserve"> (adopted on 4 October 2019), is expected to enhance the role of youth organisations in dec</w:t>
      </w:r>
      <w:r>
        <w:rPr>
          <w:rFonts w:ascii="Times New Roman" w:eastAsia="Times New Roman" w:hAnsi="Times New Roman" w:cs="Times New Roman"/>
          <w:noProof/>
          <w:sz w:val="24"/>
          <w:szCs w:val="24"/>
        </w:rPr>
        <w:t xml:space="preserve">ision-making and ensure the efficiency of state institutions working on issues affecting young people. The criteria for national youth representative organisations to be recognised by the </w:t>
      </w:r>
      <w:r>
        <w:rPr>
          <w:rFonts w:ascii="Times New Roman" w:hAnsi="Times New Roman" w:cs="Times New Roman"/>
          <w:noProof/>
          <w:sz w:val="24"/>
          <w:szCs w:val="24"/>
        </w:rPr>
        <w:t>institution</w:t>
      </w:r>
      <w:r>
        <w:rPr>
          <w:rFonts w:ascii="Times New Roman" w:eastAsia="Times New Roman" w:hAnsi="Times New Roman" w:cs="Times New Roman"/>
          <w:noProof/>
          <w:sz w:val="24"/>
          <w:szCs w:val="24"/>
        </w:rPr>
        <w:t xml:space="preserve"> responsible for youth have to be approved by decision of</w:t>
      </w:r>
      <w:r>
        <w:rPr>
          <w:rFonts w:ascii="Times New Roman" w:eastAsia="Times New Roman" w:hAnsi="Times New Roman" w:cs="Times New Roman"/>
          <w:noProof/>
          <w:sz w:val="24"/>
          <w:szCs w:val="24"/>
        </w:rPr>
        <w:t xml:space="preserve"> the Council of Ministers. Youth organisations expressed concerns about the new Law, especially the representativity of the structures to be put in place. Three youth centres were established in 2018 in Lac, Lushnja and Elbasan, but no further steps were t</w:t>
      </w:r>
      <w:r>
        <w:rPr>
          <w:rFonts w:ascii="Times New Roman" w:eastAsia="Times New Roman" w:hAnsi="Times New Roman" w:cs="Times New Roman"/>
          <w:noProof/>
          <w:sz w:val="24"/>
          <w:szCs w:val="24"/>
        </w:rPr>
        <w:t>aken during 2019 to establish the remaining youth centres. Regional youth centres</w:t>
      </w:r>
      <w:r>
        <w:rPr>
          <w:rFonts w:ascii="Times New Roman" w:hAnsi="Times New Roman" w:cs="Times New Roman"/>
          <w:b/>
          <w:noProof/>
          <w:sz w:val="24"/>
          <w:szCs w:val="24"/>
        </w:rPr>
        <w:t xml:space="preserve"> </w:t>
      </w:r>
      <w:r>
        <w:rPr>
          <w:rFonts w:ascii="Times New Roman" w:hAnsi="Times New Roman" w:cs="Times New Roman"/>
          <w:noProof/>
          <w:sz w:val="24"/>
          <w:szCs w:val="24"/>
        </w:rPr>
        <w:t>should provide</w:t>
      </w:r>
      <w:r>
        <w:rPr>
          <w:rFonts w:ascii="Times New Roman" w:eastAsia="Times New Roman" w:hAnsi="Times New Roman" w:cs="Times New Roman"/>
          <w:noProof/>
          <w:sz w:val="24"/>
          <w:szCs w:val="24"/>
        </w:rPr>
        <w:t xml:space="preserve"> young people with services and develop cultural, social and sporting activities in line with policies and programmes approved by the Ministry, but the Law on y</w:t>
      </w:r>
      <w:r>
        <w:rPr>
          <w:rFonts w:ascii="Times New Roman" w:eastAsia="Times New Roman" w:hAnsi="Times New Roman" w:cs="Times New Roman"/>
          <w:noProof/>
          <w:sz w:val="24"/>
          <w:szCs w:val="24"/>
        </w:rPr>
        <w:t xml:space="preserve">outh makes no provisions for such structures. </w:t>
      </w:r>
    </w:p>
    <w:p w:rsidR="00EE1719" w:rsidRDefault="000E39BA">
      <w:pPr>
        <w:spacing w:after="120" w:line="240" w:lineRule="auto"/>
        <w:jc w:val="both"/>
        <w:rPr>
          <w:rFonts w:ascii="Times New Roman" w:eastAsia="Arial Unicode MS" w:hAnsi="Times New Roman" w:cs="Times New Roman"/>
          <w:noProof/>
          <w:sz w:val="24"/>
          <w:szCs w:val="24"/>
          <w:bdr w:val="none" w:sz="0" w:space="0" w:color="auto" w:frame="1"/>
        </w:rPr>
      </w:pPr>
      <w:r>
        <w:rPr>
          <w:rFonts w:ascii="Times New Roman" w:eastAsia="Times New Roman" w:hAnsi="Times New Roman" w:cs="Times New Roman"/>
          <w:noProof/>
          <w:sz w:val="24"/>
          <w:szCs w:val="24"/>
        </w:rPr>
        <w:t>The Regional Youth Cooperation Office (RYCO) has its headquarters in Tirana and continues to be active in the region. Good level of participation of Albania was noted in 2019 in the three first calls of RYCO w</w:t>
      </w:r>
      <w:r>
        <w:rPr>
          <w:rFonts w:ascii="Times New Roman" w:eastAsia="Times New Roman" w:hAnsi="Times New Roman" w:cs="Times New Roman"/>
          <w:noProof/>
          <w:sz w:val="24"/>
          <w:szCs w:val="24"/>
        </w:rPr>
        <w:t>ith seven projects selected from Albania.</w:t>
      </w:r>
      <w:r>
        <w:rPr>
          <w:rFonts w:ascii="Times New Roman" w:eastAsia="Arial Unicode MS" w:hAnsi="Times New Roman" w:cs="Times New Roman"/>
          <w:noProof/>
          <w:sz w:val="24"/>
          <w:szCs w:val="24"/>
          <w:bdr w:val="none" w:sz="0" w:space="0" w:color="auto" w:frame="1"/>
        </w:rPr>
        <w:t xml:space="preserve">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made considerable progress on comprehensive sexeducation. A thorough curriculum reform including the evaluation of teaching and materials is underway, with a target date of 2020 for full implementation. </w:t>
      </w:r>
      <w:r>
        <w:rPr>
          <w:rFonts w:ascii="Times New Roman" w:eastAsia="Times New Roman" w:hAnsi="Times New Roman" w:cs="Times New Roman"/>
          <w:noProof/>
          <w:sz w:val="24"/>
          <w:szCs w:val="24"/>
        </w:rPr>
        <w:t xml:space="preserve">However, there are no specific strategies to reach young people who do not attend school. </w:t>
      </w:r>
    </w:p>
    <w:p w:rsidR="00EE1719" w:rsidRDefault="000E39BA">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actively joined the fifth edition of European Week of Sport (23-30 September 2019), under the framework of the Commission’s initiative </w:t>
      </w:r>
      <w:r>
        <w:rPr>
          <w:rFonts w:ascii="Times New Roman" w:hAnsi="Times New Roman" w:cs="Times New Roman"/>
          <w:i/>
          <w:iCs/>
          <w:noProof/>
          <w:sz w:val="24"/>
          <w:szCs w:val="24"/>
        </w:rPr>
        <w:t>European Week of Sport</w:t>
      </w:r>
      <w:r>
        <w:rPr>
          <w:rFonts w:ascii="Times New Roman" w:hAnsi="Times New Roman" w:cs="Times New Roman"/>
          <w:i/>
          <w:iCs/>
          <w:noProof/>
          <w:sz w:val="24"/>
          <w:szCs w:val="24"/>
        </w:rPr>
        <w:t xml:space="preserve"> beyond Borders</w:t>
      </w:r>
      <w:r>
        <w:rPr>
          <w:rFonts w:ascii="Times New Roman" w:hAnsi="Times New Roman" w:cs="Times New Roman"/>
          <w:noProof/>
          <w:sz w:val="24"/>
          <w:szCs w:val="24"/>
        </w:rPr>
        <w:t>. Sport and healthy lifestyle activities were organised across the country.</w:t>
      </w:r>
    </w:p>
    <w:p w:rsidR="00EE1719" w:rsidRDefault="000E39BA">
      <w:pPr>
        <w:pStyle w:val="Heading2"/>
      </w:pPr>
      <w:bookmarkStart w:id="207" w:name="_Toc29803535"/>
      <w:bookmarkStart w:id="208" w:name="_Toc9430035"/>
      <w:bookmarkStart w:id="209" w:name="_Toc9331943"/>
      <w:bookmarkStart w:id="210" w:name="_Toc9328511"/>
      <w:bookmarkStart w:id="211" w:name="_Toc530733595"/>
      <w:bookmarkStart w:id="212" w:name="_Toc52745538"/>
      <w:bookmarkEnd w:id="206"/>
      <w:r>
        <w:rPr>
          <w:rStyle w:val="Heading2Char"/>
          <w:rFonts w:eastAsiaTheme="minorEastAsia"/>
        </w:rPr>
        <w:t>5.27</w:t>
      </w:r>
      <w:r>
        <w:t xml:space="preserve">. </w:t>
      </w:r>
      <w:r>
        <w:tab/>
        <w:t>Chapter 27: Environment and climate change</w:t>
      </w:r>
      <w:bookmarkEnd w:id="207"/>
      <w:bookmarkEnd w:id="208"/>
      <w:bookmarkEnd w:id="209"/>
      <w:bookmarkEnd w:id="210"/>
      <w:bookmarkEnd w:id="211"/>
      <w:bookmarkEnd w:id="212"/>
    </w:p>
    <w:p w:rsidR="00EE1719" w:rsidRDefault="000E39BA">
      <w:pPr>
        <w:keepNext/>
        <w:autoSpaceDE w:val="0"/>
        <w:autoSpaceDN w:val="0"/>
        <w:adjustRightInd w:val="0"/>
        <w:spacing w:after="120" w:line="240" w:lineRule="auto"/>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The EU promotes strong climate action, sustainable development and protection of the environment. EU law contains p</w:t>
      </w:r>
      <w:r>
        <w:rPr>
          <w:rFonts w:ascii="Times New Roman" w:eastAsia="Times New Roman" w:hAnsi="Times New Roman" w:cs="Times New Roman"/>
          <w:i/>
          <w:iCs/>
          <w:noProof/>
          <w:sz w:val="24"/>
          <w:szCs w:val="24"/>
        </w:rPr>
        <w:t>rovisions addressing climate change, water and air quality, waste management, nature protection, industrial pollution, chemicals, noise and civil protection.</w:t>
      </w:r>
    </w:p>
    <w:p w:rsidR="00EE1719" w:rsidRDefault="000E39B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 xml:space="preserve">Albania shows </w:t>
      </w:r>
      <w:r>
        <w:rPr>
          <w:rFonts w:ascii="Times New Roman" w:eastAsia="Calibri" w:hAnsi="Times New Roman" w:cs="Times New Roman"/>
          <w:b/>
          <w:bCs/>
          <w:noProof/>
          <w:sz w:val="24"/>
          <w:szCs w:val="24"/>
        </w:rPr>
        <w:t xml:space="preserve">some level of preparation </w:t>
      </w:r>
      <w:r>
        <w:rPr>
          <w:rFonts w:ascii="Times New Roman" w:eastAsia="Calibri" w:hAnsi="Times New Roman" w:cs="Times New Roman"/>
          <w:bCs/>
          <w:noProof/>
          <w:sz w:val="24"/>
          <w:szCs w:val="24"/>
        </w:rPr>
        <w:t>in this area</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Limited progress</w:t>
      </w:r>
      <w:r>
        <w:rPr>
          <w:rFonts w:ascii="Times New Roman" w:eastAsia="Calibri" w:hAnsi="Times New Roman" w:cs="Times New Roman"/>
          <w:noProof/>
          <w:sz w:val="24"/>
          <w:szCs w:val="24"/>
        </w:rPr>
        <w:t xml:space="preserve"> was made in further alignin</w:t>
      </w:r>
      <w:r>
        <w:rPr>
          <w:rFonts w:ascii="Times New Roman" w:eastAsia="Calibri" w:hAnsi="Times New Roman" w:cs="Times New Roman"/>
          <w:noProof/>
          <w:sz w:val="24"/>
          <w:szCs w:val="24"/>
        </w:rPr>
        <w:t xml:space="preserve">g the policies and legislation with the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in areas such as waste and water management, environmental crime and civil protection. However, significant efforts are still needed on implementation and enforcement, especially on waste management, water an</w:t>
      </w:r>
      <w:r>
        <w:rPr>
          <w:rFonts w:ascii="Times New Roman" w:eastAsia="Calibri" w:hAnsi="Times New Roman" w:cs="Times New Roman"/>
          <w:noProof/>
          <w:sz w:val="24"/>
          <w:szCs w:val="24"/>
        </w:rPr>
        <w:t xml:space="preserve">d air quality and climate change. </w:t>
      </w:r>
    </w:p>
    <w:p w:rsidR="00EE1719" w:rsidRDefault="000E39B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2019 recommendations remain valid and in</w:t>
      </w:r>
      <w:r>
        <w:rPr>
          <w:rFonts w:ascii="Times New Roman" w:eastAsia="Calibri" w:hAnsi="Times New Roman" w:cs="Times New Roman"/>
          <w:iCs/>
          <w:noProof/>
          <w:sz w:val="24"/>
          <w:szCs w:val="24"/>
        </w:rPr>
        <w:t xml:space="preserve"> the coming year, Albania should in particular:</w:t>
      </w:r>
    </w:p>
    <w:p w:rsidR="00EE1719" w:rsidRDefault="000E39BA">
      <w:pPr>
        <w:numPr>
          <w:ilvl w:val="0"/>
          <w:numId w:val="98"/>
        </w:numPr>
        <w:pBdr>
          <w:top w:val="single" w:sz="4" w:space="1" w:color="auto"/>
          <w:left w:val="single" w:sz="4" w:space="4" w:color="auto"/>
          <w:bottom w:val="single" w:sz="4" w:space="1" w:color="auto"/>
          <w:right w:val="single" w:sz="4" w:space="4" w:color="auto"/>
        </w:pBdr>
        <w:shd w:val="clear" w:color="auto" w:fill="D9D9D9"/>
        <w:tabs>
          <w:tab w:val="clear" w:pos="720"/>
          <w:tab w:val="num" w:pos="426"/>
        </w:tabs>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align further with key water directives, and accelerate capacity development of the national agencies for Water Resource </w:t>
      </w:r>
      <w:r>
        <w:rPr>
          <w:rFonts w:ascii="Times New Roman" w:eastAsia="Calibri" w:hAnsi="Times New Roman" w:cs="Times New Roman"/>
          <w:noProof/>
          <w:sz w:val="24"/>
          <w:szCs w:val="24"/>
        </w:rPr>
        <w:t>Management and for Water Supply, Sewerage and Waste;</w:t>
      </w:r>
    </w:p>
    <w:p w:rsidR="00EE1719" w:rsidRDefault="000E39BA">
      <w:pPr>
        <w:numPr>
          <w:ilvl w:val="0"/>
          <w:numId w:val="98"/>
        </w:numPr>
        <w:pBdr>
          <w:top w:val="single" w:sz="4" w:space="1" w:color="auto"/>
          <w:left w:val="single" w:sz="4" w:space="4" w:color="auto"/>
          <w:bottom w:val="single" w:sz="4" w:space="1" w:color="auto"/>
          <w:right w:val="single" w:sz="4" w:space="4" w:color="auto"/>
        </w:pBdr>
        <w:shd w:val="clear" w:color="auto" w:fill="D9D9D9"/>
        <w:tabs>
          <w:tab w:val="left" w:pos="426"/>
        </w:tabs>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take immediate measures to review and </w:t>
      </w:r>
      <w:r>
        <w:rPr>
          <w:rFonts w:ascii="Times New Roman" w:eastAsia="Calibri" w:hAnsi="Times New Roman" w:cs="Times New Roman"/>
          <w:bCs/>
          <w:noProof/>
          <w:sz w:val="24"/>
          <w:szCs w:val="24"/>
        </w:rPr>
        <w:t>improve environmental and strategic impact assessments on existing and planned projects, plans and programmes, especially in the hydropower, construction, tourism an</w:t>
      </w:r>
      <w:r>
        <w:rPr>
          <w:rFonts w:ascii="Times New Roman" w:eastAsia="Calibri" w:hAnsi="Times New Roman" w:cs="Times New Roman"/>
          <w:bCs/>
          <w:noProof/>
          <w:sz w:val="24"/>
          <w:szCs w:val="24"/>
        </w:rPr>
        <w:t>d mining sectors</w:t>
      </w:r>
      <w:r>
        <w:rPr>
          <w:rFonts w:ascii="Times New Roman" w:eastAsia="Calibri" w:hAnsi="Times New Roman" w:cs="Times New Roman"/>
          <w:noProof/>
          <w:sz w:val="24"/>
          <w:szCs w:val="24"/>
        </w:rPr>
        <w:t>;</w:t>
      </w:r>
    </w:p>
    <w:p w:rsidR="00EE1719" w:rsidRDefault="000E39BA">
      <w:pPr>
        <w:numPr>
          <w:ilvl w:val="0"/>
          <w:numId w:val="98"/>
        </w:numPr>
        <w:pBdr>
          <w:top w:val="single" w:sz="4" w:space="1" w:color="auto"/>
          <w:left w:val="single" w:sz="4" w:space="4" w:color="auto"/>
          <w:bottom w:val="single" w:sz="4" w:space="1" w:color="auto"/>
          <w:right w:val="single" w:sz="4" w:space="4" w:color="auto"/>
        </w:pBdr>
        <w:shd w:val="clear" w:color="auto" w:fill="D9D9D9"/>
        <w:tabs>
          <w:tab w:val="left" w:pos="426"/>
        </w:tabs>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 xml:space="preserve">implement the  </w:t>
      </w:r>
      <w:r>
        <w:rPr>
          <w:rFonts w:ascii="Times New Roman" w:eastAsia="Times New Roman" w:hAnsi="Times New Roman" w:cs="Times New Roman"/>
          <w:noProof/>
          <w:sz w:val="24"/>
          <w:szCs w:val="24"/>
        </w:rPr>
        <w:t>national strategy on climate change and related action plans on mitigation and adaptation, adopt the relevant legislation and develop its integrated National Energy and Climate Plan in line with Energy Community obligations</w:t>
      </w:r>
      <w:r>
        <w:rPr>
          <w:rFonts w:ascii="Times New Roman" w:eastAsia="Calibri" w:hAnsi="Times New Roman" w:cs="Times New Roman"/>
          <w:bCs/>
          <w:noProof/>
          <w:sz w:val="24"/>
          <w:szCs w:val="24"/>
        </w:rPr>
        <w:t>.</w:t>
      </w:r>
    </w:p>
    <w:p w:rsidR="00EE1719" w:rsidRDefault="000E39BA">
      <w:pPr>
        <w:spacing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Environment</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w:t>
      </w:r>
      <w:r>
        <w:rPr>
          <w:rFonts w:ascii="Times New Roman" w:eastAsia="Calibri" w:hAnsi="Times New Roman" w:cs="Times New Roman"/>
          <w:b/>
          <w:noProof/>
          <w:sz w:val="24"/>
          <w:szCs w:val="24"/>
        </w:rPr>
        <w:t>horizontal issues</w:t>
      </w:r>
      <w:r>
        <w:rPr>
          <w:rFonts w:ascii="Times New Roman" w:eastAsia="Calibri" w:hAnsi="Times New Roman" w:cs="Times New Roman"/>
          <w:bCs/>
          <w:noProof/>
          <w:sz w:val="24"/>
          <w:szCs w:val="24"/>
        </w:rPr>
        <w:t xml:space="preserve">, Albania needs to step up efforts to achieve full alignment and implementation in most areas. Its implementation of the </w:t>
      </w:r>
      <w:r>
        <w:rPr>
          <w:rFonts w:ascii="Times New Roman" w:eastAsia="Calibri" w:hAnsi="Times New Roman" w:cs="Times New Roman"/>
          <w:noProof/>
          <w:sz w:val="24"/>
          <w:szCs w:val="24"/>
        </w:rPr>
        <w:t>Environmental Impact Assessment and Strategic Environmental Assessment Directives needs to be</w:t>
      </w:r>
      <w:r>
        <w:rPr>
          <w:rFonts w:ascii="Times New Roman" w:eastAsia="Calibri" w:hAnsi="Times New Roman" w:cs="Times New Roman"/>
          <w:noProof/>
          <w:sz w:val="24"/>
          <w:szCs w:val="24"/>
        </w:rPr>
        <w:t xml:space="preserve"> strengthened, especially in the energy and mining sectors. In decision-making, public participation and consultation needs to be improved, particularly at local level. In July 2019 Albania adopted a Law amending the Penal Code fully transposing the Direct</w:t>
      </w:r>
      <w:r>
        <w:rPr>
          <w:rFonts w:ascii="Times New Roman" w:eastAsia="Calibri" w:hAnsi="Times New Roman" w:cs="Times New Roman"/>
          <w:noProof/>
          <w:sz w:val="24"/>
          <w:szCs w:val="24"/>
        </w:rPr>
        <w:t>ive on protection of the environment through criminal law. However, implementation remains an issue as only a small fraction of those crimes reported end with conviction. Some efforts were made to further implement the INSPIRE Directive. Further progress i</w:t>
      </w:r>
      <w:r>
        <w:rPr>
          <w:rFonts w:ascii="Times New Roman" w:eastAsia="Calibri" w:hAnsi="Times New Roman" w:cs="Times New Roman"/>
          <w:noProof/>
          <w:sz w:val="24"/>
          <w:szCs w:val="24"/>
        </w:rPr>
        <w:t>s needed to achieve full alignment with the directive on environmental liability. Between January and October the State Environmental Inspectorate carried out over 3,300 environmental inspections. After the earthquake in November 2019 and during the COVID-</w:t>
      </w:r>
      <w:r>
        <w:rPr>
          <w:rFonts w:ascii="Times New Roman" w:eastAsia="Calibri" w:hAnsi="Times New Roman" w:cs="Times New Roman"/>
          <w:noProof/>
          <w:sz w:val="24"/>
          <w:szCs w:val="24"/>
        </w:rPr>
        <w:t xml:space="preserve">19 pandemic in spring 2020, inspections were suspended. The Inspectorate is currently being reorganised in line with a July 2019 Council of Ministers decision, according to which the National Environment Agency received responsibilities for the inspection </w:t>
      </w:r>
      <w:r>
        <w:rPr>
          <w:rFonts w:ascii="Times New Roman" w:eastAsia="Calibri" w:hAnsi="Times New Roman" w:cs="Times New Roman"/>
          <w:noProof/>
          <w:sz w:val="24"/>
          <w:szCs w:val="24"/>
        </w:rPr>
        <w:t>and control in the environment and the water sector. The Ministry of Interior was apparently also granted competence in this field in early 2020. Responsibilities for environmental enforcement should be clarified and enforcement itself should be rapidly st</w:t>
      </w:r>
      <w:r>
        <w:rPr>
          <w:rFonts w:ascii="Times New Roman" w:eastAsia="Calibri" w:hAnsi="Times New Roman" w:cs="Times New Roman"/>
          <w:noProof/>
          <w:sz w:val="24"/>
          <w:szCs w:val="24"/>
        </w:rPr>
        <w:t>rengthened, especially to address environmental crimes effectively. The already limited State budget for environment and climate change was further reduced in 2019. It needs to increase to meet all requirements of transposed EU directives.</w:t>
      </w:r>
    </w:p>
    <w:p w:rsidR="00EE1719" w:rsidRDefault="000E39BA">
      <w:pPr>
        <w:spacing w:after="120" w:line="240" w:lineRule="auto"/>
        <w:jc w:val="both"/>
        <w:rPr>
          <w:rFonts w:ascii="Times New Roman" w:eastAsia="Calibri" w:hAnsi="Times New Roman" w:cs="Times New Roman"/>
          <w:b/>
          <w:bCs/>
          <w:noProof/>
          <w:sz w:val="24"/>
          <w:szCs w:val="24"/>
        </w:rPr>
      </w:pPr>
      <w:r>
        <w:rPr>
          <w:rFonts w:ascii="Times New Roman" w:eastAsia="Times New Roman" w:hAnsi="Times New Roman" w:cs="Times New Roman"/>
          <w:noProof/>
          <w:sz w:val="24"/>
          <w:szCs w:val="24"/>
        </w:rPr>
        <w:t>More efforts are</w:t>
      </w:r>
      <w:r>
        <w:rPr>
          <w:rFonts w:ascii="Times New Roman" w:eastAsia="Times New Roman" w:hAnsi="Times New Roman" w:cs="Times New Roman"/>
          <w:noProof/>
          <w:sz w:val="24"/>
          <w:szCs w:val="24"/>
        </w:rPr>
        <w:t xml:space="preserve"> needed to align with the </w:t>
      </w:r>
      <w:r>
        <w:rPr>
          <w:rFonts w:ascii="Times New Roman" w:eastAsia="Times New Roman" w:hAnsi="Times New Roman" w:cs="Times New Roman"/>
          <w:b/>
          <w:noProof/>
          <w:sz w:val="24"/>
          <w:szCs w:val="24"/>
        </w:rPr>
        <w:t>air quality</w:t>
      </w:r>
      <w:r>
        <w:rPr>
          <w:rFonts w:ascii="Times New Roman" w:eastAsia="Times New Roman" w:hAnsi="Times New Roman" w:cs="Times New Roman"/>
          <w:noProof/>
          <w:sz w:val="24"/>
          <w:szCs w:val="24"/>
        </w:rPr>
        <w:t xml:space="preserve">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and improve the monitoring system. Implementation of the 2014 national air quality strategy is still pending. The national plan on air quality management adopted in June 2019 mostly focuses on transport measures</w:t>
      </w:r>
      <w:r>
        <w:rPr>
          <w:rFonts w:ascii="Times New Roman" w:eastAsia="Times New Roman" w:hAnsi="Times New Roman" w:cs="Times New Roman"/>
          <w:noProof/>
          <w:sz w:val="24"/>
          <w:szCs w:val="24"/>
        </w:rPr>
        <w:t xml:space="preserve"> and does not provide for improving the monitoring system and making it fully and continuously functional. Currently, due to a lack of funding, air monitoring equipment is not being maintained and calibrated, and all stations have been turned off. </w:t>
      </w:r>
      <w:r>
        <w:rPr>
          <w:rFonts w:ascii="Times New Roman" w:eastAsia="Calibri" w:hAnsi="Times New Roman" w:cs="Times New Roman"/>
          <w:noProof/>
          <w:sz w:val="24"/>
          <w:szCs w:val="24"/>
        </w:rPr>
        <w:t>Informat</w:t>
      </w:r>
      <w:r>
        <w:rPr>
          <w:rFonts w:ascii="Times New Roman" w:eastAsia="Calibri" w:hAnsi="Times New Roman" w:cs="Times New Roman"/>
          <w:noProof/>
          <w:sz w:val="24"/>
          <w:szCs w:val="24"/>
        </w:rPr>
        <w:t xml:space="preserve">ion on ambient air quality and pollution levels is limited, infrequently updated and difficult for the public to access. Work on the preparation of air quality plans for the main agglomerations and sensitive areas is yet to start. </w:t>
      </w:r>
      <w:r>
        <w:rPr>
          <w:rFonts w:ascii="Times New Roman" w:eastAsia="Times New Roman" w:hAnsi="Times New Roman" w:cs="Times New Roman"/>
          <w:noProof/>
          <w:sz w:val="24"/>
          <w:szCs w:val="24"/>
        </w:rPr>
        <w:t xml:space="preserve"> </w:t>
      </w:r>
      <w:r>
        <w:rPr>
          <w:rFonts w:ascii="Times New Roman" w:eastAsia="Calibri" w:hAnsi="Times New Roman" w:cs="Times New Roman"/>
          <w:noProof/>
          <w:sz w:val="24"/>
          <w:szCs w:val="24"/>
        </w:rPr>
        <w:t xml:space="preserve">Albania has put efforts </w:t>
      </w:r>
      <w:r>
        <w:rPr>
          <w:rFonts w:ascii="Times New Roman" w:eastAsia="Calibri" w:hAnsi="Times New Roman" w:cs="Times New Roman"/>
          <w:noProof/>
          <w:sz w:val="24"/>
          <w:szCs w:val="24"/>
        </w:rPr>
        <w:t xml:space="preserve">into building its administrative capacities to prepare and submit emission inventories as requested by the UNECE Convention on Long-range Transboundary Air Pollution. The alignment with the National Emissions Ceiling Directive has also not started. </w:t>
      </w:r>
    </w:p>
    <w:p w:rsidR="00EE1719" w:rsidRDefault="000E39BA">
      <w:pPr>
        <w:spacing w:after="120" w:line="240" w:lineRule="auto"/>
        <w:jc w:val="both"/>
        <w:rPr>
          <w:rFonts w:ascii="Times New Roman" w:eastAsia="Times New Roman" w:hAnsi="Times New Roman" w:cs="Times New Roman"/>
          <w:b/>
          <w:noProof/>
          <w:sz w:val="24"/>
          <w:szCs w:val="24"/>
        </w:rPr>
      </w:pPr>
      <w:r>
        <w:rPr>
          <w:rFonts w:ascii="Times New Roman" w:eastAsia="Calibri" w:hAnsi="Times New Roman" w:cs="Times New Roman"/>
          <w:noProof/>
          <w:sz w:val="24"/>
          <w:szCs w:val="24"/>
        </w:rPr>
        <w:t xml:space="preserve">The legal framework for </w:t>
      </w:r>
      <w:r>
        <w:rPr>
          <w:rFonts w:ascii="Times New Roman" w:eastAsia="Calibri" w:hAnsi="Times New Roman" w:cs="Times New Roman"/>
          <w:b/>
          <w:noProof/>
          <w:sz w:val="24"/>
          <w:szCs w:val="24"/>
        </w:rPr>
        <w:t xml:space="preserve">waste management </w:t>
      </w:r>
      <w:r>
        <w:rPr>
          <w:rFonts w:ascii="Times New Roman" w:eastAsia="Calibri" w:hAnsi="Times New Roman" w:cs="Times New Roman"/>
          <w:noProof/>
          <w:sz w:val="24"/>
          <w:szCs w:val="24"/>
        </w:rPr>
        <w:t xml:space="preserve">is partially aligned. The new 2020-2035 national strategy for integrated waste management has been approved on 27 May 2020. It aims incorporating circular economy principles in the national waste management system. </w:t>
      </w:r>
      <w:r>
        <w:rPr>
          <w:rFonts w:ascii="Times New Roman" w:eastAsia="Calibri" w:hAnsi="Times New Roman" w:cs="Times New Roman"/>
          <w:noProof/>
          <w:sz w:val="24"/>
          <w:szCs w:val="24"/>
        </w:rPr>
        <w:t xml:space="preserve">Closing of numerous </w:t>
      </w:r>
      <w:r>
        <w:rPr>
          <w:rFonts w:ascii="Times New Roman" w:eastAsia="Times New Roman" w:hAnsi="Times New Roman" w:cs="Times New Roman"/>
          <w:noProof/>
          <w:sz w:val="24"/>
          <w:szCs w:val="24"/>
          <w:lang w:eastAsia="it-IT"/>
        </w:rPr>
        <w:t>non-compliant landfills and dumpsites remains a challenge. Separate collection of waste streams and e</w:t>
      </w:r>
      <w:r>
        <w:rPr>
          <w:rFonts w:ascii="Times New Roman" w:eastAsia="Calibri" w:hAnsi="Times New Roman" w:cs="Times New Roman"/>
          <w:noProof/>
          <w:sz w:val="24"/>
          <w:szCs w:val="24"/>
        </w:rPr>
        <w:t>conomic instruments to promote recycling and reuse and to prevent waste generation</w:t>
      </w:r>
      <w:r>
        <w:rPr>
          <w:rFonts w:ascii="Times New Roman" w:eastAsia="Times New Roman" w:hAnsi="Times New Roman" w:cs="Times New Roman"/>
          <w:noProof/>
          <w:sz w:val="24"/>
          <w:szCs w:val="24"/>
          <w:lang w:eastAsia="it-IT"/>
        </w:rPr>
        <w:t xml:space="preserve"> remain limited</w:t>
      </w:r>
      <w:r>
        <w:rPr>
          <w:rFonts w:ascii="Times New Roman" w:eastAsia="Calibri" w:hAnsi="Times New Roman" w:cs="Times New Roman"/>
          <w:noProof/>
          <w:sz w:val="24"/>
          <w:szCs w:val="24"/>
        </w:rPr>
        <w:t>. The construction of new incinerators</w:t>
      </w:r>
      <w:r>
        <w:rPr>
          <w:rFonts w:ascii="Times New Roman" w:eastAsia="Calibri" w:hAnsi="Times New Roman" w:cs="Times New Roman"/>
          <w:noProof/>
          <w:sz w:val="24"/>
          <w:szCs w:val="24"/>
        </w:rPr>
        <w:t xml:space="preserve"> poses concerns in terms of compliance with the EU waste acquis including the waste hierarchy principle and the recycling targets</w:t>
      </w:r>
      <w:r>
        <w:rPr>
          <w:rFonts w:ascii="Times New Roman" w:eastAsia="Times New Roman" w:hAnsi="Times New Roman" w:cs="Times New Roman"/>
          <w:noProof/>
          <w:sz w:val="24"/>
          <w:szCs w:val="24"/>
        </w:rPr>
        <w:t xml:space="preserve">. </w:t>
      </w:r>
      <w:r>
        <w:rPr>
          <w:rFonts w:ascii="Times New Roman" w:eastAsia="Calibri" w:hAnsi="Times New Roman" w:cs="Times New Roman"/>
          <w:noProof/>
          <w:sz w:val="24"/>
          <w:szCs w:val="24"/>
        </w:rPr>
        <w:t>The enforcement and policing institutions roles and function should be clarified and strengthened.</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water quality</w:t>
      </w:r>
      <w:r>
        <w:rPr>
          <w:rFonts w:ascii="Times New Roman" w:eastAsia="Calibri" w:hAnsi="Times New Roman" w:cs="Times New Roman"/>
          <w:noProof/>
          <w:sz w:val="24"/>
          <w:szCs w:val="24"/>
        </w:rPr>
        <w:t>, the leve</w:t>
      </w:r>
      <w:r>
        <w:rPr>
          <w:rFonts w:ascii="Times New Roman" w:eastAsia="Calibri" w:hAnsi="Times New Roman" w:cs="Times New Roman"/>
          <w:noProof/>
          <w:sz w:val="24"/>
          <w:szCs w:val="24"/>
        </w:rPr>
        <w:t>l of alignment remains unchanged and partial, inter alia in relation to certain important directives. A legal package is in preparation for increasing transposition. Having been set up in 2018 under the Prime Minister’s Office, the Water Resource Managemen</w:t>
      </w:r>
      <w:r>
        <w:rPr>
          <w:rFonts w:ascii="Times New Roman" w:eastAsia="Calibri" w:hAnsi="Times New Roman" w:cs="Times New Roman"/>
          <w:noProof/>
          <w:sz w:val="24"/>
          <w:szCs w:val="24"/>
        </w:rPr>
        <w:t xml:space="preserve">t Agency (AMBU) recruited staff in 2019, but needs rapidly to build its administrative capacities for river basin management and implementing the EU water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In February 2020, the National Water Council endorsed the Drini-Buna and Seman river basin ma</w:t>
      </w:r>
      <w:r>
        <w:rPr>
          <w:rFonts w:ascii="Times New Roman" w:eastAsia="Calibri" w:hAnsi="Times New Roman" w:cs="Times New Roman"/>
          <w:noProof/>
          <w:sz w:val="24"/>
          <w:szCs w:val="24"/>
        </w:rPr>
        <w:t>nagement plans and started the procedure for their adoption by the Council of Ministers. Albania should proceed with the completion and adoption of the remaining river basin management plans, including the transboundary consultations. The water quality mon</w:t>
      </w:r>
      <w:r>
        <w:rPr>
          <w:rFonts w:ascii="Times New Roman" w:eastAsia="Calibri" w:hAnsi="Times New Roman" w:cs="Times New Roman"/>
          <w:noProof/>
          <w:sz w:val="24"/>
          <w:szCs w:val="24"/>
        </w:rPr>
        <w:t xml:space="preserve">itoring and reporting system and the licensing system should be further enhanced and aligned with the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requirements. The water monitoring network is extended to rivers, lakes, coastal area and lagoons. The National Environmental Agency should be urge</w:t>
      </w:r>
      <w:r>
        <w:rPr>
          <w:rFonts w:ascii="Times New Roman" w:eastAsia="Calibri" w:hAnsi="Times New Roman" w:cs="Times New Roman"/>
          <w:noProof/>
          <w:sz w:val="24"/>
          <w:szCs w:val="24"/>
        </w:rPr>
        <w:t xml:space="preserve">ntly strengthened for this purpose. The water supply and sewerage sub-sector is still underperforming. Some progress was made through performance contracts signed with utilities, the regularisation of </w:t>
      </w:r>
      <w:r>
        <w:rPr>
          <w:rFonts w:ascii="Times New Roman" w:eastAsia="Times New Roman" w:hAnsi="Times New Roman" w:cs="Times New Roman"/>
          <w:noProof/>
          <w:sz w:val="24"/>
          <w:szCs w:val="24"/>
        </w:rPr>
        <w:t>illegal connections,</w:t>
      </w:r>
      <w:r>
        <w:rPr>
          <w:rFonts w:ascii="Times New Roman" w:eastAsia="Calibri" w:hAnsi="Times New Roman" w:cs="Times New Roman"/>
          <w:noProof/>
          <w:sz w:val="24"/>
          <w:szCs w:val="24"/>
        </w:rPr>
        <w:t xml:space="preserve"> a revised subsidy scheme, and the </w:t>
      </w:r>
      <w:r>
        <w:rPr>
          <w:rFonts w:ascii="Times New Roman" w:eastAsia="Calibri" w:hAnsi="Times New Roman" w:cs="Times New Roman"/>
          <w:noProof/>
          <w:sz w:val="24"/>
          <w:szCs w:val="24"/>
        </w:rPr>
        <w:t>adoption of a staff certification scheme. However, greater efforts are needed to strengthen the capacity, performance and sustainability of utilities. In order to consolidate progress, the draft Law on water supply and sewerage and the 2020-2030 national s</w:t>
      </w:r>
      <w:r>
        <w:rPr>
          <w:rFonts w:ascii="Times New Roman" w:eastAsia="Calibri" w:hAnsi="Times New Roman" w:cs="Times New Roman"/>
          <w:noProof/>
          <w:sz w:val="24"/>
          <w:szCs w:val="24"/>
        </w:rPr>
        <w:t>trategy for water supply and sewerage should be adopted. The National Agency for Water Supply, Sewerage and Waste Infrastructure should increase its capacity, especially in the waste-water and waste sectors. While waste-water treatment plants cater for onl</w:t>
      </w:r>
      <w:r>
        <w:rPr>
          <w:rFonts w:ascii="Times New Roman" w:eastAsia="Calibri" w:hAnsi="Times New Roman" w:cs="Times New Roman"/>
          <w:noProof/>
          <w:sz w:val="24"/>
          <w:szCs w:val="24"/>
        </w:rPr>
        <w:t>y about 15% of the population, they still face key concerns such as lack of licencing and tariffing for waste-water treatment, insufficient operation and maintenance and limited environment impact due to underdeveloped networks and connections. There is an</w:t>
      </w:r>
      <w:r>
        <w:rPr>
          <w:rFonts w:ascii="Times New Roman" w:eastAsia="Calibri" w:hAnsi="Times New Roman" w:cs="Times New Roman"/>
          <w:noProof/>
          <w:sz w:val="24"/>
          <w:szCs w:val="24"/>
        </w:rPr>
        <w:t xml:space="preserve"> urgent need to ensure full alignment with the Urban Wastewater Treatment Directive, extend sewerage networks, license and apply tariffs for all waste-water treatment plants and build new ones, in particular in urban and coastal areas and those popular wit</w:t>
      </w:r>
      <w:r>
        <w:rPr>
          <w:rFonts w:ascii="Times New Roman" w:eastAsia="Calibri" w:hAnsi="Times New Roman" w:cs="Times New Roman"/>
          <w:noProof/>
          <w:sz w:val="24"/>
          <w:szCs w:val="24"/>
        </w:rPr>
        <w:t xml:space="preserve">h tourists. </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Alignment with the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in the field of </w:t>
      </w:r>
      <w:r>
        <w:rPr>
          <w:rFonts w:ascii="Times New Roman" w:eastAsia="Calibri" w:hAnsi="Times New Roman" w:cs="Times New Roman"/>
          <w:b/>
          <w:noProof/>
          <w:sz w:val="24"/>
          <w:szCs w:val="24"/>
        </w:rPr>
        <w:t>nature protection</w:t>
      </w:r>
      <w:r>
        <w:rPr>
          <w:rFonts w:ascii="Times New Roman" w:eastAsia="Calibri" w:hAnsi="Times New Roman" w:cs="Times New Roman"/>
          <w:noProof/>
          <w:sz w:val="24"/>
          <w:szCs w:val="24"/>
        </w:rPr>
        <w:t>, in particular</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the Habitats and Birds Directives, is well advanced, but policy and law enforcement remain generally weak despite numerous capacity building activities and technical as</w:t>
      </w:r>
      <w:r>
        <w:rPr>
          <w:rFonts w:ascii="Times New Roman" w:eastAsia="Calibri" w:hAnsi="Times New Roman" w:cs="Times New Roman"/>
          <w:noProof/>
          <w:sz w:val="24"/>
          <w:szCs w:val="24"/>
        </w:rPr>
        <w:t>sistance. The Law on protected areas was amended in 2018 to put greater emphasis on the planning and development of such areas. The legislation on strategic investment raises concerns for the protection of biodiversity, as it may allow large tourism and in</w:t>
      </w:r>
      <w:r>
        <w:rPr>
          <w:rFonts w:ascii="Times New Roman" w:eastAsia="Calibri" w:hAnsi="Times New Roman" w:cs="Times New Roman"/>
          <w:noProof/>
          <w:sz w:val="24"/>
          <w:szCs w:val="24"/>
        </w:rPr>
        <w:t>dustrial investments in protected areas, e.g. the proposed airport in the Vjosa-Narta area. This conflicts with other national laws and with international biodiversity protection conventions that Albania has ratified. The National Protected Areas Agency st</w:t>
      </w:r>
      <w:r>
        <w:rPr>
          <w:rFonts w:ascii="Times New Roman" w:eastAsia="Calibri" w:hAnsi="Times New Roman" w:cs="Times New Roman"/>
          <w:noProof/>
          <w:sz w:val="24"/>
          <w:szCs w:val="24"/>
        </w:rPr>
        <w:t>ill has very limited capacities and financial instruments, as it is forbidden by law from becoming financially autonomous.</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Albania should ensure enforcement of the deforestation and logging laws, and prosecute offenders and arsonists. Environmental crime r</w:t>
      </w:r>
      <w:r>
        <w:rPr>
          <w:rFonts w:ascii="Times New Roman" w:eastAsia="Calibri" w:hAnsi="Times New Roman" w:cs="Times New Roman"/>
          <w:noProof/>
          <w:sz w:val="24"/>
          <w:szCs w:val="24"/>
        </w:rPr>
        <w:t>eports have increased in the last 6 months, especially on deforestation, logging, arson, hunting and sale of wildlife and protected species, gravel extraction from riverbeds, dumping of waste in rivers. Investments in hydropower should comply with national</w:t>
      </w:r>
      <w:r>
        <w:rPr>
          <w:rFonts w:ascii="Times New Roman" w:eastAsia="Calibri" w:hAnsi="Times New Roman" w:cs="Times New Roman"/>
          <w:noProof/>
          <w:sz w:val="24"/>
          <w:szCs w:val="24"/>
        </w:rPr>
        <w:t xml:space="preserve"> and international environmental, nature protection and water management obligations, involve proper public participation and consultation, and are subject of EIA reports that include high quality assessment on the cumulative impacts on nature and biodiver</w:t>
      </w:r>
      <w:r>
        <w:rPr>
          <w:rFonts w:ascii="Times New Roman" w:eastAsia="Calibri" w:hAnsi="Times New Roman" w:cs="Times New Roman"/>
          <w:noProof/>
          <w:sz w:val="24"/>
          <w:szCs w:val="24"/>
        </w:rPr>
        <w:t>sity. EIA reports are still lacking despite the high number of existing and planned hydropower installations in all river basins. They should be conducted before any approval may be granted for single projects. Inspection and monitoring of the environmenta</w:t>
      </w:r>
      <w:r>
        <w:rPr>
          <w:rFonts w:ascii="Times New Roman" w:eastAsia="Calibri" w:hAnsi="Times New Roman" w:cs="Times New Roman"/>
          <w:noProof/>
          <w:sz w:val="24"/>
          <w:szCs w:val="24"/>
        </w:rPr>
        <w:t>l flow from the current HPPs is still lacking.</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Alignment with the EU legislation on </w:t>
      </w:r>
      <w:r>
        <w:rPr>
          <w:rFonts w:ascii="Times New Roman" w:eastAsia="Times New Roman" w:hAnsi="Times New Roman" w:cs="Times New Roman"/>
          <w:b/>
          <w:noProof/>
          <w:sz w:val="24"/>
          <w:szCs w:val="24"/>
        </w:rPr>
        <w:t>industrial pollution and risk management</w:t>
      </w:r>
      <w:r>
        <w:rPr>
          <w:rFonts w:ascii="Times New Roman" w:eastAsia="Times New Roman" w:hAnsi="Times New Roman" w:cs="Times New Roman"/>
          <w:noProof/>
          <w:sz w:val="24"/>
          <w:szCs w:val="24"/>
        </w:rPr>
        <w:t xml:space="preserve"> is still at an early stage. Capacity constraints are hampering progress in implementing legislation on the prevention of major acci</w:t>
      </w:r>
      <w:r>
        <w:rPr>
          <w:rFonts w:ascii="Times New Roman" w:eastAsia="Times New Roman" w:hAnsi="Times New Roman" w:cs="Times New Roman"/>
          <w:noProof/>
          <w:sz w:val="24"/>
          <w:szCs w:val="24"/>
        </w:rPr>
        <w:t>dents involving dangerous chemicals. The limited data on industrial pollution rely on companies’ self-monitoring and declarations. The enforcement capacity of the Environment Inspectorate is very limited.</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chemicals</w:t>
      </w:r>
      <w:r>
        <w:rPr>
          <w:rFonts w:ascii="Times New Roman" w:eastAsia="Times New Roman" w:hAnsi="Times New Roman" w:cs="Times New Roman"/>
          <w:noProof/>
          <w:sz w:val="24"/>
          <w:szCs w:val="24"/>
        </w:rPr>
        <w:t>, some positive steps have been taken t</w:t>
      </w:r>
      <w:r>
        <w:rPr>
          <w:rFonts w:ascii="Times New Roman" w:eastAsia="Times New Roman" w:hAnsi="Times New Roman" w:cs="Times New Roman"/>
          <w:noProof/>
          <w:sz w:val="24"/>
          <w:szCs w:val="24"/>
        </w:rPr>
        <w:t>o align with the EU Regulation on the registration, evaluation, authorisation and restriction of chemicals (REACH) and with other instruments. However, the implementing legislation remains to be adopted and adequate administrative structures to be establis</w:t>
      </w:r>
      <w:r>
        <w:rPr>
          <w:rFonts w:ascii="Times New Roman" w:eastAsia="Times New Roman" w:hAnsi="Times New Roman" w:cs="Times New Roman"/>
          <w:noProof/>
          <w:sz w:val="24"/>
          <w:szCs w:val="24"/>
        </w:rPr>
        <w:t>hed. In February 2020 Albania ratified the Minamata Convention on mercury.</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should strengthen its administrative capacity for preparing strategic </w:t>
      </w:r>
      <w:r>
        <w:rPr>
          <w:rFonts w:ascii="Times New Roman" w:eastAsia="Times New Roman" w:hAnsi="Times New Roman" w:cs="Times New Roman"/>
          <w:b/>
          <w:noProof/>
          <w:sz w:val="24"/>
          <w:szCs w:val="24"/>
        </w:rPr>
        <w:t>noise</w:t>
      </w:r>
      <w:r>
        <w:rPr>
          <w:rFonts w:ascii="Times New Roman" w:eastAsia="Times New Roman" w:hAnsi="Times New Roman" w:cs="Times New Roman"/>
          <w:noProof/>
          <w:sz w:val="24"/>
          <w:szCs w:val="24"/>
        </w:rPr>
        <w:t xml:space="preserve"> maps and action plans.</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 </w:t>
      </w:r>
      <w:r>
        <w:rPr>
          <w:rFonts w:ascii="Times New Roman" w:eastAsia="Times New Roman" w:hAnsi="Times New Roman" w:cs="Times New Roman"/>
          <w:b/>
          <w:noProof/>
          <w:sz w:val="24"/>
          <w:szCs w:val="24"/>
        </w:rPr>
        <w:t>civil protection</w:t>
      </w:r>
      <w:r>
        <w:rPr>
          <w:rFonts w:ascii="Times New Roman" w:eastAsia="Times New Roman" w:hAnsi="Times New Roman" w:cs="Times New Roman"/>
          <w:noProof/>
          <w:sz w:val="24"/>
          <w:szCs w:val="24"/>
        </w:rPr>
        <w:t xml:space="preserve"> strategy is in place. The new Civil Protection Law approved in July 2019 provides for the General Directorate of Civil Emergencies to become the National Agency for Civil Protection (NACP). The </w:t>
      </w:r>
      <w:r>
        <w:rPr>
          <w:rFonts w:ascii="Times New Roman" w:eastAsia="Calibri" w:hAnsi="Times New Roman" w:cs="Times New Roman"/>
          <w:noProof/>
          <w:sz w:val="24"/>
          <w:szCs w:val="24"/>
        </w:rPr>
        <w:t xml:space="preserve">strategy </w:t>
      </w:r>
      <w:r>
        <w:rPr>
          <w:rFonts w:ascii="Times New Roman" w:eastAsia="Times New Roman" w:hAnsi="Times New Roman" w:cs="Times New Roman"/>
          <w:noProof/>
          <w:sz w:val="24"/>
          <w:szCs w:val="24"/>
        </w:rPr>
        <w:t>and national plan are outdated and do not take accou</w:t>
      </w:r>
      <w:r>
        <w:rPr>
          <w:rFonts w:ascii="Times New Roman" w:eastAsia="Times New Roman" w:hAnsi="Times New Roman" w:cs="Times New Roman"/>
          <w:noProof/>
          <w:sz w:val="24"/>
          <w:szCs w:val="24"/>
        </w:rPr>
        <w:t xml:space="preserve">nt of recent institutional and organisational changes. The administrative capacity, infrastructure and systems for early warning, prevention, preparedness and response are inadequate. The 2019 earthquakes highlighted the urgency of </w:t>
      </w:r>
      <w:r>
        <w:rPr>
          <w:rFonts w:ascii="Times New Roman" w:eastAsia="Calibri" w:hAnsi="Times New Roman" w:cs="Times New Roman"/>
          <w:noProof/>
          <w:sz w:val="24"/>
          <w:szCs w:val="24"/>
        </w:rPr>
        <w:t>building efficient civil</w:t>
      </w:r>
      <w:r>
        <w:rPr>
          <w:rFonts w:ascii="Times New Roman" w:eastAsia="Calibri" w:hAnsi="Times New Roman" w:cs="Times New Roman"/>
          <w:noProof/>
          <w:sz w:val="24"/>
          <w:szCs w:val="24"/>
        </w:rPr>
        <w:t xml:space="preserve"> protection and disaster risk reduction (DRR) systems,</w:t>
      </w:r>
      <w:r>
        <w:rPr>
          <w:rFonts w:ascii="Times New Roman" w:eastAsia="Times New Roman" w:hAnsi="Times New Roman" w:cs="Times New Roman"/>
          <w:noProof/>
          <w:sz w:val="24"/>
          <w:szCs w:val="24"/>
        </w:rPr>
        <w:t xml:space="preserve"> and mainstreaming DDR in key sectors</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The Covid-19 pandemic highlighted the need to strengthen the legal framework and institutional capacities as well as human and financial resources of civil protect</w:t>
      </w:r>
      <w:r>
        <w:rPr>
          <w:rFonts w:ascii="Times New Roman" w:hAnsi="Times New Roman" w:cs="Times New Roman"/>
          <w:noProof/>
          <w:sz w:val="24"/>
          <w:szCs w:val="24"/>
        </w:rPr>
        <w:t>ion authorities also with regard to health emergencies. Albania is encouraged to accelerate preparations for joining the Union Civil Protection Mechanism (UCPM).</w:t>
      </w:r>
      <w:r>
        <w:rPr>
          <w:rFonts w:ascii="Times New Roman" w:eastAsia="Times New Roman" w:hAnsi="Times New Roman" w:cs="Times New Roman"/>
          <w:noProof/>
          <w:sz w:val="24"/>
          <w:szCs w:val="24"/>
        </w:rPr>
        <w:t xml:space="preserve"> It should build institutional capacity and seek to establish</w:t>
      </w:r>
      <w:r>
        <w:rPr>
          <w:rFonts w:ascii="Times New Roman" w:eastAsia="Calibri" w:hAnsi="Times New Roman" w:cs="Times New Roman"/>
          <w:noProof/>
          <w:sz w:val="24"/>
          <w:szCs w:val="24"/>
        </w:rPr>
        <w:t xml:space="preserve"> secure trans-European services fo</w:t>
      </w:r>
      <w:r>
        <w:rPr>
          <w:rFonts w:ascii="Times New Roman" w:eastAsia="Calibri" w:hAnsi="Times New Roman" w:cs="Times New Roman"/>
          <w:noProof/>
          <w:sz w:val="24"/>
          <w:szCs w:val="24"/>
        </w:rPr>
        <w:t xml:space="preserve">r telematics between administrations (STESTA), which is a pre-condition for connecting to </w:t>
      </w:r>
      <w:r>
        <w:rPr>
          <w:rFonts w:ascii="Times New Roman" w:eastAsia="Times New Roman" w:hAnsi="Times New Roman" w:cs="Times New Roman"/>
          <w:noProof/>
          <w:sz w:val="24"/>
          <w:szCs w:val="24"/>
        </w:rPr>
        <w:t>the Common Emergency Communication and Information System (</w:t>
      </w:r>
      <w:r>
        <w:rPr>
          <w:rFonts w:ascii="Times New Roman" w:eastAsia="Calibri" w:hAnsi="Times New Roman" w:cs="Times New Roman"/>
          <w:noProof/>
          <w:sz w:val="24"/>
          <w:szCs w:val="24"/>
        </w:rPr>
        <w:t xml:space="preserve">CECIS). The NACP </w:t>
      </w:r>
      <w:r>
        <w:rPr>
          <w:rFonts w:ascii="Times New Roman" w:eastAsia="Times New Roman" w:hAnsi="Times New Roman" w:cs="Times New Roman"/>
          <w:noProof/>
          <w:sz w:val="24"/>
          <w:szCs w:val="24"/>
        </w:rPr>
        <w:t xml:space="preserve">should be provided </w:t>
      </w:r>
      <w:r>
        <w:rPr>
          <w:rFonts w:ascii="Times New Roman" w:eastAsia="Calibri" w:hAnsi="Times New Roman" w:cs="Times New Roman"/>
          <w:noProof/>
          <w:sz w:val="24"/>
          <w:szCs w:val="24"/>
        </w:rPr>
        <w:t xml:space="preserve">with </w:t>
      </w:r>
      <w:r>
        <w:rPr>
          <w:rFonts w:ascii="Times New Roman" w:eastAsia="Times New Roman" w:hAnsi="Times New Roman" w:cs="Times New Roman"/>
          <w:noProof/>
          <w:sz w:val="24"/>
          <w:szCs w:val="24"/>
        </w:rPr>
        <w:t>full capacity for this purpose. In view of the high Donors’ pledge</w:t>
      </w:r>
      <w:r>
        <w:rPr>
          <w:rFonts w:ascii="Times New Roman" w:eastAsia="Times New Roman" w:hAnsi="Times New Roman" w:cs="Times New Roman"/>
          <w:noProof/>
          <w:sz w:val="24"/>
          <w:szCs w:val="24"/>
        </w:rPr>
        <w:t>s resulting from the post-earthquake conference organised by the Commission in Brussels on 17 February 2020, Albania should also urgently put a financing and action plan in place for implementing the Civil Protection and DRR measures of the post-earthquake</w:t>
      </w:r>
      <w:r>
        <w:rPr>
          <w:rFonts w:ascii="Times New Roman" w:eastAsia="Times New Roman" w:hAnsi="Times New Roman" w:cs="Times New Roman"/>
          <w:noProof/>
          <w:sz w:val="24"/>
          <w:szCs w:val="24"/>
        </w:rPr>
        <w:t xml:space="preserve"> recovery strategy, which include key national structuring action as well. In addition to earthquakes, floods are a major hazard, but Albania has made only little progress in aligning with the Floods Directive, and still needs to regulate its early warning</w:t>
      </w:r>
      <w:r>
        <w:rPr>
          <w:rFonts w:ascii="Times New Roman" w:eastAsia="Times New Roman" w:hAnsi="Times New Roman" w:cs="Times New Roman"/>
          <w:noProof/>
          <w:sz w:val="24"/>
          <w:szCs w:val="24"/>
        </w:rPr>
        <w:t xml:space="preserve"> and hydrometric-meteorological services</w:t>
      </w:r>
      <w:r>
        <w:rPr>
          <w:rFonts w:ascii="Times New Roman" w:eastAsia="Calibri" w:hAnsi="Times New Roman" w:cs="Times New Roman"/>
          <w:noProof/>
          <w:sz w:val="24"/>
          <w:szCs w:val="24"/>
        </w:rPr>
        <w:t>.</w:t>
      </w:r>
    </w:p>
    <w:p w:rsidR="00EE1719" w:rsidRDefault="000E39BA">
      <w:pPr>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Climate change</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has achieved some level of preparation for tackling climate change, but alignment with the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is still limited. It made </w:t>
      </w:r>
      <w:r>
        <w:rPr>
          <w:rFonts w:ascii="Times New Roman" w:eastAsia="Calibri" w:hAnsi="Times New Roman" w:cs="Times New Roman"/>
          <w:noProof/>
          <w:sz w:val="24"/>
          <w:szCs w:val="24"/>
        </w:rPr>
        <w:t>progress by ratifying the Kigali Amendment to the Montreal Protocol</w:t>
      </w:r>
      <w:r>
        <w:rPr>
          <w:rFonts w:ascii="Times New Roman" w:eastAsia="Times New Roman" w:hAnsi="Times New Roman" w:cs="Times New Roman"/>
          <w:noProof/>
          <w:sz w:val="24"/>
          <w:szCs w:val="24"/>
        </w:rPr>
        <w:t xml:space="preserve">. In July 2019, Albania adopted a national strategy on climate change for 2019-2030, with objectives for 2050. The strategy focuses on energy, transport, agriculture, land use and forestry, with a 32% </w:t>
      </w:r>
      <w:r>
        <w:rPr>
          <w:rFonts w:ascii="Times New Roman" w:eastAsia="Times New Roman" w:hAnsi="Times New Roman" w:cs="Times New Roman"/>
          <w:bCs/>
          <w:noProof/>
          <w:sz w:val="24"/>
          <w:szCs w:val="24"/>
        </w:rPr>
        <w:t>renewable energy target</w:t>
      </w:r>
      <w:r>
        <w:rPr>
          <w:rFonts w:ascii="Times New Roman" w:eastAsia="Times New Roman" w:hAnsi="Times New Roman" w:cs="Times New Roman"/>
          <w:noProof/>
          <w:sz w:val="24"/>
          <w:szCs w:val="24"/>
        </w:rPr>
        <w:t>. However, it will require updat</w:t>
      </w:r>
      <w:r>
        <w:rPr>
          <w:rFonts w:ascii="Times New Roman" w:eastAsia="Times New Roman" w:hAnsi="Times New Roman" w:cs="Times New Roman"/>
          <w:noProof/>
          <w:sz w:val="24"/>
          <w:szCs w:val="24"/>
        </w:rPr>
        <w:t>ing if Albania comes closer to accession, due to the new climate targets set by the EU. Lack of specific administrative structures and available staff for handling climate change issues are a matter of serious concern.</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regards its reporting under the UN</w:t>
      </w:r>
      <w:r>
        <w:rPr>
          <w:rFonts w:ascii="Times New Roman" w:eastAsia="Times New Roman" w:hAnsi="Times New Roman" w:cs="Times New Roman"/>
          <w:noProof/>
          <w:sz w:val="24"/>
          <w:szCs w:val="24"/>
        </w:rPr>
        <w:t xml:space="preserve"> Framework Convention on Climate Change, Albania is preparing its fourth national communication and its first biennial update report.</w:t>
      </w:r>
    </w:p>
    <w:p w:rsidR="00EE1719" w:rsidRDefault="000E39BA">
      <w:pPr>
        <w:pStyle w:val="Heading2"/>
      </w:pPr>
      <w:bookmarkStart w:id="213" w:name="_Toc29803536"/>
      <w:bookmarkStart w:id="214" w:name="_Toc9430036"/>
      <w:bookmarkStart w:id="215" w:name="_Toc9331944"/>
      <w:bookmarkStart w:id="216" w:name="_Toc9328512"/>
      <w:bookmarkStart w:id="217" w:name="_Toc510686880"/>
      <w:bookmarkStart w:id="218" w:name="_Toc530733596"/>
      <w:bookmarkStart w:id="219" w:name="_Toc52745539"/>
      <w:r>
        <w:rPr>
          <w:rStyle w:val="Heading2Char"/>
          <w:rFonts w:eastAsiaTheme="minorEastAsia"/>
        </w:rPr>
        <w:t>5.28</w:t>
      </w:r>
      <w:r>
        <w:t xml:space="preserve">. </w:t>
      </w:r>
      <w:r>
        <w:tab/>
        <w:t>Chapter 28: Consumer and health protection</w:t>
      </w:r>
      <w:bookmarkEnd w:id="213"/>
      <w:bookmarkEnd w:id="214"/>
      <w:bookmarkEnd w:id="215"/>
      <w:bookmarkEnd w:id="216"/>
      <w:bookmarkEnd w:id="217"/>
      <w:bookmarkEnd w:id="218"/>
      <w:bookmarkEnd w:id="219"/>
    </w:p>
    <w:p w:rsidR="00EE1719" w:rsidRDefault="000E39BA">
      <w:pPr>
        <w:keepNext/>
        <w:keepLines/>
        <w:autoSpaceDE w:val="0"/>
        <w:autoSpaceDN w:val="0"/>
        <w:adjustRightInd w:val="0"/>
        <w:spacing w:after="120" w:line="240" w:lineRule="auto"/>
        <w:jc w:val="both"/>
        <w:rPr>
          <w:rFonts w:ascii="Times New Roman" w:eastAsia="Calibri" w:hAnsi="Times New Roman" w:cs="Times New Roman"/>
          <w:i/>
          <w:iCs/>
          <w:noProof/>
          <w:sz w:val="24"/>
          <w:szCs w:val="24"/>
        </w:rPr>
      </w:pPr>
      <w:bookmarkStart w:id="220" w:name="_Toc510686881"/>
      <w:bookmarkStart w:id="221" w:name="_Toc29803537"/>
      <w:bookmarkStart w:id="222" w:name="_Toc9430037"/>
      <w:bookmarkStart w:id="223" w:name="_Toc9331945"/>
      <w:bookmarkStart w:id="224" w:name="_Toc9328513"/>
      <w:bookmarkStart w:id="225" w:name="_Toc530733597"/>
      <w:r>
        <w:rPr>
          <w:rFonts w:ascii="Times New Roman" w:eastAsia="Calibri" w:hAnsi="Times New Roman" w:cs="Times New Roman"/>
          <w:i/>
          <w:iCs/>
          <w:noProof/>
          <w:sz w:val="24"/>
          <w:szCs w:val="24"/>
        </w:rPr>
        <w:t xml:space="preserve">EU rules protect consumers’ economic interests and in relation to </w:t>
      </w:r>
      <w:r>
        <w:rPr>
          <w:rFonts w:ascii="Times New Roman" w:eastAsia="Calibri" w:hAnsi="Times New Roman" w:cs="Times New Roman"/>
          <w:i/>
          <w:iCs/>
          <w:noProof/>
          <w:sz w:val="24"/>
          <w:szCs w:val="24"/>
        </w:rPr>
        <w:t>product safety, dangerous imitations and liability for defective products. The EU also ensures high common standards for tobacco control, blood, tissues, cells and organs, and medicines for human and veterinary use. The EU also ensures high common standard</w:t>
      </w:r>
      <w:r>
        <w:rPr>
          <w:rFonts w:ascii="Times New Roman" w:eastAsia="Calibri" w:hAnsi="Times New Roman" w:cs="Times New Roman"/>
          <w:i/>
          <w:iCs/>
          <w:noProof/>
          <w:sz w:val="24"/>
          <w:szCs w:val="24"/>
        </w:rPr>
        <w:t>s for upholding patients’ rights in cross-border healthcare and tackling serious cross-border health threats including communicable diseases.</w:t>
      </w:r>
    </w:p>
    <w:p w:rsidR="00EE1719" w:rsidRDefault="000E39B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Preparations are at an </w:t>
      </w:r>
      <w:r>
        <w:rPr>
          <w:rFonts w:ascii="Times New Roman" w:eastAsia="Calibri" w:hAnsi="Times New Roman" w:cs="Times New Roman"/>
          <w:b/>
          <w:bCs/>
          <w:noProof/>
          <w:sz w:val="24"/>
          <w:szCs w:val="24"/>
        </w:rPr>
        <w:t xml:space="preserve">early stage </w:t>
      </w:r>
      <w:r>
        <w:rPr>
          <w:rFonts w:ascii="Times New Roman" w:eastAsia="Calibri" w:hAnsi="Times New Roman" w:cs="Times New Roman"/>
          <w:noProof/>
          <w:sz w:val="24"/>
          <w:szCs w:val="24"/>
        </w:rPr>
        <w:t xml:space="preserve">in the area of consumer and health protection. There was </w:t>
      </w:r>
      <w:r>
        <w:rPr>
          <w:rFonts w:ascii="Times New Roman" w:eastAsia="Calibri" w:hAnsi="Times New Roman" w:cs="Times New Roman"/>
          <w:b/>
          <w:bCs/>
          <w:noProof/>
          <w:sz w:val="24"/>
          <w:szCs w:val="24"/>
        </w:rPr>
        <w:t xml:space="preserve">no progress </w:t>
      </w:r>
      <w:r>
        <w:rPr>
          <w:rFonts w:ascii="Times New Roman" w:eastAsia="Calibri" w:hAnsi="Times New Roman" w:cs="Times New Roman"/>
          <w:noProof/>
          <w:sz w:val="24"/>
          <w:szCs w:val="24"/>
        </w:rPr>
        <w:t>on last ye</w:t>
      </w:r>
      <w:r>
        <w:rPr>
          <w:rFonts w:ascii="Times New Roman" w:eastAsia="Calibri" w:hAnsi="Times New Roman" w:cs="Times New Roman"/>
          <w:noProof/>
          <w:sz w:val="24"/>
          <w:szCs w:val="24"/>
        </w:rPr>
        <w:t>ar’s recommendations although there was some progress on strengthening the effectiveness of the Consumer Protection Commission (CPC). On public health, significant progress needs to be made to implement the policy framework and ensure everyone in Albania h</w:t>
      </w:r>
      <w:r>
        <w:rPr>
          <w:rFonts w:ascii="Times New Roman" w:eastAsia="Calibri" w:hAnsi="Times New Roman" w:cs="Times New Roman"/>
          <w:noProof/>
          <w:sz w:val="24"/>
          <w:szCs w:val="24"/>
        </w:rPr>
        <w:t xml:space="preserve">as healthcare coverage. </w:t>
      </w:r>
    </w:p>
    <w:p w:rsidR="00EE1719" w:rsidRDefault="000E39B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coming year, the country should in particular:</w:t>
      </w:r>
    </w:p>
    <w:p w:rsidR="00EE1719" w:rsidRDefault="000E39BA">
      <w:pPr>
        <w:numPr>
          <w:ilvl w:val="0"/>
          <w:numId w:val="99"/>
        </w:numPr>
        <w:pBdr>
          <w:top w:val="single" w:sz="4" w:space="1" w:color="auto"/>
          <w:left w:val="single" w:sz="4" w:space="4" w:color="auto"/>
          <w:bottom w:val="single" w:sz="4" w:space="1" w:color="auto"/>
          <w:right w:val="single" w:sz="4" w:space="4" w:color="auto"/>
        </w:pBdr>
        <w:shd w:val="clear" w:color="auto" w:fill="D9D9D9"/>
        <w:tabs>
          <w:tab w:val="clear" w:pos="720"/>
          <w:tab w:val="num" w:pos="426"/>
        </w:tabs>
        <w:autoSpaceDE w:val="0"/>
        <w:autoSpaceDN w:val="0"/>
        <w:adjustRightInd w:val="0"/>
        <w:spacing w:after="120" w:line="240" w:lineRule="auto"/>
        <w:ind w:left="426" w:hanging="42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strengthen the implementation and enforcement of the policy framework on public health and ensure the sustainability of interventions;</w:t>
      </w:r>
    </w:p>
    <w:p w:rsidR="00EE1719" w:rsidRDefault="000E39BA">
      <w:pPr>
        <w:numPr>
          <w:ilvl w:val="0"/>
          <w:numId w:val="99"/>
        </w:numPr>
        <w:pBdr>
          <w:top w:val="single" w:sz="4" w:space="1" w:color="auto"/>
          <w:left w:val="single" w:sz="4" w:space="4" w:color="auto"/>
          <w:bottom w:val="single" w:sz="4" w:space="1" w:color="auto"/>
          <w:right w:val="single" w:sz="4" w:space="4" w:color="auto"/>
        </w:pBdr>
        <w:shd w:val="clear" w:color="auto" w:fill="D9D9D9"/>
        <w:tabs>
          <w:tab w:val="clear" w:pos="720"/>
          <w:tab w:val="num" w:pos="142"/>
          <w:tab w:val="left" w:pos="426"/>
        </w:tabs>
        <w:autoSpaceDE w:val="0"/>
        <w:autoSpaceDN w:val="0"/>
        <w:adjustRightInd w:val="0"/>
        <w:spacing w:after="120" w:line="240" w:lineRule="auto"/>
        <w:ind w:left="284" w:hanging="284"/>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further align its legislation with the EU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rPr>
        <w:t xml:space="preserve">on substances of human origin and on </w:t>
      </w:r>
      <w:r>
        <w:rPr>
          <w:rFonts w:ascii="Times New Roman" w:eastAsia="MS Mincho" w:hAnsi="Times New Roman" w:cs="Times New Roman"/>
          <w:noProof/>
          <w:sz w:val="24"/>
          <w:szCs w:val="24"/>
          <w:lang w:eastAsia="it-IT"/>
        </w:rPr>
        <w:t>medicines for human and veterinary use</w:t>
      </w:r>
      <w:r>
        <w:rPr>
          <w:rFonts w:ascii="Times New Roman" w:eastAsia="Calibri" w:hAnsi="Times New Roman" w:cs="Times New Roman"/>
          <w:noProof/>
          <w:sz w:val="24"/>
          <w:szCs w:val="24"/>
        </w:rPr>
        <w:t>;</w:t>
      </w:r>
    </w:p>
    <w:p w:rsidR="00EE1719" w:rsidRDefault="000E39BA">
      <w:pPr>
        <w:numPr>
          <w:ilvl w:val="0"/>
          <w:numId w:val="99"/>
        </w:numPr>
        <w:pBdr>
          <w:top w:val="single" w:sz="4" w:space="1" w:color="auto"/>
          <w:left w:val="single" w:sz="4" w:space="4" w:color="auto"/>
          <w:bottom w:val="single" w:sz="4" w:space="1" w:color="auto"/>
          <w:right w:val="single" w:sz="4" w:space="4" w:color="auto"/>
        </w:pBdr>
        <w:shd w:val="clear" w:color="auto" w:fill="D9D9D9"/>
        <w:tabs>
          <w:tab w:val="clear" w:pos="720"/>
          <w:tab w:val="num" w:pos="426"/>
        </w:tabs>
        <w:autoSpaceDE w:val="0"/>
        <w:autoSpaceDN w:val="0"/>
        <w:adjustRightInd w:val="0"/>
        <w:spacing w:after="120" w:line="240" w:lineRule="auto"/>
        <w:ind w:left="426" w:hanging="426"/>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continue to improve access to health and services for disadvantaged populations, including: Roma and Egyptian minorities; people with disabilities; and populations in rural</w:t>
      </w:r>
      <w:r>
        <w:rPr>
          <w:rFonts w:ascii="Times New Roman" w:eastAsia="MS Mincho" w:hAnsi="Times New Roman" w:cs="Times New Roman"/>
          <w:noProof/>
          <w:sz w:val="24"/>
          <w:szCs w:val="24"/>
          <w:lang w:eastAsia="it-IT"/>
        </w:rPr>
        <w:t xml:space="preserve"> or remote areas. It is of particular importance to improve the access of women and girls belonging to these groups, who are often subjected to multiple forms of discrimination. </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Consumer protection</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horizontal aspects,</w:t>
      </w:r>
      <w:r>
        <w:rPr>
          <w:rFonts w:ascii="Times New Roman" w:eastAsia="Calibri" w:hAnsi="Times New Roman" w:cs="Times New Roman"/>
          <w:noProof/>
          <w:sz w:val="24"/>
          <w:szCs w:val="24"/>
        </w:rPr>
        <w:t xml:space="preserve"> </w:t>
      </w:r>
      <w:r>
        <w:rPr>
          <w:rFonts w:ascii="Times New Roman" w:eastAsia="Calibri" w:hAnsi="Times New Roman" w:cs="Times New Roman"/>
          <w:bCs/>
          <w:noProof/>
          <w:sz w:val="24"/>
          <w:szCs w:val="24"/>
        </w:rPr>
        <w:t>t</w:t>
      </w:r>
      <w:r>
        <w:rPr>
          <w:rFonts w:ascii="Times New Roman" w:eastAsia="Calibri" w:hAnsi="Times New Roman" w:cs="Times New Roman"/>
          <w:noProof/>
          <w:sz w:val="24"/>
          <w:szCs w:val="24"/>
        </w:rPr>
        <w:t xml:space="preserve">he capacity of the Consumer Protection Commission (CPC) and other consumer protection bodies were strengthened through the appointment of a new CPC chairman and new members and training on EU legislation and enforcement practices. In the reporting period, </w:t>
      </w:r>
      <w:r>
        <w:rPr>
          <w:rFonts w:ascii="Times New Roman" w:eastAsia="Calibri" w:hAnsi="Times New Roman" w:cs="Times New Roman"/>
          <w:noProof/>
          <w:sz w:val="24"/>
          <w:szCs w:val="24"/>
        </w:rPr>
        <w:t xml:space="preserve">the CPC handled 66 complaints (60 from individual consumers or consumer organisation and local governments, and 6 from businesses). </w:t>
      </w:r>
      <w:r>
        <w:rPr>
          <w:rFonts w:ascii="Times New Roman" w:hAnsi="Times New Roman" w:cs="Times New Roman"/>
          <w:noProof/>
          <w:sz w:val="24"/>
          <w:szCs w:val="24"/>
        </w:rPr>
        <w:t xml:space="preserve">The legal framework in the area of consumer credit and distance marketing of financial services needs to be further aligned </w:t>
      </w:r>
      <w:r>
        <w:rPr>
          <w:rFonts w:ascii="Times New Roman" w:hAnsi="Times New Roman" w:cs="Times New Roman"/>
          <w:noProof/>
          <w:sz w:val="24"/>
          <w:szCs w:val="24"/>
        </w:rPr>
        <w:t xml:space="preserve">with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product safety</w:t>
      </w:r>
      <w:r>
        <w:rPr>
          <w:rFonts w:ascii="Times New Roman" w:eastAsia="Calibri" w:hAnsi="Times New Roman" w:cs="Times New Roman"/>
          <w:noProof/>
          <w:sz w:val="24"/>
          <w:szCs w:val="24"/>
        </w:rPr>
        <w:t>, the State Inspectorate for Market Surveillance (SIMS) carried out over 477 inspections on toys, detergent products, electrical, textile and mechanical goods, as a result, over 150 products were withdrawn from the market</w:t>
      </w:r>
      <w:r>
        <w:rPr>
          <w:rFonts w:ascii="Times New Roman" w:eastAsia="Calibri" w:hAnsi="Times New Roman" w:cs="Times New Roman"/>
          <w:noProof/>
          <w:sz w:val="24"/>
          <w:szCs w:val="24"/>
        </w:rPr>
        <w:t xml:space="preserve">. The SIMS </w:t>
      </w:r>
      <w:r>
        <w:rPr>
          <w:rFonts w:ascii="Times New Roman" w:eastAsia="Times New Roman" w:hAnsi="Times New Roman" w:cs="Times New Roman"/>
          <w:noProof/>
          <w:sz w:val="24"/>
          <w:szCs w:val="24"/>
        </w:rPr>
        <w:t xml:space="preserve">should further strengthen its operational capacity. </w:t>
      </w:r>
      <w:r>
        <w:rPr>
          <w:rFonts w:ascii="Times New Roman" w:eastAsia="Calibri" w:hAnsi="Times New Roman" w:cs="Times New Roman"/>
          <w:noProof/>
          <w:sz w:val="24"/>
          <w:szCs w:val="24"/>
        </w:rPr>
        <w:t xml:space="preserve">National legislation is </w:t>
      </w:r>
      <w:r>
        <w:rPr>
          <w:rFonts w:ascii="Times New Roman" w:eastAsia="Times New Roman" w:hAnsi="Times New Roman" w:cs="Times New Roman"/>
          <w:noProof/>
          <w:sz w:val="24"/>
          <w:szCs w:val="24"/>
        </w:rPr>
        <w:t xml:space="preserve">partly </w:t>
      </w:r>
      <w:r>
        <w:rPr>
          <w:rFonts w:ascii="Times New Roman" w:eastAsia="Calibri" w:hAnsi="Times New Roman" w:cs="Times New Roman"/>
          <w:noProof/>
          <w:sz w:val="24"/>
          <w:szCs w:val="24"/>
        </w:rPr>
        <w:t xml:space="preserve">aligned with the EU </w:t>
      </w:r>
      <w:r>
        <w:rPr>
          <w:rFonts w:ascii="Times New Roman" w:eastAsia="Calibri" w:hAnsi="Times New Roman" w:cs="Times New Roman"/>
          <w:i/>
          <w:noProof/>
          <w:sz w:val="24"/>
          <w:szCs w:val="24"/>
        </w:rPr>
        <w:t xml:space="preserve">acquis </w:t>
      </w:r>
      <w:r>
        <w:rPr>
          <w:rFonts w:ascii="Times New Roman" w:eastAsia="Calibri" w:hAnsi="Times New Roman" w:cs="Times New Roman"/>
          <w:noProof/>
          <w:sz w:val="24"/>
          <w:szCs w:val="24"/>
        </w:rPr>
        <w:t xml:space="preserve">in this area. </w:t>
      </w: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bCs/>
          <w:noProof/>
          <w:sz w:val="24"/>
          <w:szCs w:val="24"/>
        </w:rPr>
        <w:t>non-safety-related issues</w:t>
      </w:r>
      <w:r>
        <w:rPr>
          <w:rFonts w:ascii="Times New Roman" w:eastAsia="Times New Roman" w:hAnsi="Times New Roman" w:cs="Times New Roman"/>
          <w:noProof/>
          <w:sz w:val="24"/>
          <w:szCs w:val="24"/>
        </w:rPr>
        <w:t>, a legal gap analysis was produced and awareness-raising materials and reports were made ava</w:t>
      </w:r>
      <w:r>
        <w:rPr>
          <w:rFonts w:ascii="Times New Roman" w:eastAsia="Times New Roman" w:hAnsi="Times New Roman" w:cs="Times New Roman"/>
          <w:noProof/>
          <w:sz w:val="24"/>
          <w:szCs w:val="24"/>
        </w:rPr>
        <w:t xml:space="preserve">ilable on the CPC’s website. </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Public health</w:t>
      </w:r>
    </w:p>
    <w:p w:rsidR="00EE1719" w:rsidRDefault="000E39BA">
      <w:pPr>
        <w:spacing w:after="120" w:line="240" w:lineRule="auto"/>
        <w:jc w:val="both"/>
        <w:rPr>
          <w:rFonts w:ascii="Times New Roman" w:eastAsia="MS Mincho" w:hAnsi="Times New Roman" w:cs="Times New Roman"/>
          <w:noProof/>
          <w:sz w:val="24"/>
          <w:szCs w:val="24"/>
          <w:lang w:eastAsia="it-IT"/>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public health</w:t>
      </w:r>
      <w:r>
        <w:rPr>
          <w:rFonts w:ascii="Times New Roman" w:eastAsia="Calibri" w:hAnsi="Times New Roman" w:cs="Times New Roman"/>
          <w:noProof/>
          <w:sz w:val="24"/>
          <w:szCs w:val="24"/>
        </w:rPr>
        <w:t>, the 2016-2020 national health strategy seeks to ensure universal healthcare coverage. However, public spending on health remains low at 2.9 % of GDP with disproportionately low resource allocations to primary health care, especially in maternal and child</w:t>
      </w:r>
      <w:r>
        <w:rPr>
          <w:rFonts w:ascii="Times New Roman" w:eastAsia="Calibri" w:hAnsi="Times New Roman" w:cs="Times New Roman"/>
          <w:noProof/>
          <w:sz w:val="24"/>
          <w:szCs w:val="24"/>
        </w:rPr>
        <w:t xml:space="preserve"> health. In particular, neonatal mortality (6 per 1,000 live births), under 5 mortality (9 per 1,000 live births) and infant mortality rates (8 per 1,000 live births) remain high. </w:t>
      </w:r>
      <w:r>
        <w:rPr>
          <w:rFonts w:ascii="Times New Roman" w:eastAsia="Times New Roman" w:hAnsi="Times New Roman" w:cs="Times New Roman"/>
          <w:noProof/>
          <w:sz w:val="24"/>
          <w:szCs w:val="24"/>
        </w:rPr>
        <w:t>The governance of public hospitals and healthcare quality should be strength</w:t>
      </w:r>
      <w:r>
        <w:rPr>
          <w:rFonts w:ascii="Times New Roman" w:eastAsia="Times New Roman" w:hAnsi="Times New Roman" w:cs="Times New Roman"/>
          <w:noProof/>
          <w:sz w:val="24"/>
          <w:szCs w:val="24"/>
        </w:rPr>
        <w:t>ened.</w:t>
      </w:r>
      <w:r>
        <w:rPr>
          <w:rFonts w:ascii="Times New Roman" w:eastAsia="MS Mincho" w:hAnsi="Times New Roman" w:cs="Times New Roman"/>
          <w:noProof/>
          <w:sz w:val="24"/>
          <w:szCs w:val="24"/>
          <w:lang w:eastAsia="it-IT"/>
        </w:rPr>
        <w:t xml:space="preserve"> </w:t>
      </w:r>
    </w:p>
    <w:p w:rsidR="00EE1719" w:rsidRDefault="000E39BA">
      <w:pPr>
        <w:spacing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Albania has ratified most international conventions relating to the protection of fundamental rights but obstacles to the exercise of the right to health and to sexual and reproductive health services, particularly for vulnerable groups, persist acr</w:t>
      </w:r>
      <w:r>
        <w:rPr>
          <w:rFonts w:ascii="Times New Roman" w:eastAsia="MS Mincho" w:hAnsi="Times New Roman" w:cs="Times New Roman"/>
          <w:noProof/>
          <w:sz w:val="24"/>
          <w:szCs w:val="24"/>
          <w:lang w:eastAsia="it-IT"/>
        </w:rPr>
        <w:t>oss the country. While abortion care is guaranteed by law, women from vulnerable groups, especially Roma women, face barriers in accessing it.</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MS Mincho" w:hAnsi="Times New Roman" w:cs="Times New Roman"/>
          <w:noProof/>
          <w:sz w:val="24"/>
          <w:szCs w:val="24"/>
          <w:lang w:eastAsia="it-IT"/>
        </w:rPr>
        <w:t xml:space="preserve">The Ministry of Health and Social Protection and NAIS are the authorities responsible for </w:t>
      </w:r>
      <w:r>
        <w:rPr>
          <w:rFonts w:ascii="Times New Roman" w:eastAsia="MS Mincho" w:hAnsi="Times New Roman" w:cs="Times New Roman"/>
          <w:b/>
          <w:noProof/>
          <w:sz w:val="24"/>
          <w:szCs w:val="24"/>
          <w:lang w:eastAsia="it-IT"/>
        </w:rPr>
        <w:t xml:space="preserve">e-health. </w:t>
      </w:r>
      <w:r>
        <w:rPr>
          <w:rFonts w:ascii="Times New Roman" w:eastAsia="Times New Roman" w:hAnsi="Times New Roman" w:cs="Times New Roman"/>
          <w:noProof/>
          <w:sz w:val="24"/>
          <w:szCs w:val="24"/>
        </w:rPr>
        <w:t xml:space="preserve">The relevant </w:t>
      </w:r>
      <w:r>
        <w:rPr>
          <w:rFonts w:ascii="Times New Roman" w:eastAsia="Times New Roman" w:hAnsi="Times New Roman" w:cs="Times New Roman"/>
          <w:noProof/>
          <w:sz w:val="24"/>
          <w:szCs w:val="24"/>
        </w:rPr>
        <w:t xml:space="preserve">legislation on </w:t>
      </w:r>
      <w:r>
        <w:rPr>
          <w:rFonts w:ascii="Times New Roman" w:eastAsia="Times New Roman" w:hAnsi="Times New Roman" w:cs="Times New Roman"/>
          <w:b/>
          <w:noProof/>
          <w:sz w:val="24"/>
          <w:szCs w:val="24"/>
        </w:rPr>
        <w:t>blood, tissues, cells and organs</w:t>
      </w:r>
      <w:r>
        <w:rPr>
          <w:rFonts w:ascii="Times New Roman" w:eastAsia="Times New Roman" w:hAnsi="Times New Roman" w:cs="Times New Roman"/>
          <w:noProof/>
          <w:sz w:val="24"/>
          <w:szCs w:val="24"/>
        </w:rPr>
        <w:t xml:space="preserve"> is still not fully aligned with the </w:t>
      </w:r>
      <w:r>
        <w:rPr>
          <w:rFonts w:ascii="Times New Roman" w:eastAsia="Times New Roman" w:hAnsi="Times New Roman" w:cs="Times New Roman"/>
          <w:i/>
          <w:noProof/>
          <w:sz w:val="24"/>
          <w:szCs w:val="24"/>
        </w:rPr>
        <w:t xml:space="preserve">acquis </w:t>
      </w:r>
      <w:r>
        <w:rPr>
          <w:rFonts w:ascii="Times New Roman" w:eastAsia="Times New Roman" w:hAnsi="Times New Roman" w:cs="Times New Roman"/>
          <w:noProof/>
          <w:sz w:val="24"/>
          <w:szCs w:val="24"/>
        </w:rPr>
        <w:t xml:space="preserve">on blood safety. </w:t>
      </w:r>
    </w:p>
    <w:p w:rsidR="00EE1719" w:rsidRDefault="000E39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tobacco control</w:t>
      </w:r>
      <w:r>
        <w:rPr>
          <w:rFonts w:ascii="Times New Roman" w:eastAsia="Times New Roman" w:hAnsi="Times New Roman" w:cs="Times New Roman"/>
          <w:noProof/>
          <w:sz w:val="24"/>
          <w:szCs w:val="24"/>
        </w:rPr>
        <w:t xml:space="preserve">, the Law to protect public health against tobacco products, which is designed to be aligned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is being implemented. </w:t>
      </w:r>
      <w:r>
        <w:rPr>
          <w:rFonts w:ascii="Times New Roman" w:eastAsia="Calibri" w:hAnsi="Times New Roman" w:cs="Times New Roman"/>
          <w:noProof/>
          <w:sz w:val="24"/>
          <w:szCs w:val="24"/>
        </w:rPr>
        <w:t>Albania should accede as soon as possible to the Illicit Trade Protocol of the World Health Organization’s Framework Convention on Tobacco Control and start work on establishing a tobacco traceability system.</w:t>
      </w:r>
    </w:p>
    <w:p w:rsidR="00EE1719" w:rsidRDefault="000E39BA">
      <w:pPr>
        <w:autoSpaceDE w:val="0"/>
        <w:autoSpaceDN w:val="0"/>
        <w:adjustRightInd w:val="0"/>
        <w:spacing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 xml:space="preserve">In the field of </w:t>
      </w:r>
      <w:r>
        <w:rPr>
          <w:rFonts w:ascii="Times New Roman" w:eastAsia="MS Mincho" w:hAnsi="Times New Roman" w:cs="Times New Roman"/>
          <w:b/>
          <w:noProof/>
          <w:sz w:val="24"/>
          <w:szCs w:val="24"/>
          <w:lang w:eastAsia="it-IT"/>
        </w:rPr>
        <w:t>serious</w:t>
      </w:r>
      <w:r>
        <w:rPr>
          <w:rFonts w:ascii="Times New Roman" w:eastAsia="MS Mincho" w:hAnsi="Times New Roman" w:cs="Times New Roman"/>
          <w:b/>
          <w:noProof/>
          <w:sz w:val="24"/>
          <w:szCs w:val="24"/>
          <w:lang w:eastAsia="it-IT"/>
        </w:rPr>
        <w:t xml:space="preserve"> cross-border health threats including communicable diseases</w:t>
      </w:r>
      <w:r>
        <w:rPr>
          <w:rFonts w:ascii="Times New Roman" w:eastAsia="MS Mincho" w:hAnsi="Times New Roman" w:cs="Times New Roman"/>
          <w:noProof/>
          <w:sz w:val="24"/>
          <w:szCs w:val="24"/>
          <w:lang w:eastAsia="it-IT"/>
        </w:rPr>
        <w:t xml:space="preserve">, </w:t>
      </w:r>
      <w:r>
        <w:rPr>
          <w:rFonts w:ascii="Times New Roman" w:eastAsia="Times New Roman" w:hAnsi="Times New Roman" w:cs="Times New Roman"/>
          <w:noProof/>
          <w:sz w:val="24"/>
          <w:szCs w:val="24"/>
        </w:rPr>
        <w:t xml:space="preserve">the legal basis for communicable disease prevention and control is designed to be in line with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However, it still needs to be implemented through secondary legislation. Albania has</w:t>
      </w:r>
      <w:r>
        <w:rPr>
          <w:rFonts w:ascii="Times New Roman" w:eastAsia="Times New Roman" w:hAnsi="Times New Roman" w:cs="Times New Roman"/>
          <w:noProof/>
          <w:sz w:val="24"/>
          <w:szCs w:val="24"/>
        </w:rPr>
        <w:t xml:space="preserve"> a national alert, response and surveillance system for communicable diseases. However, no national plan for implementing international health regulations.</w:t>
      </w:r>
      <w:r>
        <w:rPr>
          <w:rFonts w:ascii="Times New Roman" w:eastAsia="MS Mincho" w:hAnsi="Times New Roman" w:cs="Times New Roman"/>
          <w:noProof/>
          <w:sz w:val="24"/>
          <w:szCs w:val="24"/>
          <w:lang w:eastAsia="it-IT"/>
        </w:rPr>
        <w:t xml:space="preserve"> It still does not have an antimicrobial resistance action plan.</w:t>
      </w:r>
    </w:p>
    <w:p w:rsidR="00EE1719" w:rsidRDefault="000E39BA">
      <w:pPr>
        <w:autoSpaceDE w:val="0"/>
        <w:autoSpaceDN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response to the COVID-19 </w:t>
      </w:r>
      <w:r>
        <w:rPr>
          <w:rFonts w:ascii="Times New Roman" w:eastAsia="Times New Roman" w:hAnsi="Times New Roman" w:cs="Times New Roman"/>
          <w:noProof/>
          <w:sz w:val="24"/>
          <w:szCs w:val="24"/>
        </w:rPr>
        <w:t>outbreak, the Albanian Ministry of Health and Social Protection adopted a decision on health surveillance and other measures for preventing the transmission of the pandemic. A national coordination body was established to coordinate the national response t</w:t>
      </w:r>
      <w:r>
        <w:rPr>
          <w:rFonts w:ascii="Times New Roman" w:eastAsia="Times New Roman" w:hAnsi="Times New Roman" w:cs="Times New Roman"/>
          <w:noProof/>
          <w:sz w:val="24"/>
          <w:szCs w:val="24"/>
        </w:rPr>
        <w:t>o the pandemic and take adequate precautionary measures. These included a nationwide curfew, social distancing, a ban on public gatherings and public and religious ceremonies, and a country lockdown during weekends and most critical days. All sports and re</w:t>
      </w:r>
      <w:r>
        <w:rPr>
          <w:rFonts w:ascii="Times New Roman" w:eastAsia="Times New Roman" w:hAnsi="Times New Roman" w:cs="Times New Roman"/>
          <w:noProof/>
          <w:sz w:val="24"/>
          <w:szCs w:val="24"/>
        </w:rPr>
        <w:t>creational activities were banned; flights, buses and taxi services were suspended. Schools, restaurants, and cafés were closed and the number of customers in supermarkets limited. Self-isolation and quarantine periods were imposed initially to people arri</w:t>
      </w:r>
      <w:r>
        <w:rPr>
          <w:rFonts w:ascii="Times New Roman" w:eastAsia="Times New Roman" w:hAnsi="Times New Roman" w:cs="Times New Roman"/>
          <w:noProof/>
          <w:sz w:val="24"/>
          <w:szCs w:val="24"/>
        </w:rPr>
        <w:t>ving from affected countries and subsequently to all individuals at epidemiological risk.</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Albania has been associated to the work of the Health Security Committee, and received material from JRC to control COVID tests, as well as EUR 4 million in EU fundin</w:t>
      </w:r>
      <w:r>
        <w:rPr>
          <w:rFonts w:ascii="Times New Roman" w:eastAsia="Times New Roman" w:hAnsi="Times New Roman" w:cs="Times New Roman"/>
          <w:noProof/>
          <w:sz w:val="24"/>
          <w:szCs w:val="24"/>
        </w:rPr>
        <w:t xml:space="preserve">g to enabling it to buy urgently needed medical equipment and supplies. </w:t>
      </w:r>
    </w:p>
    <w:p w:rsidR="00EE1719" w:rsidRDefault="000E39BA">
      <w:pPr>
        <w:autoSpaceDE w:val="0"/>
        <w:autoSpaceDN w:val="0"/>
        <w:adjustRightInd w:val="0"/>
        <w:spacing w:after="120" w:line="240" w:lineRule="auto"/>
        <w:jc w:val="both"/>
        <w:rPr>
          <w:rFonts w:ascii="Times New Roman" w:eastAsia="MS Mincho"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National legislation on </w:t>
      </w:r>
      <w:r>
        <w:rPr>
          <w:rFonts w:ascii="Times New Roman" w:eastAsia="Times New Roman" w:hAnsi="Times New Roman" w:cs="Times New Roman"/>
          <w:b/>
          <w:noProof/>
          <w:sz w:val="24"/>
          <w:szCs w:val="24"/>
          <w:lang w:eastAsia="it-IT"/>
        </w:rPr>
        <w:t>patients’ rights in cross-border healthcare</w:t>
      </w:r>
      <w:r>
        <w:rPr>
          <w:rFonts w:ascii="Times New Roman" w:eastAsia="Times New Roman" w:hAnsi="Times New Roman" w:cs="Times New Roman"/>
          <w:noProof/>
          <w:sz w:val="24"/>
          <w:szCs w:val="24"/>
          <w:lang w:eastAsia="it-IT"/>
        </w:rPr>
        <w:t xml:space="preserve"> has yet to be aligned with the EU </w:t>
      </w:r>
      <w:r>
        <w:rPr>
          <w:rFonts w:ascii="Times New Roman" w:eastAsia="Times New Roman" w:hAnsi="Times New Roman" w:cs="Times New Roman"/>
          <w:i/>
          <w:noProof/>
          <w:sz w:val="24"/>
          <w:szCs w:val="24"/>
          <w:lang w:eastAsia="it-IT"/>
        </w:rPr>
        <w:t>acquis</w:t>
      </w:r>
      <w:r>
        <w:rPr>
          <w:rFonts w:ascii="Times New Roman" w:eastAsia="Times New Roman" w:hAnsi="Times New Roman" w:cs="Times New Roman"/>
          <w:noProof/>
          <w:sz w:val="24"/>
          <w:szCs w:val="24"/>
          <w:lang w:eastAsia="it-IT"/>
        </w:rPr>
        <w:t>.</w:t>
      </w:r>
      <w:r>
        <w:rPr>
          <w:rFonts w:ascii="Times New Roman" w:eastAsia="MS Mincho" w:hAnsi="Times New Roman" w:cs="Times New Roman"/>
          <w:noProof/>
          <w:sz w:val="24"/>
          <w:szCs w:val="24"/>
          <w:lang w:eastAsia="it-IT"/>
        </w:rPr>
        <w:t xml:space="preserve"> </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There was some progress on standards in the pharmaceutical sector with t</w:t>
      </w:r>
      <w:r>
        <w:rPr>
          <w:rFonts w:ascii="Times New Roman" w:eastAsia="Calibri" w:hAnsi="Times New Roman" w:cs="Times New Roman"/>
          <w:noProof/>
          <w:sz w:val="24"/>
          <w:szCs w:val="24"/>
        </w:rPr>
        <w:t xml:space="preserve">he approval of the Convention on the Elaboration of a European Pharmacopeia. However, the legislation on </w:t>
      </w:r>
      <w:r>
        <w:rPr>
          <w:rFonts w:ascii="Times New Roman" w:eastAsia="MS Mincho" w:hAnsi="Times New Roman" w:cs="Times New Roman"/>
          <w:b/>
          <w:noProof/>
          <w:sz w:val="24"/>
          <w:szCs w:val="24"/>
          <w:lang w:eastAsia="it-IT"/>
        </w:rPr>
        <w:t>medicines for human and veterinary</w:t>
      </w:r>
      <w:r>
        <w:rPr>
          <w:rFonts w:ascii="Times New Roman" w:eastAsia="MS Mincho" w:hAnsi="Times New Roman" w:cs="Times New Roman"/>
          <w:noProof/>
          <w:sz w:val="24"/>
          <w:szCs w:val="24"/>
          <w:lang w:eastAsia="it-IT"/>
        </w:rPr>
        <w:t xml:space="preserve"> </w:t>
      </w:r>
      <w:r>
        <w:rPr>
          <w:rFonts w:ascii="Times New Roman" w:eastAsia="MS Mincho" w:hAnsi="Times New Roman" w:cs="Times New Roman"/>
          <w:b/>
          <w:noProof/>
          <w:sz w:val="24"/>
          <w:szCs w:val="24"/>
          <w:lang w:eastAsia="it-IT"/>
        </w:rPr>
        <w:t xml:space="preserve">use </w:t>
      </w:r>
      <w:r>
        <w:rPr>
          <w:rFonts w:ascii="Times New Roman" w:eastAsia="Calibri" w:hAnsi="Times New Roman" w:cs="Times New Roman"/>
          <w:noProof/>
          <w:sz w:val="24"/>
          <w:szCs w:val="24"/>
        </w:rPr>
        <w:t xml:space="preserve">is not aligned with the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 xml:space="preserve">. </w:t>
      </w:r>
      <w:r>
        <w:rPr>
          <w:rFonts w:ascii="Times New Roman" w:eastAsia="Times New Roman" w:hAnsi="Times New Roman" w:cs="Times New Roman"/>
          <w:noProof/>
          <w:sz w:val="24"/>
          <w:szCs w:val="24"/>
        </w:rPr>
        <w:t>Additional efforts are needed to develop cross-border cooperation for sustainabl</w:t>
      </w:r>
      <w:r>
        <w:rPr>
          <w:rFonts w:ascii="Times New Roman" w:eastAsia="Times New Roman" w:hAnsi="Times New Roman" w:cs="Times New Roman"/>
          <w:noProof/>
          <w:sz w:val="24"/>
          <w:szCs w:val="24"/>
        </w:rPr>
        <w:t xml:space="preserve">e access to and the proper use of medicines. </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Calibri" w:hAnsi="Times New Roman" w:cs="Times New Roman"/>
          <w:b/>
          <w:noProof/>
          <w:sz w:val="24"/>
          <w:szCs w:val="24"/>
        </w:rPr>
        <w:t>preventive measures</w:t>
      </w:r>
      <w:r>
        <w:rPr>
          <w:rFonts w:ascii="Times New Roman" w:eastAsia="Times New Roman" w:hAnsi="Times New Roman" w:cs="Times New Roman"/>
          <w:noProof/>
          <w:sz w:val="24"/>
          <w:szCs w:val="24"/>
        </w:rPr>
        <w:t xml:space="preserve">, there is a national </w:t>
      </w:r>
      <w:r>
        <w:rPr>
          <w:rFonts w:ascii="Times New Roman" w:eastAsia="Times New Roman" w:hAnsi="Times New Roman" w:cs="Times New Roman"/>
          <w:b/>
          <w:noProof/>
          <w:sz w:val="24"/>
          <w:szCs w:val="24"/>
        </w:rPr>
        <w:t>cancer</w:t>
      </w:r>
      <w:r>
        <w:rPr>
          <w:rFonts w:ascii="Times New Roman" w:eastAsia="Times New Roman" w:hAnsi="Times New Roman" w:cs="Times New Roman"/>
          <w:noProof/>
          <w:sz w:val="24"/>
          <w:szCs w:val="24"/>
        </w:rPr>
        <w:t xml:space="preserve"> control plan. Appropriate structures for cancer screening services have been put in place, especially in the main urban areas, but a cancer registry is yet to be set up. The Ministry of Health and Social Protection endorsed the national plan for cervical </w:t>
      </w:r>
      <w:r>
        <w:rPr>
          <w:rFonts w:ascii="Times New Roman" w:eastAsia="Times New Roman" w:hAnsi="Times New Roman" w:cs="Times New Roman"/>
          <w:noProof/>
          <w:sz w:val="24"/>
          <w:szCs w:val="24"/>
        </w:rPr>
        <w:t xml:space="preserve">cancer screening, but a lack of integration in health care services limits its effectiveness. </w:t>
      </w:r>
    </w:p>
    <w:p w:rsidR="00EE1719" w:rsidRDefault="000E39BA">
      <w:pPr>
        <w:autoSpaceDE w:val="0"/>
        <w:autoSpaceDN w:val="0"/>
        <w:adjustRightInd w:val="0"/>
        <w:spacing w:after="120" w:line="240" w:lineRule="auto"/>
        <w:jc w:val="both"/>
        <w:rPr>
          <w:rFonts w:ascii="Times New Roman" w:eastAsia="MS Mincho" w:hAnsi="Times New Roman" w:cs="Times New Roman"/>
          <w:bCs/>
          <w:noProof/>
          <w:sz w:val="24"/>
          <w:szCs w:val="24"/>
          <w:lang w:eastAsia="it-IT"/>
        </w:rPr>
      </w:pPr>
      <w:r>
        <w:rPr>
          <w:rFonts w:ascii="Times New Roman" w:eastAsia="Times New Roman" w:hAnsi="Times New Roman" w:cs="Times New Roman"/>
          <w:noProof/>
          <w:sz w:val="24"/>
          <w:szCs w:val="24"/>
        </w:rPr>
        <w:t xml:space="preserve">On </w:t>
      </w:r>
      <w:r>
        <w:rPr>
          <w:rFonts w:ascii="Times New Roman" w:eastAsia="MS Mincho" w:hAnsi="Times New Roman" w:cs="Times New Roman"/>
          <w:b/>
          <w:noProof/>
          <w:sz w:val="24"/>
          <w:szCs w:val="24"/>
          <w:lang w:eastAsia="it-IT"/>
        </w:rPr>
        <w:t>nutrition and physical activity,</w:t>
      </w:r>
      <w:r>
        <w:rPr>
          <w:rFonts w:ascii="Times New Roman" w:eastAsia="MS Mincho" w:hAnsi="Times New Roman" w:cs="Times New Roman"/>
          <w:noProof/>
          <w:sz w:val="24"/>
          <w:szCs w:val="24"/>
          <w:lang w:eastAsia="it-IT"/>
        </w:rPr>
        <w:t xml:space="preserve"> </w:t>
      </w:r>
      <w:r>
        <w:rPr>
          <w:rFonts w:ascii="Times New Roman" w:eastAsia="Times New Roman" w:hAnsi="Times New Roman" w:cs="Times New Roman"/>
          <w:noProof/>
          <w:sz w:val="24"/>
          <w:szCs w:val="24"/>
        </w:rPr>
        <w:t>malnutrition is a critical issue, especially for children and pregnant women. Albania is encouraged to develop a nutrition pl</w:t>
      </w:r>
      <w:r>
        <w:rPr>
          <w:rFonts w:ascii="Times New Roman" w:eastAsia="Times New Roman" w:hAnsi="Times New Roman" w:cs="Times New Roman"/>
          <w:noProof/>
          <w:sz w:val="24"/>
          <w:szCs w:val="24"/>
        </w:rPr>
        <w:t>an and raise awareness in schools and community centres of the risks of malnutrition</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 xml:space="preserve">The national legislation on the pricing of </w:t>
      </w:r>
      <w:r>
        <w:rPr>
          <w:rFonts w:ascii="Times New Roman" w:eastAsia="Calibri" w:hAnsi="Times New Roman" w:cs="Times New Roman"/>
          <w:b/>
          <w:noProof/>
          <w:sz w:val="24"/>
          <w:szCs w:val="24"/>
        </w:rPr>
        <w:t>medical devices</w:t>
      </w:r>
      <w:r>
        <w:rPr>
          <w:rFonts w:ascii="Times New Roman" w:eastAsia="Calibri" w:hAnsi="Times New Roman" w:cs="Times New Roman"/>
          <w:noProof/>
          <w:sz w:val="24"/>
          <w:szCs w:val="24"/>
        </w:rPr>
        <w:t xml:space="preserve"> is designed to be partly aligned with </w:t>
      </w:r>
      <w:r>
        <w:rPr>
          <w:rFonts w:ascii="Times New Roman" w:eastAsia="Times New Roman" w:hAnsi="Times New Roman" w:cs="Times New Roman"/>
          <w:noProof/>
          <w:sz w:val="24"/>
          <w:szCs w:val="24"/>
        </w:rPr>
        <w:t>the EU common procedural framework and legislation.</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MS Mincho" w:hAnsi="Times New Roman" w:cs="Times New Roman"/>
          <w:bCs/>
          <w:noProof/>
          <w:sz w:val="24"/>
          <w:szCs w:val="24"/>
          <w:lang w:eastAsia="it-IT"/>
        </w:rPr>
        <w:t>On</w:t>
      </w:r>
      <w:r>
        <w:rPr>
          <w:rFonts w:ascii="Times New Roman" w:eastAsia="MS Mincho" w:hAnsi="Times New Roman" w:cs="Times New Roman"/>
          <w:b/>
          <w:bCs/>
          <w:noProof/>
          <w:sz w:val="24"/>
          <w:szCs w:val="24"/>
          <w:lang w:eastAsia="it-IT"/>
        </w:rPr>
        <w:t xml:space="preserve"> drug abuse prevent</w:t>
      </w:r>
      <w:r>
        <w:rPr>
          <w:rFonts w:ascii="Times New Roman" w:eastAsia="MS Mincho" w:hAnsi="Times New Roman" w:cs="Times New Roman"/>
          <w:b/>
          <w:bCs/>
          <w:noProof/>
          <w:sz w:val="24"/>
          <w:szCs w:val="24"/>
          <w:lang w:eastAsia="it-IT"/>
        </w:rPr>
        <w:t>ion and harm reduction</w:t>
      </w:r>
      <w:r>
        <w:rPr>
          <w:rFonts w:ascii="Times New Roman" w:eastAsia="Times New Roman" w:hAnsi="Times New Roman" w:cs="Times New Roman"/>
          <w:noProof/>
          <w:sz w:val="24"/>
          <w:szCs w:val="24"/>
        </w:rPr>
        <w:t>, p</w:t>
      </w:r>
      <w:r>
        <w:rPr>
          <w:rFonts w:ascii="Times New Roman" w:eastAsia="Calibri" w:hAnsi="Times New Roman" w:cs="Times New Roman"/>
          <w:noProof/>
          <w:sz w:val="24"/>
          <w:szCs w:val="24"/>
        </w:rPr>
        <w:t xml:space="preserve">revention activities have taken place sporadically, mainly initiated by the Department of Health Promotion and the Institute of Public Health, should be conducted in a more systematic way. </w:t>
      </w:r>
    </w:p>
    <w:p w:rsidR="00EE1719" w:rsidRDefault="000E39BA">
      <w:pPr>
        <w:tabs>
          <w:tab w:val="left" w:pos="9072"/>
        </w:tabs>
        <w:spacing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 xml:space="preserve">On </w:t>
      </w:r>
      <w:r>
        <w:rPr>
          <w:rFonts w:ascii="Times New Roman" w:eastAsia="MS Mincho" w:hAnsi="Times New Roman" w:cs="Times New Roman"/>
          <w:b/>
          <w:noProof/>
          <w:sz w:val="24"/>
          <w:szCs w:val="24"/>
          <w:lang w:eastAsia="it-IT"/>
        </w:rPr>
        <w:t>health inequalities</w:t>
      </w:r>
      <w:r>
        <w:rPr>
          <w:rFonts w:ascii="Times New Roman" w:eastAsia="MS Mincho" w:hAnsi="Times New Roman" w:cs="Times New Roman"/>
          <w:noProof/>
          <w:sz w:val="24"/>
          <w:szCs w:val="24"/>
          <w:lang w:eastAsia="it-IT"/>
        </w:rPr>
        <w:t>, the national comm</w:t>
      </w:r>
      <w:r>
        <w:rPr>
          <w:rFonts w:ascii="Times New Roman" w:eastAsia="MS Mincho" w:hAnsi="Times New Roman" w:cs="Times New Roman"/>
          <w:noProof/>
          <w:sz w:val="24"/>
          <w:szCs w:val="24"/>
          <w:lang w:eastAsia="it-IT"/>
        </w:rPr>
        <w:t xml:space="preserve">unity health care programme continues to provide residential health care mainly for marginalised Roma and Egyptian minorities. The number of Roma and Egyptians provided with free health cards increased substantially as did the number of people in informal </w:t>
      </w:r>
      <w:r>
        <w:rPr>
          <w:rFonts w:ascii="Times New Roman" w:eastAsia="MS Mincho" w:hAnsi="Times New Roman" w:cs="Times New Roman"/>
          <w:noProof/>
          <w:sz w:val="24"/>
          <w:szCs w:val="24"/>
          <w:lang w:eastAsia="it-IT"/>
        </w:rPr>
        <w:t>settlements benefiting from health services delivered by mobile teams. However, Roma people and Egyptians continue to face barriers and no decision has been taken on appointing health mediators in public hospitals. HIV awareness activities have been conduc</w:t>
      </w:r>
      <w:r>
        <w:rPr>
          <w:rFonts w:ascii="Times New Roman" w:eastAsia="MS Mincho" w:hAnsi="Times New Roman" w:cs="Times New Roman"/>
          <w:noProof/>
          <w:sz w:val="24"/>
          <w:szCs w:val="24"/>
          <w:lang w:eastAsia="it-IT"/>
        </w:rPr>
        <w:t>ted for those communities but further efforts are needed to improve access to services for them and other vulnerable groups, including women, people with disabilities and populations in rural or remote areas.</w:t>
      </w:r>
    </w:p>
    <w:p w:rsidR="00EE1719" w:rsidRDefault="000E39BA">
      <w:pPr>
        <w:pStyle w:val="Heading2"/>
      </w:pPr>
      <w:bookmarkStart w:id="226" w:name="_Toc52745540"/>
      <w:r>
        <w:rPr>
          <w:rStyle w:val="Heading2Char"/>
          <w:rFonts w:eastAsiaTheme="minorEastAsia"/>
        </w:rPr>
        <w:t>5.29</w:t>
      </w:r>
      <w:r>
        <w:t xml:space="preserve">. </w:t>
      </w:r>
      <w:r>
        <w:tab/>
        <w:t>Chapter 29: Customs union</w:t>
      </w:r>
      <w:bookmarkEnd w:id="220"/>
      <w:bookmarkEnd w:id="221"/>
      <w:bookmarkEnd w:id="222"/>
      <w:bookmarkEnd w:id="223"/>
      <w:bookmarkEnd w:id="224"/>
      <w:bookmarkEnd w:id="225"/>
      <w:bookmarkEnd w:id="226"/>
    </w:p>
    <w:p w:rsidR="00EE1719" w:rsidRDefault="000E39BA">
      <w:pPr>
        <w:spacing w:after="120" w:line="240" w:lineRule="auto"/>
        <w:jc w:val="both"/>
        <w:rPr>
          <w:rFonts w:ascii="Times New Roman" w:eastAsia="Calibri" w:hAnsi="Times New Roman" w:cs="Times New Roman"/>
          <w:i/>
          <w:noProof/>
          <w:sz w:val="24"/>
          <w:szCs w:val="24"/>
        </w:rPr>
      </w:pPr>
      <w:bookmarkStart w:id="227" w:name="_Toc510686882"/>
      <w:r>
        <w:rPr>
          <w:rFonts w:ascii="Times New Roman" w:eastAsia="Calibri" w:hAnsi="Times New Roman" w:cs="Times New Roman"/>
          <w:i/>
          <w:noProof/>
          <w:sz w:val="24"/>
          <w:szCs w:val="24"/>
        </w:rPr>
        <w:t xml:space="preserve">All Member </w:t>
      </w:r>
      <w:r>
        <w:rPr>
          <w:rFonts w:ascii="Times New Roman" w:eastAsia="Calibri" w:hAnsi="Times New Roman" w:cs="Times New Roman"/>
          <w:i/>
          <w:noProof/>
          <w:sz w:val="24"/>
          <w:szCs w:val="24"/>
        </w:rPr>
        <w:t>States are part of the EU customs union and follow the same customs rules and procedures. This requires legislative alignment, adequate implementing and enforcement capacity, and access to the common computerised customs systems.</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is </w:t>
      </w:r>
      <w:r>
        <w:rPr>
          <w:rFonts w:ascii="Times New Roman" w:eastAsia="Times New Roman" w:hAnsi="Times New Roman" w:cs="Times New Roman"/>
          <w:b/>
          <w:noProof/>
          <w:sz w:val="24"/>
          <w:szCs w:val="24"/>
        </w:rPr>
        <w:t>moderately prep</w:t>
      </w:r>
      <w:r>
        <w:rPr>
          <w:rFonts w:ascii="Times New Roman" w:eastAsia="Times New Roman" w:hAnsi="Times New Roman" w:cs="Times New Roman"/>
          <w:b/>
          <w:noProof/>
          <w:sz w:val="24"/>
          <w:szCs w:val="24"/>
        </w:rPr>
        <w:t>ared</w:t>
      </w:r>
      <w:r>
        <w:rPr>
          <w:rFonts w:ascii="Times New Roman" w:eastAsia="Times New Roman" w:hAnsi="Times New Roman" w:cs="Times New Roman"/>
          <w:noProof/>
          <w:sz w:val="24"/>
          <w:szCs w:val="24"/>
        </w:rPr>
        <w:t xml:space="preserve"> in the area of the customs union. </w:t>
      </w:r>
      <w:r>
        <w:rPr>
          <w:rFonts w:ascii="Times New Roman" w:eastAsia="Times New Roman" w:hAnsi="Times New Roman" w:cs="Times New Roman"/>
          <w:b/>
          <w:noProof/>
          <w:sz w:val="24"/>
          <w:szCs w:val="24"/>
        </w:rPr>
        <w:t>Limited progress</w:t>
      </w:r>
      <w:r>
        <w:rPr>
          <w:rFonts w:ascii="Times New Roman" w:eastAsia="Times New Roman" w:hAnsi="Times New Roman" w:cs="Times New Roman"/>
          <w:noProof/>
          <w:sz w:val="24"/>
          <w:szCs w:val="24"/>
        </w:rPr>
        <w:t xml:space="preserve"> was made, in particular on improving control of cash movement at border crossing points and stepped-up efforts to enforce intellectual property rights. Preparatory work started for the development of </w:t>
      </w:r>
      <w:r>
        <w:rPr>
          <w:rFonts w:ascii="Times New Roman" w:eastAsia="Times New Roman" w:hAnsi="Times New Roman" w:cs="Times New Roman"/>
          <w:noProof/>
          <w:sz w:val="24"/>
          <w:szCs w:val="24"/>
        </w:rPr>
        <w:t>the New Computerised Transit System and the information campaigns on the authorised economic operator status continued.</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coming year, the country should in particular:</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approve legal provisions and develop the New Computerised Transit System; </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adv</w:t>
      </w:r>
      <w:r>
        <w:rPr>
          <w:rFonts w:ascii="Times New Roman" w:eastAsia="Times New Roman" w:hAnsi="Times New Roman" w:cs="Times New Roman"/>
          <w:noProof/>
          <w:sz w:val="24"/>
          <w:szCs w:val="24"/>
        </w:rPr>
        <w:t>ance the registration of authorised economic operators;</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pursue the fight against smuggling, corruption and imports of counterfeit products.</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regards</w:t>
      </w:r>
      <w:r>
        <w:rPr>
          <w:rFonts w:ascii="Times New Roman" w:eastAsia="Times New Roman" w:hAnsi="Times New Roman" w:cs="Times New Roman"/>
          <w:b/>
          <w:noProof/>
          <w:sz w:val="24"/>
          <w:szCs w:val="24"/>
        </w:rPr>
        <w:t xml:space="preserve"> customs legislation</w:t>
      </w:r>
      <w:r>
        <w:rPr>
          <w:rFonts w:ascii="Times New Roman" w:eastAsia="Times New Roman" w:hAnsi="Times New Roman" w:cs="Times New Roman"/>
          <w:noProof/>
          <w:sz w:val="24"/>
          <w:szCs w:val="24"/>
        </w:rPr>
        <w:t xml:space="preserve">, Albania’s customs code is broadly aligned with the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Its system for customs debt and guarantees is harmonised with EU rules. However, the levying of “scanning fees” per customs declaration  continue to contravene the Stabilisation and Association Agreement which prohibits customs duties or charges having e</w:t>
      </w:r>
      <w:r>
        <w:rPr>
          <w:rFonts w:ascii="Times New Roman" w:eastAsia="Times New Roman" w:hAnsi="Times New Roman" w:cs="Times New Roman"/>
          <w:noProof/>
          <w:sz w:val="24"/>
          <w:szCs w:val="24"/>
        </w:rPr>
        <w:t xml:space="preserve">quivalent effect on trade between the EU and Albania. The adoption by Parliament of national legislation and procedures to implement common transit is still pending. </w:t>
      </w:r>
      <w:r>
        <w:rPr>
          <w:rFonts w:ascii="Times New Roman" w:eastAsia="Calibri" w:hAnsi="Times New Roman" w:cs="Times New Roman"/>
          <w:noProof/>
          <w:sz w:val="24"/>
          <w:szCs w:val="24"/>
        </w:rPr>
        <w:t>Albania is implementing its Authorised economic operator programme but without any registr</w:t>
      </w:r>
      <w:r>
        <w:rPr>
          <w:rFonts w:ascii="Times New Roman" w:eastAsia="Calibri" w:hAnsi="Times New Roman" w:cs="Times New Roman"/>
          <w:noProof/>
          <w:sz w:val="24"/>
          <w:szCs w:val="24"/>
        </w:rPr>
        <w:t xml:space="preserve">ations to-date. Awareness raising activities regarding the benefits, procedures and programmes are taking place, but capacity still requires development. In September 2019 and May 2020 implementing provisions for free zones were approved. In February 2020 </w:t>
      </w:r>
      <w:r>
        <w:rPr>
          <w:rFonts w:ascii="Times New Roman" w:eastAsia="Calibri" w:hAnsi="Times New Roman" w:cs="Times New Roman"/>
          <w:noProof/>
          <w:sz w:val="24"/>
          <w:szCs w:val="24"/>
        </w:rPr>
        <w:t xml:space="preserve">exemptions from import duties were approved for construction materials and equipment for reconstruction following the November 2019 earthquake. </w:t>
      </w:r>
      <w:r>
        <w:rPr>
          <w:rFonts w:ascii="Times New Roman" w:hAnsi="Times New Roman" w:cs="Times New Roman"/>
          <w:noProof/>
          <w:sz w:val="24"/>
          <w:szCs w:val="24"/>
        </w:rPr>
        <w:t>As repose to COVID-19, upon joint initiative by the Permanent Secretariat of the Transport Community and the CEF</w:t>
      </w:r>
      <w:r>
        <w:rPr>
          <w:rFonts w:ascii="Times New Roman" w:hAnsi="Times New Roman" w:cs="Times New Roman"/>
          <w:noProof/>
          <w:sz w:val="24"/>
          <w:szCs w:val="24"/>
        </w:rPr>
        <w:t>TA Secretariat the six governments in the Western Balkans have implemented measures to facilitate the transport and trade of essential goods within the region.</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Binding tariff information and explanatory notes are published by the Albanian Customs Authority</w:t>
      </w:r>
      <w:r>
        <w:rPr>
          <w:rFonts w:ascii="Times New Roman" w:eastAsia="Times New Roman" w:hAnsi="Times New Roman" w:cs="Times New Roman"/>
          <w:noProof/>
          <w:sz w:val="24"/>
          <w:szCs w:val="24"/>
        </w:rPr>
        <w:t xml:space="preserve"> (ACA), and anonymised decisions on administrative appeals by the relevant court. The Customs Code contains rules of non-preferential origin and Albania applies the Regional Convention on Pan-Euro-Mediterranean preferential rules of origin and follows the </w:t>
      </w:r>
      <w:r>
        <w:rPr>
          <w:rFonts w:ascii="Times New Roman" w:eastAsia="Times New Roman" w:hAnsi="Times New Roman" w:cs="Times New Roman"/>
          <w:noProof/>
          <w:sz w:val="24"/>
          <w:szCs w:val="24"/>
        </w:rPr>
        <w:t>European Commission guidance related to the COVID-19 crisis period.</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customs code's provisions on valuation are aligned with EU rules. The risk management system is automated and compares import, export and transit data against active risk profiles. The</w:t>
      </w:r>
      <w:r>
        <w:rPr>
          <w:rFonts w:ascii="Times New Roman" w:eastAsia="Times New Roman" w:hAnsi="Times New Roman" w:cs="Times New Roman"/>
          <w:noProof/>
          <w:sz w:val="24"/>
          <w:szCs w:val="24"/>
        </w:rPr>
        <w:t xml:space="preserve"> legislation on customs enforcement of intellectual property rights (IPRs) is harmonised with the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The customs control system for drug precursors, dangerous chemical products and ‘controlled substances’ is harmonised with the 1988 UN Convention agai</w:t>
      </w:r>
      <w:r>
        <w:rPr>
          <w:rFonts w:ascii="Times New Roman" w:eastAsia="Times New Roman" w:hAnsi="Times New Roman" w:cs="Times New Roman"/>
          <w:noProof/>
          <w:sz w:val="24"/>
          <w:szCs w:val="24"/>
        </w:rPr>
        <w:t xml:space="preserve">nst Illicit Traffic in Narcotic Drugs and Psychotropic Substances. The national rules on cash and goods transported in travellers’ baggage still differ from the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as, as regards amounts to be declared and the declaration form. In June 2019 the law was</w:t>
      </w:r>
      <w:r>
        <w:rPr>
          <w:rFonts w:ascii="Times New Roman" w:eastAsia="Times New Roman" w:hAnsi="Times New Roman" w:cs="Times New Roman"/>
          <w:noProof/>
          <w:sz w:val="24"/>
          <w:szCs w:val="24"/>
        </w:rPr>
        <w:t xml:space="preserve"> amended to allow ACA to impose sanctions for non- or mis-declarations of cash at the border. Implementing provisions are pending approval. In 2019, the importation of a total of 23,273 goods suspected of infringing IPRs were suspended and 4149 goods destr</w:t>
      </w:r>
      <w:r>
        <w:rPr>
          <w:rFonts w:ascii="Times New Roman" w:eastAsia="Times New Roman" w:hAnsi="Times New Roman" w:cs="Times New Roman"/>
          <w:noProof/>
          <w:sz w:val="24"/>
          <w:szCs w:val="24"/>
        </w:rPr>
        <w:t>oyed following confirmation by right-holders.</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administrative and operational capacity</w:t>
      </w:r>
      <w:r>
        <w:rPr>
          <w:rFonts w:ascii="Times New Roman" w:eastAsia="Times New Roman" w:hAnsi="Times New Roman" w:cs="Times New Roman"/>
          <w:noProof/>
          <w:sz w:val="24"/>
          <w:szCs w:val="24"/>
        </w:rPr>
        <w:t>, the Customs Authority business strategy sets out its mission and strategic objectives for the period between 2017 and 2021, including an objective of improving the IT</w:t>
      </w:r>
      <w:r>
        <w:rPr>
          <w:rFonts w:ascii="Times New Roman" w:eastAsia="Times New Roman" w:hAnsi="Times New Roman" w:cs="Times New Roman"/>
          <w:noProof/>
          <w:sz w:val="24"/>
          <w:szCs w:val="24"/>
        </w:rPr>
        <w:t xml:space="preserve"> systems and platforms. Electronic local customs clearance is functioning, but the IT systems are fully interconnected only with the General Directorates of Taxation and of Road Transport, while police and prosecution officials have to meet certain conditi</w:t>
      </w:r>
      <w:r>
        <w:rPr>
          <w:rFonts w:ascii="Times New Roman" w:eastAsia="Times New Roman" w:hAnsi="Times New Roman" w:cs="Times New Roman"/>
          <w:noProof/>
          <w:sz w:val="24"/>
          <w:szCs w:val="24"/>
        </w:rPr>
        <w:t>ons to gain direct access. While the number of staff appointed in the Customs Administration under the Civil Service Law increased, the staff turnover remained very high.</w:t>
      </w:r>
    </w:p>
    <w:p w:rsidR="00EE1719" w:rsidRDefault="000E39BA">
      <w:pPr>
        <w:pStyle w:val="Heading2"/>
      </w:pPr>
      <w:bookmarkStart w:id="228" w:name="_Toc29803538"/>
      <w:bookmarkStart w:id="229" w:name="_Toc9430038"/>
      <w:bookmarkStart w:id="230" w:name="_Toc9331946"/>
      <w:bookmarkStart w:id="231" w:name="_Toc9328514"/>
      <w:bookmarkStart w:id="232" w:name="_Toc530733598"/>
      <w:bookmarkStart w:id="233" w:name="_Toc52745541"/>
      <w:r>
        <w:rPr>
          <w:rStyle w:val="Heading2Char"/>
          <w:rFonts w:eastAsiaTheme="minorEastAsia"/>
        </w:rPr>
        <w:t>5.30</w:t>
      </w:r>
      <w:r>
        <w:t xml:space="preserve">. </w:t>
      </w:r>
      <w:r>
        <w:tab/>
        <w:t>Chapter 30: External relations</w:t>
      </w:r>
      <w:bookmarkEnd w:id="227"/>
      <w:bookmarkEnd w:id="228"/>
      <w:bookmarkEnd w:id="229"/>
      <w:bookmarkEnd w:id="230"/>
      <w:bookmarkEnd w:id="231"/>
      <w:bookmarkEnd w:id="232"/>
      <w:bookmarkEnd w:id="233"/>
    </w:p>
    <w:p w:rsidR="00EE1719" w:rsidRDefault="000E39BA">
      <w:pPr>
        <w:spacing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The EU has a common trade and commercial policy</w:t>
      </w:r>
      <w:r>
        <w:rPr>
          <w:rFonts w:ascii="Times New Roman" w:eastAsia="Calibri" w:hAnsi="Times New Roman" w:cs="Times New Roman"/>
          <w:i/>
          <w:noProof/>
          <w:sz w:val="24"/>
          <w:szCs w:val="24"/>
        </w:rPr>
        <w:t xml:space="preserve"> towards third countries, based on multilateral and bilateral agreements and autonomous measures. There are also EU rules in the field of humanitarian aid and development policy.</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is </w:t>
      </w:r>
      <w:r>
        <w:rPr>
          <w:rFonts w:ascii="Times New Roman" w:eastAsia="Times New Roman" w:hAnsi="Times New Roman" w:cs="Times New Roman"/>
          <w:b/>
          <w:noProof/>
          <w:sz w:val="24"/>
          <w:szCs w:val="24"/>
        </w:rPr>
        <w:t>moderately</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prepared</w:t>
      </w:r>
      <w:r>
        <w:rPr>
          <w:rFonts w:ascii="Times New Roman" w:eastAsia="Times New Roman" w:hAnsi="Times New Roman" w:cs="Times New Roman"/>
          <w:noProof/>
          <w:sz w:val="24"/>
          <w:szCs w:val="24"/>
        </w:rPr>
        <w:t xml:space="preserve"> in the area of external relations. During the successful chairmanship of the </w:t>
      </w:r>
      <w:r>
        <w:rPr>
          <w:rFonts w:ascii="Times New Roman" w:eastAsia="Calibri" w:hAnsi="Times New Roman" w:cs="Times New Roman"/>
          <w:noProof/>
          <w:sz w:val="24"/>
          <w:szCs w:val="24"/>
        </w:rPr>
        <w:t>Central European Free Trade Agreement (</w:t>
      </w:r>
      <w:r>
        <w:rPr>
          <w:rFonts w:ascii="Times New Roman" w:eastAsia="Times New Roman" w:hAnsi="Times New Roman" w:cs="Times New Roman"/>
          <w:noProof/>
          <w:sz w:val="24"/>
          <w:szCs w:val="24"/>
        </w:rPr>
        <w:t xml:space="preserve">CEFTA) by Albania, </w:t>
      </w:r>
      <w:r>
        <w:rPr>
          <w:rFonts w:ascii="Times New Roman" w:eastAsia="Times New Roman" w:hAnsi="Times New Roman" w:cs="Times New Roman"/>
          <w:b/>
          <w:noProof/>
          <w:sz w:val="24"/>
          <w:szCs w:val="24"/>
        </w:rPr>
        <w:t>some progress</w:t>
      </w:r>
      <w:r>
        <w:rPr>
          <w:rFonts w:ascii="Times New Roman" w:eastAsia="Times New Roman" w:hAnsi="Times New Roman" w:cs="Times New Roman"/>
          <w:noProof/>
          <w:sz w:val="24"/>
          <w:szCs w:val="24"/>
        </w:rPr>
        <w:t xml:space="preserve"> was made with the adoption of CEFTA Additional Protocol (AP) 6 on liberalisation of trade in services and </w:t>
      </w:r>
      <w:r>
        <w:rPr>
          <w:rFonts w:ascii="Times New Roman" w:eastAsia="Times New Roman" w:hAnsi="Times New Roman" w:cs="Times New Roman"/>
          <w:noProof/>
          <w:sz w:val="24"/>
          <w:szCs w:val="24"/>
        </w:rPr>
        <w:t xml:space="preserve">on the mutual recognition of national Authorised Economic Operators (AEOs), and with the ratification of CEFTA AP 5. </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coming year, Albania should in particular:</w:t>
      </w:r>
    </w:p>
    <w:p w:rsidR="00EE1719" w:rsidRDefault="000E39BA">
      <w:pPr>
        <w:numPr>
          <w:ilvl w:val="0"/>
          <w:numId w:val="64"/>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strengthen the overall administrative capacity of the Ministry of Finance and Economy de</w:t>
      </w:r>
      <w:r>
        <w:rPr>
          <w:rFonts w:ascii="Times New Roman" w:eastAsia="Times New Roman" w:hAnsi="Times New Roman" w:cs="Times New Roman"/>
          <w:noProof/>
          <w:sz w:val="24"/>
          <w:szCs w:val="24"/>
        </w:rPr>
        <w:t xml:space="preserve">aling with trade with the EU, WTO and CEFTA; </w:t>
      </w:r>
    </w:p>
    <w:p w:rsidR="00EE1719" w:rsidRDefault="000E39BA">
      <w:pPr>
        <w:numPr>
          <w:ilvl w:val="0"/>
          <w:numId w:val="64"/>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continue implementing the national action plan on trade policy coordination and facilitation;</w:t>
      </w:r>
    </w:p>
    <w:p w:rsidR="00EE1719" w:rsidRDefault="000E39BA">
      <w:pPr>
        <w:numPr>
          <w:ilvl w:val="0"/>
          <w:numId w:val="64"/>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rPr>
        <w:t xml:space="preserve">adopt the relevant legislation in the field of export control of dual-use goods; </w:t>
      </w:r>
    </w:p>
    <w:p w:rsidR="00EE1719" w:rsidRDefault="000E39BA">
      <w:pPr>
        <w:numPr>
          <w:ilvl w:val="0"/>
          <w:numId w:val="64"/>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implement actions under the multi-</w:t>
      </w:r>
      <w:r>
        <w:rPr>
          <w:rFonts w:ascii="Times New Roman" w:eastAsia="Times New Roman" w:hAnsi="Times New Roman" w:cs="Times New Roman"/>
          <w:noProof/>
          <w:sz w:val="24"/>
          <w:szCs w:val="24"/>
        </w:rPr>
        <w:t xml:space="preserve">annual action plan for the development of a Regional Economic Area, in particular on implementation of CEFTA AP 5 on Trade Facilitation and AP 6 on liberalisation of trade in services and, respectively, on the AEOs, </w:t>
      </w:r>
      <w:r>
        <w:rPr>
          <w:rFonts w:ascii="Times New Roman" w:eastAsia="Calibri" w:hAnsi="Times New Roman" w:cs="Times New Roman"/>
          <w:noProof/>
          <w:sz w:val="24"/>
          <w:szCs w:val="24"/>
        </w:rPr>
        <w:t>negotiate and conclude the CEFTA AP 7 on</w:t>
      </w:r>
      <w:r>
        <w:rPr>
          <w:rFonts w:ascii="Times New Roman" w:eastAsia="Calibri" w:hAnsi="Times New Roman" w:cs="Times New Roman"/>
          <w:noProof/>
          <w:sz w:val="24"/>
          <w:szCs w:val="24"/>
        </w:rPr>
        <w:t xml:space="preserve"> dispute settlement; and adopt regional standards for International Investment Agreements and pursue the implementation of the individual reform action plan on investment (IRAP).</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the </w:t>
      </w:r>
      <w:r>
        <w:rPr>
          <w:rFonts w:ascii="Times New Roman" w:eastAsia="Times New Roman" w:hAnsi="Times New Roman" w:cs="Times New Roman"/>
          <w:b/>
          <w:noProof/>
          <w:sz w:val="24"/>
          <w:szCs w:val="24"/>
        </w:rPr>
        <w:t>common commercial policy</w:t>
      </w:r>
      <w:r>
        <w:rPr>
          <w:rFonts w:ascii="Times New Roman" w:eastAsia="Times New Roman" w:hAnsi="Times New Roman" w:cs="Times New Roman"/>
          <w:noProof/>
          <w:sz w:val="24"/>
          <w:szCs w:val="24"/>
        </w:rPr>
        <w:t>, Albania continued to coordinate its position</w:t>
      </w:r>
      <w:r>
        <w:rPr>
          <w:rFonts w:ascii="Times New Roman" w:eastAsia="Times New Roman" w:hAnsi="Times New Roman" w:cs="Times New Roman"/>
          <w:noProof/>
          <w:sz w:val="24"/>
          <w:szCs w:val="24"/>
        </w:rPr>
        <w:t>s and align its policies closely with those of the EU, including within the World Trade Organization (WTO) as regards the dispute settlement understanding (DSU), proposed mechanisms of the DSU and the Joint statement on Services Domestic Regulation. It rat</w:t>
      </w:r>
      <w:r>
        <w:rPr>
          <w:rFonts w:ascii="Times New Roman" w:eastAsia="Times New Roman" w:hAnsi="Times New Roman" w:cs="Times New Roman"/>
          <w:noProof/>
          <w:sz w:val="24"/>
          <w:szCs w:val="24"/>
        </w:rPr>
        <w:t xml:space="preserve">ified the WTO Trade Facilitation Agreement and notified its list of commitments, which still needs to be reviewed in order to speed up implementation. Due to COVID-19 crisis measures, Albania adopted in March the order on </w:t>
      </w:r>
      <w:r>
        <w:rPr>
          <w:rFonts w:ascii="Times New Roman" w:eastAsia="Times New Roman" w:hAnsi="Times New Roman" w:cs="Times New Roman"/>
          <w:iCs/>
          <w:noProof/>
          <w:sz w:val="24"/>
          <w:szCs w:val="24"/>
        </w:rPr>
        <w:t>prohibition of export of medicines</w:t>
      </w:r>
      <w:r>
        <w:rPr>
          <w:rFonts w:ascii="Times New Roman" w:eastAsia="Times New Roman" w:hAnsi="Times New Roman" w:cs="Times New Roman"/>
          <w:iCs/>
          <w:noProof/>
          <w:sz w:val="24"/>
          <w:szCs w:val="24"/>
        </w:rPr>
        <w:t xml:space="preserve"> and medical equipment.</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Further approximation of legislation on the control of exports, transfer, brokering and transit of dual-use items and on the Common Military List of the European Union (</w:t>
      </w:r>
      <w:r>
        <w:rPr>
          <w:rFonts w:ascii="Times New Roman" w:eastAsia="Calibri" w:hAnsi="Times New Roman" w:cs="Times New Roman"/>
          <w:noProof/>
          <w:sz w:val="24"/>
          <w:szCs w:val="24"/>
        </w:rPr>
        <w:t xml:space="preserve">EU Regulation </w:t>
      </w:r>
      <w:r>
        <w:rPr>
          <w:rFonts w:ascii="Times New Roman" w:eastAsia="Calibri" w:hAnsi="Times New Roman" w:cs="Times New Roman"/>
          <w:bCs/>
          <w:noProof/>
          <w:sz w:val="24"/>
          <w:szCs w:val="24"/>
        </w:rPr>
        <w:t>2017/2268</w:t>
      </w:r>
      <w:r>
        <w:rPr>
          <w:rFonts w:ascii="Times New Roman" w:eastAsia="Times New Roman" w:hAnsi="Times New Roman" w:cs="Times New Roman"/>
          <w:noProof/>
          <w:sz w:val="24"/>
          <w:szCs w:val="24"/>
        </w:rPr>
        <w:t>) was reached through a February 2019 Go</w:t>
      </w:r>
      <w:r>
        <w:rPr>
          <w:rFonts w:ascii="Times New Roman" w:eastAsia="Times New Roman" w:hAnsi="Times New Roman" w:cs="Times New Roman"/>
          <w:noProof/>
          <w:sz w:val="24"/>
          <w:szCs w:val="24"/>
        </w:rPr>
        <w:t>vernment Decision. Albania adopted its national control list of dual-use goods in line with EU Regulations. The CoM adopted a the regulation on organization, functioning and status of the State Export Control Authority, the procedure for sharing informatio</w:t>
      </w:r>
      <w:r>
        <w:rPr>
          <w:rFonts w:ascii="Times New Roman" w:eastAsia="Times New Roman" w:hAnsi="Times New Roman" w:cs="Times New Roman"/>
          <w:noProof/>
          <w:sz w:val="24"/>
          <w:szCs w:val="24"/>
        </w:rPr>
        <w:t xml:space="preserve">n and gathering opinions with other institutions involved in the international transfer of controlled goods, and the procedures for state guarantees and controls. </w:t>
      </w:r>
      <w:r>
        <w:rPr>
          <w:rFonts w:ascii="Times New Roman" w:eastAsia="Times New Roman" w:hAnsi="Times New Roman" w:cs="Times New Roman"/>
          <w:noProof/>
          <w:sz w:val="24"/>
          <w:szCs w:val="24"/>
          <w:lang w:bidi="en-US"/>
        </w:rPr>
        <w:t xml:space="preserve">Further </w:t>
      </w:r>
      <w:r>
        <w:rPr>
          <w:rFonts w:ascii="Times New Roman" w:eastAsia="Calibri" w:hAnsi="Times New Roman" w:cs="Times New Roman"/>
          <w:noProof/>
          <w:sz w:val="24"/>
          <w:szCs w:val="24"/>
        </w:rPr>
        <w:t xml:space="preserve">alignment is still needed with the EU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rPr>
        <w:t xml:space="preserve">on export controls of dual-use goods. A </w:t>
      </w:r>
      <w:r>
        <w:rPr>
          <w:rFonts w:ascii="Times New Roman" w:eastAsia="Calibri" w:hAnsi="Times New Roman" w:cs="Times New Roman"/>
          <w:noProof/>
          <w:sz w:val="24"/>
          <w:szCs w:val="24"/>
        </w:rPr>
        <w:t xml:space="preserve">specific unit dealing with dangerous goods, dual use and illegal trafficking was set up in the anti-trafficking directorate in the General Directorate of Customs. </w:t>
      </w:r>
      <w:r>
        <w:rPr>
          <w:rFonts w:ascii="Times New Roman" w:eastAsia="Times New Roman" w:hAnsi="Times New Roman" w:cs="Times New Roman"/>
          <w:noProof/>
          <w:sz w:val="24"/>
          <w:szCs w:val="24"/>
        </w:rPr>
        <w:t xml:space="preserve">While there was no progress on its participation in the multilateral export control regimes, </w:t>
      </w:r>
      <w:r>
        <w:rPr>
          <w:rFonts w:ascii="Times New Roman" w:eastAsia="Times New Roman" w:hAnsi="Times New Roman" w:cs="Times New Roman"/>
          <w:noProof/>
          <w:sz w:val="24"/>
          <w:szCs w:val="24"/>
        </w:rPr>
        <w:t>such as the Wassenaar Agreement, Albania aligned with the EU lists of dual used goods and military items deriving from those regimes. Albania did not align its legislation the EU’s on trade in certain goods that could be used for capital punishment, tortur</w:t>
      </w:r>
      <w:r>
        <w:rPr>
          <w:rFonts w:ascii="Times New Roman" w:eastAsia="Times New Roman" w:hAnsi="Times New Roman" w:cs="Times New Roman"/>
          <w:noProof/>
          <w:sz w:val="24"/>
          <w:szCs w:val="24"/>
        </w:rPr>
        <w:t xml:space="preserve">e or other cruel, inhuman or degrading treatment or punishment.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signed 12 new </w:t>
      </w:r>
      <w:r>
        <w:rPr>
          <w:rFonts w:ascii="Times New Roman" w:eastAsia="Times New Roman" w:hAnsi="Times New Roman" w:cs="Times New Roman"/>
          <w:b/>
          <w:noProof/>
          <w:sz w:val="24"/>
          <w:szCs w:val="24"/>
        </w:rPr>
        <w:t>bilateral agreements with third countries</w:t>
      </w:r>
      <w:r>
        <w:rPr>
          <w:rFonts w:ascii="Times New Roman" w:eastAsia="Times New Roman" w:hAnsi="Times New Roman" w:cs="Times New Roman"/>
          <w:noProof/>
          <w:sz w:val="24"/>
          <w:szCs w:val="24"/>
        </w:rPr>
        <w:t xml:space="preserve"> on economic/trade/technical cooperation. It now has 36 such agreements, including 13 with EU Member States. In July 2019, Alban</w:t>
      </w:r>
      <w:r>
        <w:rPr>
          <w:rFonts w:ascii="Times New Roman" w:eastAsia="Times New Roman" w:hAnsi="Times New Roman" w:cs="Times New Roman"/>
          <w:noProof/>
          <w:sz w:val="24"/>
          <w:szCs w:val="24"/>
        </w:rPr>
        <w:t>ia concluded a Memorandum of Understanding with Croatia on the cooperation in the field of enterpreneurship. Albania has Bilateral Investment Treaties with 45 countries and 7 more are under negotiation with Slovakia, Iran, Canada, Morocco, Lebanon, Saudi A</w:t>
      </w:r>
      <w:r>
        <w:rPr>
          <w:rFonts w:ascii="Times New Roman" w:eastAsia="Times New Roman" w:hAnsi="Times New Roman" w:cs="Times New Roman"/>
          <w:noProof/>
          <w:sz w:val="24"/>
          <w:szCs w:val="24"/>
        </w:rPr>
        <w:t xml:space="preserve">rabia and Iceland. Negotiations for amending the free trade agreement with Turkey continued, with a focuse on trade in services and investments and implementation of rules of origin under the Pan-Euro-Med Convention as well as on furthe mutual concessions </w:t>
      </w:r>
      <w:r>
        <w:rPr>
          <w:rFonts w:ascii="Times New Roman" w:eastAsia="Times New Roman" w:hAnsi="Times New Roman" w:cs="Times New Roman"/>
          <w:noProof/>
          <w:sz w:val="24"/>
          <w:szCs w:val="24"/>
        </w:rPr>
        <w:t>for agricultural products. Interest was expressed bilaterally in establishing joint committee/economic cooperation agreements with Algeria, Egypt, Cuba, India, Norway, Georgia, Ukraine, Liban and recently negotitaions for a free trade agreement with the Un</w:t>
      </w:r>
      <w:r>
        <w:rPr>
          <w:rFonts w:ascii="Times New Roman" w:eastAsia="Times New Roman" w:hAnsi="Times New Roman" w:cs="Times New Roman"/>
          <w:noProof/>
          <w:sz w:val="24"/>
          <w:szCs w:val="24"/>
        </w:rPr>
        <w:t>ited Kingdom are ongoing and a draft agreement is under finalisation. Negotitations have started with Kazakhstan for possibe revision of the 2015 agreement on trade and economic cooperation.</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2019, Albania held successfully the chair of CEFTA, at the end of which the joint committee successfully endorsed, among others, the adoption of the CEFTA  Additional Protocol 6 on trade in services and the </w:t>
      </w:r>
      <w:r>
        <w:rPr>
          <w:rFonts w:ascii="Times New Roman" w:eastAsia="Calibri" w:hAnsi="Times New Roman" w:cs="Times New Roman"/>
          <w:noProof/>
          <w:sz w:val="24"/>
          <w:szCs w:val="24"/>
        </w:rPr>
        <w:t xml:space="preserve">decision on establishing the validation </w:t>
      </w:r>
      <w:r>
        <w:rPr>
          <w:rFonts w:ascii="Times New Roman" w:eastAsia="Calibri" w:hAnsi="Times New Roman" w:cs="Times New Roman"/>
          <w:noProof/>
          <w:sz w:val="24"/>
          <w:szCs w:val="24"/>
        </w:rPr>
        <w:t>procedure for the mutual recognition of CEFTA Parties’ national Authorised Economic Operators</w:t>
      </w:r>
      <w:r>
        <w:rPr>
          <w:rFonts w:ascii="Times New Roman" w:eastAsia="Times New Roman" w:hAnsi="Times New Roman" w:cs="Times New Roman"/>
          <w:noProof/>
          <w:sz w:val="24"/>
          <w:szCs w:val="24"/>
        </w:rPr>
        <w:t>. Albania continued to work in line with the commitments under the Western Balkans Multi-Annual Action Plan for developing a Regional Economic Area (REA). The gove</w:t>
      </w:r>
      <w:r>
        <w:rPr>
          <w:rFonts w:ascii="Times New Roman" w:eastAsia="Times New Roman" w:hAnsi="Times New Roman" w:cs="Times New Roman"/>
          <w:noProof/>
          <w:sz w:val="24"/>
          <w:szCs w:val="24"/>
        </w:rPr>
        <w:t>rnment established a mechanism for implementing and monitoring the REA. CEFTA Additional Protocol 6 was ratified by parliament in April 2020.</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Administrative and operational capacity needs to be strengthened. The Ministry of Economy and Finance still lacks </w:t>
      </w:r>
      <w:r>
        <w:rPr>
          <w:rFonts w:ascii="Times New Roman" w:eastAsia="Times New Roman" w:hAnsi="Times New Roman" w:cs="Times New Roman"/>
          <w:noProof/>
          <w:sz w:val="24"/>
          <w:szCs w:val="24"/>
        </w:rPr>
        <w:t xml:space="preserve">a unit dealing with trade policiy including with the EU, CEFTA and the WTO. Despite the increased workload in 2019 of chairing CEFTA, Albania’s limited administrative resources consisted of one expert and one director who also covered economic development </w:t>
      </w:r>
      <w:r>
        <w:rPr>
          <w:rFonts w:ascii="Times New Roman" w:eastAsia="Times New Roman" w:hAnsi="Times New Roman" w:cs="Times New Roman"/>
          <w:noProof/>
          <w:sz w:val="24"/>
          <w:szCs w:val="24"/>
        </w:rPr>
        <w:t>policies, internal market issues and the functions of the Technical Secretariat for the National Committee for Trade Policy and Facilitation. Partial support from donor funded assistance in the sector proved useful but cannot substitute the need for perman</w:t>
      </w:r>
      <w:r>
        <w:rPr>
          <w:rFonts w:ascii="Times New Roman" w:eastAsia="Times New Roman" w:hAnsi="Times New Roman" w:cs="Times New Roman"/>
          <w:noProof/>
          <w:sz w:val="24"/>
          <w:szCs w:val="24"/>
        </w:rPr>
        <w:t xml:space="preserve">ent staff. A stable administrative structure dealing with trade-related issues was not in place.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has no </w:t>
      </w:r>
      <w:r>
        <w:rPr>
          <w:rFonts w:ascii="Times New Roman" w:eastAsia="Times New Roman" w:hAnsi="Times New Roman" w:cs="Times New Roman"/>
          <w:b/>
          <w:noProof/>
          <w:sz w:val="24"/>
          <w:szCs w:val="24"/>
        </w:rPr>
        <w:t>development policy</w:t>
      </w:r>
      <w:r>
        <w:rPr>
          <w:rFonts w:ascii="Times New Roman" w:eastAsia="Times New Roman" w:hAnsi="Times New Roman" w:cs="Times New Roman"/>
          <w:noProof/>
          <w:sz w:val="24"/>
          <w:szCs w:val="24"/>
        </w:rPr>
        <w:t xml:space="preserve"> framework for cooperation/aid or agency for development cooperation. The country is encouraged to establish a legal framewo</w:t>
      </w:r>
      <w:r>
        <w:rPr>
          <w:rFonts w:ascii="Times New Roman" w:eastAsia="Times New Roman" w:hAnsi="Times New Roman" w:cs="Times New Roman"/>
          <w:noProof/>
          <w:sz w:val="24"/>
          <w:szCs w:val="24"/>
        </w:rPr>
        <w:t>rk covering international cooperation and development policy as well as humanitarian aid towards non-EU countries, in accordance with EU policies and principles. The 2001 Law on Non-Profit Organisations recognises such organisations’ potential activities i</w:t>
      </w:r>
      <w:r>
        <w:rPr>
          <w:rFonts w:ascii="Times New Roman" w:eastAsia="Times New Roman" w:hAnsi="Times New Roman" w:cs="Times New Roman"/>
          <w:noProof/>
          <w:sz w:val="24"/>
          <w:szCs w:val="24"/>
        </w:rPr>
        <w:t xml:space="preserve">n the field of </w:t>
      </w:r>
      <w:r>
        <w:rPr>
          <w:rFonts w:ascii="Times New Roman" w:eastAsia="Times New Roman" w:hAnsi="Times New Roman" w:cs="Times New Roman"/>
          <w:b/>
          <w:noProof/>
          <w:sz w:val="24"/>
          <w:szCs w:val="24"/>
        </w:rPr>
        <w:t>humanitarian aid</w:t>
      </w:r>
      <w:r>
        <w:rPr>
          <w:rFonts w:ascii="Times New Roman" w:eastAsia="Times New Roman" w:hAnsi="Times New Roman" w:cs="Times New Roman"/>
          <w:noProof/>
          <w:sz w:val="24"/>
          <w:szCs w:val="24"/>
        </w:rPr>
        <w:t xml:space="preserve"> and allows them to carry out development and humanitarian aid activities in Albania and elsewhere. </w:t>
      </w:r>
    </w:p>
    <w:p w:rsidR="00EE1719" w:rsidRDefault="000E39BA">
      <w:pPr>
        <w:pStyle w:val="Heading2"/>
      </w:pPr>
      <w:bookmarkStart w:id="234" w:name="_Toc29803539"/>
      <w:bookmarkStart w:id="235" w:name="_Toc9430039"/>
      <w:bookmarkStart w:id="236" w:name="_Toc9331947"/>
      <w:bookmarkStart w:id="237" w:name="_Toc9328515"/>
      <w:bookmarkStart w:id="238" w:name="_Toc510686883"/>
      <w:bookmarkStart w:id="239" w:name="_Toc530733599"/>
      <w:bookmarkStart w:id="240" w:name="_Toc52745542"/>
      <w:r>
        <w:rPr>
          <w:rStyle w:val="Heading2Char"/>
          <w:rFonts w:eastAsiaTheme="minorEastAsia"/>
        </w:rPr>
        <w:t>5.31</w:t>
      </w:r>
      <w:r>
        <w:t xml:space="preserve">. </w:t>
      </w:r>
      <w:r>
        <w:tab/>
        <w:t>Chapter 31: Foreign, security and defence policy</w:t>
      </w:r>
      <w:bookmarkEnd w:id="234"/>
      <w:bookmarkEnd w:id="235"/>
      <w:bookmarkEnd w:id="236"/>
      <w:bookmarkEnd w:id="237"/>
      <w:bookmarkEnd w:id="238"/>
      <w:bookmarkEnd w:id="239"/>
      <w:bookmarkEnd w:id="240"/>
    </w:p>
    <w:p w:rsidR="00EE1719" w:rsidRDefault="000E39BA">
      <w:pPr>
        <w:spacing w:after="120" w:line="240" w:lineRule="auto"/>
        <w:jc w:val="both"/>
        <w:rPr>
          <w:rFonts w:ascii="Times New Roman" w:eastAsia="Calibri" w:hAnsi="Times New Roman" w:cs="Times New Roman"/>
          <w:i/>
          <w:noProof/>
          <w:sz w:val="24"/>
          <w:szCs w:val="24"/>
        </w:rPr>
      </w:pPr>
      <w:bookmarkStart w:id="241" w:name="_Toc510686884"/>
      <w:r>
        <w:rPr>
          <w:rFonts w:ascii="Times New Roman" w:eastAsia="Calibri" w:hAnsi="Times New Roman" w:cs="Times New Roman"/>
          <w:i/>
          <w:noProof/>
          <w:sz w:val="24"/>
          <w:szCs w:val="24"/>
        </w:rPr>
        <w:t>Member States must be able to conduct political dialogue under EU fo</w:t>
      </w:r>
      <w:r>
        <w:rPr>
          <w:rFonts w:ascii="Times New Roman" w:eastAsia="Calibri" w:hAnsi="Times New Roman" w:cs="Times New Roman"/>
          <w:i/>
          <w:noProof/>
          <w:sz w:val="24"/>
          <w:szCs w:val="24"/>
        </w:rPr>
        <w:t>reign, security and defence policy, to align with EU statements, to take part in EU actions and to apply agreed sanctions and restrictive measures.</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Albania has a</w:t>
      </w:r>
      <w:r>
        <w:rPr>
          <w:rFonts w:ascii="Times New Roman" w:eastAsia="Times New Roman" w:hAnsi="Times New Roman" w:cs="Times New Roman"/>
          <w:b/>
          <w:noProof/>
          <w:sz w:val="24"/>
          <w:szCs w:val="24"/>
        </w:rPr>
        <w:t xml:space="preserve"> good level of preparation</w:t>
      </w:r>
      <w:r>
        <w:rPr>
          <w:rFonts w:ascii="Times New Roman" w:eastAsia="Times New Roman" w:hAnsi="Times New Roman" w:cs="Times New Roman"/>
          <w:noProof/>
          <w:sz w:val="24"/>
          <w:szCs w:val="24"/>
        </w:rPr>
        <w:t>. The country assumed the OSCE’s Chairmanship-in-Office in 2020, demo</w:t>
      </w:r>
      <w:r>
        <w:rPr>
          <w:rFonts w:ascii="Times New Roman" w:eastAsia="Times New Roman" w:hAnsi="Times New Roman" w:cs="Times New Roman"/>
          <w:noProof/>
          <w:sz w:val="24"/>
          <w:szCs w:val="24"/>
        </w:rPr>
        <w:t xml:space="preserve">nstrating its commitment to multilateral cooperation. Albania continued to participate in EU crisis-management missions and operations and to fully align with EU positions. </w:t>
      </w:r>
      <w:r>
        <w:rPr>
          <w:rFonts w:ascii="Times New Roman" w:eastAsia="Times New Roman" w:hAnsi="Times New Roman" w:cs="Times New Roman"/>
          <w:b/>
          <w:noProof/>
          <w:sz w:val="24"/>
          <w:szCs w:val="24"/>
        </w:rPr>
        <w:t>Some progress</w:t>
      </w:r>
      <w:r>
        <w:rPr>
          <w:rFonts w:ascii="Times New Roman" w:eastAsia="Times New Roman" w:hAnsi="Times New Roman" w:cs="Times New Roman"/>
          <w:noProof/>
          <w:sz w:val="24"/>
          <w:szCs w:val="24"/>
        </w:rPr>
        <w:t xml:space="preserve"> was made through the ongoing security upgrade of storage facilities f</w:t>
      </w:r>
      <w:r>
        <w:rPr>
          <w:rFonts w:ascii="Times New Roman" w:eastAsia="Times New Roman" w:hAnsi="Times New Roman" w:cs="Times New Roman"/>
          <w:noProof/>
          <w:sz w:val="24"/>
          <w:szCs w:val="24"/>
        </w:rPr>
        <w:t xml:space="preserve">or armaments and ammunition. The EU-Albania agreement on the exchange of classified information entered into force after the final implementing arrangements were concluded in 2019. The hybrid risk survey was launched with Albania and answers to the survey </w:t>
      </w:r>
      <w:r>
        <w:rPr>
          <w:rFonts w:ascii="Times New Roman" w:eastAsia="Times New Roman" w:hAnsi="Times New Roman" w:cs="Times New Roman"/>
          <w:noProof/>
          <w:sz w:val="24"/>
          <w:szCs w:val="24"/>
        </w:rPr>
        <w:t>were provided.</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coming year, the country should in particular:</w:t>
      </w:r>
    </w:p>
    <w:p w:rsidR="00EE1719" w:rsidRDefault="000E39BA">
      <w:pPr>
        <w:numPr>
          <w:ilvl w:val="0"/>
          <w:numId w:val="65"/>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make the firearms focal point in the Albanian State Police fully operational, continue to implement the national strategy on small arms and light weapons, and further improve the security</w:t>
      </w:r>
      <w:r>
        <w:rPr>
          <w:rFonts w:ascii="Times New Roman" w:eastAsia="Times New Roman" w:hAnsi="Times New Roman" w:cs="Times New Roman"/>
          <w:noProof/>
          <w:sz w:val="24"/>
          <w:szCs w:val="24"/>
        </w:rPr>
        <w:t xml:space="preserve"> of storage facilities for armaments and ammunition.</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
          <w:noProof/>
          <w:sz w:val="24"/>
          <w:szCs w:val="24"/>
        </w:rPr>
        <w:t>political dialogue</w:t>
      </w:r>
      <w:r>
        <w:rPr>
          <w:rFonts w:ascii="Times New Roman" w:eastAsia="Times New Roman" w:hAnsi="Times New Roman" w:cs="Times New Roman"/>
          <w:noProof/>
          <w:sz w:val="24"/>
          <w:szCs w:val="24"/>
        </w:rPr>
        <w:t xml:space="preserve"> between the EU and Albania on foreign and security policy issues continued, including through Albania’s active engagement in the EU’s regional dialogue with the Western Balkans at </w:t>
      </w:r>
      <w:r>
        <w:rPr>
          <w:rFonts w:ascii="Times New Roman" w:eastAsia="Times New Roman" w:hAnsi="Times New Roman" w:cs="Times New Roman"/>
          <w:noProof/>
          <w:sz w:val="24"/>
          <w:szCs w:val="24"/>
        </w:rPr>
        <w:t>political directors’ level (</w:t>
      </w:r>
      <w:r>
        <w:rPr>
          <w:rFonts w:ascii="Times New Roman" w:eastAsia="Times New Roman" w:hAnsi="Times New Roman" w:cs="Times New Roman"/>
          <w:iCs/>
          <w:noProof/>
          <w:sz w:val="24"/>
          <w:szCs w:val="24"/>
        </w:rPr>
        <w:t>for more information on relations with other enlargement countries and EU Member States,</w:t>
      </w:r>
      <w:r>
        <w:rPr>
          <w:rFonts w:ascii="Times New Roman" w:eastAsia="Times New Roman" w:hAnsi="Times New Roman" w:cs="Times New Roman"/>
          <w:i/>
          <w:iCs/>
          <w:noProof/>
          <w:sz w:val="24"/>
          <w:szCs w:val="24"/>
        </w:rPr>
        <w:t xml:space="preserve"> see</w:t>
      </w:r>
      <w:r>
        <w:rPr>
          <w:rFonts w:ascii="Times New Roman" w:eastAsia="Times New Roman" w:hAnsi="Times New Roman" w:cs="Times New Roman"/>
          <w:noProof/>
          <w:sz w:val="24"/>
          <w:szCs w:val="24"/>
        </w:rPr>
        <w:t xml:space="preserve"> </w:t>
      </w:r>
      <w:r>
        <w:rPr>
          <w:rFonts w:ascii="Times New Roman" w:eastAsia="Times New Roman" w:hAnsi="Times New Roman" w:cs="Times New Roman"/>
          <w:i/>
          <w:iCs/>
          <w:noProof/>
          <w:sz w:val="24"/>
          <w:szCs w:val="24"/>
        </w:rPr>
        <w:t>Political criteria — Regional issues and international obligations</w:t>
      </w:r>
      <w:r>
        <w:rPr>
          <w:rFonts w:ascii="Times New Roman" w:eastAsia="Times New Roman" w:hAnsi="Times New Roman" w:cs="Times New Roman"/>
          <w:noProof/>
          <w:sz w:val="24"/>
          <w:szCs w:val="24"/>
        </w:rPr>
        <w:t>).</w:t>
      </w:r>
    </w:p>
    <w:p w:rsidR="00EE1719" w:rsidRDefault="000E39BA">
      <w:pPr>
        <w:widowControl w:val="0"/>
        <w:spacing w:after="120" w:line="240" w:lineRule="auto"/>
        <w:jc w:val="both"/>
        <w:rPr>
          <w:rFonts w:ascii="Times New Roman" w:eastAsia="Calibri" w:hAnsi="Times New Roman" w:cs="Times New Roman"/>
          <w:i/>
          <w:iCs/>
          <w:noProof/>
          <w:sz w:val="24"/>
          <w:szCs w:val="24"/>
          <w:shd w:val="clear" w:color="auto" w:fill="FFFFFF"/>
          <w:lang w:bidi="en-US"/>
        </w:rPr>
      </w:pPr>
      <w:r>
        <w:rPr>
          <w:rFonts w:ascii="Times New Roman" w:eastAsia="Calibri" w:hAnsi="Times New Roman" w:cs="Times New Roman"/>
          <w:noProof/>
          <w:sz w:val="24"/>
          <w:szCs w:val="24"/>
        </w:rPr>
        <w:t xml:space="preserve">Albania’s Ministry for Europe and Foreign Affairs and the Ministry of Defence have appropriate structures to participate in the common foreign and security policy and the common security and defence policy. On the </w:t>
      </w:r>
      <w:r>
        <w:rPr>
          <w:rFonts w:ascii="Times New Roman" w:eastAsia="Calibri" w:hAnsi="Times New Roman" w:cs="Times New Roman"/>
          <w:b/>
          <w:noProof/>
          <w:sz w:val="24"/>
          <w:szCs w:val="24"/>
        </w:rPr>
        <w:t>common foreign and security policy (CFSP)</w:t>
      </w:r>
      <w:r>
        <w:rPr>
          <w:rFonts w:ascii="Times New Roman" w:eastAsia="Calibri" w:hAnsi="Times New Roman" w:cs="Times New Roman"/>
          <w:noProof/>
          <w:sz w:val="24"/>
          <w:szCs w:val="24"/>
        </w:rPr>
        <w:t>,</w:t>
      </w:r>
      <w:r>
        <w:rPr>
          <w:rFonts w:ascii="Times New Roman" w:eastAsia="Calibri" w:hAnsi="Times New Roman" w:cs="Times New Roman"/>
          <w:noProof/>
          <w:sz w:val="24"/>
          <w:szCs w:val="24"/>
        </w:rPr>
        <w:t xml:space="preserve"> Albania supports the Global Strategy for the EU’s foreign and security policy. When invited, Albania aligned with all relevant Council decisions and High-Representative declarations on behalf of the EU </w:t>
      </w:r>
      <w:r>
        <w:rPr>
          <w:rFonts w:ascii="Times New Roman" w:eastAsia="Times New Roman" w:hAnsi="Times New Roman" w:cs="Times New Roman"/>
          <w:noProof/>
          <w:sz w:val="24"/>
          <w:szCs w:val="24"/>
          <w:lang w:bidi="en-US"/>
        </w:rPr>
        <w:t>(100% alignment). In October 2019, the country adopte</w:t>
      </w:r>
      <w:r>
        <w:rPr>
          <w:rFonts w:ascii="Times New Roman" w:eastAsia="Times New Roman" w:hAnsi="Times New Roman" w:cs="Times New Roman"/>
          <w:noProof/>
          <w:sz w:val="24"/>
          <w:szCs w:val="24"/>
          <w:lang w:bidi="en-US"/>
        </w:rPr>
        <w:t>d a law on international restrictive measures, which provides a new legal basis for the implementation of EU, UN and other international sanctions.</w:t>
      </w:r>
    </w:p>
    <w:p w:rsidR="00EE1719" w:rsidRDefault="000E39BA">
      <w:pPr>
        <w:widowControl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Albania maintains a 2003 bilateral immunity agreement with the United States, granting exemptions for US cit</w:t>
      </w:r>
      <w:r>
        <w:rPr>
          <w:rFonts w:ascii="Times New Roman" w:eastAsia="Calibri" w:hAnsi="Times New Roman" w:cs="Times New Roman"/>
          <w:noProof/>
          <w:sz w:val="24"/>
          <w:szCs w:val="24"/>
        </w:rPr>
        <w:t xml:space="preserve">izens from the jurisdiction of the </w:t>
      </w:r>
      <w:r>
        <w:rPr>
          <w:rFonts w:ascii="Times New Roman" w:eastAsia="Calibri" w:hAnsi="Times New Roman" w:cs="Times New Roman"/>
          <w:b/>
          <w:bCs/>
          <w:noProof/>
          <w:sz w:val="24"/>
          <w:szCs w:val="24"/>
        </w:rPr>
        <w:t>International Criminal Court</w:t>
      </w:r>
      <w:r>
        <w:rPr>
          <w:rFonts w:ascii="Times New Roman" w:eastAsia="Calibri" w:hAnsi="Times New Roman" w:cs="Times New Roman"/>
          <w:noProof/>
          <w:sz w:val="24"/>
          <w:szCs w:val="24"/>
        </w:rPr>
        <w:t>. In doing so, it does not comply with the EU common positions on the integrity of the Rome Statute or with the related EU guiding principles on bilateral immunity agreements. Alignment with th</w:t>
      </w:r>
      <w:r>
        <w:rPr>
          <w:rFonts w:ascii="Times New Roman" w:eastAsia="Calibri" w:hAnsi="Times New Roman" w:cs="Times New Roman"/>
          <w:noProof/>
          <w:sz w:val="24"/>
          <w:szCs w:val="24"/>
        </w:rPr>
        <w:t>e EU position is therefore needed.</w:t>
      </w:r>
    </w:p>
    <w:p w:rsidR="00EE1719" w:rsidRDefault="000E39BA">
      <w:pPr>
        <w:widowControl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continued to implement its national strategy and action plan on </w:t>
      </w:r>
      <w:r>
        <w:rPr>
          <w:rFonts w:ascii="Times New Roman" w:eastAsia="Times New Roman" w:hAnsi="Times New Roman" w:cs="Times New Roman"/>
          <w:b/>
          <w:noProof/>
          <w:sz w:val="24"/>
          <w:szCs w:val="24"/>
        </w:rPr>
        <w:t>small arms and light weapons</w:t>
      </w:r>
      <w:r>
        <w:rPr>
          <w:rFonts w:ascii="Times New Roman" w:eastAsia="Times New Roman" w:hAnsi="Times New Roman" w:cs="Times New Roman"/>
          <w:noProof/>
          <w:sz w:val="24"/>
          <w:szCs w:val="24"/>
        </w:rPr>
        <w:t xml:space="preserve"> adopted in February 2019. It also remained actively engaged in the implementation of the 2018 Regional Roadmap for a sus</w:t>
      </w:r>
      <w:r>
        <w:rPr>
          <w:rFonts w:ascii="Times New Roman" w:eastAsia="Times New Roman" w:hAnsi="Times New Roman" w:cs="Times New Roman"/>
          <w:noProof/>
          <w:sz w:val="24"/>
          <w:szCs w:val="24"/>
        </w:rPr>
        <w:t>tainable solution to the illegal possession, misuse and trafficking of small arms and light weapons and their ammunition in the Western Balkans. Also, the authorities continued to actively participate in regional and international processes for the exchang</w:t>
      </w:r>
      <w:r>
        <w:rPr>
          <w:rFonts w:ascii="Times New Roman" w:eastAsia="Times New Roman" w:hAnsi="Times New Roman" w:cs="Times New Roman"/>
          <w:noProof/>
          <w:sz w:val="24"/>
          <w:szCs w:val="24"/>
        </w:rPr>
        <w:t>e of information and good practices in the field of small arms and light weapons.</w:t>
      </w:r>
      <w:r>
        <w:rPr>
          <w:rFonts w:ascii="Times New Roman" w:eastAsia="Times New Roman" w:hAnsi="Times New Roman" w:cs="Times New Roman"/>
          <w:noProof/>
          <w:sz w:val="24"/>
          <w:szCs w:val="24"/>
          <w:lang w:eastAsia="zh-CN"/>
        </w:rPr>
        <w:t xml:space="preserve"> Albania also participates in Europol operational activities within the European multidisciplinary platform against criminal threats (EMPACT) on firearms.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Albania made furthe</w:t>
      </w:r>
      <w:r>
        <w:rPr>
          <w:rFonts w:ascii="Times New Roman" w:eastAsia="Times New Roman" w:hAnsi="Times New Roman" w:cs="Times New Roman"/>
          <w:noProof/>
          <w:sz w:val="24"/>
          <w:szCs w:val="24"/>
        </w:rPr>
        <w:t>r progress on improving the security of storage facilities for armaments and ammunition. Security upgrades of the Ministry of Defence’s ammunition and armament storages in Miraka and Zall-Herr have been completed. Security upgrades of the State Police’s st</w:t>
      </w:r>
      <w:r>
        <w:rPr>
          <w:rFonts w:ascii="Times New Roman" w:eastAsia="Times New Roman" w:hAnsi="Times New Roman" w:cs="Times New Roman"/>
          <w:noProof/>
          <w:sz w:val="24"/>
          <w:szCs w:val="24"/>
        </w:rPr>
        <w:t xml:space="preserve">orage facility in Mullet are ongoing. Albania made further progress on implementing the action plan for destroying surplus weaponry. Clearance of hotspots contaminated with unexploded ammunition continues.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firearms focal point set up within the Albani</w:t>
      </w:r>
      <w:r>
        <w:rPr>
          <w:rFonts w:ascii="Times New Roman" w:eastAsia="Times New Roman" w:hAnsi="Times New Roman" w:cs="Times New Roman"/>
          <w:noProof/>
          <w:sz w:val="24"/>
          <w:szCs w:val="24"/>
        </w:rPr>
        <w:t>an State Police in 2018 remains a virtual entity only</w:t>
      </w:r>
      <w:r>
        <w:rPr>
          <w:rFonts w:ascii="Times New Roman" w:eastAsia="Times New Roman" w:hAnsi="Times New Roman" w:cs="Times New Roman"/>
          <w:noProof/>
          <w:sz w:val="24"/>
          <w:szCs w:val="24"/>
          <w:lang w:eastAsia="zh-CN"/>
        </w:rPr>
        <w:t xml:space="preserve"> and its full establishment is pending. It is important that </w:t>
      </w:r>
      <w:r>
        <w:rPr>
          <w:rFonts w:ascii="Times New Roman" w:eastAsia="Times New Roman" w:hAnsi="Times New Roman" w:cs="Times New Roman"/>
          <w:noProof/>
          <w:sz w:val="24"/>
          <w:szCs w:val="24"/>
        </w:rPr>
        <w:t>Albania fully integrates the focal point in the police structures and makes it fully operational as soon as possible. This would improve the a</w:t>
      </w:r>
      <w:r>
        <w:rPr>
          <w:rFonts w:ascii="Times New Roman" w:eastAsia="Times New Roman" w:hAnsi="Times New Roman" w:cs="Times New Roman"/>
          <w:noProof/>
          <w:sz w:val="24"/>
          <w:szCs w:val="24"/>
        </w:rPr>
        <w:t>bility of law enforcement and the judiciary to analyse and coordinate actions against firearms misuse and trafficking. A national electronic registry for weapons was set up in 2015 and is fully functional.</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w:t>
      </w:r>
      <w:r>
        <w:rPr>
          <w:rFonts w:ascii="Times New Roman" w:eastAsia="Times New Roman" w:hAnsi="Times New Roman" w:cs="Times New Roman"/>
          <w:noProof/>
          <w:sz w:val="24"/>
          <w:szCs w:val="24"/>
          <w:lang w:bidi="en-US"/>
        </w:rPr>
        <w:t xml:space="preserve">continued to participate in some, but not all, international export control arrangements and </w:t>
      </w:r>
      <w:r>
        <w:rPr>
          <w:rFonts w:ascii="Times New Roman" w:eastAsia="Times New Roman" w:hAnsi="Times New Roman" w:cs="Times New Roman"/>
          <w:noProof/>
          <w:sz w:val="24"/>
          <w:szCs w:val="24"/>
          <w:lang w:eastAsia="cs-CZ" w:bidi="cs-CZ"/>
        </w:rPr>
        <w:t xml:space="preserve">instruments </w:t>
      </w:r>
      <w:r>
        <w:rPr>
          <w:rFonts w:ascii="Times New Roman" w:eastAsia="Times New Roman" w:hAnsi="Times New Roman" w:cs="Times New Roman"/>
          <w:noProof/>
          <w:sz w:val="24"/>
          <w:szCs w:val="24"/>
          <w:lang w:bidi="en-US"/>
        </w:rPr>
        <w:t>on</w:t>
      </w:r>
      <w:r>
        <w:rPr>
          <w:rFonts w:ascii="Times New Roman" w:eastAsia="Times New Roman" w:hAnsi="Times New Roman" w:cs="Times New Roman"/>
          <w:noProof/>
          <w:sz w:val="24"/>
          <w:szCs w:val="24"/>
        </w:rPr>
        <w:t xml:space="preserve"> non-proliferation. The next step would be for Albania to start complying with the Wassenaar Arrangement.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continued to engage actively </w:t>
      </w:r>
      <w:r>
        <w:rPr>
          <w:rFonts w:ascii="Times New Roman" w:eastAsia="Times New Roman" w:hAnsi="Times New Roman" w:cs="Times New Roman"/>
          <w:iCs/>
          <w:noProof/>
          <w:sz w:val="24"/>
          <w:szCs w:val="24"/>
        </w:rPr>
        <w:t xml:space="preserve">with </w:t>
      </w:r>
      <w:r>
        <w:rPr>
          <w:rFonts w:ascii="Times New Roman" w:eastAsia="Times New Roman" w:hAnsi="Times New Roman" w:cs="Times New Roman"/>
          <w:b/>
          <w:iCs/>
          <w:noProof/>
          <w:sz w:val="24"/>
          <w:szCs w:val="24"/>
        </w:rPr>
        <w:t>international organisations</w:t>
      </w:r>
      <w:r>
        <w:rPr>
          <w:rFonts w:ascii="Times New Roman" w:eastAsia="Times New Roman" w:hAnsi="Times New Roman" w:cs="Times New Roman"/>
          <w:noProof/>
          <w:sz w:val="24"/>
          <w:szCs w:val="24"/>
        </w:rPr>
        <w:t>. It took over the Chairmanship-in-Office of the Organisation for Security and Cooperation in Europe in January 2020 and is a candidate for a non-permanent seat in the United Nations Security Council in 2022/2023. Albania maintai</w:t>
      </w:r>
      <w:r>
        <w:rPr>
          <w:rFonts w:ascii="Times New Roman" w:eastAsia="Times New Roman" w:hAnsi="Times New Roman" w:cs="Times New Roman"/>
          <w:noProof/>
          <w:sz w:val="24"/>
          <w:szCs w:val="24"/>
        </w:rPr>
        <w:t>ned a robust presence in a number of NATO missions, including some of strategic importance for the EU, and contributed to the United Nations Mission in South Sudan.</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security measures</w:t>
      </w:r>
      <w:r>
        <w:rPr>
          <w:rFonts w:ascii="Times New Roman" w:eastAsia="Times New Roman" w:hAnsi="Times New Roman" w:cs="Times New Roman"/>
          <w:noProof/>
          <w:sz w:val="24"/>
          <w:szCs w:val="24"/>
        </w:rPr>
        <w:t xml:space="preserve">, negotiations were completed on the arrangements for implementing the </w:t>
      </w:r>
      <w:r>
        <w:rPr>
          <w:rFonts w:ascii="Times New Roman" w:eastAsia="Times New Roman" w:hAnsi="Times New Roman" w:cs="Times New Roman"/>
          <w:noProof/>
          <w:sz w:val="24"/>
          <w:szCs w:val="24"/>
        </w:rPr>
        <w:t>2016 agreement between the EU and Albania on security procedures for exchanging and protecting classified information, allowing the agreement to enter into force in 2019. In July 2019, Albania’s Council of Ministers adopted the necessary rules for protecti</w:t>
      </w:r>
      <w:r>
        <w:rPr>
          <w:rFonts w:ascii="Times New Roman" w:eastAsia="Times New Roman" w:hAnsi="Times New Roman" w:cs="Times New Roman"/>
          <w:noProof/>
          <w:sz w:val="24"/>
          <w:szCs w:val="24"/>
        </w:rPr>
        <w:t>ng classified information</w:t>
      </w:r>
      <w:r>
        <w:rPr>
          <w:rFonts w:ascii="Times New Roman" w:eastAsia="Times New Roman" w:hAnsi="Times New Roman" w:cs="Times New Roman"/>
          <w:noProof/>
          <w:sz w:val="24"/>
          <w:szCs w:val="24"/>
          <w:vertAlign w:val="superscript"/>
        </w:rPr>
        <w:footnoteReference w:id="23"/>
      </w:r>
      <w:r>
        <w:rPr>
          <w:rFonts w:ascii="Times New Roman" w:eastAsia="Times New Roman" w:hAnsi="Times New Roman" w:cs="Times New Roman"/>
          <w:noProof/>
          <w:sz w:val="24"/>
          <w:szCs w:val="24"/>
        </w:rPr>
        <w:t xml:space="preserve">. A hybrid risk survey was launched with Albania submitted its contribution to the EU hybrid risk survey in August 2019 as part of a process aimed at </w:t>
      </w:r>
      <w:r>
        <w:rPr>
          <w:rFonts w:ascii="Times New Roman" w:eastAsia="Calibri" w:hAnsi="Times New Roman" w:cs="Times New Roman"/>
          <w:noProof/>
          <w:sz w:val="24"/>
          <w:szCs w:val="24"/>
        </w:rPr>
        <w:t>identifying vulnerabilities to hybrid threats and mobilising possible EU instrum</w:t>
      </w:r>
      <w:r>
        <w:rPr>
          <w:rFonts w:ascii="Times New Roman" w:eastAsia="Calibri" w:hAnsi="Times New Roman" w:cs="Times New Roman"/>
          <w:noProof/>
          <w:sz w:val="24"/>
          <w:szCs w:val="24"/>
        </w:rPr>
        <w:t>ents to build capacity and strengthen resilience</w:t>
      </w:r>
      <w:r>
        <w:rPr>
          <w:rFonts w:ascii="Times New Roman" w:eastAsia="Times New Roman" w:hAnsi="Times New Roman" w:cs="Times New Roman"/>
          <w:noProof/>
          <w:sz w:val="24"/>
          <w:szCs w:val="24"/>
        </w:rPr>
        <w:t>.</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continued to actively participate in EU crisis management missions and operations under the </w:t>
      </w:r>
      <w:r>
        <w:rPr>
          <w:rFonts w:ascii="Times New Roman" w:eastAsia="Times New Roman" w:hAnsi="Times New Roman" w:cs="Times New Roman"/>
          <w:b/>
          <w:noProof/>
          <w:sz w:val="24"/>
          <w:szCs w:val="24"/>
        </w:rPr>
        <w:t>common security and defence policy (CSDP)</w:t>
      </w:r>
      <w:r>
        <w:rPr>
          <w:rFonts w:ascii="Times New Roman" w:eastAsia="Times New Roman" w:hAnsi="Times New Roman" w:cs="Times New Roman"/>
          <w:noProof/>
          <w:sz w:val="24"/>
          <w:szCs w:val="24"/>
        </w:rPr>
        <w:t>,</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notably EUFOR Althea in Bosnia and Herzegovina and EUTM Mali. </w:t>
      </w:r>
      <w:r>
        <w:rPr>
          <w:rFonts w:ascii="Times New Roman" w:eastAsia="Calibri" w:hAnsi="Times New Roman" w:cs="Times New Roman"/>
          <w:noProof/>
          <w:sz w:val="24"/>
          <w:szCs w:val="24"/>
        </w:rPr>
        <w:t>T</w:t>
      </w:r>
      <w:r>
        <w:rPr>
          <w:rFonts w:ascii="Times New Roman" w:eastAsia="Calibri" w:hAnsi="Times New Roman" w:cs="Times New Roman"/>
          <w:noProof/>
          <w:sz w:val="24"/>
          <w:szCs w:val="24"/>
        </w:rPr>
        <w:t>he country</w:t>
      </w:r>
      <w:r>
        <w:rPr>
          <w:rFonts w:ascii="Times New Roman" w:eastAsia="Times New Roman" w:hAnsi="Times New Roman" w:cs="Times New Roman"/>
          <w:noProof/>
          <w:sz w:val="24"/>
          <w:szCs w:val="24"/>
        </w:rPr>
        <w:t xml:space="preserve"> plans to contribute to the EU battle groups in 2024.</w:t>
      </w:r>
    </w:p>
    <w:p w:rsidR="00EE1719" w:rsidRDefault="000E39BA">
      <w:pPr>
        <w:pStyle w:val="Heading2"/>
      </w:pPr>
      <w:bookmarkStart w:id="242" w:name="_Toc29803540"/>
      <w:bookmarkStart w:id="243" w:name="_Toc9430040"/>
      <w:bookmarkStart w:id="244" w:name="_Toc9331948"/>
      <w:bookmarkStart w:id="245" w:name="_Toc9328516"/>
      <w:bookmarkStart w:id="246" w:name="_Toc530733600"/>
      <w:bookmarkStart w:id="247" w:name="_Toc52745543"/>
      <w:r>
        <w:rPr>
          <w:rStyle w:val="Heading2Char"/>
          <w:rFonts w:eastAsiaTheme="minorEastAsia"/>
        </w:rPr>
        <w:t>5.32</w:t>
      </w:r>
      <w:r>
        <w:t xml:space="preserve">. </w:t>
      </w:r>
      <w:r>
        <w:tab/>
        <w:t>Chapter 32: Financial control</w:t>
      </w:r>
      <w:bookmarkEnd w:id="241"/>
      <w:bookmarkEnd w:id="242"/>
      <w:bookmarkEnd w:id="243"/>
      <w:bookmarkEnd w:id="244"/>
      <w:bookmarkEnd w:id="245"/>
      <w:bookmarkEnd w:id="246"/>
      <w:bookmarkEnd w:id="247"/>
    </w:p>
    <w:p w:rsidR="00EE1719" w:rsidRDefault="000E39BA">
      <w:pPr>
        <w:spacing w:after="120" w:line="240" w:lineRule="auto"/>
        <w:jc w:val="both"/>
        <w:rPr>
          <w:rFonts w:ascii="Times New Roman" w:eastAsia="Times New Roman" w:hAnsi="Times New Roman" w:cs="Times New Roman"/>
          <w:i/>
          <w:iCs/>
          <w:noProof/>
          <w:sz w:val="24"/>
          <w:szCs w:val="24"/>
        </w:rPr>
      </w:pPr>
      <w:bookmarkStart w:id="248" w:name="_Toc432589195"/>
      <w:bookmarkStart w:id="249" w:name="_Toc510686885"/>
      <w:r>
        <w:rPr>
          <w:rFonts w:ascii="Times New Roman" w:eastAsia="Times New Roman" w:hAnsi="Times New Roman" w:cs="Times New Roman"/>
          <w:i/>
          <w:iCs/>
          <w:noProof/>
          <w:sz w:val="24"/>
          <w:szCs w:val="24"/>
        </w:rPr>
        <w:t>The EU promotes the reform of national governance systems to improve managerial accountability, sound financial management of income and expenditure, and e</w:t>
      </w:r>
      <w:r>
        <w:rPr>
          <w:rFonts w:ascii="Times New Roman" w:eastAsia="Times New Roman" w:hAnsi="Times New Roman" w:cs="Times New Roman"/>
          <w:i/>
          <w:iCs/>
          <w:noProof/>
          <w:sz w:val="24"/>
          <w:szCs w:val="24"/>
        </w:rPr>
        <w:t>xternal audit of public funds. The financial control rules further protect the EU’s financial interests against fraud in the management of EU funds and the Euro against counterfeiting.</w:t>
      </w:r>
    </w:p>
    <w:p w:rsidR="00EE1719" w:rsidRDefault="000E39BA">
      <w:pPr>
        <w:pBdr>
          <w:top w:val="single" w:sz="4" w:space="1" w:color="auto"/>
          <w:left w:val="single" w:sz="4" w:space="0"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is </w:t>
      </w:r>
      <w:r>
        <w:rPr>
          <w:rFonts w:ascii="Times New Roman" w:eastAsia="Times New Roman" w:hAnsi="Times New Roman" w:cs="Times New Roman"/>
          <w:b/>
          <w:bCs/>
          <w:noProof/>
          <w:sz w:val="24"/>
          <w:szCs w:val="24"/>
        </w:rPr>
        <w:t xml:space="preserve">moderately prepared </w:t>
      </w:r>
      <w:r>
        <w:rPr>
          <w:rFonts w:ascii="Times New Roman" w:eastAsia="Times New Roman" w:hAnsi="Times New Roman" w:cs="Times New Roman"/>
          <w:noProof/>
          <w:sz w:val="24"/>
          <w:szCs w:val="24"/>
        </w:rPr>
        <w:t xml:space="preserve">in this area. </w:t>
      </w:r>
      <w:r>
        <w:rPr>
          <w:rFonts w:ascii="Times New Roman" w:eastAsia="Times New Roman" w:hAnsi="Times New Roman" w:cs="Times New Roman"/>
          <w:b/>
          <w:bCs/>
          <w:noProof/>
          <w:sz w:val="24"/>
          <w:szCs w:val="24"/>
        </w:rPr>
        <w:t xml:space="preserve">Some progress </w:t>
      </w:r>
      <w:r>
        <w:rPr>
          <w:rFonts w:ascii="Times New Roman" w:eastAsia="Times New Roman" w:hAnsi="Times New Roman" w:cs="Times New Roman"/>
          <w:noProof/>
          <w:sz w:val="24"/>
          <w:szCs w:val="24"/>
        </w:rPr>
        <w:t xml:space="preserve">was made </w:t>
      </w:r>
      <w:r>
        <w:rPr>
          <w:rFonts w:ascii="Times New Roman" w:eastAsia="Times New Roman" w:hAnsi="Times New Roman" w:cs="Times New Roman"/>
          <w:noProof/>
          <w:sz w:val="24"/>
          <w:szCs w:val="24"/>
        </w:rPr>
        <w:t>during the reporting period, especially with the ratification of the international convention for the suppression of counterfeiting currency</w:t>
      </w:r>
      <w:r>
        <w:rPr>
          <w:rFonts w:ascii="Times New Roman" w:eastAsia="Calibri" w:hAnsi="Times New Roman" w:cs="Times New Roman"/>
          <w:noProof/>
          <w:sz w:val="24"/>
          <w:szCs w:val="24"/>
        </w:rPr>
        <w:t xml:space="preserve"> </w:t>
      </w:r>
      <w:r>
        <w:rPr>
          <w:rFonts w:ascii="Times New Roman" w:eastAsia="Times New Roman" w:hAnsi="Times New Roman" w:cs="Times New Roman"/>
          <w:noProof/>
          <w:sz w:val="24"/>
          <w:szCs w:val="24"/>
        </w:rPr>
        <w:t xml:space="preserve">and the adoption of a revised methodology for performance monitoring of internal control. However, Albania has not </w:t>
      </w:r>
      <w:r>
        <w:rPr>
          <w:rFonts w:ascii="Times New Roman" w:eastAsia="Times New Roman" w:hAnsi="Times New Roman" w:cs="Times New Roman"/>
          <w:noProof/>
          <w:sz w:val="24"/>
          <w:szCs w:val="24"/>
        </w:rPr>
        <w:t>yet adopted a comprehensive public internal financial control (PIFC) policy paper, focusing on managerial accountability and it has not introduced the required amendments to the legislation. The proper and effective functioning of internal control is not y</w:t>
      </w:r>
      <w:r>
        <w:rPr>
          <w:rFonts w:ascii="Times New Roman" w:eastAsia="Times New Roman" w:hAnsi="Times New Roman" w:cs="Times New Roman"/>
          <w:noProof/>
          <w:sz w:val="24"/>
          <w:szCs w:val="24"/>
        </w:rPr>
        <w:t>et ensured across budget entities. The timely implementation of internal and external audit recommendations should be further improved. Since only partial progress was made with the Commission’s 2019 recommendations, these remain valid.</w:t>
      </w:r>
    </w:p>
    <w:p w:rsidR="00EE1719" w:rsidRDefault="000E39BA">
      <w:pPr>
        <w:pBdr>
          <w:top w:val="single" w:sz="4" w:space="1" w:color="auto"/>
          <w:left w:val="single" w:sz="4" w:space="0"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coming year,</w:t>
      </w:r>
      <w:r>
        <w:rPr>
          <w:rFonts w:ascii="Times New Roman" w:eastAsia="Times New Roman" w:hAnsi="Times New Roman" w:cs="Times New Roman"/>
          <w:noProof/>
          <w:sz w:val="24"/>
          <w:szCs w:val="24"/>
        </w:rPr>
        <w:t xml:space="preserve"> Albania should in particular:</w:t>
      </w:r>
    </w:p>
    <w:p w:rsidR="00EE1719" w:rsidRDefault="000E39BA">
      <w:pPr>
        <w:numPr>
          <w:ilvl w:val="0"/>
          <w:numId w:val="66"/>
        </w:numPr>
        <w:pBdr>
          <w:top w:val="single" w:sz="4" w:space="1" w:color="auto"/>
          <w:left w:val="single" w:sz="4" w:space="0"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adopt and start implementing a comprehensive PIFC policy paper with the specific focus on the definition and implementation of managerial accountability and monitoring framework coordinating PIFC with public administration an</w:t>
      </w:r>
      <w:r>
        <w:rPr>
          <w:rFonts w:ascii="Times New Roman" w:eastAsia="Times New Roman" w:hAnsi="Times New Roman" w:cs="Times New Roman"/>
          <w:noProof/>
          <w:sz w:val="24"/>
          <w:szCs w:val="24"/>
        </w:rPr>
        <w:t>d public financial management reforms;</w:t>
      </w:r>
    </w:p>
    <w:p w:rsidR="00EE1719" w:rsidRDefault="000E39BA">
      <w:pPr>
        <w:numPr>
          <w:ilvl w:val="0"/>
          <w:numId w:val="66"/>
        </w:numPr>
        <w:pBdr>
          <w:top w:val="single" w:sz="4" w:space="1" w:color="auto"/>
          <w:left w:val="single" w:sz="4" w:space="0"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improve the implementation of the annual PIFC report across budget entities</w:t>
      </w:r>
      <w:r>
        <w:rPr>
          <w:rFonts w:ascii="Times New Roman" w:eastAsia="Times New Roman" w:hAnsi="Times New Roman" w:cs="Times New Roman"/>
          <w:bCs/>
          <w:noProof/>
          <w:sz w:val="24"/>
          <w:szCs w:val="24"/>
        </w:rPr>
        <w:t xml:space="preserve">; </w:t>
      </w:r>
    </w:p>
    <w:p w:rsidR="00EE1719" w:rsidRDefault="000E39BA">
      <w:pPr>
        <w:numPr>
          <w:ilvl w:val="0"/>
          <w:numId w:val="66"/>
        </w:numPr>
        <w:pBdr>
          <w:top w:val="single" w:sz="4" w:space="1" w:color="auto"/>
          <w:left w:val="single" w:sz="4" w:space="0"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increase parliamentary scrutiny of audited bodies in the implementation of external audit recommendations, through more frequent parliament</w:t>
      </w:r>
      <w:r>
        <w:rPr>
          <w:rFonts w:ascii="Times New Roman" w:eastAsia="Times New Roman" w:hAnsi="Times New Roman" w:cs="Times New Roman"/>
          <w:noProof/>
          <w:sz w:val="24"/>
          <w:szCs w:val="24"/>
        </w:rPr>
        <w:t>ary hearings and the establishment of a parliamentary monitoring framework to regularly assess government’s follow-up action.</w:t>
      </w:r>
    </w:p>
    <w:bookmarkEnd w:id="248"/>
    <w:p w:rsidR="00EE1719" w:rsidRDefault="000E39BA">
      <w:pPr>
        <w:keepNext/>
        <w:spacing w:after="120" w:line="240" w:lineRule="auto"/>
        <w:ind w:left="283" w:hanging="283"/>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 xml:space="preserve">Public internal financial control </w:t>
      </w:r>
    </w:p>
    <w:p w:rsidR="00EE1719" w:rsidRDefault="000E39BA">
      <w:pPr>
        <w:keepNext/>
        <w:spacing w:after="120" w:line="240" w:lineRule="auto"/>
        <w:ind w:left="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 </w:t>
      </w:r>
      <w:r>
        <w:rPr>
          <w:rFonts w:ascii="Times New Roman" w:eastAsia="Times New Roman" w:hAnsi="Times New Roman" w:cs="Times New Roman"/>
          <w:b/>
          <w:noProof/>
          <w:sz w:val="24"/>
          <w:szCs w:val="24"/>
        </w:rPr>
        <w:t>strategic framework</w:t>
      </w:r>
      <w:r>
        <w:rPr>
          <w:rFonts w:ascii="Times New Roman" w:eastAsia="Times New Roman" w:hAnsi="Times New Roman" w:cs="Times New Roman"/>
          <w:noProof/>
          <w:sz w:val="24"/>
          <w:szCs w:val="24"/>
        </w:rPr>
        <w:t xml:space="preserve"> for PIFC is partially in place. PIFC measures are currently included only in the PFM Strategy 2019-2022. A comprehensive policy on internal control with a specific focus on the definition and implementation of managerial accountability still needs to be a</w:t>
      </w:r>
      <w:r>
        <w:rPr>
          <w:rFonts w:ascii="Times New Roman" w:eastAsia="Times New Roman" w:hAnsi="Times New Roman" w:cs="Times New Roman"/>
          <w:noProof/>
          <w:sz w:val="24"/>
          <w:szCs w:val="24"/>
        </w:rPr>
        <w:t>pproved. Some enabling conditions for PIFC implementation are addressed in the public administration reform strategy and its action plan</w:t>
      </w:r>
      <w:r>
        <w:rPr>
          <w:rFonts w:ascii="Times New Roman" w:eastAsia="Times New Roman" w:hAnsi="Times New Roman" w:cs="Times New Roman"/>
          <w:bCs/>
          <w:noProof/>
          <w:sz w:val="24"/>
          <w:szCs w:val="24"/>
        </w:rPr>
        <w:t xml:space="preserve">. </w:t>
      </w:r>
      <w:r>
        <w:rPr>
          <w:rFonts w:ascii="Times New Roman" w:eastAsia="Times New Roman" w:hAnsi="Times New Roman" w:cs="Times New Roman"/>
          <w:noProof/>
          <w:sz w:val="24"/>
          <w:szCs w:val="24"/>
        </w:rPr>
        <w:t xml:space="preserve">The functionality of the integrated policy management group for </w:t>
      </w:r>
      <w:r>
        <w:rPr>
          <w:rFonts w:ascii="Times New Roman" w:eastAsia="Calibri" w:hAnsi="Times New Roman" w:cs="Times New Roman"/>
          <w:noProof/>
          <w:sz w:val="24"/>
          <w:szCs w:val="24"/>
        </w:rPr>
        <w:t xml:space="preserve">good governance to improve </w:t>
      </w:r>
      <w:r>
        <w:rPr>
          <w:rFonts w:ascii="Times New Roman" w:eastAsia="Times New Roman" w:hAnsi="Times New Roman" w:cs="Times New Roman"/>
          <w:noProof/>
          <w:sz w:val="24"/>
          <w:szCs w:val="24"/>
        </w:rPr>
        <w:t>coordination, monitoring an</w:t>
      </w:r>
      <w:r>
        <w:rPr>
          <w:rFonts w:ascii="Times New Roman" w:eastAsia="Times New Roman" w:hAnsi="Times New Roman" w:cs="Times New Roman"/>
          <w:noProof/>
          <w:sz w:val="24"/>
          <w:szCs w:val="24"/>
        </w:rPr>
        <w:t xml:space="preserve">d reporting of PIFC reforms still needs to be strengthened. </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Managerial accountability</w:t>
      </w:r>
      <w:r>
        <w:rPr>
          <w:rFonts w:ascii="Times New Roman" w:eastAsia="Times New Roman" w:hAnsi="Times New Roman" w:cs="Times New Roman"/>
          <w:noProof/>
          <w:sz w:val="24"/>
          <w:szCs w:val="24"/>
        </w:rPr>
        <w:t xml:space="preserve"> is not yet enshrined in the legislation and administrative practice. Decision-making in the institutions is centralised and a very small number of decisions are delegate</w:t>
      </w:r>
      <w:r>
        <w:rPr>
          <w:rFonts w:ascii="Times New Roman" w:eastAsia="Times New Roman" w:hAnsi="Times New Roman" w:cs="Times New Roman"/>
          <w:noProof/>
          <w:sz w:val="24"/>
          <w:szCs w:val="24"/>
        </w:rPr>
        <w:t>d in practice. Vertical accountability is very weak between policy-making and policy implementing entities. Governance arrangements ensuring strategic plans with defined objectives, performance indicators and clear monitoring and reporting lines between pa</w:t>
      </w:r>
      <w:r>
        <w:rPr>
          <w:rFonts w:ascii="Times New Roman" w:eastAsia="Times New Roman" w:hAnsi="Times New Roman" w:cs="Times New Roman"/>
          <w:noProof/>
          <w:sz w:val="24"/>
          <w:szCs w:val="24"/>
        </w:rPr>
        <w:t>rent ministries and sub-ordinated agencies are still lacking. The reoccurence of and increase in arrears is an indicator for not yet fully effective attribution of responsibilities and commitment controls. The law on state administration, law on civil serv</w:t>
      </w:r>
      <w:r>
        <w:rPr>
          <w:rFonts w:ascii="Times New Roman" w:eastAsia="Times New Roman" w:hAnsi="Times New Roman" w:cs="Times New Roman"/>
          <w:noProof/>
          <w:sz w:val="24"/>
          <w:szCs w:val="24"/>
        </w:rPr>
        <w:t xml:space="preserve">ants and relevant laws on policy planning and the budget system law need to </w:t>
      </w:r>
      <w:r>
        <w:rPr>
          <w:rFonts w:ascii="Times New Roman" w:eastAsia="Calibri" w:hAnsi="Times New Roman" w:cs="Times New Roman"/>
          <w:noProof/>
          <w:sz w:val="24"/>
          <w:szCs w:val="24"/>
        </w:rPr>
        <w:t>be assessed and if necessary  amended to ensure a consistent basis for implementation of managerial accountability.</w:t>
      </w:r>
      <w:r>
        <w:rPr>
          <w:rFonts w:ascii="Times New Roman" w:eastAsia="Times New Roman" w:hAnsi="Times New Roman" w:cs="Times New Roman"/>
          <w:noProof/>
          <w:sz w:val="24"/>
          <w:szCs w:val="24"/>
        </w:rPr>
        <w:t xml:space="preserve"> (</w:t>
      </w:r>
      <w:r>
        <w:rPr>
          <w:rFonts w:ascii="Times New Roman" w:eastAsia="Times New Roman" w:hAnsi="Times New Roman" w:cs="Times New Roman"/>
          <w:i/>
          <w:noProof/>
          <w:sz w:val="24"/>
          <w:szCs w:val="24"/>
        </w:rPr>
        <w:t>See Public administration reform</w:t>
      </w:r>
      <w:r>
        <w:rPr>
          <w:rFonts w:ascii="Times New Roman" w:eastAsia="Times New Roman" w:hAnsi="Times New Roman" w:cs="Times New Roman"/>
          <w:noProof/>
          <w:sz w:val="24"/>
          <w:szCs w:val="24"/>
        </w:rPr>
        <w:t>).</w:t>
      </w:r>
    </w:p>
    <w:p w:rsidR="00EE1719" w:rsidRDefault="000E39BA">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The legislation on </w:t>
      </w:r>
      <w:r>
        <w:rPr>
          <w:rFonts w:ascii="Times New Roman" w:eastAsia="Times New Roman" w:hAnsi="Times New Roman" w:cs="Times New Roman"/>
          <w:b/>
          <w:noProof/>
          <w:sz w:val="24"/>
          <w:szCs w:val="24"/>
        </w:rPr>
        <w:t xml:space="preserve">internal control </w:t>
      </w:r>
      <w:r>
        <w:rPr>
          <w:rFonts w:ascii="Times New Roman" w:eastAsia="Times New Roman" w:hAnsi="Times New Roman" w:cs="Times New Roman"/>
          <w:noProof/>
          <w:sz w:val="24"/>
          <w:szCs w:val="24"/>
        </w:rPr>
        <w:t xml:space="preserve">is largely in line with international standards. Declarations of assurance are systematically signed by senior management, but in the absence of a delegation framework, this remains more of a formal exercise. In April 2019, a new </w:t>
      </w:r>
      <w:r>
        <w:rPr>
          <w:rFonts w:ascii="Times New Roman" w:eastAsia="Calibri" w:hAnsi="Times New Roman" w:cs="Times New Roman"/>
          <w:noProof/>
          <w:sz w:val="24"/>
          <w:szCs w:val="24"/>
        </w:rPr>
        <w:t>methodolo</w:t>
      </w:r>
      <w:r>
        <w:rPr>
          <w:rFonts w:ascii="Times New Roman" w:eastAsia="Calibri" w:hAnsi="Times New Roman" w:cs="Times New Roman"/>
          <w:noProof/>
          <w:sz w:val="24"/>
          <w:szCs w:val="24"/>
        </w:rPr>
        <w:t>gy was approved that should improve the effectiveness of the Ministry of Finance to monitor the performance of the internal control systems of public units.</w:t>
      </w:r>
      <w:r>
        <w:rPr>
          <w:rFonts w:ascii="Times New Roman" w:hAnsi="Times New Roman" w:cs="Times New Roman"/>
          <w:noProof/>
          <w:sz w:val="24"/>
          <w:szCs w:val="24"/>
        </w:rPr>
        <w:t xml:space="preserve"> Sub-ordinated agencies and local government units remain the weakest institutions as regards functi</w:t>
      </w:r>
      <w:r>
        <w:rPr>
          <w:rFonts w:ascii="Times New Roman" w:hAnsi="Times New Roman" w:cs="Times New Roman"/>
          <w:noProof/>
          <w:sz w:val="24"/>
          <w:szCs w:val="24"/>
        </w:rPr>
        <w:t>oning of internal control systems. At all levels, risk management is still at an early stage and needs to be better incorporated in the management of financial and operational processes. </w:t>
      </w:r>
      <w:r>
        <w:rPr>
          <w:rFonts w:ascii="Times New Roman" w:eastAsia="Times New Roman" w:hAnsi="Times New Roman" w:cs="Times New Roman"/>
          <w:noProof/>
          <w:sz w:val="24"/>
          <w:szCs w:val="24"/>
        </w:rPr>
        <w:t xml:space="preserve">.  The budget inspection function is centralised within the Ministry </w:t>
      </w:r>
      <w:r>
        <w:rPr>
          <w:rFonts w:ascii="Times New Roman" w:eastAsia="Times New Roman" w:hAnsi="Times New Roman" w:cs="Times New Roman"/>
          <w:noProof/>
          <w:sz w:val="24"/>
          <w:szCs w:val="24"/>
        </w:rPr>
        <w:t xml:space="preserve">of Finance and Economy performs ex-post activities upon request. </w:t>
      </w:r>
      <w:r>
        <w:rPr>
          <w:rFonts w:ascii="Times New Roman" w:hAnsi="Times New Roman" w:cs="Times New Roman"/>
          <w:noProof/>
          <w:sz w:val="24"/>
          <w:szCs w:val="24"/>
        </w:rPr>
        <w:t>The number of requests introduced by internal audit units is relatively low.</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legislation on </w:t>
      </w:r>
      <w:r>
        <w:rPr>
          <w:rFonts w:ascii="Times New Roman" w:eastAsia="Times New Roman" w:hAnsi="Times New Roman" w:cs="Times New Roman"/>
          <w:b/>
          <w:noProof/>
          <w:sz w:val="24"/>
          <w:szCs w:val="24"/>
        </w:rPr>
        <w:t>internal audit practice</w:t>
      </w:r>
      <w:r>
        <w:rPr>
          <w:rFonts w:ascii="Times New Roman" w:eastAsia="Times New Roman" w:hAnsi="Times New Roman" w:cs="Times New Roman"/>
          <w:noProof/>
          <w:sz w:val="24"/>
          <w:szCs w:val="24"/>
        </w:rPr>
        <w:t xml:space="preserve"> is in line with international standards. In 2019, the number of certifi</w:t>
      </w:r>
      <w:r>
        <w:rPr>
          <w:rFonts w:ascii="Times New Roman" w:eastAsia="Times New Roman" w:hAnsi="Times New Roman" w:cs="Times New Roman"/>
          <w:noProof/>
          <w:sz w:val="24"/>
          <w:szCs w:val="24"/>
        </w:rPr>
        <w:t>ed auditors in the public sector increased. The internal audit function  still does not issue audit opinions on the effectiveness of the internal control systems across budget entities.  The internal audit quality control procedures still need to become ge</w:t>
      </w:r>
      <w:r>
        <w:rPr>
          <w:rFonts w:ascii="Times New Roman" w:eastAsia="Times New Roman" w:hAnsi="Times New Roman" w:cs="Times New Roman"/>
          <w:noProof/>
          <w:sz w:val="24"/>
          <w:szCs w:val="24"/>
        </w:rPr>
        <w:t>nerally compliant with the standards and fully operational . The monitoring of the effectively and timely implementation of internal audit recommendations should be improved.</w:t>
      </w:r>
    </w:p>
    <w:p w:rsidR="00EE1719" w:rsidRDefault="000E39BA">
      <w:pPr>
        <w:keepNext/>
        <w:spacing w:after="120" w:line="240" w:lineRule="auto"/>
        <w:ind w:left="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
          <w:noProof/>
          <w:sz w:val="24"/>
          <w:szCs w:val="24"/>
        </w:rPr>
        <w:t>central harmonisation unit</w:t>
      </w:r>
      <w:r>
        <w:rPr>
          <w:rFonts w:ascii="Times New Roman" w:eastAsia="Times New Roman" w:hAnsi="Times New Roman" w:cs="Times New Roman"/>
          <w:noProof/>
          <w:sz w:val="24"/>
          <w:szCs w:val="24"/>
        </w:rPr>
        <w:t xml:space="preserve"> (CHU) provides methodological guidance and monitor</w:t>
      </w:r>
      <w:r>
        <w:rPr>
          <w:rFonts w:ascii="Times New Roman" w:eastAsia="Times New Roman" w:hAnsi="Times New Roman" w:cs="Times New Roman"/>
          <w:noProof/>
          <w:sz w:val="24"/>
          <w:szCs w:val="24"/>
        </w:rPr>
        <w:t>s the performance of internal control and internal audit in the public seector on the basis of  quality reviews and self-assessment reports from institutions. In 2019, the CHU developed a methodology for internal control quality reviews and started to unde</w:t>
      </w:r>
      <w:r>
        <w:rPr>
          <w:rFonts w:ascii="Times New Roman" w:eastAsia="Times New Roman" w:hAnsi="Times New Roman" w:cs="Times New Roman"/>
          <w:noProof/>
          <w:sz w:val="24"/>
          <w:szCs w:val="24"/>
        </w:rPr>
        <w:t xml:space="preserve">rtake such reviews. The capacity of CHUs needs to be strengthened. The annual PIFC report is presented to the Council of Ministers and discussed in the Parliament. </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External audit</w:t>
      </w:r>
    </w:p>
    <w:p w:rsidR="00EE1719" w:rsidRDefault="000E39BA">
      <w:pPr>
        <w:autoSpaceDE w:val="0"/>
        <w:autoSpaceDN w:val="0"/>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rPr>
        <w:t>In line with the standards of the International Organisation of Supreme Audi</w:t>
      </w:r>
      <w:r>
        <w:rPr>
          <w:rFonts w:ascii="Times New Roman" w:eastAsia="Times New Roman" w:hAnsi="Times New Roman" w:cs="Times New Roman"/>
          <w:bCs/>
          <w:noProof/>
          <w:sz w:val="24"/>
          <w:szCs w:val="24"/>
        </w:rPr>
        <w:t xml:space="preserve">t Institutions (INTOSAI) Albania’s </w:t>
      </w:r>
      <w:r>
        <w:rPr>
          <w:rFonts w:ascii="Times New Roman" w:eastAsia="Times New Roman" w:hAnsi="Times New Roman" w:cs="Times New Roman"/>
          <w:b/>
          <w:bCs/>
          <w:noProof/>
          <w:sz w:val="24"/>
          <w:szCs w:val="24"/>
        </w:rPr>
        <w:t>constitutional</w:t>
      </w:r>
      <w:r>
        <w:rPr>
          <w:rFonts w:ascii="Times New Roman" w:eastAsia="Times New Roman" w:hAnsi="Times New Roman" w:cs="Times New Roman"/>
          <w:bCs/>
          <w:noProof/>
          <w:sz w:val="24"/>
          <w:szCs w:val="24"/>
        </w:rPr>
        <w:t xml:space="preserve"> </w:t>
      </w:r>
      <w:r>
        <w:rPr>
          <w:rFonts w:ascii="Times New Roman" w:eastAsia="Times New Roman" w:hAnsi="Times New Roman" w:cs="Times New Roman"/>
          <w:b/>
          <w:bCs/>
          <w:noProof/>
          <w:sz w:val="24"/>
          <w:szCs w:val="24"/>
        </w:rPr>
        <w:t>and legal framework</w:t>
      </w:r>
      <w:r>
        <w:rPr>
          <w:rFonts w:ascii="Times New Roman" w:eastAsia="Times New Roman" w:hAnsi="Times New Roman" w:cs="Times New Roman"/>
          <w:bCs/>
          <w:noProof/>
          <w:sz w:val="24"/>
          <w:szCs w:val="24"/>
        </w:rPr>
        <w:t xml:space="preserve"> provides for independence of the State Audit Institution (SAI) .</w:t>
      </w:r>
      <w:r>
        <w:rPr>
          <w:rFonts w:ascii="Times New Roman" w:hAnsi="Times New Roman" w:cs="Times New Roman"/>
          <w:noProof/>
          <w:sz w:val="24"/>
          <w:szCs w:val="24"/>
        </w:rPr>
        <w:t>Adoption of proposed legal amendments is pending to strengthen the scope of the audit mandate to cover all public entities</w:t>
      </w:r>
      <w:r>
        <w:rPr>
          <w:rFonts w:ascii="Times New Roman" w:hAnsi="Times New Roman" w:cs="Times New Roman"/>
          <w:noProof/>
          <w:sz w:val="24"/>
          <w:szCs w:val="24"/>
        </w:rPr>
        <w:t>.</w:t>
      </w:r>
    </w:p>
    <w:p w:rsidR="00EE1719" w:rsidRDefault="000E39BA">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accordance’ with its 2018-22 strategic development plan, the SAI is implementing actions to improve its </w:t>
      </w:r>
      <w:r>
        <w:rPr>
          <w:rFonts w:ascii="Times New Roman" w:hAnsi="Times New Roman" w:cs="Times New Roman"/>
          <w:b/>
          <w:bCs/>
          <w:noProof/>
          <w:sz w:val="24"/>
          <w:szCs w:val="24"/>
        </w:rPr>
        <w:t>institutional capacity</w:t>
      </w:r>
      <w:r>
        <w:rPr>
          <w:rFonts w:ascii="Times New Roman" w:hAnsi="Times New Roman" w:cs="Times New Roman"/>
          <w:noProof/>
          <w:sz w:val="24"/>
          <w:szCs w:val="24"/>
        </w:rPr>
        <w:t xml:space="preserve">. The current legislation should be strengthened to ensure continuity after the end of mandate of the SAI chair. In recent </w:t>
      </w:r>
      <w:r>
        <w:rPr>
          <w:rFonts w:ascii="Times New Roman" w:hAnsi="Times New Roman" w:cs="Times New Roman"/>
          <w:noProof/>
          <w:sz w:val="24"/>
          <w:szCs w:val="24"/>
        </w:rPr>
        <w:t>years, the SAI has taken measures to improve the professional development of its audit staff. The SAI has implemented the 2017-19 communication strategy, and has raised awareness among academia and civil society on the importance of external audit.</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
          <w:noProof/>
          <w:sz w:val="24"/>
          <w:szCs w:val="24"/>
        </w:rPr>
        <w:t>qua</w:t>
      </w:r>
      <w:r>
        <w:rPr>
          <w:rFonts w:ascii="Times New Roman" w:eastAsia="Times New Roman" w:hAnsi="Times New Roman" w:cs="Times New Roman"/>
          <w:b/>
          <w:noProof/>
          <w:sz w:val="24"/>
          <w:szCs w:val="24"/>
        </w:rPr>
        <w:t>lity of audit work</w:t>
      </w:r>
      <w:r>
        <w:rPr>
          <w:rFonts w:ascii="Times New Roman" w:eastAsia="Times New Roman" w:hAnsi="Times New Roman" w:cs="Times New Roman"/>
          <w:noProof/>
          <w:sz w:val="24"/>
          <w:szCs w:val="24"/>
        </w:rPr>
        <w:t xml:space="preserve"> needs to be further improved, as the audit activities do not yet fully comply with the INTOSAI standards, specifically regarding quality control procedures. </w:t>
      </w:r>
      <w:r>
        <w:rPr>
          <w:rFonts w:ascii="Times New Roman" w:eastAsia="Times New Roman" w:hAnsi="Times New Roman" w:cs="Times New Roman"/>
          <w:bCs/>
          <w:noProof/>
          <w:sz w:val="24"/>
          <w:szCs w:val="24"/>
        </w:rPr>
        <w:t>The SAI audit objectives have started to shift from compliance and regularity au</w:t>
      </w:r>
      <w:r>
        <w:rPr>
          <w:rFonts w:ascii="Times New Roman" w:eastAsia="Times New Roman" w:hAnsi="Times New Roman" w:cs="Times New Roman"/>
          <w:bCs/>
          <w:noProof/>
          <w:sz w:val="24"/>
          <w:szCs w:val="24"/>
        </w:rPr>
        <w:t xml:space="preserve">dits towards audits that could help prevent economic damage and violation of rules . </w:t>
      </w:r>
      <w:r>
        <w:rPr>
          <w:rFonts w:ascii="Times New Roman" w:eastAsia="Times New Roman" w:hAnsi="Times New Roman" w:cs="Times New Roman"/>
          <w:noProof/>
          <w:sz w:val="24"/>
          <w:szCs w:val="24"/>
        </w:rPr>
        <w:t>Financial audits do not yet result in professional and qualified audit opinions, even though the SAI issued for the first time in 2018 an opinion on the execution of the 2</w:t>
      </w:r>
      <w:r>
        <w:rPr>
          <w:rFonts w:ascii="Times New Roman" w:eastAsia="Times New Roman" w:hAnsi="Times New Roman" w:cs="Times New Roman"/>
          <w:noProof/>
          <w:sz w:val="24"/>
          <w:szCs w:val="24"/>
        </w:rPr>
        <w:t>017 state budget. The SAI follows a risk-based external audit approach. The number of performance audits has increased</w:t>
      </w:r>
      <w:r>
        <w:rPr>
          <w:rFonts w:ascii="Times New Roman" w:eastAsia="Times New Roman" w:hAnsi="Times New Roman" w:cs="Times New Roman"/>
          <w:bCs/>
          <w:noProof/>
          <w:sz w:val="24"/>
          <w:szCs w:val="24"/>
        </w:rPr>
        <w:t xml:space="preserve"> accounting for  approximately 10% of all conducted audits in recent years.</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
          <w:bCs/>
          <w:noProof/>
          <w:sz w:val="24"/>
          <w:szCs w:val="24"/>
        </w:rPr>
        <w:t xml:space="preserve">impact of audit work </w:t>
      </w:r>
      <w:r>
        <w:rPr>
          <w:rFonts w:ascii="Times New Roman" w:eastAsia="Times New Roman" w:hAnsi="Times New Roman" w:cs="Times New Roman"/>
          <w:noProof/>
          <w:sz w:val="24"/>
          <w:szCs w:val="24"/>
        </w:rPr>
        <w:t>is limited. Audit reports are summari</w:t>
      </w:r>
      <w:r>
        <w:rPr>
          <w:rFonts w:ascii="Times New Roman" w:eastAsia="Times New Roman" w:hAnsi="Times New Roman" w:cs="Times New Roman"/>
          <w:noProof/>
          <w:sz w:val="24"/>
          <w:szCs w:val="24"/>
        </w:rPr>
        <w:t>sed quarterly and published on a regular basis on the SAI website. The 2017 Memorandum of Understanding between the SAI and the Ministry of Finance on monitoring the follow-up of audit recommendations resulted in the creation of a technical secretariat wit</w:t>
      </w:r>
      <w:r>
        <w:rPr>
          <w:rFonts w:ascii="Times New Roman" w:eastAsia="Times New Roman" w:hAnsi="Times New Roman" w:cs="Times New Roman"/>
          <w:noProof/>
          <w:sz w:val="24"/>
          <w:szCs w:val="24"/>
        </w:rPr>
        <w:t>h representatives of both parties. Such secretariat has not not yet become fully operational. The monitoring of the effectively and timely implementation of audit recommendations should be improved. At the end of 2019 the electronic platform for the follow</w:t>
      </w:r>
      <w:r>
        <w:rPr>
          <w:rFonts w:ascii="Times New Roman" w:eastAsia="Times New Roman" w:hAnsi="Times New Roman" w:cs="Times New Roman"/>
          <w:noProof/>
          <w:sz w:val="24"/>
          <w:szCs w:val="24"/>
        </w:rPr>
        <w:t>-up of audit recommendations became functional.</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 xml:space="preserve">Protection of the EU’s financial interests </w:t>
      </w:r>
    </w:p>
    <w:p w:rsidR="00EE1719" w:rsidRDefault="000E39BA">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has ensured some level of </w:t>
      </w:r>
      <w:r>
        <w:rPr>
          <w:rFonts w:ascii="Times New Roman" w:eastAsia="Times New Roman" w:hAnsi="Times New Roman" w:cs="Times New Roman"/>
          <w:b/>
          <w:bCs/>
          <w:i/>
          <w:iCs/>
          <w:noProof/>
          <w:sz w:val="24"/>
          <w:szCs w:val="24"/>
        </w:rPr>
        <w:t xml:space="preserve">acquis </w:t>
      </w:r>
      <w:r>
        <w:rPr>
          <w:rFonts w:ascii="Times New Roman" w:eastAsia="Times New Roman" w:hAnsi="Times New Roman" w:cs="Times New Roman"/>
          <w:b/>
          <w:bCs/>
          <w:noProof/>
          <w:sz w:val="24"/>
          <w:szCs w:val="24"/>
        </w:rPr>
        <w:t>alignment</w:t>
      </w:r>
      <w:r>
        <w:rPr>
          <w:rFonts w:ascii="Times New Roman" w:eastAsia="Times New Roman" w:hAnsi="Times New Roman" w:cs="Times New Roman"/>
          <w:bCs/>
          <w:noProof/>
          <w:sz w:val="24"/>
          <w:szCs w:val="24"/>
        </w:rPr>
        <w:t>, yet still needs to fully harmonise with the EU Directive on the fight against fraud to the EU’s financial intere</w:t>
      </w:r>
      <w:r>
        <w:rPr>
          <w:rFonts w:ascii="Times New Roman" w:eastAsia="Times New Roman" w:hAnsi="Times New Roman" w:cs="Times New Roman"/>
          <w:bCs/>
          <w:noProof/>
          <w:sz w:val="24"/>
          <w:szCs w:val="24"/>
        </w:rPr>
        <w:t>sts by means of criminal law</w:t>
      </w:r>
      <w:r>
        <w:rPr>
          <w:rFonts w:ascii="Times New Roman" w:eastAsia="Times New Roman" w:hAnsi="Times New Roman" w:cs="Times New Roman"/>
          <w:noProof/>
          <w:sz w:val="24"/>
          <w:szCs w:val="24"/>
        </w:rPr>
        <w:t>. The n</w:t>
      </w:r>
      <w:r>
        <w:rPr>
          <w:rFonts w:ascii="Times New Roman" w:eastAsia="Times New Roman" w:hAnsi="Times New Roman" w:cs="Times New Roman"/>
          <w:bCs/>
          <w:noProof/>
          <w:sz w:val="24"/>
          <w:szCs w:val="24"/>
        </w:rPr>
        <w:t xml:space="preserve">ational </w:t>
      </w:r>
      <w:r>
        <w:rPr>
          <w:rFonts w:ascii="Times New Roman" w:eastAsia="Times New Roman" w:hAnsi="Times New Roman" w:cs="Times New Roman"/>
          <w:b/>
          <w:bCs/>
          <w:noProof/>
          <w:sz w:val="24"/>
          <w:szCs w:val="24"/>
        </w:rPr>
        <w:t>anti-fraud coordination service</w:t>
      </w:r>
      <w:r>
        <w:rPr>
          <w:rFonts w:ascii="Times New Roman" w:eastAsia="Times New Roman" w:hAnsi="Times New Roman" w:cs="Times New Roman"/>
          <w:bCs/>
          <w:noProof/>
          <w:sz w:val="24"/>
          <w:szCs w:val="24"/>
        </w:rPr>
        <w:t xml:space="preserve"> (AFCOS) is a unit within the Directorate of Financial Inspection in the Ministry of Finance and Economy</w:t>
      </w:r>
      <w:r>
        <w:rPr>
          <w:rFonts w:ascii="Times New Roman" w:eastAsia="Times New Roman" w:hAnsi="Times New Roman" w:cs="Times New Roman"/>
          <w:noProof/>
          <w:sz w:val="24"/>
          <w:szCs w:val="24"/>
        </w:rPr>
        <w:t xml:space="preserve">. An AFCOS network, involving other relevant authorities, has been set up and </w:t>
      </w:r>
      <w:r>
        <w:rPr>
          <w:rFonts w:ascii="Times New Roman" w:eastAsia="Times New Roman" w:hAnsi="Times New Roman" w:cs="Times New Roman"/>
          <w:noProof/>
          <w:sz w:val="24"/>
          <w:szCs w:val="24"/>
        </w:rPr>
        <w:t xml:space="preserve">it meets regularly. A manual for the management of </w:t>
      </w:r>
      <w:r>
        <w:rPr>
          <w:rFonts w:ascii="Times New Roman" w:eastAsia="Times New Roman" w:hAnsi="Times New Roman" w:cs="Times New Roman"/>
          <w:noProof/>
          <w:w w:val="103"/>
          <w:sz w:val="24"/>
          <w:szCs w:val="24"/>
        </w:rPr>
        <w:t xml:space="preserve">irregularities in EU funds was adopted during the reporting period. </w:t>
      </w:r>
      <w:r>
        <w:rPr>
          <w:rFonts w:ascii="Times New Roman" w:eastAsia="Times New Roman" w:hAnsi="Times New Roman" w:cs="Times New Roman"/>
          <w:noProof/>
          <w:sz w:val="24"/>
          <w:szCs w:val="24"/>
        </w:rPr>
        <w:t xml:space="preserve">Albania </w:t>
      </w:r>
      <w:r>
        <w:rPr>
          <w:rFonts w:ascii="Times New Roman" w:eastAsia="Times New Roman" w:hAnsi="Times New Roman" w:cs="Times New Roman"/>
          <w:b/>
          <w:noProof/>
          <w:sz w:val="24"/>
          <w:szCs w:val="24"/>
        </w:rPr>
        <w:t>cooperates with the European Commission</w:t>
      </w:r>
      <w:r>
        <w:rPr>
          <w:rFonts w:ascii="Times New Roman" w:eastAsia="Times New Roman" w:hAnsi="Times New Roman" w:cs="Times New Roman"/>
          <w:noProof/>
          <w:sz w:val="24"/>
          <w:szCs w:val="24"/>
        </w:rPr>
        <w:t xml:space="preserve"> during investigations and reports to the Commission on </w:t>
      </w:r>
      <w:r>
        <w:rPr>
          <w:rFonts w:ascii="Times New Roman" w:eastAsia="Times New Roman" w:hAnsi="Times New Roman" w:cs="Times New Roman"/>
          <w:noProof/>
          <w:w w:val="103"/>
          <w:sz w:val="24"/>
          <w:szCs w:val="24"/>
        </w:rPr>
        <w:t xml:space="preserve">irregularities and suspected fraud cases. Albania reported three cases via the online Irregularity Management System in 2019. So far, only four cases have been reported through the system since 2006. </w:t>
      </w:r>
      <w:r>
        <w:rPr>
          <w:rFonts w:ascii="Times New Roman" w:eastAsia="Times New Roman" w:hAnsi="Times New Roman" w:cs="Times New Roman"/>
          <w:noProof/>
          <w:w w:val="104"/>
          <w:sz w:val="24"/>
          <w:szCs w:val="24"/>
        </w:rPr>
        <w:t>There is no national anti-fraud strategy yet in place. A</w:t>
      </w:r>
      <w:r>
        <w:rPr>
          <w:rFonts w:ascii="Times New Roman" w:eastAsia="Times New Roman" w:hAnsi="Times New Roman" w:cs="Times New Roman"/>
          <w:noProof/>
          <w:w w:val="104"/>
          <w:sz w:val="24"/>
          <w:szCs w:val="24"/>
        </w:rPr>
        <w:t xml:space="preserve">lthough cooperation on investigations has improved, Albania needs to develop </w:t>
      </w:r>
      <w:r>
        <w:rPr>
          <w:rFonts w:ascii="Times New Roman" w:eastAsia="Times New Roman" w:hAnsi="Times New Roman" w:cs="Times New Roman"/>
          <w:noProof/>
          <w:sz w:val="24"/>
          <w:szCs w:val="24"/>
        </w:rPr>
        <w:t>a solid track record on investigations and reporting on irregularities.</w:t>
      </w:r>
    </w:p>
    <w:p w:rsidR="00EE1719" w:rsidRDefault="000E39BA">
      <w:pPr>
        <w:spacing w:after="120" w:line="240" w:lineRule="auto"/>
        <w:ind w:left="283" w:hanging="283"/>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Protection of the euro against counterfeiting</w:t>
      </w:r>
    </w:p>
    <w:p w:rsidR="00EE1719" w:rsidRDefault="000E39BA">
      <w:pPr>
        <w:widowControl w:val="0"/>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November 2019, Albania ratified the 1929 International Con</w:t>
      </w:r>
      <w:r>
        <w:rPr>
          <w:rFonts w:ascii="Times New Roman" w:eastAsia="Times New Roman" w:hAnsi="Times New Roman" w:cs="Times New Roman"/>
          <w:noProof/>
          <w:sz w:val="24"/>
          <w:szCs w:val="24"/>
        </w:rPr>
        <w:t xml:space="preserve">vention for the Suppression of Counterfeiting Currency. Albania is partially </w:t>
      </w:r>
      <w:r>
        <w:rPr>
          <w:rFonts w:ascii="Times New Roman" w:eastAsia="Times New Roman" w:hAnsi="Times New Roman" w:cs="Times New Roman"/>
          <w:b/>
          <w:noProof/>
          <w:sz w:val="24"/>
          <w:szCs w:val="24"/>
        </w:rPr>
        <w:t xml:space="preserve">aligned with the </w:t>
      </w:r>
      <w:r>
        <w:rPr>
          <w:rFonts w:ascii="Times New Roman" w:eastAsia="Times New Roman" w:hAnsi="Times New Roman" w:cs="Times New Roman"/>
          <w:b/>
          <w:bCs/>
          <w:i/>
          <w:iCs/>
          <w:noProof/>
          <w:sz w:val="24"/>
          <w:szCs w:val="24"/>
        </w:rPr>
        <w:t>acquis</w:t>
      </w:r>
      <w:r>
        <w:rPr>
          <w:rFonts w:ascii="Times New Roman" w:eastAsia="Times New Roman" w:hAnsi="Times New Roman" w:cs="Times New Roman"/>
          <w:bCs/>
          <w:i/>
          <w:iCs/>
          <w:noProof/>
          <w:sz w:val="24"/>
          <w:szCs w:val="24"/>
        </w:rPr>
        <w:t xml:space="preserve"> </w:t>
      </w:r>
      <w:r>
        <w:rPr>
          <w:rFonts w:ascii="Times New Roman" w:eastAsia="Times New Roman" w:hAnsi="Times New Roman" w:cs="Times New Roman"/>
          <w:bCs/>
          <w:iCs/>
          <w:noProof/>
          <w:sz w:val="24"/>
          <w:szCs w:val="24"/>
        </w:rPr>
        <w:t xml:space="preserve">regarding </w:t>
      </w:r>
      <w:r>
        <w:rPr>
          <w:rFonts w:ascii="Times New Roman" w:eastAsia="Times New Roman" w:hAnsi="Times New Roman" w:cs="Times New Roman"/>
          <w:noProof/>
          <w:sz w:val="24"/>
          <w:szCs w:val="24"/>
        </w:rPr>
        <w:t xml:space="preserve">the definition of counterfeiting banknotes and coins, as well as the procedures for gathering, storing and withdrawing them from circulation. </w:t>
      </w:r>
      <w:r>
        <w:rPr>
          <w:rFonts w:ascii="Times New Roman" w:eastAsia="Times New Roman" w:hAnsi="Times New Roman" w:cs="Times New Roman"/>
          <w:b/>
          <w:bCs/>
          <w:noProof/>
          <w:sz w:val="24"/>
          <w:szCs w:val="24"/>
        </w:rPr>
        <w:t>Tec</w:t>
      </w:r>
      <w:r>
        <w:rPr>
          <w:rFonts w:ascii="Times New Roman" w:eastAsia="Times New Roman" w:hAnsi="Times New Roman" w:cs="Times New Roman"/>
          <w:b/>
          <w:bCs/>
          <w:noProof/>
          <w:sz w:val="24"/>
          <w:szCs w:val="24"/>
        </w:rPr>
        <w:t>hnical analysis</w:t>
      </w:r>
      <w:r>
        <w:rPr>
          <w:rFonts w:ascii="Times New Roman" w:eastAsia="Times New Roman" w:hAnsi="Times New Roman" w:cs="Times New Roman"/>
          <w:bCs/>
          <w:noProof/>
          <w:sz w:val="24"/>
          <w:szCs w:val="24"/>
        </w:rPr>
        <w:t xml:space="preserve"> </w:t>
      </w:r>
      <w:r>
        <w:rPr>
          <w:rFonts w:ascii="Times New Roman" w:eastAsia="Times New Roman" w:hAnsi="Times New Roman" w:cs="Times New Roman"/>
          <w:noProof/>
          <w:sz w:val="24"/>
          <w:szCs w:val="24"/>
        </w:rPr>
        <w:t>is performed by the National Analysis Centre of the Bank of Albania.</w:t>
      </w:r>
      <w:r>
        <w:rPr>
          <w:rFonts w:ascii="Times New Roman" w:eastAsia="Calibri" w:hAnsi="Times New Roman" w:cs="Times New Roman"/>
          <w:noProof/>
          <w:sz w:val="24"/>
          <w:szCs w:val="24"/>
        </w:rPr>
        <w:t xml:space="preserve"> </w:t>
      </w:r>
      <w:r>
        <w:rPr>
          <w:rFonts w:ascii="Times New Roman" w:eastAsia="Times New Roman" w:hAnsi="Times New Roman" w:cs="Times New Roman"/>
          <w:b/>
          <w:noProof/>
          <w:sz w:val="24"/>
          <w:szCs w:val="24"/>
        </w:rPr>
        <w:t xml:space="preserve">Cooperation </w:t>
      </w:r>
      <w:r>
        <w:rPr>
          <w:rFonts w:ascii="Times New Roman" w:eastAsia="Times New Roman" w:hAnsi="Times New Roman" w:cs="Times New Roman"/>
          <w:noProof/>
          <w:sz w:val="24"/>
          <w:szCs w:val="24"/>
        </w:rPr>
        <w:t xml:space="preserve">at the national and international level is ongoing. In August 2018, the Bank of Albania joined the Europol Platform for Experts. A </w:t>
      </w:r>
      <w:r>
        <w:rPr>
          <w:rFonts w:ascii="Times New Roman" w:eastAsia="Times New Roman" w:hAnsi="Times New Roman" w:cs="Times New Roman"/>
          <w:bCs/>
          <w:noProof/>
          <w:sz w:val="24"/>
          <w:szCs w:val="24"/>
        </w:rPr>
        <w:t xml:space="preserve">cooperation agreement </w:t>
      </w:r>
      <w:r>
        <w:rPr>
          <w:rFonts w:ascii="Times New Roman" w:eastAsia="Times New Roman" w:hAnsi="Times New Roman" w:cs="Times New Roman"/>
          <w:bCs/>
          <w:noProof/>
          <w:sz w:val="24"/>
          <w:szCs w:val="24"/>
        </w:rPr>
        <w:t>between</w:t>
      </w:r>
      <w:r>
        <w:rPr>
          <w:rFonts w:ascii="Times New Roman" w:eastAsia="Times New Roman" w:hAnsi="Times New Roman" w:cs="Times New Roman"/>
          <w:b/>
          <w:bCs/>
          <w:noProof/>
          <w:sz w:val="24"/>
          <w:szCs w:val="24"/>
        </w:rPr>
        <w:t xml:space="preserve"> </w:t>
      </w:r>
      <w:r>
        <w:rPr>
          <w:rFonts w:ascii="Times New Roman" w:eastAsia="Calibri" w:hAnsi="Times New Roman" w:cs="Times New Roman"/>
          <w:noProof/>
          <w:sz w:val="24"/>
          <w:szCs w:val="24"/>
        </w:rPr>
        <w:t xml:space="preserve">European Commission and the Bank of Albania </w:t>
      </w:r>
      <w:r>
        <w:rPr>
          <w:rFonts w:ascii="Times New Roman" w:eastAsia="Times New Roman" w:hAnsi="Times New Roman" w:cs="Times New Roman"/>
          <w:noProof/>
          <w:sz w:val="24"/>
          <w:szCs w:val="24"/>
        </w:rPr>
        <w:t>on coins is in place, while an agreement on banknotes with the European Central Bank is pending. Albania participates in the actions of the Pericles 2020 programme.</w:t>
      </w:r>
    </w:p>
    <w:p w:rsidR="00EE1719" w:rsidRDefault="000E39BA">
      <w:pPr>
        <w:pStyle w:val="Heading2"/>
        <w:keepNext/>
        <w:keepLines/>
      </w:pPr>
      <w:bookmarkStart w:id="250" w:name="_Toc29803541"/>
      <w:bookmarkStart w:id="251" w:name="_Toc9430041"/>
      <w:bookmarkStart w:id="252" w:name="_Toc9331949"/>
      <w:bookmarkStart w:id="253" w:name="_Toc9328517"/>
      <w:bookmarkStart w:id="254" w:name="_Toc530733601"/>
      <w:bookmarkStart w:id="255" w:name="_Toc52745544"/>
      <w:r>
        <w:rPr>
          <w:rStyle w:val="Heading2Char"/>
          <w:rFonts w:eastAsiaTheme="minorEastAsia"/>
        </w:rPr>
        <w:t>5.33.</w:t>
      </w:r>
      <w:r>
        <w:t xml:space="preserve"> </w:t>
      </w:r>
      <w:r>
        <w:tab/>
        <w:t>Chapter 33: Financial and budget</w:t>
      </w:r>
      <w:r>
        <w:t>ary provisions</w:t>
      </w:r>
      <w:bookmarkEnd w:id="249"/>
      <w:bookmarkEnd w:id="250"/>
      <w:bookmarkEnd w:id="251"/>
      <w:bookmarkEnd w:id="252"/>
      <w:bookmarkEnd w:id="253"/>
      <w:bookmarkEnd w:id="254"/>
      <w:bookmarkEnd w:id="255"/>
    </w:p>
    <w:p w:rsidR="00EE1719" w:rsidRDefault="000E39BA">
      <w:pPr>
        <w:keepNext/>
        <w:keepLines/>
        <w:spacing w:after="120" w:line="240" w:lineRule="auto"/>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This chapter covers the rules governing the funding of the EU budget (‘own resources’). These resources mainly consist of: (i) contributions based on the gross national income of each Member State; (ii) customs duties; and (iii) a resource b</w:t>
      </w:r>
      <w:r>
        <w:rPr>
          <w:rFonts w:ascii="Times New Roman" w:eastAsia="Times New Roman" w:hAnsi="Times New Roman" w:cs="Times New Roman"/>
          <w:i/>
          <w:iCs/>
          <w:noProof/>
          <w:sz w:val="24"/>
          <w:szCs w:val="24"/>
        </w:rPr>
        <w:t xml:space="preserve">ased on value-added tax. Member States must have the appropriate administrative capacity to adequately coordinate and ensure the correct calculation, collection, payment and control of own resources. </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Albania has</w:t>
      </w:r>
      <w:r>
        <w:rPr>
          <w:rFonts w:ascii="Times New Roman" w:eastAsia="Times New Roman" w:hAnsi="Times New Roman" w:cs="Times New Roman"/>
          <w:b/>
          <w:noProof/>
          <w:sz w:val="24"/>
          <w:szCs w:val="24"/>
        </w:rPr>
        <w:t xml:space="preserve"> some level of preparation </w:t>
      </w:r>
      <w:r>
        <w:rPr>
          <w:rFonts w:ascii="Times New Roman" w:eastAsia="Times New Roman" w:hAnsi="Times New Roman" w:cs="Times New Roman"/>
          <w:noProof/>
          <w:sz w:val="24"/>
          <w:szCs w:val="24"/>
        </w:rPr>
        <w:t xml:space="preserve">in this area. </w:t>
      </w:r>
      <w:r>
        <w:rPr>
          <w:rFonts w:ascii="Times New Roman" w:eastAsia="Times New Roman" w:hAnsi="Times New Roman" w:cs="Times New Roman"/>
          <w:b/>
          <w:noProof/>
          <w:sz w:val="24"/>
          <w:szCs w:val="24"/>
        </w:rPr>
        <w:t>Some progress</w:t>
      </w:r>
      <w:r>
        <w:rPr>
          <w:rFonts w:ascii="Times New Roman" w:eastAsia="Times New Roman" w:hAnsi="Times New Roman" w:cs="Times New Roman"/>
          <w:noProof/>
          <w:sz w:val="24"/>
          <w:szCs w:val="24"/>
        </w:rPr>
        <w:t xml:space="preserve"> was made in the underlying policy areas that affect the functioning of the EU funding system, through the progress in implementation of the 2016 Organic Budget Law, the fiscal rule and the continuation of the public finance management reform.</w:t>
      </w:r>
      <w:r>
        <w:rPr>
          <w:rFonts w:ascii="Times New Roman" w:eastAsia="Times New Roman" w:hAnsi="Times New Roman" w:cs="Times New Roman"/>
          <w:noProof/>
          <w:sz w:val="24"/>
          <w:szCs w:val="24"/>
        </w:rPr>
        <w:t xml:space="preserve"> Alignment with EU acquis in the underlying policy fields continued.</w:t>
      </w:r>
    </w:p>
    <w:p w:rsidR="00EE1719" w:rsidRDefault="000E39BA">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Albania needs to make further progress on last year’s recommendations and should therefore make efforts to:</w:t>
      </w:r>
    </w:p>
    <w:p w:rsidR="00EE1719" w:rsidRDefault="000E39BA">
      <w:pPr>
        <w:numPr>
          <w:ilvl w:val="0"/>
          <w:numId w:val="67"/>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continue aligning data on National Accounts to ESA 2010 (European System of Acc</w:t>
      </w:r>
      <w:r>
        <w:rPr>
          <w:rFonts w:ascii="Times New Roman" w:eastAsia="Times New Roman" w:hAnsi="Times New Roman" w:cs="Times New Roman"/>
          <w:noProof/>
          <w:sz w:val="24"/>
          <w:szCs w:val="24"/>
        </w:rPr>
        <w:t>ounts), and improving the comprehensivenes of data transmission to Eurostat.</w:t>
      </w:r>
    </w:p>
    <w:p w:rsidR="00EE1719" w:rsidRDefault="000E39BA">
      <w:pPr>
        <w:numPr>
          <w:ilvl w:val="0"/>
          <w:numId w:val="67"/>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align its legislation with the EU provisions on VAT and customs duties;</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There was some progress on the underlying policy areas indirectly affecting the </w:t>
      </w:r>
      <w:r>
        <w:rPr>
          <w:rFonts w:ascii="Times New Roman" w:eastAsia="Times New Roman" w:hAnsi="Times New Roman" w:cs="Times New Roman"/>
          <w:b/>
          <w:noProof/>
          <w:sz w:val="24"/>
          <w:szCs w:val="24"/>
        </w:rPr>
        <w:t>own resources</w:t>
      </w:r>
      <w:r>
        <w:rPr>
          <w:rFonts w:ascii="Times New Roman" w:eastAsia="Times New Roman" w:hAnsi="Times New Roman" w:cs="Times New Roman"/>
          <w:noProof/>
          <w:sz w:val="24"/>
          <w:szCs w:val="24"/>
        </w:rPr>
        <w:t xml:space="preserve"> system (</w:t>
      </w:r>
      <w:r>
        <w:rPr>
          <w:rFonts w:ascii="Times New Roman" w:eastAsia="Times New Roman" w:hAnsi="Times New Roman" w:cs="Times New Roman"/>
          <w:i/>
          <w:noProof/>
          <w:sz w:val="24"/>
          <w:szCs w:val="24"/>
        </w:rPr>
        <w:t>see c</w:t>
      </w:r>
      <w:r>
        <w:rPr>
          <w:rFonts w:ascii="Times New Roman" w:eastAsia="Times New Roman" w:hAnsi="Times New Roman" w:cs="Times New Roman"/>
          <w:i/>
          <w:noProof/>
          <w:sz w:val="24"/>
          <w:szCs w:val="24"/>
        </w:rPr>
        <w:t>hapters: 16 Taxation, 18 Statistics, 29 Customs Union and 32 Financial control</w:t>
      </w:r>
      <w:r>
        <w:rPr>
          <w:rFonts w:ascii="Times New Roman" w:eastAsia="Times New Roman" w:hAnsi="Times New Roman" w:cs="Times New Roman"/>
          <w:noProof/>
          <w:sz w:val="24"/>
          <w:szCs w:val="24"/>
        </w:rPr>
        <w:t>).</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has structures in place for levying customs duties at the point of import. It operates a national VAT system. Albania has started drafting a Mid-Term Revenue Strategy </w:t>
      </w:r>
      <w:r>
        <w:rPr>
          <w:rFonts w:ascii="Times New Roman" w:eastAsia="Times New Roman" w:hAnsi="Times New Roman" w:cs="Times New Roman"/>
          <w:noProof/>
          <w:sz w:val="24"/>
          <w:szCs w:val="24"/>
        </w:rPr>
        <w:t>to outline the taxation reform and adoption is expected in 2020.</w:t>
      </w:r>
    </w:p>
    <w:p w:rsidR="00EE1719" w:rsidRDefault="000E39BA">
      <w:pPr>
        <w:spacing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rPr>
        <w:t>As regards the Gross National Income (GNI) resource, further progress was made on alignment with ESA 2010 standards, in methodological improvements, faster publication of statistics and increased number of statistical tables reported to Eurostat. Currently</w:t>
      </w:r>
      <w:r>
        <w:rPr>
          <w:rFonts w:ascii="Times New Roman" w:eastAsia="Times New Roman" w:hAnsi="Times New Roman" w:cs="Times New Roman"/>
          <w:noProof/>
          <w:sz w:val="24"/>
          <w:szCs w:val="24"/>
        </w:rPr>
        <w:t xml:space="preserve"> INSTAT is working on the next benchmark revision of national accounts, and has prepared a harmonised revision policy in coordination with the Central Bank of Albania and the Ministry of Finance and Economy (MOEF). </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bCs/>
          <w:noProof/>
          <w:sz w:val="24"/>
          <w:szCs w:val="24"/>
        </w:rPr>
        <w:t>Preparations continued for improving the</w:t>
      </w:r>
      <w:r>
        <w:rPr>
          <w:rFonts w:ascii="Times New Roman" w:eastAsia="Calibri" w:hAnsi="Times New Roman" w:cs="Times New Roman"/>
          <w:bCs/>
          <w:noProof/>
          <w:sz w:val="24"/>
          <w:szCs w:val="24"/>
        </w:rPr>
        <w:t xml:space="preserve"> estimation of Non-Observed Economy in Albania. A pilot project to </w:t>
      </w:r>
      <w:r>
        <w:rPr>
          <w:rFonts w:ascii="Times New Roman" w:eastAsia="Calibri" w:hAnsi="Times New Roman" w:cs="Times New Roman"/>
          <w:noProof/>
          <w:sz w:val="24"/>
          <w:szCs w:val="24"/>
        </w:rPr>
        <w:t>improve the Exhaustiveness Adjustments of GDP/GNI estimates, in particular to develop new experimental estimates on illegal activities and fiscal audit is under implementation.</w:t>
      </w:r>
      <w:r>
        <w:rPr>
          <w:rFonts w:ascii="Times New Roman" w:eastAsia="Calibri" w:hAnsi="Times New Roman" w:cs="Times New Roman"/>
          <w:bCs/>
          <w:noProof/>
          <w:sz w:val="24"/>
          <w:szCs w:val="24"/>
        </w:rPr>
        <w:t xml:space="preserve"> </w:t>
      </w:r>
      <w:r>
        <w:rPr>
          <w:rFonts w:ascii="Times New Roman" w:hAnsi="Times New Roman" w:cs="Times New Roman"/>
          <w:noProof/>
          <w:sz w:val="24"/>
          <w:szCs w:val="24"/>
        </w:rPr>
        <w:t>A statistica</w:t>
      </w:r>
      <w:r>
        <w:rPr>
          <w:rFonts w:ascii="Times New Roman" w:hAnsi="Times New Roman" w:cs="Times New Roman"/>
          <w:noProof/>
          <w:sz w:val="24"/>
          <w:szCs w:val="24"/>
        </w:rPr>
        <w:t xml:space="preserve">l project on improving the exhaustiveness of national accounts estimates is being carried out in the years 2019-2021. </w:t>
      </w:r>
      <w:r>
        <w:rPr>
          <w:rFonts w:ascii="Times New Roman" w:eastAsia="Calibri" w:hAnsi="Times New Roman" w:cs="Times New Roman"/>
          <w:noProof/>
          <w:sz w:val="24"/>
          <w:szCs w:val="24"/>
        </w:rPr>
        <w:t>Albania needs to further improve compliance with ESA 2010 and to start drafting the GNI Inventory, on the basis of the existing descriptio</w:t>
      </w:r>
      <w:r>
        <w:rPr>
          <w:rFonts w:ascii="Times New Roman" w:eastAsia="Calibri" w:hAnsi="Times New Roman" w:cs="Times New Roman"/>
          <w:noProof/>
          <w:sz w:val="24"/>
          <w:szCs w:val="24"/>
        </w:rPr>
        <w:t xml:space="preserve">n of sources and methods used to compile National Accounts. </w:t>
      </w:r>
      <w:r>
        <w:rPr>
          <w:rFonts w:ascii="Times New Roman" w:eastAsia="Times New Roman" w:hAnsi="Times New Roman" w:cs="Times New Roman"/>
          <w:noProof/>
          <w:sz w:val="24"/>
          <w:szCs w:val="24"/>
        </w:rPr>
        <w:t>Continued efforts are needed to ensure that effective measures are taken to formalise the grey economy, improve the exhaustiveness of the national accounts and GDP/GNI calculations and combat fisc</w:t>
      </w:r>
      <w:r>
        <w:rPr>
          <w:rFonts w:ascii="Times New Roman" w:eastAsia="Times New Roman" w:hAnsi="Times New Roman" w:cs="Times New Roman"/>
          <w:noProof/>
          <w:sz w:val="24"/>
          <w:szCs w:val="24"/>
        </w:rPr>
        <w:t>al evasion and customs duty fraud.</w:t>
      </w:r>
    </w:p>
    <w:p w:rsidR="00EE1719" w:rsidRDefault="000E39BA">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administrative infrastructure</w:t>
      </w:r>
      <w:r>
        <w:rPr>
          <w:rFonts w:ascii="Times New Roman" w:eastAsia="Times New Roman" w:hAnsi="Times New Roman" w:cs="Times New Roman"/>
          <w:noProof/>
          <w:sz w:val="24"/>
          <w:szCs w:val="24"/>
        </w:rPr>
        <w:t>, MOEF has overall responsibility for financial and budgetary issues. Albania will need to work on establishing the relevant institutions involved in the own resources system, an own resour</w:t>
      </w:r>
      <w:r>
        <w:rPr>
          <w:rFonts w:ascii="Times New Roman" w:eastAsia="Times New Roman" w:hAnsi="Times New Roman" w:cs="Times New Roman"/>
          <w:noProof/>
          <w:sz w:val="24"/>
          <w:szCs w:val="24"/>
        </w:rPr>
        <w:t xml:space="preserve">ce coordination body and implementing rules. These are needed to ensure that, on accession, it will be able to calculate, forecast, account for, collect, pay, control, and report to the EU, on own resources in line with the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w:t>
      </w:r>
    </w:p>
    <w:p w:rsidR="00EE1719" w:rsidRDefault="000E39BA">
      <w:pPr>
        <w:spacing w:after="160" w:line="259"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br w:type="page"/>
      </w:r>
    </w:p>
    <w:p w:rsidR="00EE1719" w:rsidRDefault="000E39BA">
      <w:pPr>
        <w:pStyle w:val="Heading1"/>
      </w:pPr>
      <w:bookmarkStart w:id="256" w:name="_Toc52745545"/>
      <w:r>
        <w:t>Annex I – Relations be</w:t>
      </w:r>
      <w:r>
        <w:t>tween the EU and Albania</w:t>
      </w:r>
      <w:bookmarkEnd w:id="256"/>
    </w:p>
    <w:p w:rsidR="00EE1719" w:rsidRDefault="000E39BA">
      <w:pPr>
        <w:pStyle w:val="Default"/>
        <w:spacing w:after="120"/>
        <w:jc w:val="both"/>
        <w:rPr>
          <w:noProof/>
        </w:rPr>
      </w:pPr>
      <w:r>
        <w:rPr>
          <w:rFonts w:eastAsia="Arial Unicode MS"/>
          <w:noProof/>
          <w:color w:val="000000" w:themeColor="text1"/>
          <w:lang w:eastAsia="ar-SA"/>
        </w:rPr>
        <w:t xml:space="preserve">The </w:t>
      </w:r>
      <w:r>
        <w:rPr>
          <w:rFonts w:eastAsia="Arial Unicode MS"/>
          <w:b/>
          <w:noProof/>
          <w:color w:val="000000" w:themeColor="text1"/>
          <w:lang w:eastAsia="ar-SA"/>
        </w:rPr>
        <w:t>Stabilisation and Association Agreement</w:t>
      </w:r>
      <w:r>
        <w:rPr>
          <w:rFonts w:eastAsia="Arial Unicode MS"/>
          <w:noProof/>
          <w:color w:val="000000" w:themeColor="text1"/>
          <w:lang w:eastAsia="ar-SA"/>
        </w:rPr>
        <w:t xml:space="preserve"> (SAA) between Albania and the EU came into force in April 2009. In the reporting period, Albania continued to implement the SAA. Regular political and economic dialogue has continued through the relevant joint bodies under the SAA. </w:t>
      </w:r>
      <w:r>
        <w:rPr>
          <w:noProof/>
          <w:lang w:val="en-IE"/>
        </w:rPr>
        <w:t xml:space="preserve">Discussions focused on </w:t>
      </w:r>
      <w:r>
        <w:rPr>
          <w:noProof/>
          <w:lang w:val="en-IE"/>
        </w:rPr>
        <w:t xml:space="preserve">the progress made in advancing EU reforms, in particular in the areas identified by the June 2018 Council Conclusions and the strengthening of good neighbourly relations. </w:t>
      </w:r>
      <w:r>
        <w:rPr>
          <w:noProof/>
          <w:color w:val="auto"/>
        </w:rPr>
        <w:t>Albania also participates in the ministerial dialogue between the economic and financ</w:t>
      </w:r>
      <w:r>
        <w:rPr>
          <w:noProof/>
          <w:color w:val="auto"/>
        </w:rPr>
        <w:t>e ministers of the EU and the candidate countries, where joint recommendations are adopted.</w:t>
      </w:r>
    </w:p>
    <w:p w:rsidR="00EE1719" w:rsidRDefault="000E39BA">
      <w:pPr>
        <w:pStyle w:val="Default"/>
        <w:spacing w:after="120"/>
        <w:jc w:val="both"/>
        <w:rPr>
          <w:noProof/>
        </w:rPr>
      </w:pPr>
      <w:r>
        <w:rPr>
          <w:noProof/>
        </w:rPr>
        <w:t xml:space="preserve">Albania is a candidate country since 2014. </w:t>
      </w:r>
      <w:r>
        <w:rPr>
          <w:noProof/>
          <w:color w:val="0C000F"/>
        </w:rPr>
        <w:t xml:space="preserve">In 2018, the Commission issued an unconditional recommendation to open accession negotiations. </w:t>
      </w:r>
      <w:r>
        <w:rPr>
          <w:noProof/>
        </w:rPr>
        <w:t>On 26 March 2020, the Euro</w:t>
      </w:r>
      <w:r>
        <w:rPr>
          <w:noProof/>
        </w:rPr>
        <w:t xml:space="preserve">pean Council endorsed the Council’s decision to open accession negotiations with Albania. </w:t>
      </w:r>
    </w:p>
    <w:p w:rsidR="00EE1719" w:rsidRDefault="000E39BA">
      <w:pPr>
        <w:pStyle w:val="ListParagraph"/>
        <w:spacing w:after="120" w:line="240" w:lineRule="auto"/>
        <w:ind w:left="0"/>
        <w:contextualSpacing w:val="0"/>
        <w:jc w:val="both"/>
        <w:rPr>
          <w:rFonts w:ascii="Times New Roman" w:eastAsia="Arial Unicode MS" w:hAnsi="Times New Roman" w:cs="Times New Roman"/>
          <w:noProof/>
          <w:color w:val="000000" w:themeColor="text1"/>
          <w:sz w:val="24"/>
          <w:szCs w:val="24"/>
          <w:lang w:eastAsia="ar-SA"/>
        </w:rPr>
      </w:pPr>
      <w:r>
        <w:rPr>
          <w:rFonts w:ascii="Times New Roman" w:eastAsia="Arial Unicode MS" w:hAnsi="Times New Roman" w:cs="Times New Roman"/>
          <w:b/>
          <w:noProof/>
          <w:color w:val="000000" w:themeColor="text1"/>
          <w:sz w:val="24"/>
          <w:szCs w:val="24"/>
          <w:lang w:eastAsia="ar-SA"/>
        </w:rPr>
        <w:t>Visa liberalisation</w:t>
      </w:r>
      <w:r>
        <w:rPr>
          <w:rFonts w:ascii="Times New Roman" w:eastAsia="Arial Unicode MS" w:hAnsi="Times New Roman" w:cs="Times New Roman"/>
          <w:noProof/>
          <w:color w:val="000000" w:themeColor="text1"/>
          <w:sz w:val="24"/>
          <w:szCs w:val="24"/>
          <w:lang w:eastAsia="ar-SA"/>
        </w:rPr>
        <w:t xml:space="preserve"> for citizens of Albania travelling to the Schengen area has been in force since December 2010. A readmission agreement between the EU and Albania has been in force since 2006. </w:t>
      </w:r>
      <w:r>
        <w:rPr>
          <w:rFonts w:ascii="Times New Roman" w:eastAsia="Times New Roman" w:hAnsi="Times New Roman" w:cs="Times New Roman"/>
          <w:noProof/>
          <w:sz w:val="24"/>
          <w:szCs w:val="24"/>
        </w:rPr>
        <w:t>The Commission’s July 2020 third report under the visa suspension mechanism con</w:t>
      </w:r>
      <w:r>
        <w:rPr>
          <w:rFonts w:ascii="Times New Roman" w:eastAsia="Times New Roman" w:hAnsi="Times New Roman" w:cs="Times New Roman"/>
          <w:noProof/>
          <w:sz w:val="24"/>
          <w:szCs w:val="24"/>
        </w:rPr>
        <w:t>cluded that Albania continues to meet the visa liberalisation requirements.</w:t>
      </w:r>
    </w:p>
    <w:p w:rsidR="00EE1719" w:rsidRDefault="000E39BA">
      <w:pPr>
        <w:spacing w:after="120" w:line="240" w:lineRule="auto"/>
        <w:jc w:val="both"/>
        <w:rPr>
          <w:rFonts w:ascii="Times New Roman" w:eastAsia="Arial Unicode MS" w:hAnsi="Times New Roman" w:cs="Times New Roman"/>
          <w:noProof/>
          <w:color w:val="000000" w:themeColor="text1"/>
          <w:sz w:val="24"/>
          <w:szCs w:val="24"/>
          <w:lang w:eastAsia="ar-SA"/>
        </w:rPr>
      </w:pPr>
      <w:r>
        <w:rPr>
          <w:rFonts w:ascii="Times New Roman" w:eastAsia="Arial Unicode MS" w:hAnsi="Times New Roman" w:cs="Times New Roman"/>
          <w:noProof/>
          <w:color w:val="000000" w:themeColor="text1"/>
          <w:sz w:val="24"/>
          <w:szCs w:val="24"/>
          <w:lang w:eastAsia="ar-SA"/>
        </w:rPr>
        <w:t xml:space="preserve">On 1 May 2019 the status agreement for operational cooperation with Frontex has entered into force. </w:t>
      </w:r>
      <w:r>
        <w:rPr>
          <w:rFonts w:ascii="Times New Roman" w:eastAsia="Times New Roman" w:hAnsi="Times New Roman" w:cs="Times New Roman"/>
          <w:noProof/>
          <w:sz w:val="24"/>
          <w:szCs w:val="24"/>
        </w:rPr>
        <w:t>Frontex launched its first fully-fledged joint operation outside the EU, deployi</w:t>
      </w:r>
      <w:r>
        <w:rPr>
          <w:rFonts w:ascii="Times New Roman" w:eastAsia="Times New Roman" w:hAnsi="Times New Roman" w:cs="Times New Roman"/>
          <w:noProof/>
          <w:sz w:val="24"/>
          <w:szCs w:val="24"/>
        </w:rPr>
        <w:t>ng teams, together with Albanian border guards, at the Greek</w:t>
      </w:r>
      <w:r>
        <w:rPr>
          <w:rFonts w:ascii="Times New Roman" w:eastAsia="Times New Roman" w:hAnsi="Times New Roman" w:cs="Times New Roman"/>
          <w:noProof/>
          <w:sz w:val="24"/>
          <w:szCs w:val="24"/>
        </w:rPr>
        <w:noBreakHyphen/>
        <w:t xml:space="preserve">Albanian border. </w:t>
      </w:r>
      <w:r>
        <w:rPr>
          <w:rFonts w:ascii="Times New Roman" w:eastAsia="Arial Unicode MS" w:hAnsi="Times New Roman" w:cs="Times New Roman"/>
          <w:noProof/>
          <w:color w:val="000000" w:themeColor="text1"/>
          <w:sz w:val="24"/>
          <w:szCs w:val="24"/>
          <w:lang w:eastAsia="ar-SA"/>
        </w:rPr>
        <w:t>Albania continued to cooperate with the European Monitoring Centre for Drugs and Drug Addiction (EMCDDA) under the working arrangement signed in March 2019 on drug related issues</w:t>
      </w:r>
      <w:r>
        <w:rPr>
          <w:rFonts w:ascii="Times New Roman" w:eastAsia="Arial Unicode MS" w:hAnsi="Times New Roman" w:cs="Times New Roman"/>
          <w:noProof/>
          <w:color w:val="000000" w:themeColor="text1"/>
          <w:sz w:val="24"/>
          <w:szCs w:val="24"/>
          <w:lang w:eastAsia="ar-SA"/>
        </w:rPr>
        <w:t xml:space="preserve">, </w:t>
      </w:r>
    </w:p>
    <w:p w:rsidR="00EE1719" w:rsidRDefault="000E39BA">
      <w:pPr>
        <w:spacing w:after="120" w:line="240" w:lineRule="auto"/>
        <w:jc w:val="both"/>
        <w:rPr>
          <w:rFonts w:ascii="Times New Roman" w:eastAsia="Arial Unicode MS" w:hAnsi="Times New Roman" w:cs="Times New Roman"/>
          <w:noProof/>
          <w:color w:val="000000" w:themeColor="text1"/>
          <w:sz w:val="24"/>
          <w:szCs w:val="24"/>
          <w:lang w:eastAsia="ar-SA"/>
        </w:rPr>
      </w:pPr>
      <w:r>
        <w:rPr>
          <w:rFonts w:ascii="Times New Roman" w:hAnsi="Times New Roman" w:cs="Times New Roman"/>
          <w:noProof/>
          <w:sz w:val="24"/>
          <w:szCs w:val="24"/>
        </w:rPr>
        <w:t xml:space="preserve">Albania has continued to fully align with all EU </w:t>
      </w:r>
      <w:r>
        <w:rPr>
          <w:rFonts w:ascii="Times New Roman" w:hAnsi="Times New Roman" w:cs="Times New Roman"/>
          <w:b/>
          <w:noProof/>
          <w:sz w:val="24"/>
          <w:szCs w:val="24"/>
        </w:rPr>
        <w:t>common foreign and security policy</w:t>
      </w:r>
      <w:r>
        <w:rPr>
          <w:rFonts w:ascii="Times New Roman" w:hAnsi="Times New Roman" w:cs="Times New Roman"/>
          <w:noProof/>
          <w:sz w:val="24"/>
          <w:szCs w:val="24"/>
        </w:rPr>
        <w:t xml:space="preserve"> positions and declarations. </w:t>
      </w:r>
      <w:r>
        <w:rPr>
          <w:rFonts w:ascii="Times New Roman" w:eastAsia="Times New Roman" w:hAnsi="Times New Roman" w:cs="Times New Roman"/>
          <w:noProof/>
          <w:sz w:val="24"/>
          <w:szCs w:val="24"/>
        </w:rPr>
        <w:t xml:space="preserve">Albania continued to actively participate in EU crisis management missions and operations under the common security and defence policy. </w:t>
      </w:r>
    </w:p>
    <w:p w:rsidR="00EE1719" w:rsidRDefault="000E39BA">
      <w:pPr>
        <w:spacing w:after="120" w:line="240" w:lineRule="auto"/>
        <w:jc w:val="both"/>
        <w:rPr>
          <w:rFonts w:ascii="Times New Roman" w:hAnsi="Times New Roman" w:cs="Times New Roman"/>
          <w:noProof/>
          <w:color w:val="FF0000"/>
          <w:sz w:val="24"/>
          <w:szCs w:val="24"/>
          <w:lang w:eastAsia="ar-SA"/>
        </w:rPr>
      </w:pPr>
      <w:r>
        <w:rPr>
          <w:rFonts w:ascii="Times New Roman" w:hAnsi="Times New Roman" w:cs="Times New Roman"/>
          <w:noProof/>
          <w:sz w:val="24"/>
          <w:szCs w:val="24"/>
          <w:lang w:eastAsia="ar-SA"/>
        </w:rPr>
        <w:t xml:space="preserve">The </w:t>
      </w:r>
      <w:r>
        <w:rPr>
          <w:rFonts w:ascii="Times New Roman" w:hAnsi="Times New Roman" w:cs="Times New Roman"/>
          <w:noProof/>
          <w:sz w:val="24"/>
          <w:szCs w:val="24"/>
          <w:lang w:eastAsia="ar-SA"/>
        </w:rPr>
        <w:t xml:space="preserve">bilateral EU support for Albania under the </w:t>
      </w:r>
      <w:r>
        <w:rPr>
          <w:rFonts w:ascii="Times New Roman" w:hAnsi="Times New Roman" w:cs="Times New Roman"/>
          <w:b/>
          <w:bCs/>
          <w:noProof/>
          <w:sz w:val="24"/>
          <w:szCs w:val="24"/>
          <w:lang w:eastAsia="ar-SA"/>
        </w:rPr>
        <w:t>Instrument for Pre</w:t>
      </w:r>
      <w:r>
        <w:rPr>
          <w:rFonts w:ascii="Times New Roman" w:hAnsi="Times New Roman" w:cs="Times New Roman"/>
          <w:b/>
          <w:bCs/>
          <w:noProof/>
          <w:sz w:val="24"/>
          <w:szCs w:val="24"/>
          <w:lang w:eastAsia="ar-SA"/>
        </w:rPr>
        <w:noBreakHyphen/>
        <w:t xml:space="preserve">accession Assistance </w:t>
      </w:r>
      <w:r>
        <w:rPr>
          <w:rFonts w:ascii="Times New Roman" w:hAnsi="Times New Roman" w:cs="Times New Roman"/>
          <w:noProof/>
          <w:sz w:val="24"/>
          <w:szCs w:val="24"/>
          <w:lang w:eastAsia="ar-SA"/>
        </w:rPr>
        <w:t xml:space="preserve">(IPA II) in 2014-2020 amounts to EUR 758 million. </w:t>
      </w:r>
      <w:r>
        <w:rPr>
          <w:rFonts w:ascii="Times New Roman" w:hAnsi="Times New Roman" w:cs="Times New Roman"/>
          <w:noProof/>
          <w:sz w:val="24"/>
          <w:szCs w:val="24"/>
        </w:rPr>
        <w:t xml:space="preserve">The 2019 and 2020 action programmes include an EU contribution amounting to EUR 173.95 million. </w:t>
      </w:r>
      <w:r>
        <w:rPr>
          <w:rFonts w:ascii="Times New Roman" w:hAnsi="Times New Roman" w:cs="Times New Roman"/>
          <w:noProof/>
          <w:sz w:val="24"/>
          <w:szCs w:val="24"/>
          <w:lang w:eastAsia="ar-SA"/>
        </w:rPr>
        <w:t>The assistance is implemented mainly under direct management by the EU Delegation in Tirana, as well as through budget support operations, including for justice reform. To support the recovery following the November 2019 earthquake, EUR 115 million have be</w:t>
      </w:r>
      <w:r>
        <w:rPr>
          <w:rFonts w:ascii="Times New Roman" w:hAnsi="Times New Roman" w:cs="Times New Roman"/>
          <w:noProof/>
          <w:sz w:val="24"/>
          <w:szCs w:val="24"/>
          <w:lang w:eastAsia="ar-SA"/>
        </w:rPr>
        <w:t xml:space="preserve">en provided for reconstruction of schools and the rehabilitation of cultural heritage sites. </w:t>
      </w:r>
      <w:r>
        <w:rPr>
          <w:rFonts w:ascii="Times New Roman" w:hAnsi="Times New Roman" w:cs="Times New Roman"/>
          <w:noProof/>
          <w:sz w:val="24"/>
          <w:szCs w:val="24"/>
        </w:rPr>
        <w:t xml:space="preserve">As part of the response to the COVID-19 pandemic, EUR 4 million have been refocused for urgent medical equipment and EUR 46.65 million for socio-economic recovery </w:t>
      </w:r>
      <w:r>
        <w:rPr>
          <w:rFonts w:ascii="Times New Roman" w:hAnsi="Times New Roman" w:cs="Times New Roman"/>
          <w:noProof/>
          <w:sz w:val="24"/>
          <w:szCs w:val="24"/>
        </w:rPr>
        <w:t xml:space="preserve">measures under IPA II. Other programmes have also been reoriented to help reduce the impact of the pandemic. Albania will also receive up to EUR 180 million </w:t>
      </w:r>
      <w:r>
        <w:rPr>
          <w:rFonts w:ascii="Times New Roman" w:hAnsi="Times New Roman" w:cs="Times New Roman"/>
          <w:noProof/>
          <w:sz w:val="24"/>
          <w:szCs w:val="24"/>
          <w:lang w:eastAsia="ar-SA"/>
        </w:rPr>
        <w:t>in loans for macro financial assistance. Furthermore, Albania benefits from the IPA multi-country a</w:t>
      </w:r>
      <w:r>
        <w:rPr>
          <w:rFonts w:ascii="Times New Roman" w:hAnsi="Times New Roman" w:cs="Times New Roman"/>
          <w:noProof/>
          <w:sz w:val="24"/>
          <w:szCs w:val="24"/>
          <w:lang w:eastAsia="ar-SA"/>
        </w:rPr>
        <w:t xml:space="preserve">nd regional programmes and participates in five cross-border cooperation programmes, as well as in transnational cooperation programmes. </w:t>
      </w:r>
    </w:p>
    <w:p w:rsidR="00EE1719" w:rsidRDefault="000E39BA">
      <w:pPr>
        <w:spacing w:after="120" w:line="240" w:lineRule="auto"/>
        <w:jc w:val="both"/>
        <w:rPr>
          <w:rFonts w:ascii="Times New Roman" w:hAnsi="Times New Roman" w:cs="Times New Roman"/>
          <w:noProof/>
          <w:sz w:val="24"/>
          <w:szCs w:val="24"/>
          <w:lang w:eastAsia="ar-SA"/>
        </w:rPr>
      </w:pPr>
      <w:r>
        <w:rPr>
          <w:rFonts w:ascii="Times New Roman" w:eastAsia="Arial Unicode MS" w:hAnsi="Times New Roman" w:cs="Times New Roman"/>
          <w:noProof/>
          <w:color w:val="000000" w:themeColor="text1"/>
          <w:sz w:val="24"/>
          <w:szCs w:val="24"/>
          <w:lang w:eastAsia="ar-SA"/>
        </w:rPr>
        <w:t xml:space="preserve">Albania participates with IPA support in the </w:t>
      </w:r>
      <w:r>
        <w:rPr>
          <w:rFonts w:ascii="Times New Roman" w:eastAsia="Arial Unicode MS" w:hAnsi="Times New Roman" w:cs="Times New Roman"/>
          <w:b/>
          <w:noProof/>
          <w:color w:val="000000" w:themeColor="text1"/>
          <w:sz w:val="24"/>
          <w:szCs w:val="24"/>
          <w:lang w:eastAsia="ar-SA"/>
        </w:rPr>
        <w:t>EU programmes</w:t>
      </w:r>
      <w:r>
        <w:rPr>
          <w:rFonts w:ascii="Times New Roman" w:eastAsia="Arial Unicode MS" w:hAnsi="Times New Roman" w:cs="Times New Roman"/>
          <w:noProof/>
          <w:color w:val="000000" w:themeColor="text1"/>
          <w:sz w:val="24"/>
          <w:szCs w:val="24"/>
          <w:lang w:eastAsia="ar-SA"/>
        </w:rPr>
        <w:t xml:space="preserve"> Erasmus+, Creative Europe (Culture and Media strands), Empl</w:t>
      </w:r>
      <w:r>
        <w:rPr>
          <w:rFonts w:ascii="Times New Roman" w:eastAsia="Arial Unicode MS" w:hAnsi="Times New Roman" w:cs="Times New Roman"/>
          <w:noProof/>
          <w:color w:val="000000" w:themeColor="text1"/>
          <w:sz w:val="24"/>
          <w:szCs w:val="24"/>
          <w:lang w:eastAsia="ar-SA"/>
        </w:rPr>
        <w:t xml:space="preserve">oyment and Social Innovation, Horizon 2020, Customs 2020, Fiscalis 2020, Competitiveness of Enterprises and Small and Medium-Sized Enterprises Programme (COSME) and Europe for Citizens, </w:t>
      </w:r>
      <w:r>
        <w:rPr>
          <w:rFonts w:ascii="Times New Roman" w:hAnsi="Times New Roman" w:cs="Times New Roman"/>
          <w:noProof/>
          <w:sz w:val="24"/>
          <w:szCs w:val="24"/>
          <w:lang w:eastAsia="ar-SA"/>
        </w:rPr>
        <w:t>and is an observer to the EU Fundamental Rights Agency.</w:t>
      </w:r>
    </w:p>
    <w:p w:rsidR="00EE1719" w:rsidRDefault="00EE1719">
      <w:pPr>
        <w:spacing w:after="120" w:line="240" w:lineRule="auto"/>
        <w:jc w:val="both"/>
        <w:rPr>
          <w:rFonts w:eastAsia="Arial Unicode MS" w:cs="Times New Roman"/>
          <w:noProof/>
          <w:color w:val="000000" w:themeColor="text1"/>
          <w:szCs w:val="24"/>
          <w:lang w:eastAsia="ar-SA"/>
        </w:rPr>
      </w:pPr>
    </w:p>
    <w:p w:rsidR="00EE1719" w:rsidRDefault="00EE1719">
      <w:pPr>
        <w:rPr>
          <w:noProof/>
        </w:rPr>
      </w:pPr>
    </w:p>
    <w:p w:rsidR="00EE1719" w:rsidRDefault="000E39BA">
      <w:pPr>
        <w:spacing w:after="160" w:line="259" w:lineRule="auto"/>
        <w:rPr>
          <w:rFonts w:ascii="Times New Roman Bold" w:hAnsi="Times New Roman Bold" w:cs="Times New Roman"/>
          <w:b/>
          <w:smallCaps/>
          <w:noProof/>
          <w:color w:val="000000" w:themeColor="text1"/>
          <w:sz w:val="24"/>
          <w:szCs w:val="24"/>
        </w:rPr>
      </w:pPr>
      <w:r>
        <w:rPr>
          <w:rFonts w:ascii="Times New Roman Bold" w:hAnsi="Times New Roman Bold" w:cs="Times New Roman"/>
          <w:b/>
          <w:smallCaps/>
          <w:noProof/>
          <w:color w:val="000000" w:themeColor="text1"/>
          <w:sz w:val="24"/>
          <w:szCs w:val="24"/>
        </w:rPr>
        <w:br w:type="page"/>
      </w:r>
    </w:p>
    <w:p w:rsidR="00EE1719" w:rsidRDefault="00EE1719">
      <w:pPr>
        <w:spacing w:after="120" w:line="240" w:lineRule="auto"/>
        <w:rPr>
          <w:rFonts w:ascii="Times New Roman Bold" w:hAnsi="Times New Roman Bold" w:cs="Times New Roman"/>
          <w:b/>
          <w:smallCaps/>
          <w:noProof/>
          <w:color w:val="000000" w:themeColor="text1"/>
          <w:sz w:val="24"/>
          <w:szCs w:val="24"/>
        </w:rPr>
        <w:sectPr w:rsidR="00EE1719">
          <w:headerReference w:type="even" r:id="rId24"/>
          <w:headerReference w:type="default" r:id="rId25"/>
          <w:footerReference w:type="even" r:id="rId26"/>
          <w:footerReference w:type="default" r:id="rId27"/>
          <w:headerReference w:type="first" r:id="rId28"/>
          <w:footerReference w:type="first" r:id="rId29"/>
          <w:pgSz w:w="11906" w:h="16838"/>
          <w:pgMar w:top="1134" w:right="1417" w:bottom="1134" w:left="1417" w:header="709" w:footer="709" w:gutter="0"/>
          <w:pgNumType w:start="1"/>
          <w:cols w:space="720"/>
          <w:docGrid w:linePitch="360"/>
        </w:sectPr>
      </w:pPr>
    </w:p>
    <w:tbl>
      <w:tblPr>
        <w:tblW w:w="14175" w:type="dxa"/>
        <w:tblInd w:w="78" w:type="dxa"/>
        <w:tblLayout w:type="fixed"/>
        <w:tblLook w:val="0000" w:firstRow="0" w:lastRow="0" w:firstColumn="0" w:lastColumn="0" w:noHBand="0" w:noVBand="0"/>
      </w:tblPr>
      <w:tblGrid>
        <w:gridCol w:w="6804"/>
        <w:gridCol w:w="567"/>
        <w:gridCol w:w="1134"/>
        <w:gridCol w:w="1134"/>
        <w:gridCol w:w="1134"/>
        <w:gridCol w:w="1134"/>
        <w:gridCol w:w="1134"/>
        <w:gridCol w:w="1134"/>
      </w:tblGrid>
      <w:tr w:rsidR="00EE1719">
        <w:trPr>
          <w:cantSplit/>
          <w:trHeight w:val="223"/>
        </w:trPr>
        <w:tc>
          <w:tcPr>
            <w:tcW w:w="68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b/>
                <w:bCs/>
                <w:noProof/>
                <w:color w:val="000000"/>
                <w:sz w:val="16"/>
                <w:szCs w:val="16"/>
              </w:rPr>
            </w:pPr>
            <w:r>
              <w:rPr>
                <w:rFonts w:ascii="Arial" w:eastAsia="Times New Roman" w:hAnsi="Arial" w:cs="Arial"/>
                <w:b/>
                <w:bCs/>
                <w:noProof/>
                <w:color w:val="000000"/>
                <w:sz w:val="16"/>
                <w:szCs w:val="16"/>
              </w:rPr>
              <w:t>STATISTICAL DATA (as of 03.04.2020)</w:t>
            </w:r>
          </w:p>
        </w:tc>
        <w:tc>
          <w:tcPr>
            <w:tcW w:w="567"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rPr>
            </w:pPr>
          </w:p>
        </w:tc>
      </w:tr>
      <w:tr w:rsidR="00EE1719">
        <w:trPr>
          <w:cantSplit/>
          <w:trHeight w:val="253"/>
        </w:trPr>
        <w:tc>
          <w:tcPr>
            <w:tcW w:w="68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b/>
                <w:bCs/>
                <w:noProof/>
                <w:color w:val="FF0000"/>
                <w:sz w:val="16"/>
                <w:szCs w:val="16"/>
              </w:rPr>
            </w:pPr>
            <w:r>
              <w:rPr>
                <w:rFonts w:ascii="Arial" w:eastAsia="Times New Roman" w:hAnsi="Arial" w:cs="Arial"/>
                <w:b/>
                <w:bCs/>
                <w:noProof/>
                <w:color w:val="FF0000"/>
                <w:sz w:val="16"/>
                <w:szCs w:val="16"/>
              </w:rPr>
              <w:t>Albania</w:t>
            </w:r>
          </w:p>
        </w:tc>
        <w:tc>
          <w:tcPr>
            <w:tcW w:w="567" w:type="dxa"/>
            <w:tcBorders>
              <w:top w:val="nil"/>
              <w:left w:val="nil"/>
              <w:bottom w:val="nil"/>
              <w:right w:val="nil"/>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rPr>
            </w:pPr>
          </w:p>
        </w:tc>
      </w:tr>
      <w:tr w:rsidR="00EE1719">
        <w:trPr>
          <w:cantSplit/>
          <w:trHeight w:val="223"/>
        </w:trPr>
        <w:tc>
          <w:tcPr>
            <w:tcW w:w="6804"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rPr>
            </w:pPr>
          </w:p>
        </w:tc>
        <w:tc>
          <w:tcPr>
            <w:tcW w:w="567"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rPr>
            </w:pPr>
          </w:p>
        </w:tc>
      </w:tr>
      <w:tr w:rsidR="00EE1719">
        <w:trPr>
          <w:cantSplit/>
          <w:trHeight w:val="223"/>
        </w:trPr>
        <w:tc>
          <w:tcPr>
            <w:tcW w:w="68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Basic data</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Population (thousand)</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2 982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2 892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2 886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2 876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2 877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2  870</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Total area of the country </w:t>
            </w:r>
            <w:r>
              <w:rPr>
                <w:rFonts w:ascii="Arial" w:eastAsia="Times New Roman" w:hAnsi="Arial" w:cs="Arial"/>
                <w:noProof/>
                <w:color w:val="000000"/>
                <w:sz w:val="16"/>
                <w:szCs w:val="16"/>
                <w:lang w:eastAsia="zh-CN"/>
              </w:rPr>
              <w:t>(km²)</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28 748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28 748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28 748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28 748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28 748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28 748</w:t>
            </w:r>
          </w:p>
        </w:tc>
      </w:tr>
      <w:tr w:rsidR="00EE1719">
        <w:trPr>
          <w:cantSplit/>
          <w:trHeight w:val="223"/>
        </w:trPr>
        <w:tc>
          <w:tcPr>
            <w:tcW w:w="6804"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EE1719">
        <w:trPr>
          <w:cantSplit/>
          <w:trHeight w:val="223"/>
        </w:trPr>
        <w:tc>
          <w:tcPr>
            <w:tcW w:w="68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National accounts</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domestic product (GDP) (million national currency)</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965 528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1 395 305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1 434 307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1 472 479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1 551 281p</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1 630 907e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Gross domestic product </w:t>
            </w:r>
            <w:r>
              <w:rPr>
                <w:rFonts w:ascii="Arial" w:eastAsia="Times New Roman" w:hAnsi="Arial" w:cs="Arial"/>
                <w:noProof/>
                <w:color w:val="000000"/>
                <w:sz w:val="16"/>
                <w:szCs w:val="16"/>
                <w:lang w:eastAsia="zh-CN"/>
              </w:rPr>
              <w:t>(GDP) (million euro)</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7 810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9 969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10 264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10 720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11 564p</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12 782e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GDP (euro per capita)</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2 630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3 450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3 560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3 730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4 020p</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4 460e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GDP per capita (in purchasing power standards (PPS))</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5 750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8 070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8 380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8 400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8 960p</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9 290e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GDP per capita (in PPS), relative to</w:t>
            </w:r>
            <w:r>
              <w:rPr>
                <w:rFonts w:ascii="Arial" w:eastAsia="Times New Roman" w:hAnsi="Arial" w:cs="Arial"/>
                <w:noProof/>
                <w:color w:val="000000"/>
                <w:sz w:val="16"/>
                <w:szCs w:val="16"/>
                <w:lang w:eastAsia="zh-CN"/>
              </w:rPr>
              <w:t xml:space="preserve"> the EU average (EU-27 = 100)</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30.7p</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30.8e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Real GDP growth rate: change on previous year of GDP volume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3.8p</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Employment growth (national accounts data), relative to the previous year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Labour </w:t>
            </w:r>
            <w:r>
              <w:rPr>
                <w:rFonts w:ascii="Arial" w:eastAsia="Times New Roman" w:hAnsi="Arial" w:cs="Arial"/>
                <w:noProof/>
                <w:color w:val="000000"/>
                <w:sz w:val="16"/>
                <w:szCs w:val="16"/>
                <w:lang w:eastAsia="zh-CN"/>
              </w:rPr>
              <w:t>productivity growth: growth in GDP (in volume) per person employed, relative to the previous year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Unit labour cost growth, relative to the previous year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**3 year change (T/T-3) in the nominal unit labour cost growth </w:t>
            </w:r>
            <w:r>
              <w:rPr>
                <w:rFonts w:ascii="Arial" w:eastAsia="Times New Roman" w:hAnsi="Arial" w:cs="Arial"/>
                <w:noProof/>
                <w:color w:val="000000"/>
                <w:sz w:val="16"/>
                <w:szCs w:val="16"/>
                <w:lang w:eastAsia="zh-CN"/>
              </w:rPr>
              <w:t>index (2010 = 100)</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Labour productivity per person employed: GDP (in PPS) per person employed relative to EU average (EU-27 = 100)</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value added by main sectors</w:t>
            </w:r>
          </w:p>
        </w:tc>
        <w:tc>
          <w:tcPr>
            <w:tcW w:w="567" w:type="dxa"/>
            <w:tcBorders>
              <w:top w:val="single" w:sz="6" w:space="0" w:color="auto"/>
              <w:left w:val="single" w:sz="6" w:space="0" w:color="auto"/>
              <w:bottom w:val="single" w:sz="6" w:space="0" w:color="auto"/>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single" w:sz="6" w:space="0" w:color="auto"/>
              <w:left w:val="nil"/>
              <w:bottom w:val="single" w:sz="6" w:space="0" w:color="auto"/>
              <w:right w:val="single" w:sz="6" w:space="0" w:color="auto"/>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Agriculture, forestry and fisheries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21.8p</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21.0e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Industry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12.8p</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13.9e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Construction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10.5p</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10.4e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Services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54.9p</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54.7e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Final consumption expenditure, as a share of GDP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92.2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92.2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91.8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92.2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91.2p</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90.8e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Gross </w:t>
            </w:r>
            <w:r>
              <w:rPr>
                <w:rFonts w:ascii="Arial" w:eastAsia="Times New Roman" w:hAnsi="Arial" w:cs="Arial"/>
                <w:noProof/>
                <w:color w:val="000000"/>
                <w:sz w:val="16"/>
                <w:szCs w:val="16"/>
                <w:lang w:eastAsia="zh-CN"/>
              </w:rPr>
              <w:t>fixed capital formation, as a share of GDP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24.5p</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24.1e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Changes in inventories, as a share of GDP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0.5p</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Exports of goods and services, relative to GDP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31.6p</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31.7e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Imports of goods and </w:t>
            </w:r>
            <w:r>
              <w:rPr>
                <w:rFonts w:ascii="Arial" w:eastAsia="Times New Roman" w:hAnsi="Arial" w:cs="Arial"/>
                <w:noProof/>
                <w:color w:val="000000"/>
                <w:sz w:val="16"/>
                <w:szCs w:val="16"/>
                <w:lang w:eastAsia="zh-CN"/>
              </w:rPr>
              <w:t>services, relative to GDP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46.6p</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45.4e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fixed capital formation by the general government sector, as a percentage of GDP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EE1719">
        <w:trPr>
          <w:cantSplit/>
          <w:trHeight w:val="223"/>
        </w:trPr>
        <w:tc>
          <w:tcPr>
            <w:tcW w:w="68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Business</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Industrial production volume </w:t>
            </w:r>
            <w:r>
              <w:rPr>
                <w:rFonts w:ascii="Arial" w:eastAsia="Times New Roman" w:hAnsi="Arial" w:cs="Arial"/>
                <w:noProof/>
                <w:color w:val="000000"/>
                <w:sz w:val="16"/>
                <w:szCs w:val="16"/>
                <w:lang w:eastAsia="zh-CN"/>
              </w:rPr>
              <w:t>index (2015 = 100)</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33.4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102.1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100.0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82.0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81.4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96.6</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Number of active enterprises (number)</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60 573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78 920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95 184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98 262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97 352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Birth rate: number of enterprise births in the 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12.5</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Death rate: number of enterprise deaths in the 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People employed in SMEs as a share of all persons employed (within the non-financial </w:t>
            </w:r>
            <w:r>
              <w:rPr>
                <w:rFonts w:ascii="Arial" w:eastAsia="Times New Roman" w:hAnsi="Arial" w:cs="Arial"/>
                <w:noProof/>
                <w:color w:val="000000"/>
                <w:sz w:val="16"/>
                <w:szCs w:val="16"/>
                <w:lang w:eastAsia="zh-CN"/>
              </w:rPr>
              <w:t>business economy) (%)</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82.3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81.7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81.4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Value added by SMEs (in the 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1 129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1 949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2 083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2 276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2 520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value added (in the 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1 810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2 871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3 124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3 388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3 687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EE1719">
        <w:trPr>
          <w:cantSplit/>
          <w:trHeight w:val="223"/>
        </w:trPr>
        <w:tc>
          <w:tcPr>
            <w:tcW w:w="68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Inflation rate and house prices</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Consumer price index (CPI), change relative to the previous year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**Annual change in the deflated house price index (2015 = 100)</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EE1719">
        <w:trPr>
          <w:cantSplit/>
          <w:trHeight w:val="223"/>
        </w:trPr>
        <w:tc>
          <w:tcPr>
            <w:tcW w:w="68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Balance of payments</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total (million euro)</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-824.2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-1 076.3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-883.6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-811.7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-866.0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-866.4</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trade balance (million euro)</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-2 104.0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-2 215.6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-2 298.9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-2 602.8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-2 824.2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-2 871.1</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net services (million euro)</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323.2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524.7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796.6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1 081.8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1 111.0</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net balance for primary income (million euro)</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218.0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91.5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122.2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174.0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-13.8</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net balance for secondary income (million euro)</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1 042.9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724.6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768.4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820.5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847.7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907.5</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Net balance for primary and secondary income: of which government transfers (million euro)</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67.1</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year backward moving average of the current account balance relative to GDP (%)</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-7.9p</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-7.3p</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**Five year change in share of world exports of goods and services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21.6</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Net balance </w:t>
            </w:r>
            <w:r>
              <w:rPr>
                <w:rFonts w:ascii="Arial" w:eastAsia="Times New Roman" w:hAnsi="Arial" w:cs="Arial"/>
                <w:noProof/>
                <w:color w:val="000000"/>
                <w:sz w:val="16"/>
                <w:szCs w:val="16"/>
                <w:lang w:eastAsia="zh-CN"/>
              </w:rPr>
              <w:t>(inward - outward) of foreign direct investment (FDI) (million euro)</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463.7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811.5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818.4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936.5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993.8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1 022.2</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Foreign direct investment (FDI) abroad (million euro)</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69.9</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of which FDI of the reporting economy in the EU-27 countries </w:t>
            </w:r>
            <w:r>
              <w:rPr>
                <w:rFonts w:ascii="Arial" w:eastAsia="Times New Roman" w:hAnsi="Arial" w:cs="Arial"/>
                <w:noProof/>
                <w:color w:val="000000"/>
                <w:sz w:val="16"/>
                <w:szCs w:val="16"/>
                <w:lang w:eastAsia="zh-CN"/>
              </w:rPr>
              <w:t>(million euro)</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Foreign direct investment (FDI) 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481.1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836.6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852.4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994.4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1 017.0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1 092.1</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of which FDI of the EU-27 countries 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**Net international </w:t>
            </w:r>
            <w:r>
              <w:rPr>
                <w:rFonts w:ascii="Arial" w:eastAsia="Times New Roman" w:hAnsi="Arial" w:cs="Arial"/>
                <w:noProof/>
                <w:color w:val="000000"/>
                <w:sz w:val="16"/>
                <w:szCs w:val="16"/>
                <w:lang w:eastAsia="zh-CN"/>
              </w:rPr>
              <w:t>investment position, relative to GDP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-49.4</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Year on year rate of change in gross inflow of remittances (in national currency) from migrant workers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0.1</w:t>
            </w:r>
          </w:p>
        </w:tc>
      </w:tr>
      <w:tr w:rsidR="00EE1719">
        <w:trPr>
          <w:cantSplit/>
          <w:trHeight w:val="223"/>
        </w:trPr>
        <w:tc>
          <w:tcPr>
            <w:tcW w:w="6804"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EE1719">
        <w:trPr>
          <w:cantSplit/>
          <w:trHeight w:val="223"/>
        </w:trPr>
        <w:tc>
          <w:tcPr>
            <w:tcW w:w="68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Public finance</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***General government deficit / surplus, relative to GDP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***General government gross debt relative to GDP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66.1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66.9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65.1</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government revenues, as a percentage of GDP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27.6</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government expenditure, as a percentage of GDP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29.2</w:t>
            </w:r>
          </w:p>
        </w:tc>
      </w:tr>
      <w:tr w:rsidR="00EE1719">
        <w:trPr>
          <w:cantSplit/>
          <w:trHeight w:val="223"/>
        </w:trPr>
        <w:tc>
          <w:tcPr>
            <w:tcW w:w="6804"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EE1719">
        <w:trPr>
          <w:cantSplit/>
          <w:trHeight w:val="223"/>
        </w:trPr>
        <w:tc>
          <w:tcPr>
            <w:tcW w:w="68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Financial indicators</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external debt of the whole economy, relative to GDP (%)</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73.5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68.7p</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65.3</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external debt of the whole economy, relative to total exports (%)</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101.9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246.3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272.7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253.5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217.6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205.8</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Money supply: M1 (banknotes, coins, overnight deposits, million euro)</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1 963.1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2 524.3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2 748.7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3 170.1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3 440.8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3 752.1</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Money </w:t>
            </w:r>
            <w:r>
              <w:rPr>
                <w:rFonts w:ascii="Arial" w:eastAsia="Times New Roman" w:hAnsi="Arial" w:cs="Arial"/>
                <w:noProof/>
                <w:color w:val="000000"/>
                <w:sz w:val="16"/>
                <w:szCs w:val="16"/>
                <w:lang w:eastAsia="zh-CN"/>
              </w:rPr>
              <w:t>supply: M2 (M1 plus deposits with maturity up to two years, million euro)</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4 094.3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5 160.8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5 173.6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5 365.1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5 508.2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5 732.2</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Money supply: M3 (M2 plus marketable instruments, million euro)</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6 128.5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8 538.2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8 703.1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9 198.2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9 444.2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9 906.4</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Total credit by </w:t>
            </w:r>
            <w:r>
              <w:rPr>
                <w:rFonts w:ascii="Arial" w:eastAsia="Times New Roman" w:hAnsi="Arial" w:cs="Arial"/>
                <w:noProof/>
                <w:color w:val="000000"/>
                <w:sz w:val="16"/>
                <w:szCs w:val="16"/>
                <w:lang w:eastAsia="zh-CN"/>
              </w:rPr>
              <w:t>monetary financial institutions to residents (consolidated) (million euro)</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2 413.1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3 995.9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3 983.1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4 046.4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4 086.0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4 223.7</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**Annual change in financial sector liabilities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**Private credit flow, consolidated, relative to GDP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**Private debt, consolidated, relative to GDP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Interest rates: day-to-day money rate, per annum (%)</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1.24</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Lending interest rate (one year), per annum (%)</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11.73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5.89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5.98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5.66</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Deposit interest</w:t>
            </w:r>
            <w:r>
              <w:rPr>
                <w:rFonts w:ascii="Arial" w:eastAsia="Times New Roman" w:hAnsi="Arial" w:cs="Arial"/>
                <w:noProof/>
                <w:color w:val="000000"/>
                <w:sz w:val="16"/>
                <w:szCs w:val="16"/>
                <w:lang w:eastAsia="zh-CN"/>
              </w:rPr>
              <w:t xml:space="preserve"> rate (one year), per annum (%)</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0.80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0.75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0.73</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Euro exchange rates: average of period (1 euro = … national currency)</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123.62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139.97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139.74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137.36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134.15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127.59</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Trade-weighted effective exchange rate index, 42 countries (2005 = 100)</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97</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year change (T/T-3) in the trade-weighted effective exchange rate index, 42 countries (2005 = 100)</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-1.4s</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0.2s</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-3.1s</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-6.3s</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-15.2s</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Value of reserve assets (including gold) (million euro)</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1 459.8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2 191.7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2 880.0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2 945.0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2 995.9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3 399.0</w:t>
            </w:r>
          </w:p>
        </w:tc>
      </w:tr>
      <w:tr w:rsidR="00EE1719">
        <w:trPr>
          <w:cantSplit/>
          <w:trHeight w:val="223"/>
        </w:trPr>
        <w:tc>
          <w:tcPr>
            <w:tcW w:w="6804"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EE1719">
        <w:trPr>
          <w:cantSplit/>
          <w:trHeight w:val="223"/>
        </w:trPr>
        <w:tc>
          <w:tcPr>
            <w:tcW w:w="68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External trade in goods</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Value of imports: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3 046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3 941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3 882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4 169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4 648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5 026</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Value of exports: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1 827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1 728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1 771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2 026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2 431</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Trade balance: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-2 260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-2 114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-2 154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-2 399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-2 622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-2 595</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Terms of trade (export price index / import price index * 100) (number)</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92.0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119.3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119.6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115.9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119.3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123.9</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Share of exports to EU-27 </w:t>
            </w:r>
            <w:r>
              <w:rPr>
                <w:rFonts w:ascii="Arial" w:eastAsia="Times New Roman" w:hAnsi="Arial" w:cs="Arial"/>
                <w:noProof/>
                <w:color w:val="000000"/>
                <w:sz w:val="16"/>
                <w:szCs w:val="16"/>
                <w:lang w:eastAsia="zh-CN"/>
              </w:rPr>
              <w:t>countries in value of total exports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58.9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75.9</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Share of imports from EU-27 countries in value of total imports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59.5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60.0</w:t>
            </w:r>
          </w:p>
        </w:tc>
      </w:tr>
      <w:tr w:rsidR="00EE1719">
        <w:trPr>
          <w:cantSplit/>
          <w:trHeight w:val="223"/>
        </w:trPr>
        <w:tc>
          <w:tcPr>
            <w:tcW w:w="6804"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EE1719">
        <w:trPr>
          <w:cantSplit/>
          <w:trHeight w:val="223"/>
        </w:trPr>
        <w:tc>
          <w:tcPr>
            <w:tcW w:w="68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Demography</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Crude rate of natural change</w:t>
            </w:r>
            <w:r>
              <w:rPr>
                <w:rFonts w:ascii="Arial" w:eastAsia="Times New Roman" w:hAnsi="Arial" w:cs="Arial"/>
                <w:noProof/>
                <w:color w:val="000000"/>
                <w:sz w:val="16"/>
                <w:szCs w:val="16"/>
                <w:lang w:eastAsia="zh-CN"/>
              </w:rPr>
              <w:t xml:space="preserve"> of population (natural growth rate): number of births minus deaths (per thousand inhabitants)</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Infant mortality rate deaths of children under one year of age (per thousand live births)</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8.9</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Life expectancy at </w:t>
            </w:r>
            <w:r>
              <w:rPr>
                <w:rFonts w:ascii="Arial" w:eastAsia="Times New Roman" w:hAnsi="Arial" w:cs="Arial"/>
                <w:noProof/>
                <w:color w:val="000000"/>
                <w:sz w:val="16"/>
                <w:szCs w:val="16"/>
                <w:lang w:eastAsia="zh-CN"/>
              </w:rPr>
              <w:t>birth: male (years)</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77.4</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Life expectancy at birth: female (years)</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79.7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80.5</w:t>
            </w:r>
          </w:p>
        </w:tc>
      </w:tr>
      <w:tr w:rsidR="00EE1719">
        <w:trPr>
          <w:cantSplit/>
          <w:trHeight w:val="223"/>
        </w:trPr>
        <w:tc>
          <w:tcPr>
            <w:tcW w:w="6804"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EE1719">
        <w:trPr>
          <w:cantSplit/>
          <w:trHeight w:val="223"/>
        </w:trPr>
        <w:tc>
          <w:tcPr>
            <w:tcW w:w="68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Labour market</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Economic activity rate for persons aged 20–64: proportion of the population </w:t>
            </w:r>
            <w:r>
              <w:rPr>
                <w:rFonts w:ascii="Arial" w:eastAsia="Times New Roman" w:hAnsi="Arial" w:cs="Arial"/>
                <w:noProof/>
                <w:color w:val="000000"/>
                <w:sz w:val="16"/>
                <w:szCs w:val="16"/>
                <w:lang w:eastAsia="zh-CN"/>
              </w:rPr>
              <w:t>aged 20–64 that is economically active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68.6e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71.3e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73.3e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73.9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74.8</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*Employment rate for persons aged 20–64: proportion of the population aged 20–64 that are in employment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62.7e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56.6e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59.3e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62.1e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65.6</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Male employment rate for persons </w:t>
            </w:r>
            <w:r>
              <w:rPr>
                <w:rFonts w:ascii="Arial" w:eastAsia="Times New Roman" w:hAnsi="Arial" w:cs="Arial"/>
                <w:noProof/>
                <w:color w:val="000000"/>
                <w:sz w:val="16"/>
                <w:szCs w:val="16"/>
                <w:lang w:eastAsia="zh-CN"/>
              </w:rPr>
              <w:t>aged 20–64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71.4e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65.2e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68.1e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69.4e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73.9</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Female employment rate for persons aged 20–64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54.2e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48.5e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50.7e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55.0e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57.4</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Employment rate for persons aged 55–64: proportion of the population aged 55–64 that are in employment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46.6e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51.2e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53.6e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54.8e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55.5e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58.2e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Employment by main sectors</w:t>
            </w:r>
          </w:p>
        </w:tc>
        <w:tc>
          <w:tcPr>
            <w:tcW w:w="567" w:type="dxa"/>
            <w:tcBorders>
              <w:top w:val="single" w:sz="6" w:space="0" w:color="auto"/>
              <w:left w:val="single" w:sz="6" w:space="0" w:color="auto"/>
              <w:bottom w:val="single" w:sz="6" w:space="0" w:color="auto"/>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single" w:sz="6" w:space="0" w:color="auto"/>
              <w:left w:val="nil"/>
              <w:bottom w:val="single" w:sz="6" w:space="0" w:color="auto"/>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single" w:sz="6" w:space="0" w:color="auto"/>
              <w:left w:val="nil"/>
              <w:bottom w:val="single" w:sz="6" w:space="0" w:color="auto"/>
              <w:right w:val="single" w:sz="6" w:space="0" w:color="auto"/>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Agriculture, forestry and fisheries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42.7e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41.3e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40.2e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38.2e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37.4e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Industry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11.0e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11.6e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12.8e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12.5e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12.7e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Construction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6.4e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Services (%)</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39.9s</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40.2s</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40.5s</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42.4e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42.9e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People employed in the public sector as a share of total employment, persons aged 20–64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17.5e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16.7e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15.6e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16.4e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15.9e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People employed in the private sector as a share of total employment, persons aged 20–64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82.5e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83.3e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84.4e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83.6e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84.1e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Unemployment rate: proportion of the labour force that is unemployed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13.5e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17.5e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17.1e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15.2e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13.7e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12.3e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Male unemployment rate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14.4e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19.2e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17.1e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15.9e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14.6e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12.7e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Female unemployment rate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12.2e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15.2e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17.1e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14.4e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12.6e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11.9e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Youth unemployment rate: proportion of the labour force aged 15–24 that is unemployed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39.0e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39.8e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36.5e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31.9e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28.3e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Long-term unemployment rate: proportion of the labour force that has been unemployed for 12 months or more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9.4</w:t>
            </w:r>
            <w:r>
              <w:rPr>
                <w:rFonts w:ascii="Arial" w:eastAsia="Times New Roman" w:hAnsi="Arial" w:cs="Arial"/>
                <w:noProof/>
                <w:color w:val="000000"/>
                <w:sz w:val="16"/>
                <w:szCs w:val="16"/>
                <w:lang w:eastAsia="zh-CN"/>
              </w:rPr>
              <w:t>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11.2e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11.3e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10.1e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8.9e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8.3e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Unemployment rate for persons (aged 25–64) having completed at most lower secondary education (ISCED levels 0-2)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13.4e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12.0e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11.8e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9.2</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Unemployment rate for persons (aged 25–64) having completed tertiary </w:t>
            </w:r>
            <w:r>
              <w:rPr>
                <w:rFonts w:ascii="Arial" w:eastAsia="Times New Roman" w:hAnsi="Arial" w:cs="Arial"/>
                <w:noProof/>
                <w:color w:val="000000"/>
                <w:sz w:val="16"/>
                <w:szCs w:val="16"/>
                <w:lang w:eastAsia="zh-CN"/>
              </w:rPr>
              <w:t>education (ISCED levels 5-8)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13.3e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11.7e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11.5e</w:t>
            </w:r>
          </w:p>
        </w:tc>
      </w:tr>
      <w:tr w:rsidR="00EE1719">
        <w:trPr>
          <w:cantSplit/>
          <w:trHeight w:val="223"/>
        </w:trPr>
        <w:tc>
          <w:tcPr>
            <w:tcW w:w="6804"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EE1719">
        <w:trPr>
          <w:cantSplit/>
          <w:trHeight w:val="223"/>
        </w:trPr>
        <w:tc>
          <w:tcPr>
            <w:tcW w:w="68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Social cohesion</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Average nominal monthly wages and salaries (national currency)</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33 750e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45 539be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47 900e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47 522e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48 967e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50 589e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Index of real wages </w:t>
            </w:r>
            <w:r>
              <w:rPr>
                <w:rFonts w:ascii="Arial" w:eastAsia="Times New Roman" w:hAnsi="Arial" w:cs="Arial"/>
                <w:noProof/>
                <w:color w:val="000000"/>
                <w:sz w:val="16"/>
                <w:szCs w:val="16"/>
                <w:lang w:eastAsia="zh-CN"/>
              </w:rPr>
              <w:t>and salaries (index of nominal wages and salaries divided by the inflation index) (2010 = 100)</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88.3e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111.2e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111.1e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110.7e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118.8e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119.2e</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GINI coefficient</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Poverty gap</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33.4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32.4</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*Early leavers from education and training: </w:t>
            </w:r>
            <w:r>
              <w:rPr>
                <w:rFonts w:ascii="Arial" w:eastAsia="Times New Roman" w:hAnsi="Arial" w:cs="Arial"/>
                <w:noProof/>
                <w:color w:val="000000"/>
                <w:sz w:val="16"/>
                <w:szCs w:val="16"/>
                <w:lang w:eastAsia="zh-CN"/>
              </w:rPr>
              <w:t>proportion of the population aged 18–24 with at most lower secondary education who are not in further education or training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42.0e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26.0e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21.3e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19.6e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17.4</w:t>
            </w:r>
          </w:p>
        </w:tc>
      </w:tr>
      <w:tr w:rsidR="00EE1719">
        <w:trPr>
          <w:cantSplit/>
          <w:trHeight w:val="223"/>
        </w:trPr>
        <w:tc>
          <w:tcPr>
            <w:tcW w:w="6804"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EE1719">
        <w:trPr>
          <w:cantSplit/>
          <w:trHeight w:val="223"/>
        </w:trPr>
        <w:tc>
          <w:tcPr>
            <w:tcW w:w="68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Standard of living</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Number of passenger cars </w:t>
            </w:r>
            <w:r>
              <w:rPr>
                <w:rFonts w:ascii="Arial" w:eastAsia="Times New Roman" w:hAnsi="Arial" w:cs="Arial"/>
                <w:noProof/>
                <w:color w:val="000000"/>
                <w:sz w:val="16"/>
                <w:szCs w:val="16"/>
                <w:lang w:eastAsia="zh-CN"/>
              </w:rPr>
              <w:t>relative to population size (number per thousand population)</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79.8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130.7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139.9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151.6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146.7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160.3</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Number of mobile phone subscriptions relative to population size (number per thousand population)</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785.8e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1 706.0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1 658.6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1 836.2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1 934.4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1 445.6</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Mobile </w:t>
            </w:r>
            <w:r>
              <w:rPr>
                <w:rFonts w:ascii="Arial" w:eastAsia="Times New Roman" w:hAnsi="Arial" w:cs="Arial"/>
                <w:noProof/>
                <w:color w:val="000000"/>
                <w:sz w:val="16"/>
                <w:szCs w:val="16"/>
                <w:lang w:eastAsia="zh-CN"/>
              </w:rPr>
              <w:t>broadband penetration (per 100 inhabitants)</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12.6</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Fixed broadband penetration (per 100 inhabitants)</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EE1719">
        <w:trPr>
          <w:cantSplit/>
          <w:trHeight w:val="223"/>
        </w:trPr>
        <w:tc>
          <w:tcPr>
            <w:tcW w:w="68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Infrastructure</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EE1719">
        <w:trPr>
          <w:cantSplit/>
          <w:trHeight w:val="25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Density of railway network (lines in operation per thousand </w:t>
            </w:r>
            <w:r>
              <w:rPr>
                <w:rFonts w:ascii="Arial" w:eastAsia="Times New Roman" w:hAnsi="Arial" w:cs="Arial"/>
                <w:noProof/>
                <w:color w:val="000000"/>
                <w:sz w:val="16"/>
                <w:szCs w:val="16"/>
                <w:lang w:eastAsia="zh-CN"/>
              </w:rPr>
              <w:t>km²)</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12.2</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Length of motorways (kilometres)</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EE1719">
        <w:trPr>
          <w:cantSplit/>
          <w:trHeight w:val="223"/>
        </w:trPr>
        <w:tc>
          <w:tcPr>
            <w:tcW w:w="68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Innovation and research</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Public expenditure on education relative to GDP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3.1p</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3.2p</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*Gross domestic </w:t>
            </w:r>
            <w:r>
              <w:rPr>
                <w:rFonts w:ascii="Arial" w:eastAsia="Times New Roman" w:hAnsi="Arial" w:cs="Arial"/>
                <w:noProof/>
                <w:color w:val="000000"/>
                <w:sz w:val="16"/>
                <w:szCs w:val="16"/>
                <w:lang w:eastAsia="zh-CN"/>
              </w:rPr>
              <w:t>expenditure on R&amp;D relative to GDP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Government budget appropriations or outlays on R&amp;D (GBAORD), as a percentage of GDP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Percentage of households who have internet access at home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80.7</w:t>
            </w:r>
          </w:p>
        </w:tc>
      </w:tr>
      <w:tr w:rsidR="00EE1719">
        <w:trPr>
          <w:cantSplit/>
          <w:trHeight w:val="223"/>
        </w:trPr>
        <w:tc>
          <w:tcPr>
            <w:tcW w:w="6804"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EE1719">
        <w:trPr>
          <w:cantSplit/>
          <w:trHeight w:val="223"/>
        </w:trPr>
        <w:tc>
          <w:tcPr>
            <w:tcW w:w="68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Environment</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*Index of greenhouse gas emissions,  CO</w:t>
            </w:r>
            <w:r>
              <w:rPr>
                <w:rFonts w:ascii="Arial" w:eastAsia="Times New Roman" w:hAnsi="Arial" w:cs="Arial"/>
                <w:noProof/>
                <w:color w:val="000000"/>
                <w:sz w:val="16"/>
                <w:szCs w:val="16"/>
                <w:vertAlign w:val="subscript"/>
                <w:lang w:eastAsia="zh-CN"/>
              </w:rPr>
              <w:t>2</w:t>
            </w:r>
            <w:r>
              <w:rPr>
                <w:rFonts w:ascii="Arial" w:eastAsia="Times New Roman" w:hAnsi="Arial" w:cs="Arial"/>
                <w:noProof/>
                <w:color w:val="000000"/>
                <w:sz w:val="16"/>
                <w:szCs w:val="16"/>
                <w:lang w:eastAsia="zh-CN"/>
              </w:rPr>
              <w:t xml:space="preserve"> equivalent (1990 = 100)</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88.0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Energy intensity of the economy (kg of oil equivalent per 1 000 euro GDP at 2010 constant prices)</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260.9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244.0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223.5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223.0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223.9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213.6</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Electricity generated from renewable sources relative to gross electricity consumption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100.5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111.9</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Road share of inland freight transport (based on tonne-km) (%)</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EE1719">
        <w:trPr>
          <w:cantSplit/>
          <w:trHeight w:val="223"/>
        </w:trPr>
        <w:tc>
          <w:tcPr>
            <w:tcW w:w="68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Energy</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Primary production of all energy products (thousand TOE)</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1 050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2 013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2 073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1 961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1 634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1 998</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Primary production of crude oil (thousand TOE)</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1 368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1 279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1 056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959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911</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Primary production of solid fuels (thousand TOE)</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144</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Primary </w:t>
            </w:r>
            <w:r>
              <w:rPr>
                <w:rFonts w:ascii="Arial" w:eastAsia="Times New Roman" w:hAnsi="Arial" w:cs="Arial"/>
                <w:noProof/>
                <w:color w:val="000000"/>
                <w:sz w:val="16"/>
                <w:szCs w:val="16"/>
                <w:lang w:eastAsia="zh-CN"/>
              </w:rPr>
              <w:t>production of gas (thousand TOE)</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Net imports of all energy products (thousand TOE)</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1 011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920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504</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inland energy consumption (thousand TOE)</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2 057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2 355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2 199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2 272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2 368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2 351</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electricity generation (GWh)</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2 860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4 724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5 895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7 782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4 526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EE1719" w:rsidRDefault="00EE1719">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1134" w:type="dxa"/>
            <w:tcBorders>
              <w:top w:val="nil"/>
              <w:left w:val="nil"/>
              <w:bottom w:val="nil"/>
              <w:right w:val="nil"/>
            </w:tcBorders>
          </w:tcPr>
          <w:p w:rsidR="00EE1719" w:rsidRDefault="00EE1719">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EE1719">
        <w:trPr>
          <w:cantSplit/>
          <w:trHeight w:val="223"/>
        </w:trPr>
        <w:tc>
          <w:tcPr>
            <w:tcW w:w="68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Agriculture</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2018</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Agricultural production volume index of goods and services (at producer prices) (2010 = 100)</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Utilised agricultural area (thousand hectares)</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1 121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1 178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1 175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1 174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1 174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1 174</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Livestock numbers: live bovine animals (thousand heads, end of period)</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492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467</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Livestock numbers: live swine (thousand heads, end of period)</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184</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Livestock numbers: live sheep and live goats </w:t>
            </w:r>
            <w:r>
              <w:rPr>
                <w:rFonts w:ascii="Arial" w:eastAsia="Times New Roman" w:hAnsi="Arial" w:cs="Arial"/>
                <w:noProof/>
                <w:color w:val="000000"/>
                <w:sz w:val="16"/>
                <w:szCs w:val="16"/>
                <w:lang w:eastAsia="zh-CN"/>
              </w:rPr>
              <w:t>(thousand heads, end of period)</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2 729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2 800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2 751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2 913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2 859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2 782</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Raw milk available on farms (thousand tonnes)</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1 016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1 133</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1 131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1 145</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1 156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1 144</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Harvested crop production: cereals (including rice) (thousand tonnes)</w:t>
            </w:r>
          </w:p>
        </w:tc>
        <w:tc>
          <w:tcPr>
            <w:tcW w:w="567"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494</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696</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698</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678</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Harvested crop production: sugar beet (thousand tonnes)</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w:t>
            </w:r>
          </w:p>
        </w:tc>
      </w:tr>
      <w:tr w:rsidR="00EE1719">
        <w:trPr>
          <w:cantSplit/>
          <w:trHeight w:val="223"/>
        </w:trPr>
        <w:tc>
          <w:tcPr>
            <w:tcW w:w="680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Harvested crop production: vegetables (thousand tonnes)</w:t>
            </w:r>
          </w:p>
        </w:tc>
        <w:tc>
          <w:tcPr>
            <w:tcW w:w="567" w:type="dxa"/>
            <w:tcBorders>
              <w:top w:val="single" w:sz="6" w:space="0" w:color="auto"/>
              <w:left w:val="single" w:sz="6" w:space="0" w:color="auto"/>
              <w:bottom w:val="single" w:sz="6" w:space="0" w:color="auto"/>
              <w:right w:val="single" w:sz="6" w:space="0" w:color="auto"/>
            </w:tcBorders>
          </w:tcPr>
          <w:p w:rsidR="00EE1719" w:rsidRDefault="00EE1719">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672</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950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1 030</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1 129</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1 157</w:t>
            </w:r>
          </w:p>
        </w:tc>
        <w:tc>
          <w:tcPr>
            <w:tcW w:w="1134" w:type="dxa"/>
            <w:tcBorders>
              <w:top w:val="single" w:sz="6" w:space="0" w:color="auto"/>
              <w:left w:val="single" w:sz="6" w:space="0" w:color="auto"/>
              <w:bottom w:val="single" w:sz="6" w:space="0" w:color="auto"/>
              <w:right w:val="single" w:sz="6" w:space="0" w:color="auto"/>
            </w:tcBorders>
          </w:tcPr>
          <w:p w:rsidR="00EE1719" w:rsidRDefault="000E39BA">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1 166</w:t>
            </w:r>
          </w:p>
        </w:tc>
      </w:tr>
    </w:tbl>
    <w:p w:rsidR="00EE1719" w:rsidRDefault="00EE1719">
      <w:pPr>
        <w:spacing w:after="0" w:line="240" w:lineRule="auto"/>
        <w:rPr>
          <w:rFonts w:ascii="Arial" w:eastAsia="Times New Roman" w:hAnsi="Arial" w:cs="Arial"/>
          <w:noProof/>
          <w:sz w:val="16"/>
          <w:szCs w:val="16"/>
        </w:rPr>
      </w:pPr>
    </w:p>
    <w:p w:rsidR="00EE1719" w:rsidRDefault="000E39BA">
      <w:pPr>
        <w:spacing w:after="0" w:line="240" w:lineRule="auto"/>
        <w:rPr>
          <w:rFonts w:ascii="Arial" w:eastAsia="Times New Roman" w:hAnsi="Arial" w:cs="Arial"/>
          <w:b/>
          <w:noProof/>
          <w:sz w:val="16"/>
          <w:szCs w:val="16"/>
        </w:rPr>
      </w:pPr>
      <w:r>
        <w:rPr>
          <w:rFonts w:ascii="Arial" w:eastAsia="Times New Roman" w:hAnsi="Arial" w:cs="Arial"/>
          <w:b/>
          <w:noProof/>
          <w:sz w:val="16"/>
          <w:szCs w:val="16"/>
        </w:rPr>
        <w:t>Source: Eurostat and the statistical authorities in Albania</w:t>
      </w:r>
    </w:p>
    <w:p w:rsidR="00EE1719" w:rsidRDefault="00EE1719">
      <w:pPr>
        <w:spacing w:after="0" w:line="240" w:lineRule="auto"/>
        <w:rPr>
          <w:rFonts w:ascii="Arial" w:eastAsia="Times New Roman" w:hAnsi="Arial" w:cs="Arial"/>
          <w:noProof/>
          <w:sz w:val="16"/>
          <w:szCs w:val="16"/>
        </w:rPr>
      </w:pPr>
    </w:p>
    <w:tbl>
      <w:tblPr>
        <w:tblW w:w="8685" w:type="dxa"/>
        <w:tblInd w:w="468" w:type="dxa"/>
        <w:tblLook w:val="04A0" w:firstRow="1" w:lastRow="0" w:firstColumn="1" w:lastColumn="0" w:noHBand="0" w:noVBand="1"/>
      </w:tblPr>
      <w:tblGrid>
        <w:gridCol w:w="8685"/>
      </w:tblGrid>
      <w:tr w:rsidR="00EE1719">
        <w:trPr>
          <w:trHeight w:val="225"/>
        </w:trPr>
        <w:tc>
          <w:tcPr>
            <w:tcW w:w="8685" w:type="dxa"/>
            <w:tcBorders>
              <w:top w:val="nil"/>
              <w:left w:val="nil"/>
              <w:bottom w:val="nil"/>
              <w:right w:val="nil"/>
            </w:tcBorders>
            <w:shd w:val="clear" w:color="auto" w:fill="auto"/>
            <w:vAlign w:val="bottom"/>
            <w:hideMark/>
          </w:tcPr>
          <w:p w:rsidR="00EE1719" w:rsidRDefault="000E39BA">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 = not available</w:t>
            </w:r>
          </w:p>
        </w:tc>
      </w:tr>
      <w:tr w:rsidR="00EE1719">
        <w:trPr>
          <w:trHeight w:val="225"/>
        </w:trPr>
        <w:tc>
          <w:tcPr>
            <w:tcW w:w="8685" w:type="dxa"/>
            <w:tcBorders>
              <w:top w:val="nil"/>
              <w:left w:val="nil"/>
              <w:bottom w:val="nil"/>
              <w:right w:val="nil"/>
            </w:tcBorders>
            <w:shd w:val="clear" w:color="auto" w:fill="auto"/>
            <w:vAlign w:val="bottom"/>
            <w:hideMark/>
          </w:tcPr>
          <w:p w:rsidR="00EE1719" w:rsidRDefault="000E39BA">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 xml:space="preserve">b = break in </w:t>
            </w:r>
            <w:r>
              <w:rPr>
                <w:rFonts w:ascii="Arial" w:eastAsia="Times New Roman" w:hAnsi="Arial" w:cs="Arial"/>
                <w:noProof/>
                <w:sz w:val="16"/>
                <w:szCs w:val="16"/>
                <w:lang w:eastAsia="zh-CN"/>
              </w:rPr>
              <w:t>series</w:t>
            </w:r>
          </w:p>
        </w:tc>
      </w:tr>
      <w:tr w:rsidR="00EE1719">
        <w:trPr>
          <w:trHeight w:val="225"/>
        </w:trPr>
        <w:tc>
          <w:tcPr>
            <w:tcW w:w="8685" w:type="dxa"/>
            <w:tcBorders>
              <w:top w:val="nil"/>
              <w:left w:val="nil"/>
              <w:bottom w:val="nil"/>
              <w:right w:val="nil"/>
            </w:tcBorders>
            <w:shd w:val="clear" w:color="auto" w:fill="auto"/>
            <w:vAlign w:val="bottom"/>
            <w:hideMark/>
          </w:tcPr>
          <w:p w:rsidR="00EE1719" w:rsidRDefault="000E39BA">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e = estimated value</w:t>
            </w:r>
          </w:p>
        </w:tc>
      </w:tr>
      <w:tr w:rsidR="00EE1719">
        <w:trPr>
          <w:trHeight w:val="225"/>
        </w:trPr>
        <w:tc>
          <w:tcPr>
            <w:tcW w:w="8685" w:type="dxa"/>
            <w:tcBorders>
              <w:top w:val="nil"/>
              <w:left w:val="nil"/>
              <w:bottom w:val="nil"/>
              <w:right w:val="nil"/>
            </w:tcBorders>
            <w:shd w:val="clear" w:color="auto" w:fill="auto"/>
            <w:vAlign w:val="bottom"/>
            <w:hideMark/>
          </w:tcPr>
          <w:p w:rsidR="00EE1719" w:rsidRDefault="000E39BA">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p = provisional</w:t>
            </w:r>
          </w:p>
        </w:tc>
      </w:tr>
      <w:tr w:rsidR="00EE1719">
        <w:trPr>
          <w:trHeight w:val="225"/>
        </w:trPr>
        <w:tc>
          <w:tcPr>
            <w:tcW w:w="8685" w:type="dxa"/>
            <w:tcBorders>
              <w:top w:val="nil"/>
              <w:left w:val="nil"/>
              <w:bottom w:val="nil"/>
              <w:right w:val="nil"/>
            </w:tcBorders>
            <w:shd w:val="clear" w:color="auto" w:fill="auto"/>
            <w:vAlign w:val="bottom"/>
            <w:hideMark/>
          </w:tcPr>
          <w:p w:rsidR="00EE1719" w:rsidRDefault="000E39BA">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s = Eurostat estimate</w:t>
            </w:r>
          </w:p>
        </w:tc>
      </w:tr>
      <w:tr w:rsidR="00EE1719">
        <w:trPr>
          <w:trHeight w:val="225"/>
        </w:trPr>
        <w:tc>
          <w:tcPr>
            <w:tcW w:w="8685" w:type="dxa"/>
            <w:tcBorders>
              <w:top w:val="nil"/>
              <w:left w:val="nil"/>
              <w:bottom w:val="nil"/>
              <w:right w:val="nil"/>
            </w:tcBorders>
            <w:shd w:val="clear" w:color="auto" w:fill="auto"/>
            <w:vAlign w:val="bottom"/>
            <w:hideMark/>
          </w:tcPr>
          <w:p w:rsidR="00EE1719" w:rsidRDefault="000E39BA">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 = Europe 2020 indicator</w:t>
            </w:r>
          </w:p>
        </w:tc>
      </w:tr>
      <w:tr w:rsidR="00EE1719">
        <w:trPr>
          <w:trHeight w:val="225"/>
        </w:trPr>
        <w:tc>
          <w:tcPr>
            <w:tcW w:w="8685" w:type="dxa"/>
            <w:tcBorders>
              <w:top w:val="nil"/>
              <w:left w:val="nil"/>
              <w:bottom w:val="nil"/>
              <w:right w:val="nil"/>
            </w:tcBorders>
            <w:shd w:val="clear" w:color="auto" w:fill="auto"/>
            <w:vAlign w:val="bottom"/>
            <w:hideMark/>
          </w:tcPr>
          <w:p w:rsidR="00EE1719" w:rsidRDefault="000E39BA">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 = Macroeconomic Imbalance Procedure (MIP) indicator</w:t>
            </w:r>
          </w:p>
        </w:tc>
      </w:tr>
      <w:tr w:rsidR="00EE1719">
        <w:trPr>
          <w:trHeight w:val="225"/>
        </w:trPr>
        <w:tc>
          <w:tcPr>
            <w:tcW w:w="8685" w:type="dxa"/>
            <w:tcBorders>
              <w:top w:val="nil"/>
              <w:left w:val="nil"/>
              <w:bottom w:val="nil"/>
              <w:right w:val="nil"/>
            </w:tcBorders>
            <w:shd w:val="clear" w:color="auto" w:fill="auto"/>
            <w:vAlign w:val="bottom"/>
            <w:hideMark/>
          </w:tcPr>
          <w:p w:rsidR="00EE1719" w:rsidRDefault="000E39BA">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 = The government deficit and debt data of enlargement countries are published on an "as is" basis an</w:t>
            </w:r>
            <w:r>
              <w:rPr>
                <w:rFonts w:ascii="Arial" w:eastAsia="Times New Roman" w:hAnsi="Arial" w:cs="Arial"/>
                <w:noProof/>
                <w:sz w:val="16"/>
                <w:szCs w:val="16"/>
                <w:lang w:eastAsia="zh-CN"/>
              </w:rPr>
              <w:t>d without any assurance as regards their quality and adherence to ESA rules.</w:t>
            </w:r>
          </w:p>
        </w:tc>
      </w:tr>
    </w:tbl>
    <w:p w:rsidR="00EE1719" w:rsidRDefault="00EE1719">
      <w:pPr>
        <w:spacing w:after="0" w:line="240" w:lineRule="auto"/>
        <w:rPr>
          <w:rFonts w:ascii="Arial" w:eastAsia="Times New Roman" w:hAnsi="Arial" w:cs="Arial"/>
          <w:noProof/>
          <w:sz w:val="16"/>
          <w:szCs w:val="16"/>
        </w:rPr>
      </w:pPr>
    </w:p>
    <w:p w:rsidR="00EE1719" w:rsidRDefault="00EE1719">
      <w:pPr>
        <w:spacing w:after="0" w:line="240" w:lineRule="auto"/>
        <w:rPr>
          <w:rFonts w:ascii="Arial" w:eastAsia="Times New Roman" w:hAnsi="Arial" w:cs="Arial"/>
          <w:noProof/>
          <w:sz w:val="16"/>
          <w:szCs w:val="16"/>
        </w:rPr>
      </w:pPr>
    </w:p>
    <w:tbl>
      <w:tblPr>
        <w:tblW w:w="9855" w:type="dxa"/>
        <w:tblInd w:w="93" w:type="dxa"/>
        <w:tblLook w:val="04A0" w:firstRow="1" w:lastRow="0" w:firstColumn="1" w:lastColumn="0" w:noHBand="0" w:noVBand="1"/>
      </w:tblPr>
      <w:tblGrid>
        <w:gridCol w:w="680"/>
        <w:gridCol w:w="9175"/>
      </w:tblGrid>
      <w:tr w:rsidR="00EE1719">
        <w:trPr>
          <w:trHeight w:val="225"/>
        </w:trPr>
        <w:tc>
          <w:tcPr>
            <w:tcW w:w="680" w:type="dxa"/>
            <w:tcBorders>
              <w:top w:val="nil"/>
              <w:left w:val="nil"/>
              <w:bottom w:val="nil"/>
              <w:right w:val="nil"/>
            </w:tcBorders>
            <w:shd w:val="clear" w:color="auto" w:fill="auto"/>
            <w:noWrap/>
            <w:hideMark/>
          </w:tcPr>
          <w:p w:rsidR="00EE1719" w:rsidRDefault="00EE1719">
            <w:pPr>
              <w:spacing w:after="0" w:line="240" w:lineRule="auto"/>
              <w:jc w:val="right"/>
              <w:rPr>
                <w:rFonts w:ascii="Arial" w:eastAsia="Times New Roman" w:hAnsi="Arial" w:cs="Arial"/>
                <w:noProof/>
                <w:sz w:val="16"/>
                <w:szCs w:val="16"/>
                <w:lang w:eastAsia="zh-CN"/>
              </w:rPr>
            </w:pPr>
          </w:p>
        </w:tc>
        <w:tc>
          <w:tcPr>
            <w:tcW w:w="9175" w:type="dxa"/>
            <w:tcBorders>
              <w:top w:val="nil"/>
              <w:left w:val="nil"/>
              <w:bottom w:val="nil"/>
              <w:right w:val="nil"/>
            </w:tcBorders>
            <w:shd w:val="clear" w:color="auto" w:fill="auto"/>
            <w:hideMark/>
          </w:tcPr>
          <w:p w:rsidR="00EE1719" w:rsidRDefault="000E39BA">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Footnotes:</w:t>
            </w:r>
          </w:p>
        </w:tc>
      </w:tr>
      <w:tr w:rsidR="00EE1719">
        <w:trPr>
          <w:trHeight w:val="225"/>
        </w:trPr>
        <w:tc>
          <w:tcPr>
            <w:tcW w:w="680" w:type="dxa"/>
            <w:tcBorders>
              <w:top w:val="nil"/>
              <w:left w:val="nil"/>
              <w:bottom w:val="nil"/>
              <w:right w:val="nil"/>
            </w:tcBorders>
            <w:shd w:val="clear" w:color="auto" w:fill="auto"/>
            <w:noWrap/>
            <w:hideMark/>
          </w:tcPr>
          <w:p w:rsidR="00EE1719" w:rsidRDefault="00EE1719">
            <w:pPr>
              <w:spacing w:after="0" w:line="240" w:lineRule="auto"/>
              <w:jc w:val="right"/>
              <w:rPr>
                <w:rFonts w:ascii="Arial" w:eastAsia="Times New Roman" w:hAnsi="Arial" w:cs="Arial"/>
                <w:noProof/>
                <w:sz w:val="16"/>
                <w:szCs w:val="16"/>
                <w:lang w:eastAsia="zh-CN"/>
              </w:rPr>
            </w:pPr>
          </w:p>
        </w:tc>
        <w:tc>
          <w:tcPr>
            <w:tcW w:w="9175" w:type="dxa"/>
            <w:tcBorders>
              <w:top w:val="nil"/>
              <w:left w:val="nil"/>
              <w:bottom w:val="nil"/>
              <w:right w:val="nil"/>
            </w:tcBorders>
            <w:shd w:val="clear" w:color="auto" w:fill="auto"/>
            <w:hideMark/>
          </w:tcPr>
          <w:p w:rsidR="00EE1719" w:rsidRDefault="00EE1719">
            <w:pPr>
              <w:spacing w:after="0" w:line="240" w:lineRule="auto"/>
              <w:rPr>
                <w:rFonts w:ascii="Arial" w:eastAsia="Times New Roman" w:hAnsi="Arial" w:cs="Arial"/>
                <w:noProof/>
                <w:sz w:val="16"/>
                <w:szCs w:val="16"/>
                <w:lang w:eastAsia="zh-CN"/>
              </w:rPr>
            </w:pPr>
          </w:p>
        </w:tc>
      </w:tr>
    </w:tbl>
    <w:p w:rsidR="00EE1719" w:rsidRDefault="00EE1719">
      <w:pPr>
        <w:spacing w:after="0" w:line="240" w:lineRule="auto"/>
        <w:rPr>
          <w:rFonts w:ascii="Arial" w:eastAsia="Times New Roman" w:hAnsi="Arial" w:cs="Arial"/>
          <w:noProof/>
          <w:sz w:val="16"/>
          <w:szCs w:val="16"/>
        </w:rPr>
      </w:pPr>
    </w:p>
    <w:tbl>
      <w:tblPr>
        <w:tblW w:w="0" w:type="auto"/>
        <w:tblInd w:w="78" w:type="dxa"/>
        <w:tblLayout w:type="fixed"/>
        <w:tblLook w:val="0000" w:firstRow="0" w:lastRow="0" w:firstColumn="0" w:lastColumn="0" w:noHBand="0" w:noVBand="0"/>
      </w:tblPr>
      <w:tblGrid>
        <w:gridCol w:w="598"/>
        <w:gridCol w:w="8504"/>
      </w:tblGrid>
      <w:tr w:rsidR="00EE1719">
        <w:trPr>
          <w:trHeight w:val="360"/>
        </w:trPr>
        <w:tc>
          <w:tcPr>
            <w:tcW w:w="598" w:type="dxa"/>
            <w:tcBorders>
              <w:top w:val="nil"/>
              <w:left w:val="nil"/>
              <w:bottom w:val="nil"/>
              <w:right w:val="nil"/>
            </w:tcBorders>
          </w:tcPr>
          <w:p w:rsidR="00EE1719" w:rsidRDefault="000E39BA">
            <w:pPr>
              <w:autoSpaceDE w:val="0"/>
              <w:autoSpaceDN w:val="0"/>
              <w:adjustRightInd w:val="0"/>
              <w:spacing w:after="0" w:line="240" w:lineRule="auto"/>
              <w:jc w:val="right"/>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c>
          <w:tcPr>
            <w:tcW w:w="85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The Albanian Government is implementing an action plan to reduce the informal economy. As result, 56 787 active enterprises were registered for the first </w:t>
            </w:r>
            <w:r>
              <w:rPr>
                <w:rFonts w:ascii="Arial" w:eastAsia="Times New Roman" w:hAnsi="Arial" w:cs="Arial"/>
                <w:noProof/>
                <w:color w:val="000000"/>
                <w:sz w:val="16"/>
                <w:szCs w:val="16"/>
                <w:lang w:eastAsia="zh-CN"/>
              </w:rPr>
              <w:t>time in the statistical business register in 2015. Most of them are not new entities for 2015.</w:t>
            </w:r>
          </w:p>
        </w:tc>
      </w:tr>
      <w:tr w:rsidR="00EE1719">
        <w:trPr>
          <w:trHeight w:val="240"/>
        </w:trPr>
        <w:tc>
          <w:tcPr>
            <w:tcW w:w="598" w:type="dxa"/>
            <w:tcBorders>
              <w:top w:val="nil"/>
              <w:left w:val="nil"/>
              <w:bottom w:val="nil"/>
              <w:right w:val="nil"/>
            </w:tcBorders>
          </w:tcPr>
          <w:p w:rsidR="00EE1719" w:rsidRDefault="000E39BA">
            <w:pPr>
              <w:autoSpaceDE w:val="0"/>
              <w:autoSpaceDN w:val="0"/>
              <w:adjustRightInd w:val="0"/>
              <w:spacing w:after="0" w:line="240" w:lineRule="auto"/>
              <w:jc w:val="right"/>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w:t>
            </w:r>
          </w:p>
        </w:tc>
        <w:tc>
          <w:tcPr>
            <w:tcW w:w="85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2006: based on NACE Rev. 1.1; coverage is Divisions 10 to 74. 2013-2016: based on NACE Rev. 2; coverage is Divisions 05 to 82 and 95.</w:t>
            </w:r>
          </w:p>
        </w:tc>
      </w:tr>
      <w:tr w:rsidR="00EE1719">
        <w:trPr>
          <w:trHeight w:val="137"/>
        </w:trPr>
        <w:tc>
          <w:tcPr>
            <w:tcW w:w="598" w:type="dxa"/>
            <w:tcBorders>
              <w:top w:val="nil"/>
              <w:left w:val="nil"/>
              <w:bottom w:val="nil"/>
              <w:right w:val="nil"/>
            </w:tcBorders>
          </w:tcPr>
          <w:p w:rsidR="00EE1719" w:rsidRDefault="000E39BA">
            <w:pPr>
              <w:autoSpaceDE w:val="0"/>
              <w:autoSpaceDN w:val="0"/>
              <w:adjustRightInd w:val="0"/>
              <w:spacing w:after="0" w:line="240" w:lineRule="auto"/>
              <w:jc w:val="right"/>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w:t>
            </w:r>
          </w:p>
        </w:tc>
        <w:tc>
          <w:tcPr>
            <w:tcW w:w="85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2006: based on </w:t>
            </w:r>
            <w:r>
              <w:rPr>
                <w:rFonts w:ascii="Arial" w:eastAsia="Times New Roman" w:hAnsi="Arial" w:cs="Arial"/>
                <w:noProof/>
                <w:color w:val="000000"/>
                <w:sz w:val="16"/>
                <w:szCs w:val="16"/>
                <w:lang w:eastAsia="zh-CN"/>
              </w:rPr>
              <w:t>balance of payments manual edition 5 (BPM5).</w:t>
            </w:r>
          </w:p>
        </w:tc>
      </w:tr>
      <w:tr w:rsidR="00EE1719">
        <w:trPr>
          <w:trHeight w:val="137"/>
        </w:trPr>
        <w:tc>
          <w:tcPr>
            <w:tcW w:w="598" w:type="dxa"/>
            <w:tcBorders>
              <w:top w:val="nil"/>
              <w:left w:val="nil"/>
              <w:bottom w:val="nil"/>
              <w:right w:val="nil"/>
            </w:tcBorders>
          </w:tcPr>
          <w:p w:rsidR="00EE1719" w:rsidRDefault="000E39BA">
            <w:pPr>
              <w:autoSpaceDE w:val="0"/>
              <w:autoSpaceDN w:val="0"/>
              <w:adjustRightInd w:val="0"/>
              <w:spacing w:after="0" w:line="240" w:lineRule="auto"/>
              <w:jc w:val="right"/>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w:t>
            </w:r>
          </w:p>
        </w:tc>
        <w:tc>
          <w:tcPr>
            <w:tcW w:w="85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Annual average of the Tribor rate – interbank rate for overnight loans.</w:t>
            </w:r>
          </w:p>
        </w:tc>
      </w:tr>
      <w:tr w:rsidR="00EE1719">
        <w:trPr>
          <w:trHeight w:val="137"/>
        </w:trPr>
        <w:tc>
          <w:tcPr>
            <w:tcW w:w="598" w:type="dxa"/>
            <w:tcBorders>
              <w:top w:val="nil"/>
              <w:left w:val="nil"/>
              <w:bottom w:val="nil"/>
              <w:right w:val="nil"/>
            </w:tcBorders>
          </w:tcPr>
          <w:p w:rsidR="00EE1719" w:rsidRDefault="000E39BA">
            <w:pPr>
              <w:autoSpaceDE w:val="0"/>
              <w:autoSpaceDN w:val="0"/>
              <w:adjustRightInd w:val="0"/>
              <w:spacing w:after="0" w:line="240" w:lineRule="auto"/>
              <w:jc w:val="right"/>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w:t>
            </w:r>
          </w:p>
        </w:tc>
        <w:tc>
          <w:tcPr>
            <w:tcW w:w="85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Average weighted rate applied on new 12-month loans over the respective month, on 12-month maturity.</w:t>
            </w:r>
          </w:p>
        </w:tc>
      </w:tr>
      <w:tr w:rsidR="00EE1719">
        <w:trPr>
          <w:trHeight w:val="240"/>
        </w:trPr>
        <w:tc>
          <w:tcPr>
            <w:tcW w:w="598" w:type="dxa"/>
            <w:tcBorders>
              <w:top w:val="nil"/>
              <w:left w:val="nil"/>
              <w:bottom w:val="nil"/>
              <w:right w:val="nil"/>
            </w:tcBorders>
          </w:tcPr>
          <w:p w:rsidR="00EE1719" w:rsidRDefault="000E39BA">
            <w:pPr>
              <w:autoSpaceDE w:val="0"/>
              <w:autoSpaceDN w:val="0"/>
              <w:adjustRightInd w:val="0"/>
              <w:spacing w:after="0" w:line="240" w:lineRule="auto"/>
              <w:jc w:val="right"/>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w:t>
            </w:r>
          </w:p>
        </w:tc>
        <w:tc>
          <w:tcPr>
            <w:tcW w:w="85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xml:space="preserve">Deposit interest rate </w:t>
            </w:r>
            <w:r>
              <w:rPr>
                <w:rFonts w:ascii="Arial" w:eastAsia="Times New Roman" w:hAnsi="Arial" w:cs="Arial"/>
                <w:noProof/>
                <w:color w:val="000000"/>
                <w:sz w:val="16"/>
                <w:szCs w:val="16"/>
                <w:lang w:eastAsia="zh-CN"/>
              </w:rPr>
              <w:t>represents the average weighted rate for newly accepted deposits over the respective month, on 12-month maturity.</w:t>
            </w:r>
          </w:p>
        </w:tc>
      </w:tr>
      <w:tr w:rsidR="00EE1719">
        <w:trPr>
          <w:trHeight w:val="137"/>
        </w:trPr>
        <w:tc>
          <w:tcPr>
            <w:tcW w:w="598" w:type="dxa"/>
            <w:tcBorders>
              <w:top w:val="nil"/>
              <w:left w:val="nil"/>
              <w:bottom w:val="nil"/>
              <w:right w:val="nil"/>
            </w:tcBorders>
          </w:tcPr>
          <w:p w:rsidR="00EE1719" w:rsidRDefault="000E39BA">
            <w:pPr>
              <w:autoSpaceDE w:val="0"/>
              <w:autoSpaceDN w:val="0"/>
              <w:adjustRightInd w:val="0"/>
              <w:spacing w:after="0" w:line="240" w:lineRule="auto"/>
              <w:jc w:val="right"/>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w:t>
            </w:r>
          </w:p>
        </w:tc>
        <w:tc>
          <w:tcPr>
            <w:tcW w:w="85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 and 2014: including persons who have not or could not be classified to a particular activity.</w:t>
            </w:r>
          </w:p>
        </w:tc>
      </w:tr>
      <w:tr w:rsidR="00EE1719">
        <w:trPr>
          <w:trHeight w:val="137"/>
        </w:trPr>
        <w:tc>
          <w:tcPr>
            <w:tcW w:w="598" w:type="dxa"/>
            <w:tcBorders>
              <w:top w:val="nil"/>
              <w:left w:val="nil"/>
              <w:bottom w:val="nil"/>
              <w:right w:val="nil"/>
            </w:tcBorders>
          </w:tcPr>
          <w:p w:rsidR="00EE1719" w:rsidRDefault="000E39BA">
            <w:pPr>
              <w:autoSpaceDE w:val="0"/>
              <w:autoSpaceDN w:val="0"/>
              <w:adjustRightInd w:val="0"/>
              <w:spacing w:after="0" w:line="240" w:lineRule="auto"/>
              <w:jc w:val="right"/>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w:t>
            </w:r>
          </w:p>
        </w:tc>
        <w:tc>
          <w:tcPr>
            <w:tcW w:w="85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2006: administrative data.</w:t>
            </w:r>
          </w:p>
        </w:tc>
      </w:tr>
      <w:tr w:rsidR="00EE1719">
        <w:trPr>
          <w:trHeight w:val="137"/>
        </w:trPr>
        <w:tc>
          <w:tcPr>
            <w:tcW w:w="598" w:type="dxa"/>
            <w:tcBorders>
              <w:top w:val="nil"/>
              <w:left w:val="nil"/>
              <w:bottom w:val="nil"/>
              <w:right w:val="nil"/>
            </w:tcBorders>
          </w:tcPr>
          <w:p w:rsidR="00EE1719" w:rsidRDefault="000E39BA">
            <w:pPr>
              <w:autoSpaceDE w:val="0"/>
              <w:autoSpaceDN w:val="0"/>
              <w:adjustRightInd w:val="0"/>
              <w:spacing w:after="0" w:line="240" w:lineRule="auto"/>
              <w:jc w:val="right"/>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w:t>
            </w:r>
          </w:p>
        </w:tc>
        <w:tc>
          <w:tcPr>
            <w:tcW w:w="85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Public sector.</w:t>
            </w:r>
          </w:p>
        </w:tc>
      </w:tr>
      <w:tr w:rsidR="00EE1719">
        <w:trPr>
          <w:trHeight w:val="137"/>
        </w:trPr>
        <w:tc>
          <w:tcPr>
            <w:tcW w:w="598" w:type="dxa"/>
            <w:tcBorders>
              <w:top w:val="nil"/>
              <w:left w:val="nil"/>
              <w:bottom w:val="nil"/>
              <w:right w:val="nil"/>
            </w:tcBorders>
          </w:tcPr>
          <w:p w:rsidR="00EE1719" w:rsidRDefault="000E39BA">
            <w:pPr>
              <w:autoSpaceDE w:val="0"/>
              <w:autoSpaceDN w:val="0"/>
              <w:adjustRightInd w:val="0"/>
              <w:spacing w:after="0" w:line="240" w:lineRule="auto"/>
              <w:jc w:val="right"/>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w:t>
            </w:r>
          </w:p>
        </w:tc>
        <w:tc>
          <w:tcPr>
            <w:tcW w:w="8504" w:type="dxa"/>
            <w:tcBorders>
              <w:top w:val="nil"/>
              <w:left w:val="nil"/>
              <w:bottom w:val="nil"/>
              <w:right w:val="nil"/>
            </w:tcBorders>
          </w:tcPr>
          <w:p w:rsidR="00EE1719" w:rsidRDefault="000E39BA">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Excluding rice.</w:t>
            </w:r>
          </w:p>
        </w:tc>
      </w:tr>
    </w:tbl>
    <w:p w:rsidR="00EE1719" w:rsidRDefault="00EE1719">
      <w:pPr>
        <w:spacing w:after="0" w:line="240" w:lineRule="auto"/>
        <w:rPr>
          <w:rFonts w:ascii="Arial" w:eastAsia="Times New Roman" w:hAnsi="Arial" w:cs="Arial"/>
          <w:noProof/>
          <w:sz w:val="16"/>
          <w:szCs w:val="16"/>
        </w:rPr>
      </w:pPr>
    </w:p>
    <w:p w:rsidR="00EE1719" w:rsidRDefault="00EE1719">
      <w:pPr>
        <w:spacing w:after="0" w:line="240" w:lineRule="auto"/>
        <w:rPr>
          <w:rFonts w:ascii="Arial" w:eastAsia="Times New Roman" w:hAnsi="Arial" w:cs="Arial"/>
          <w:noProof/>
          <w:sz w:val="16"/>
          <w:szCs w:val="16"/>
        </w:rPr>
      </w:pPr>
    </w:p>
    <w:p w:rsidR="00EE1719" w:rsidRDefault="00EE1719">
      <w:pPr>
        <w:spacing w:after="0" w:line="240" w:lineRule="auto"/>
        <w:rPr>
          <w:rFonts w:ascii="Arial" w:eastAsia="Times New Roman" w:hAnsi="Arial" w:cs="Arial"/>
          <w:noProof/>
          <w:sz w:val="16"/>
          <w:szCs w:val="16"/>
        </w:rPr>
      </w:pPr>
    </w:p>
    <w:p w:rsidR="00EE1719" w:rsidRDefault="00EE1719">
      <w:pPr>
        <w:spacing w:after="120" w:line="240" w:lineRule="auto"/>
        <w:rPr>
          <w:rFonts w:ascii="Times New Roman Bold" w:hAnsi="Times New Roman Bold" w:cs="Times New Roman"/>
          <w:b/>
          <w:smallCaps/>
          <w:noProof/>
          <w:color w:val="000000" w:themeColor="text1"/>
          <w:sz w:val="24"/>
          <w:szCs w:val="24"/>
        </w:rPr>
      </w:pPr>
    </w:p>
    <w:sectPr w:rsidR="00EE1719">
      <w:headerReference w:type="even" r:id="rId30"/>
      <w:headerReference w:type="default" r:id="rId31"/>
      <w:footerReference w:type="even" r:id="rId32"/>
      <w:footerReference w:type="default" r:id="rId33"/>
      <w:headerReference w:type="first" r:id="rId34"/>
      <w:footerReference w:type="first" r:id="rId35"/>
      <w:pgSz w:w="16839" w:h="11907"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719" w:rsidRDefault="000E39BA">
      <w:pPr>
        <w:spacing w:after="0" w:line="240" w:lineRule="auto"/>
      </w:pPr>
      <w:r>
        <w:separator/>
      </w:r>
    </w:p>
  </w:endnote>
  <w:endnote w:type="continuationSeparator" w:id="0">
    <w:p w:rsidR="00EE1719" w:rsidRDefault="000E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19" w:rsidRDefault="00EE1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19" w:rsidRDefault="000E39BA">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19" w:rsidRDefault="00EE171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19" w:rsidRDefault="00EE17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067972"/>
      <w:docPartObj>
        <w:docPartGallery w:val="Page Numbers (Bottom of Page)"/>
        <w:docPartUnique/>
      </w:docPartObj>
    </w:sdtPr>
    <w:sdtEndPr>
      <w:rPr>
        <w:noProof/>
      </w:rPr>
    </w:sdtEndPr>
    <w:sdtContent>
      <w:p w:rsidR="00EE1719" w:rsidRDefault="000E39BA">
        <w:pPr>
          <w:pStyle w:val="Footer"/>
          <w:jc w:val="center"/>
        </w:pPr>
        <w:r>
          <w:fldChar w:fldCharType="begin"/>
        </w:r>
        <w:r>
          <w:instrText xml:space="preserve"> PAGE  </w:instrText>
        </w:r>
        <w:r>
          <w:instrText xml:space="preserv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19" w:rsidRDefault="00EE17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19" w:rsidRDefault="00EE171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19" w:rsidRDefault="00EE171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19" w:rsidRDefault="00EE1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719" w:rsidRDefault="000E39BA">
      <w:pPr>
        <w:spacing w:after="0" w:line="240" w:lineRule="auto"/>
      </w:pPr>
      <w:r>
        <w:separator/>
      </w:r>
    </w:p>
  </w:footnote>
  <w:footnote w:type="continuationSeparator" w:id="0">
    <w:p w:rsidR="00EE1719" w:rsidRDefault="000E39BA">
      <w:pPr>
        <w:spacing w:after="0" w:line="240" w:lineRule="auto"/>
      </w:pPr>
      <w:r>
        <w:continuationSeparator/>
      </w:r>
    </w:p>
  </w:footnote>
  <w:footnote w:id="1">
    <w:p w:rsidR="00EE1719" w:rsidRDefault="000E39BA">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https://ec.europa.eu/neighbourhood-enlargement/sites/near/files/update-on-the-republic-of-albania.pdf</w:t>
        </w:r>
      </w:hyperlink>
    </w:p>
  </w:footnote>
  <w:footnote w:id="2">
    <w:p w:rsidR="00EE1719" w:rsidRDefault="000E39BA">
      <w:pPr>
        <w:pStyle w:val="FootnoteText"/>
        <w:rPr>
          <w:lang w:val="fr-BE"/>
        </w:rPr>
      </w:pPr>
      <w:r>
        <w:rPr>
          <w:rStyle w:val="FootnoteReference"/>
          <w:rFonts w:ascii="Times New Roman" w:hAnsi="Times New Roman"/>
        </w:rPr>
        <w:footnoteRef/>
      </w:r>
      <w:r>
        <w:rPr>
          <w:rFonts w:ascii="Times New Roman" w:hAnsi="Times New Roman"/>
          <w:lang w:val="fr-BE"/>
        </w:rPr>
        <w:t xml:space="preserve"> </w:t>
      </w:r>
      <w:hyperlink r:id="rId2" w:history="1">
        <w:r>
          <w:rPr>
            <w:rStyle w:val="Hyperlink"/>
            <w:rFonts w:ascii="Times New Roman" w:hAnsi="Times New Roman"/>
            <w:lang w:val="fr-BE"/>
          </w:rPr>
          <w:t>https://www.consilium.europa.eu/media/43076/26-vc-euco-statement-en.pdf</w:t>
        </w:r>
      </w:hyperlink>
    </w:p>
  </w:footnote>
  <w:footnote w:id="3">
    <w:p w:rsidR="00EE1719" w:rsidRDefault="000E39BA">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Cs/>
        </w:rPr>
        <w:t>All these groups are considered under the wider "Roma" umbrella term under the EU framework for National Roma Integration Strategies.</w:t>
      </w:r>
    </w:p>
  </w:footnote>
  <w:footnote w:id="4">
    <w:p w:rsidR="00EE1719" w:rsidRDefault="000E39BA">
      <w:pPr>
        <w:spacing w:after="12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The Regional Education Directorate (RED) data </w:t>
      </w:r>
      <w:r>
        <w:rPr>
          <w:rFonts w:ascii="Times New Roman" w:hAnsi="Times New Roman" w:cs="Times New Roman"/>
          <w:sz w:val="20"/>
          <w:szCs w:val="20"/>
        </w:rPr>
        <w:t xml:space="preserve">from the 10 municipalities where work efforts were made for drafting of the local plans, showed that children with disabilities, to a considerable extent, are still out of the education system. In ten municipalities, only 1,255 children with disabilities, </w:t>
      </w:r>
      <w:r>
        <w:rPr>
          <w:rFonts w:ascii="Times New Roman" w:hAnsi="Times New Roman" w:cs="Times New Roman"/>
          <w:sz w:val="20"/>
          <w:szCs w:val="20"/>
        </w:rPr>
        <w:t xml:space="preserve">that have obtained an attestation from the Medical Commission for Work Capacity Assessment, are enrolled in regular schools and kindergartens. The level of involvement varies from one area to another, so in Lezha Municipality, 60% (n=165) of children with </w:t>
      </w:r>
      <w:r>
        <w:rPr>
          <w:rFonts w:ascii="Times New Roman" w:hAnsi="Times New Roman" w:cs="Times New Roman"/>
          <w:sz w:val="20"/>
          <w:szCs w:val="20"/>
        </w:rPr>
        <w:t>disabilities of school age, are not part of the educational system. Also in the Municipality of Vlora, 65% (n=173) children with disabilities, are not yet part of the education system. Children with disabilities, especially children with a higher degree of</w:t>
      </w:r>
      <w:r>
        <w:rPr>
          <w:rFonts w:ascii="Times New Roman" w:hAnsi="Times New Roman" w:cs="Times New Roman"/>
          <w:sz w:val="20"/>
          <w:szCs w:val="20"/>
        </w:rPr>
        <w:t xml:space="preserve"> disability or those with multiple disabilities, experience major obstacles in regard to access to schools. </w:t>
      </w:r>
    </w:p>
  </w:footnote>
  <w:footnote w:id="5">
    <w:p w:rsidR="00EE1719" w:rsidRDefault="000E39BA">
      <w:pPr>
        <w:pStyle w:val="FootnoteText"/>
      </w:pPr>
      <w:r>
        <w:rPr>
          <w:rStyle w:val="FootnoteReference"/>
        </w:rPr>
        <w:footnoteRef/>
      </w:r>
      <w:r>
        <w:t xml:space="preserve"> </w:t>
      </w:r>
      <w:r>
        <w:rPr>
          <w:rFonts w:ascii="Times New Roman" w:eastAsiaTheme="minorEastAsia" w:hAnsi="Times New Roman"/>
        </w:rPr>
        <w:t>COM(2020) 325 final</w:t>
      </w:r>
    </w:p>
  </w:footnote>
  <w:footnote w:id="6">
    <w:p w:rsidR="00EE1719" w:rsidRDefault="000E39BA">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Excluding the UK</w:t>
      </w:r>
    </w:p>
  </w:footnote>
  <w:footnote w:id="7">
    <w:p w:rsidR="00EE1719" w:rsidRDefault="000E39BA">
      <w:pPr>
        <w:pStyle w:val="FootnoteText"/>
        <w:rPr>
          <w:sz w:val="18"/>
          <w:szCs w:val="18"/>
        </w:rPr>
      </w:pPr>
      <w:r>
        <w:rPr>
          <w:rStyle w:val="FootnoteReference"/>
          <w:rFonts w:ascii="Times New Roman" w:hAnsi="Times New Roman"/>
          <w:sz w:val="18"/>
          <w:szCs w:val="18"/>
        </w:rPr>
        <w:footnoteRef/>
      </w:r>
      <w:r>
        <w:rPr>
          <w:rFonts w:ascii="Times New Roman" w:hAnsi="Times New Roman"/>
          <w:sz w:val="18"/>
          <w:szCs w:val="18"/>
        </w:rPr>
        <w:t xml:space="preserve"> Data collected from the Member State most affected. Figures excluding accompanied minors and Albanian ci</w:t>
      </w:r>
      <w:r>
        <w:rPr>
          <w:rFonts w:ascii="Times New Roman" w:hAnsi="Times New Roman"/>
          <w:sz w:val="18"/>
          <w:szCs w:val="18"/>
        </w:rPr>
        <w:t>tizens under examination in “Dublin procedures”.</w:t>
      </w:r>
    </w:p>
  </w:footnote>
  <w:footnote w:id="8">
    <w:p w:rsidR="00EE1719" w:rsidRDefault="000E39BA">
      <w:pPr>
        <w:pStyle w:val="FootnoteText"/>
        <w:jc w:val="both"/>
      </w:pPr>
      <w:r>
        <w:rPr>
          <w:rStyle w:val="FootnoteReference"/>
        </w:rPr>
        <w:sym w:font="Symbol" w:char="F02A"/>
      </w:r>
      <w:r>
        <w:t xml:space="preserve"> </w:t>
      </w:r>
      <w:r>
        <w:rPr>
          <w:rFonts w:ascii="Times New Roman" w:hAnsi="Times New Roman"/>
        </w:rPr>
        <w:t>This designation is without prejudice to positions on status, and is line with UNSCR 1244/1999 and the ICJ Opinion on the Kosovo declaration of independence.</w:t>
      </w:r>
    </w:p>
  </w:footnote>
  <w:footnote w:id="9">
    <w:p w:rsidR="00EE1719" w:rsidRDefault="000E39BA">
      <w:pPr>
        <w:pStyle w:val="FootnoteText"/>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Western Balkans and Turkey: Joint conclusions</w:t>
      </w:r>
      <w:r>
        <w:rPr>
          <w:rFonts w:ascii="Times New Roman" w:hAnsi="Times New Roman"/>
        </w:rPr>
        <w:t xml:space="preserve"> of the economic and financial dialogue, 2019, https://www.consilium.europa.eu/en/press/press-releases/2019/05/17/western-balkans-and-turkey-joint-conclusions-of-the-economic-and-financial-dialogue-of-17-may-2019/</w:t>
      </w:r>
    </w:p>
    <w:p w:rsidR="00EE1719" w:rsidRDefault="00EE1719">
      <w:pPr>
        <w:pStyle w:val="FootnoteText"/>
        <w:rPr>
          <w:rFonts w:ascii="Times New Roman" w:hAnsi="Times New Roman"/>
        </w:rPr>
      </w:pPr>
    </w:p>
  </w:footnote>
  <w:footnote w:id="10">
    <w:p w:rsidR="00EE1719" w:rsidRDefault="000E39BA">
      <w:pPr>
        <w:pStyle w:val="FootnoteText"/>
        <w:ind w:left="284" w:hanging="284"/>
        <w:jc w:val="both"/>
        <w:rPr>
          <w:rFonts w:ascii="Times New Roman" w:hAnsi="Times New Roman"/>
          <w:sz w:val="18"/>
          <w:szCs w:val="18"/>
        </w:rPr>
      </w:pPr>
      <w:r>
        <w:rPr>
          <w:rStyle w:val="FootnoteReference"/>
        </w:rPr>
        <w:footnoteRef/>
      </w:r>
      <w:r>
        <w:t xml:space="preserve"> </w:t>
      </w:r>
      <w:r>
        <w:rPr>
          <w:rFonts w:ascii="Times New Roman" w:hAnsi="Times New Roman"/>
        </w:rPr>
        <w:t xml:space="preserve">Expenditure to address the destruction </w:t>
      </w:r>
      <w:r>
        <w:rPr>
          <w:rFonts w:ascii="Times New Roman" w:hAnsi="Times New Roman"/>
        </w:rPr>
        <w:t>caused by the earthquake will mostly occur in 2020.</w:t>
      </w:r>
    </w:p>
  </w:footnote>
  <w:footnote w:id="11">
    <w:p w:rsidR="00EE1719" w:rsidRDefault="000E39BA">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MOFE preliminary summary report on concession/PPP contract performance (2019).</w:t>
      </w:r>
    </w:p>
  </w:footnote>
  <w:footnote w:id="12">
    <w:p w:rsidR="00EE1719" w:rsidRDefault="000E39BA">
      <w:pPr>
        <w:pStyle w:val="FootnoteTex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rFonts w:ascii="Times New Roman" w:hAnsi="Times New Roman"/>
          <w:i/>
          <w:lang w:val="fr-BE"/>
        </w:rPr>
        <w:t>Albania – enterprise survey 2019</w:t>
      </w:r>
      <w:r>
        <w:rPr>
          <w:rFonts w:ascii="Times New Roman" w:hAnsi="Times New Roman"/>
          <w:lang w:val="fr-BE"/>
        </w:rPr>
        <w:t xml:space="preserve">; </w:t>
      </w:r>
      <w:hyperlink r:id="rId3" w:history="1">
        <w:r>
          <w:rPr>
            <w:rStyle w:val="Hyperlink"/>
            <w:rFonts w:ascii="Times New Roman" w:hAnsi="Times New Roman"/>
            <w:lang w:val="fr-BE"/>
          </w:rPr>
          <w:t>www.enterprisesurvey.org</w:t>
        </w:r>
      </w:hyperlink>
      <w:r>
        <w:rPr>
          <w:rFonts w:ascii="Times New Roman" w:hAnsi="Times New Roman"/>
          <w:lang w:val="fr-BE"/>
        </w:rPr>
        <w:t xml:space="preserve"> </w:t>
      </w:r>
    </w:p>
  </w:footnote>
  <w:footnote w:id="13">
    <w:p w:rsidR="00EE1719" w:rsidRDefault="000E39BA">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MOFE preliminary summary report on concession/PPP contract performance (2019).</w:t>
      </w:r>
    </w:p>
  </w:footnote>
  <w:footnote w:id="14">
    <w:p w:rsidR="00EE1719" w:rsidRDefault="000E39BA">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As a secretariat within MOFE, the SAC is not independent and has limited capacity.</w:t>
      </w:r>
    </w:p>
  </w:footnote>
  <w:footnote w:id="15">
    <w:p w:rsidR="00EE1719" w:rsidRDefault="000E39BA">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Tax expenditure is foregone tax revenue due to tax exemptions and reductions. MOFE publi</w:t>
      </w:r>
      <w:r>
        <w:rPr>
          <w:rFonts w:ascii="Times New Roman" w:hAnsi="Times New Roman"/>
        </w:rPr>
        <w:t>shed this report end of December 2019.</w:t>
      </w:r>
    </w:p>
  </w:footnote>
  <w:footnote w:id="16">
    <w:p w:rsidR="00EE1719" w:rsidRDefault="000E39BA">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There are no public financial corporations in Albania.</w:t>
      </w:r>
    </w:p>
  </w:footnote>
  <w:footnote w:id="17">
    <w:p w:rsidR="00EE1719" w:rsidRDefault="000E39BA">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IMF, </w:t>
      </w:r>
      <w:r>
        <w:rPr>
          <w:rFonts w:ascii="Times New Roman" w:hAnsi="Times New Roman"/>
          <w:i/>
        </w:rPr>
        <w:t>FAD technical report – June 2019</w:t>
      </w:r>
      <w:r>
        <w:rPr>
          <w:rFonts w:ascii="Times New Roman" w:hAnsi="Times New Roman"/>
        </w:rPr>
        <w:t>.</w:t>
      </w:r>
    </w:p>
  </w:footnote>
  <w:footnote w:id="18">
    <w:p w:rsidR="00EE1719" w:rsidRDefault="000E39BA">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World Bank / European Investment Bank / OECD, </w:t>
      </w:r>
      <w:r>
        <w:rPr>
          <w:rFonts w:ascii="Times New Roman" w:hAnsi="Times New Roman"/>
          <w:i/>
        </w:rPr>
        <w:t xml:space="preserve">Enterprise survey – Albania </w:t>
      </w:r>
      <w:r>
        <w:rPr>
          <w:rFonts w:ascii="Times New Roman" w:hAnsi="Times New Roman"/>
        </w:rPr>
        <w:t>(2019).</w:t>
      </w:r>
    </w:p>
  </w:footnote>
  <w:footnote w:id="19">
    <w:p w:rsidR="00EE1719" w:rsidRDefault="000E39BA">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OECD, </w:t>
      </w:r>
      <w:r>
        <w:rPr>
          <w:rFonts w:ascii="Times New Roman" w:hAnsi="Times New Roman"/>
          <w:i/>
        </w:rPr>
        <w:t>SME policy index 2019 –</w:t>
      </w:r>
      <w:r>
        <w:rPr>
          <w:rFonts w:ascii="Times New Roman" w:hAnsi="Times New Roman"/>
          <w:i/>
        </w:rPr>
        <w:t xml:space="preserve"> Western Balkans and Turkey</w:t>
      </w:r>
      <w:r>
        <w:rPr>
          <w:rFonts w:ascii="Times New Roman" w:hAnsi="Times New Roman"/>
        </w:rPr>
        <w:t>. The figures do not include agriculture.</w:t>
      </w:r>
    </w:p>
  </w:footnote>
  <w:footnote w:id="20">
    <w:p w:rsidR="00EE1719" w:rsidRDefault="000E39BA">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Albania also actively participates in initiatives such as the Brdo-Brijuni Process, the Central European Initiative, the Adriatic-Ionian Initiative, the South-Eastern Europe Cooperation</w:t>
      </w:r>
      <w:r>
        <w:rPr>
          <w:rFonts w:ascii="Times New Roman" w:hAnsi="Times New Roman"/>
        </w:rPr>
        <w:t xml:space="preserve"> Process (SEECP), the EU Strategies for the Danube Region and for the Adriatic-Ionian Region, the Migration, Asylum, Refugees Regional Initiative (MARRI), the Regional School of Public Administration (ReSPA), the  Regional Youth Cooperation Office in the W</w:t>
      </w:r>
      <w:r>
        <w:rPr>
          <w:rFonts w:ascii="Times New Roman" w:hAnsi="Times New Roman"/>
        </w:rPr>
        <w:t xml:space="preserve">estern Balkans (RYCO), the South East European Cooperation Process (SEECP) and the Western Balkans Fund. </w:t>
      </w:r>
    </w:p>
  </w:footnote>
  <w:footnote w:id="21">
    <w:p w:rsidR="00EE1719" w:rsidRDefault="000E39BA">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Cs/>
        </w:rPr>
        <w:t>In line with the terminology of European institutions the umbrella term ‘Roma’ is used here to refer to a number of different groups  without denyin</w:t>
      </w:r>
      <w:r>
        <w:rPr>
          <w:rFonts w:ascii="Times New Roman" w:hAnsi="Times New Roman"/>
          <w:iCs/>
        </w:rPr>
        <w:t>g the specificities of these groups.</w:t>
      </w:r>
    </w:p>
  </w:footnote>
  <w:footnote w:id="22">
    <w:p w:rsidR="00EE1719" w:rsidRDefault="000E39B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LEK 1,678,989,000; exchange rate EUR/LEK on 31/12/2019 = 120.562</w:t>
      </w:r>
    </w:p>
  </w:footnote>
  <w:footnote w:id="23">
    <w:p w:rsidR="00EE1719" w:rsidRDefault="000E39BA">
      <w:pPr>
        <w:pStyle w:val="FootnoteText"/>
      </w:pPr>
      <w:r>
        <w:rPr>
          <w:rStyle w:val="FootnoteReference"/>
          <w:rFonts w:ascii="Times New Roman" w:hAnsi="Times New Roman"/>
        </w:rPr>
        <w:footnoteRef/>
      </w:r>
      <w:r>
        <w:rPr>
          <w:rFonts w:ascii="Times New Roman" w:hAnsi="Times New Roman"/>
        </w:rPr>
        <w:t xml:space="preserve"> I</w:t>
      </w:r>
      <w:r>
        <w:rPr>
          <w:rFonts w:ascii="Times New Roman" w:eastAsia="Times New Roman" w:hAnsi="Times New Roman"/>
          <w:color w:val="000000"/>
          <w:szCs w:val="24"/>
        </w:rPr>
        <w:t>n accordance with EU Council Decision 2013/488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19" w:rsidRDefault="00EE1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19" w:rsidRDefault="00EE171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19" w:rsidRDefault="00EE171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19" w:rsidRDefault="00EE17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19" w:rsidRDefault="00EE17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19" w:rsidRDefault="00EE17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19" w:rsidRDefault="00EE17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19" w:rsidRDefault="00EE171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19" w:rsidRDefault="00EE1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15:restartNumberingAfterBreak="0">
    <w:nsid w:val="00350FB1"/>
    <w:multiLevelType w:val="multilevel"/>
    <w:tmpl w:val="30847FD6"/>
    <w:name w:val="List Number 4"/>
    <w:lvl w:ilvl="0">
      <w:start w:val="1"/>
      <w:numFmt w:val="decimal"/>
      <w:lvlRestart w:val="0"/>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E43525"/>
    <w:multiLevelType w:val="multilevel"/>
    <w:tmpl w:val="76202BFE"/>
    <w:name w:val="List Number 3"/>
    <w:lvl w:ilvl="0">
      <w:start w:val="1"/>
      <w:numFmt w:val="decimal"/>
      <w:lvlRestart w:val="0"/>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5F37E06"/>
    <w:multiLevelType w:val="hybridMultilevel"/>
    <w:tmpl w:val="1A24192C"/>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9C36F8"/>
    <w:multiLevelType w:val="multilevel"/>
    <w:tmpl w:val="26AE6AA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0C50866"/>
    <w:multiLevelType w:val="multilevel"/>
    <w:tmpl w:val="C0A4E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88977AC"/>
    <w:multiLevelType w:val="hybridMultilevel"/>
    <w:tmpl w:val="909665AE"/>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1BCC2069"/>
    <w:multiLevelType w:val="hybridMultilevel"/>
    <w:tmpl w:val="360E27D0"/>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CE94442"/>
    <w:multiLevelType w:val="hybridMultilevel"/>
    <w:tmpl w:val="AC3E5154"/>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4E930D7"/>
    <w:multiLevelType w:val="multilevel"/>
    <w:tmpl w:val="EFD2E05E"/>
    <w:name w:val="List Number 2"/>
    <w:lvl w:ilvl="0">
      <w:start w:val="1"/>
      <w:numFmt w:val="decimal"/>
      <w:lvlRestart w:val="0"/>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AF76E7A"/>
    <w:multiLevelType w:val="singleLevel"/>
    <w:tmpl w:val="C74C5A32"/>
    <w:name w:val="LegalNumbering"/>
    <w:lvl w:ilvl="0">
      <w:start w:val="1"/>
      <w:numFmt w:val="bullet"/>
      <w:lvlRestart w:val="0"/>
      <w:lvlText w:val=""/>
      <w:lvlJc w:val="left"/>
      <w:pPr>
        <w:tabs>
          <w:tab w:val="num" w:pos="1417"/>
        </w:tabs>
        <w:ind w:left="1417" w:hanging="567"/>
      </w:pPr>
      <w:rPr>
        <w:rFonts w:ascii="Symbol" w:hAnsi="Symbol" w:hint="default"/>
      </w:rPr>
    </w:lvl>
  </w:abstractNum>
  <w:abstractNum w:abstractNumId="14"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47E15A3"/>
    <w:multiLevelType w:val="hybridMultilevel"/>
    <w:tmpl w:val="90B4E98C"/>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38B1104E"/>
    <w:multiLevelType w:val="hybridMultilevel"/>
    <w:tmpl w:val="295AED9A"/>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20" w15:restartNumberingAfterBreak="0">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1" w15:restartNumberingAfterBreak="0">
    <w:nsid w:val="45702D3D"/>
    <w:multiLevelType w:val="hybridMultilevel"/>
    <w:tmpl w:val="5CE8B826"/>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8CD23DF"/>
    <w:multiLevelType w:val="multilevel"/>
    <w:tmpl w:val="95988CBA"/>
    <w:lvl w:ilvl="0">
      <w:start w:val="1"/>
      <w:numFmt w:val="bullet"/>
      <w:lvlText w:val=""/>
      <w:lvlJc w:val="left"/>
      <w:pPr>
        <w:ind w:left="476" w:hanging="476"/>
      </w:pPr>
      <w:rPr>
        <w:rFonts w:ascii="Symbol" w:hAnsi="Symbol"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DD930D4"/>
    <w:multiLevelType w:val="hybridMultilevel"/>
    <w:tmpl w:val="BE8486B4"/>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5"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7791766"/>
    <w:multiLevelType w:val="multilevel"/>
    <w:tmpl w:val="8E2218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88D63FB"/>
    <w:multiLevelType w:val="hybridMultilevel"/>
    <w:tmpl w:val="9B6C0D64"/>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9" w15:restartNumberingAfterBreak="0">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0" w15:restartNumberingAfterBreak="0">
    <w:nsid w:val="5AF706D7"/>
    <w:multiLevelType w:val="multilevel"/>
    <w:tmpl w:val="4D646B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E6F0E10"/>
    <w:multiLevelType w:val="hybridMultilevel"/>
    <w:tmpl w:val="3C362BC2"/>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60203A"/>
    <w:multiLevelType w:val="hybridMultilevel"/>
    <w:tmpl w:val="EF1EED78"/>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F8C3B69"/>
    <w:multiLevelType w:val="multilevel"/>
    <w:tmpl w:val="9B14DAA8"/>
    <w:name w:val="Tiret 0"/>
    <w:lvl w:ilvl="0">
      <w:start w:val="1"/>
      <w:numFmt w:val="decimal"/>
      <w:lvlRestart w:val="0"/>
      <w:pStyle w:val="ListBulle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37"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8" w15:restartNumberingAfterBreak="0">
    <w:nsid w:val="660A5CAE"/>
    <w:multiLevelType w:val="hybridMultilevel"/>
    <w:tmpl w:val="9196B766"/>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40" w15:restartNumberingAfterBreak="0">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1" w15:restartNumberingAfterBreak="0">
    <w:nsid w:val="6B8C305E"/>
    <w:multiLevelType w:val="multilevel"/>
    <w:tmpl w:val="8594F64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DC864A2"/>
    <w:multiLevelType w:val="multilevel"/>
    <w:tmpl w:val="8594F64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EA863F6"/>
    <w:multiLevelType w:val="hybridMultilevel"/>
    <w:tmpl w:val="1C08A8F2"/>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4" w15:restartNumberingAfterBreak="0">
    <w:nsid w:val="70B34D96"/>
    <w:multiLevelType w:val="hybridMultilevel"/>
    <w:tmpl w:val="5A028FEE"/>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5B6074B"/>
    <w:multiLevelType w:val="hybridMultilevel"/>
    <w:tmpl w:val="132CEF56"/>
    <w:lvl w:ilvl="0" w:tplc="6124FB8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BC7DE9"/>
    <w:multiLevelType w:val="hybridMultilevel"/>
    <w:tmpl w:val="3796F742"/>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8" w15:restartNumberingAfterBreak="0">
    <w:nsid w:val="75C26F71"/>
    <w:multiLevelType w:val="multilevel"/>
    <w:tmpl w:val="E01E7708"/>
    <w:name w:val="Default"/>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89D7EFD"/>
    <w:multiLevelType w:val="hybridMultilevel"/>
    <w:tmpl w:val="0C40328C"/>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0" w15:restartNumberingAfterBreak="0">
    <w:nsid w:val="78A241BD"/>
    <w:multiLevelType w:val="singleLevel"/>
    <w:tmpl w:val="53C4DF32"/>
    <w:name w:val="List Bullet 1"/>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51" w15:restartNumberingAfterBreak="0">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3" w15:restartNumberingAfterBreak="0">
    <w:nsid w:val="7D8820A0"/>
    <w:multiLevelType w:val="singleLevel"/>
    <w:tmpl w:val="54F6C7B4"/>
    <w:name w:val="List Bullet"/>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abstractNumId w:val="33"/>
  </w:num>
  <w:num w:numId="2">
    <w:abstractNumId w:val="44"/>
  </w:num>
  <w:num w:numId="3">
    <w:abstractNumId w:val="21"/>
  </w:num>
  <w:num w:numId="4">
    <w:abstractNumId w:val="11"/>
  </w:num>
  <w:num w:numId="5">
    <w:abstractNumId w:val="14"/>
  </w:num>
  <w:num w:numId="6">
    <w:abstractNumId w:val="18"/>
  </w:num>
  <w:num w:numId="7">
    <w:abstractNumId w:val="17"/>
  </w:num>
  <w:num w:numId="8">
    <w:abstractNumId w:val="36"/>
  </w:num>
  <w:num w:numId="9">
    <w:abstractNumId w:val="19"/>
  </w:num>
  <w:num w:numId="10">
    <w:abstractNumId w:val="26"/>
  </w:num>
  <w:num w:numId="11">
    <w:abstractNumId w:val="45"/>
  </w:num>
  <w:num w:numId="12">
    <w:abstractNumId w:val="52"/>
  </w:num>
  <w:num w:numId="13">
    <w:abstractNumId w:val="25"/>
  </w:num>
  <w:num w:numId="14">
    <w:abstractNumId w:val="35"/>
  </w:num>
  <w:num w:numId="15">
    <w:abstractNumId w:val="32"/>
  </w:num>
  <w:num w:numId="16">
    <w:abstractNumId w:val="22"/>
  </w:num>
  <w:num w:numId="17">
    <w:abstractNumId w:val="39"/>
  </w:num>
  <w:num w:numId="18">
    <w:abstractNumId w:val="40"/>
  </w:num>
  <w:num w:numId="19">
    <w:abstractNumId w:val="20"/>
  </w:num>
  <w:num w:numId="20">
    <w:abstractNumId w:val="37"/>
  </w:num>
  <w:num w:numId="21">
    <w:abstractNumId w:val="29"/>
  </w:num>
  <w:num w:numId="22">
    <w:abstractNumId w:val="50"/>
  </w:num>
  <w:num w:numId="23">
    <w:abstractNumId w:val="53"/>
  </w:num>
  <w:num w:numId="24">
    <w:abstractNumId w:val="34"/>
  </w:num>
  <w:num w:numId="25">
    <w:abstractNumId w:val="51"/>
  </w:num>
  <w:num w:numId="26">
    <w:abstractNumId w:val="12"/>
  </w:num>
  <w:num w:numId="27">
    <w:abstractNumId w:val="5"/>
  </w:num>
  <w:num w:numId="28">
    <w:abstractNumId w:val="4"/>
  </w:num>
  <w:num w:numId="29">
    <w:abstractNumId w:val="3"/>
  </w:num>
  <w:num w:numId="30">
    <w:abstractNumId w:val="2"/>
  </w:num>
  <w:num w:numId="31">
    <w:abstractNumId w:val="1"/>
  </w:num>
  <w:num w:numId="32">
    <w:abstractNumId w:val="0"/>
  </w:num>
  <w:num w:numId="33">
    <w:abstractNumId w:val="10"/>
  </w:num>
  <w:num w:numId="34">
    <w:abstractNumId w:val="46"/>
  </w:num>
  <w:num w:numId="35">
    <w:abstractNumId w:val="31"/>
  </w:num>
  <w:num w:numId="36">
    <w:abstractNumId w:val="43"/>
  </w:num>
  <w:num w:numId="37">
    <w:abstractNumId w:val="28"/>
  </w:num>
  <w:num w:numId="38">
    <w:abstractNumId w:val="9"/>
  </w:num>
  <w:num w:numId="39">
    <w:abstractNumId w:val="16"/>
  </w:num>
  <w:num w:numId="40">
    <w:abstractNumId w:val="24"/>
  </w:num>
  <w:num w:numId="41">
    <w:abstractNumId w:val="49"/>
  </w:num>
  <w:num w:numId="42">
    <w:abstractNumId w:val="15"/>
  </w:num>
  <w:num w:numId="43">
    <w:abstractNumId w:val="47"/>
  </w:num>
  <w:num w:numId="44">
    <w:abstractNumId w:val="42"/>
  </w:num>
  <w:num w:numId="45">
    <w:abstractNumId w:val="42"/>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3"/>
  </w:num>
  <w:num w:numId="94">
    <w:abstractNumId w:val="6"/>
  </w:num>
  <w:num w:numId="95">
    <w:abstractNumId w:val="38"/>
  </w:num>
  <w:num w:numId="96">
    <w:abstractNumId w:val="41"/>
  </w:num>
  <w:num w:numId="97">
    <w:abstractNumId w:val="7"/>
  </w:num>
  <w:num w:numId="98">
    <w:abstractNumId w:val="30"/>
  </w:num>
  <w:num w:numId="99">
    <w:abstractNumId w:val="2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MC" w:vendorID="64" w:dllVersion="131078" w:nlCheck="1" w:checkStyle="0"/>
  <w:revisionView w:markup="0"/>
  <w:documentProtection w:edit="readOnly" w:enforcement="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w:docVar w:name="LW_CORRIGENDUM" w:val="&lt;UNUSED&gt;"/>
    <w:docVar w:name="LW_COVERPAGE_EXISTS" w:val="True"/>
    <w:docVar w:name="LW_COVERPAGE_GUID" w:val="A307463F-600C-495B-81A5-BBB4D1C5925D"/>
    <w:docVar w:name="LW_COVERPAGE_TYPE" w:val="1"/>
    <w:docVar w:name="LW_CROSSREFERENCE" w:val="{COM(2020) 660 final} - {SWD(2020) 350 final} - {SWD(2020) 351 final} - {SWD(2020) 352 final} - {SWD(2020) 353 final} - {SWD(2020) 355 final} - {SWD(2020) 356 final}"/>
    <w:docVar w:name="LW_DocType" w:val="NORMAL"/>
    <w:docVar w:name="LW_EMISSION" w:val="6.10.2020"/>
    <w:docVar w:name="LW_EMISSION_ISODATE" w:val="2020-10-06"/>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Communication on EU Enlargement Policy_x000d__x000d__x000d__x000d__x000b_"/>
    <w:docVar w:name="LW_PART_NBR" w:val="1"/>
    <w:docVar w:name="LW_PART_NBR_TOTAL" w:val="1"/>
    <w:docVar w:name="LW_REF.INST.NEW" w:val="SWD"/>
    <w:docVar w:name="LW_REF.INST.NEW_ADOPTED" w:val="final"/>
    <w:docVar w:name="LW_REF.INST.NEW_TEXT" w:val="(2020) 3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lbania 2020 Report"/>
    <w:docVar w:name="LW_TYPE.DOC.CP" w:val="COMMISSION STAFF WORKING DOCUMENT"/>
    <w:docVar w:name="LW_TYPEACTEPRINCIPAL.CP" w:val="Communication from the Commission to the European Parliament, the Council, the European Economic and Social Committee and the Committee of the Regions "/>
  </w:docVars>
  <w:rsids>
    <w:rsidRoot w:val="00EE1719"/>
    <w:rsid w:val="000E39BA"/>
    <w:rsid w:val="00EE1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789765D5-FC2F-4E66-BDA3-A3BC8746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lang w:eastAsia="en-GB"/>
    </w:rPr>
  </w:style>
  <w:style w:type="paragraph" w:styleId="Heading1">
    <w:name w:val="heading 1"/>
    <w:basedOn w:val="Normal"/>
    <w:next w:val="Normal"/>
    <w:link w:val="Heading1Char"/>
    <w:qFormat/>
    <w:pPr>
      <w:keepNext/>
      <w:tabs>
        <w:tab w:val="num" w:pos="850"/>
      </w:tabs>
      <w:spacing w:before="360" w:after="120" w:line="240" w:lineRule="auto"/>
      <w:ind w:left="850" w:hanging="850"/>
      <w:jc w:val="both"/>
      <w:outlineLvl w:val="0"/>
    </w:pPr>
    <w:rPr>
      <w:rFonts w:ascii="Times New Roman Bold" w:eastAsia="Times New Roman" w:hAnsi="Times New Roman Bold" w:cs="Times New Roman"/>
      <w:b/>
      <w:bCs/>
      <w:noProof/>
      <w:sz w:val="24"/>
      <w:szCs w:val="32"/>
      <w:lang w:eastAsia="en-US"/>
    </w:rPr>
  </w:style>
  <w:style w:type="paragraph" w:styleId="Heading2">
    <w:name w:val="heading 2"/>
    <w:basedOn w:val="Normal"/>
    <w:next w:val="Normal"/>
    <w:link w:val="Heading2Char"/>
    <w:unhideWhenUsed/>
    <w:qFormat/>
    <w:pPr>
      <w:spacing w:after="60" w:line="240" w:lineRule="auto"/>
      <w:jc w:val="both"/>
      <w:outlineLvl w:val="1"/>
    </w:pPr>
    <w:rPr>
      <w:rFonts w:ascii="Times New Roman Bold" w:eastAsia="Times New Roman" w:hAnsi="Times New Roman Bold" w:cs="Times New Roman"/>
      <w:b/>
      <w:bCs/>
      <w:noProof/>
      <w:sz w:val="24"/>
      <w:szCs w:val="26"/>
      <w:lang w:val="en-US"/>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Text1"/>
    <w:link w:val="Heading4Char"/>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n,~FootnoteText,FOOTNOTES,ft,f,AD"/>
    <w:basedOn w:val="Normal"/>
    <w:link w:val="FootnoteTextChar"/>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1,Footnote Text Char1 Char Char Char Char Char,fn Char"/>
    <w:basedOn w:val="DefaultParagraphFont"/>
    <w:link w:val="FootnoteText"/>
    <w:uiPriority w:val="99"/>
    <w:qFormat/>
    <w:rPr>
      <w:rFonts w:ascii="Calibri" w:eastAsia="Calibri" w:hAnsi="Calibri" w:cs="Times New Roman"/>
      <w:sz w:val="20"/>
      <w:szCs w:val="20"/>
      <w:lang w:eastAsia="en-GB"/>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Footno"/>
    <w:basedOn w:val="DefaultParagraphFont"/>
    <w:link w:val="BVIfnrChar1CharCharChar"/>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rFonts w:eastAsiaTheme="minorHAnsi"/>
      <w:vertAlign w:val="superscript"/>
      <w:lang w:eastAsia="en-US"/>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eastAsia="en-GB"/>
    </w:rPr>
  </w:style>
  <w:style w:type="character" w:customStyle="1" w:styleId="BriefingtextChar">
    <w:name w:val="Briefing text Char"/>
    <w:link w:val="Briefingtext"/>
    <w:locked/>
    <w:rPr>
      <w:rFonts w:ascii="Arial" w:eastAsia="Times New Roman" w:hAnsi="Arial" w:cs="Arial"/>
      <w:szCs w:val="24"/>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lang w:eastAsia="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eastAsiaTheme="minorEastAsia"/>
      <w:lang w:eastAsia="en-GB"/>
    </w:rPr>
  </w:style>
  <w:style w:type="paragraph" w:customStyle="1" w:styleId="BVIfnrCharCharCharCharCharCharCharCharChar">
    <w:name w:val="BVI fnr Char Char Char Char Char Char Char Char Char"/>
    <w:aliases w:val=" BVI fnr Car Car Char Char Char Char Char Char Char Char Char,BVI fnr Car Char Char Char Char Char Char Char Char Char Char, BVI fnr Char Char Char Char Char Char Char Char Char"/>
    <w:basedOn w:val="Normal"/>
    <w:uiPriority w:val="99"/>
    <w:pPr>
      <w:spacing w:after="160" w:line="240" w:lineRule="exact"/>
      <w:jc w:val="both"/>
    </w:pPr>
    <w:rPr>
      <w:rFonts w:eastAsiaTheme="minorHAnsi"/>
      <w:vertAlign w:val="superscript"/>
      <w:lang w:eastAsia="en-US"/>
    </w:rPr>
  </w:style>
  <w:style w:type="paragraph" w:styleId="CommentText">
    <w:name w:val="annotation text"/>
    <w:basedOn w:val="Normal"/>
    <w:link w:val="CommentTextChar"/>
    <w:unhideWhenUsed/>
    <w:qFormat/>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qFormat/>
    <w:rPr>
      <w:sz w:val="20"/>
      <w:szCs w:val="20"/>
    </w:rPr>
  </w:style>
  <w:style w:type="character" w:styleId="CommentReference">
    <w:name w:val="annotation reference"/>
    <w:basedOn w:val="DefaultParagraphFont"/>
    <w:unhideWhenUsed/>
    <w:qFormat/>
    <w:rPr>
      <w:sz w:val="16"/>
      <w:szCs w:val="16"/>
    </w:rPr>
  </w:style>
  <w:style w:type="paragraph" w:styleId="CommentSubject">
    <w:name w:val="annotation subject"/>
    <w:basedOn w:val="CommentText"/>
    <w:next w:val="CommentText"/>
    <w:link w:val="CommentSubjectChar"/>
    <w:semiHidden/>
    <w:unhideWhenUsed/>
    <w:rPr>
      <w:rFonts w:eastAsiaTheme="minorEastAsia"/>
      <w:b/>
      <w:bCs/>
      <w:lang w:eastAsia="en-GB"/>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en-GB"/>
    </w:rPr>
  </w:style>
  <w:style w:type="character" w:styleId="Hyperlink">
    <w:name w:val="Hyperlink"/>
    <w:basedOn w:val="DefaultParagraphFont"/>
    <w:uiPriority w:val="99"/>
    <w:unhideWhenUsed/>
    <w:rPr>
      <w:color w:val="0563C1" w:themeColor="hyperlink"/>
      <w:u w:val="single"/>
    </w:rPr>
  </w:style>
  <w:style w:type="character" w:customStyle="1" w:styleId="DefaultCar">
    <w:name w:val="Default Car"/>
    <w:link w:val="Default"/>
    <w:locked/>
    <w:rPr>
      <w:rFonts w:ascii="Times New Roman" w:hAnsi="Times New Roman" w:cs="Times New Roman"/>
      <w:color w:val="000000"/>
      <w:sz w:val="24"/>
      <w:szCs w:val="24"/>
    </w:rPr>
  </w:style>
  <w:style w:type="paragraph" w:customStyle="1" w:styleId="Default">
    <w:name w:val="Default"/>
    <w:link w:val="DefaultCar"/>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umpedfont15">
    <w:name w:val="bumpedfont15"/>
    <w:basedOn w:val="DefaultParagraphFont"/>
  </w:style>
  <w:style w:type="paragraph" w:customStyle="1" w:styleId="annexe">
    <w:name w:val="annexe"/>
    <w:basedOn w:val="Default"/>
    <w:qFormat/>
    <w:pPr>
      <w:spacing w:after="120"/>
      <w:jc w:val="both"/>
    </w:pPr>
    <w:rPr>
      <w:b/>
      <w:bCs/>
      <w:color w:val="000000" w:themeColor="text1"/>
    </w:rPr>
  </w:style>
  <w:style w:type="character" w:customStyle="1" w:styleId="Heading3Char">
    <w:name w:val="Heading 3 Char"/>
    <w:basedOn w:val="DefaultParagraphFont"/>
    <w:link w:val="Heading3"/>
    <w:rPr>
      <w:rFonts w:asciiTheme="majorHAnsi" w:eastAsiaTheme="majorEastAsia" w:hAnsiTheme="majorHAnsi" w:cstheme="majorBidi"/>
      <w:color w:val="1F4D78" w:themeColor="accent1" w:themeShade="7F"/>
      <w:sz w:val="24"/>
      <w:szCs w:val="24"/>
      <w:lang w:eastAsia="en-GB"/>
    </w:rPr>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noProof/>
      <w:sz w:val="24"/>
      <w:szCs w:val="32"/>
    </w:rPr>
  </w:style>
  <w:style w:type="character" w:customStyle="1" w:styleId="Heading2Char">
    <w:name w:val="Heading 2 Char"/>
    <w:basedOn w:val="DefaultParagraphFont"/>
    <w:link w:val="Heading2"/>
    <w:rPr>
      <w:rFonts w:ascii="Times New Roman Bold" w:eastAsia="Times New Roman" w:hAnsi="Times New Roman Bold" w:cs="Times New Roman"/>
      <w:b/>
      <w:bCs/>
      <w:noProof/>
      <w:sz w:val="24"/>
      <w:szCs w:val="26"/>
      <w:lang w:val="en-US"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sz w:val="24"/>
      <w:szCs w:val="28"/>
    </w:rPr>
  </w:style>
  <w:style w:type="numbering" w:customStyle="1" w:styleId="NoList1">
    <w:name w:val="No List1"/>
    <w:next w:val="NoList"/>
    <w:uiPriority w:val="99"/>
    <w:semiHidden/>
    <w:unhideWhenUsed/>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nhideWhenUsed/>
    <w:pPr>
      <w:tabs>
        <w:tab w:val="center" w:pos="4513"/>
        <w:tab w:val="right" w:pos="9026"/>
      </w:tabs>
      <w:spacing w:after="0" w:line="240" w:lineRule="auto"/>
    </w:pPr>
    <w:rPr>
      <w:rFonts w:ascii="Times New Roman" w:eastAsiaTheme="minorHAnsi" w:hAnsi="Times New Roman"/>
      <w:sz w:val="24"/>
      <w:lang w:eastAsia="en-US"/>
    </w:rPr>
  </w:style>
  <w:style w:type="character" w:customStyle="1" w:styleId="HeaderChar">
    <w:name w:val="Header Char"/>
    <w:basedOn w:val="DefaultParagraphFont"/>
    <w:link w:val="Header"/>
    <w:rPr>
      <w:rFonts w:ascii="Times New Roman" w:hAnsi="Times New Roman"/>
      <w:sz w:val="24"/>
    </w:rPr>
  </w:style>
  <w:style w:type="paragraph" w:styleId="Footer">
    <w:name w:val="footer"/>
    <w:basedOn w:val="Normal"/>
    <w:link w:val="FooterChar"/>
    <w:uiPriority w:val="99"/>
    <w:unhideWhenUsed/>
    <w:pPr>
      <w:tabs>
        <w:tab w:val="center" w:pos="4513"/>
        <w:tab w:val="right" w:pos="9026"/>
      </w:tabs>
      <w:spacing w:after="0" w:line="240" w:lineRule="auto"/>
    </w:pPr>
    <w:rPr>
      <w:rFonts w:ascii="Times New Roman" w:eastAsiaTheme="minorHAnsi" w:hAnsi="Times New Roman"/>
      <w:sz w:val="24"/>
      <w:lang w:eastAsia="en-US"/>
    </w:rPr>
  </w:style>
  <w:style w:type="character" w:customStyle="1" w:styleId="FooterChar">
    <w:name w:val="Footer Char"/>
    <w:basedOn w:val="DefaultParagraphFont"/>
    <w:link w:val="Footer"/>
    <w:uiPriority w:val="99"/>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Theme="minorEastAsia" w:hAnsi="Times New Roman" w:cs="Times New Roman"/>
      <w:b/>
      <w:sz w:val="32"/>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Theme="minorEastAsia" w:hAnsi="Times New Roman" w:cs="Times New Roman"/>
      <w:b/>
      <w:sz w:val="32"/>
      <w:lang w:eastAsia="en-GB"/>
    </w:rPr>
  </w:style>
  <w:style w:type="character" w:customStyle="1" w:styleId="FootnoteTextChar1">
    <w:name w:val="Footnote Text Char1"/>
    <w:basedOn w:val="DefaultParagraphFont"/>
    <w:uiPriority w:val="99"/>
    <w:semiHidden/>
    <w:rPr>
      <w:rFonts w:ascii="Times New Roman" w:hAnsi="Times New Roman"/>
      <w:sz w:val="20"/>
      <w:szCs w:val="20"/>
    </w:rPr>
  </w:style>
  <w:style w:type="character" w:customStyle="1" w:styleId="NormalWebChar1">
    <w:name w:val="Normal (Web) Char1"/>
    <w:aliases w:val="Char1 Char Char,Char1 Char1,Normal (Web) Char Char Char Char,Normal (Web) Char Char Char1,Normal (Web) Char Char1"/>
    <w:link w:val="NormalWeb"/>
    <w:uiPriority w:val="99"/>
    <w:locked/>
    <w:rPr>
      <w:rFonts w:ascii="Times New Roman" w:eastAsia="Times New Roman" w:hAnsi="Times New Roman"/>
      <w:sz w:val="24"/>
      <w:szCs w:val="24"/>
      <w:lang w:val="tr-TR" w:eastAsia="tr-TR"/>
    </w:rPr>
  </w:style>
  <w:style w:type="paragraph" w:styleId="NormalWeb">
    <w:name w:val="Normal (Web)"/>
    <w:aliases w:val="Char1 Char,Char1,Normal (Web) Char Char Char,Normal (Web) Char Char,Normal (Web) Char"/>
    <w:basedOn w:val="Normal"/>
    <w:link w:val="NormalWebChar1"/>
    <w:uiPriority w:val="99"/>
    <w:unhideWhenUsed/>
    <w:pPr>
      <w:spacing w:before="100" w:beforeAutospacing="1" w:after="100" w:afterAutospacing="1" w:line="240" w:lineRule="auto"/>
    </w:pPr>
    <w:rPr>
      <w:rFonts w:ascii="Times New Roman" w:eastAsia="Times New Roman" w:hAnsi="Times New Roman"/>
      <w:sz w:val="24"/>
      <w:szCs w:val="24"/>
      <w:lang w:val="tr-TR" w:eastAsia="tr-TR"/>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after="1440" w:line="264" w:lineRule="exact"/>
      <w:ind w:hanging="460"/>
    </w:pPr>
    <w:rPr>
      <w:rFonts w:eastAsiaTheme="minorHAnsi"/>
      <w:lang w:eastAsia="en-US"/>
    </w:rPr>
  </w:style>
  <w:style w:type="paragraph" w:styleId="PlainText">
    <w:name w:val="Plain Text"/>
    <w:basedOn w:val="Normal"/>
    <w:link w:val="PlainTextChar"/>
    <w:uiPriority w:val="99"/>
    <w:semiHidden/>
    <w:unhideWhenUsed/>
    <w:pPr>
      <w:spacing w:after="0" w:line="240" w:lineRule="auto"/>
    </w:pPr>
    <w:rPr>
      <w:rFonts w:ascii="Calibri" w:eastAsiaTheme="minorHAnsi" w:hAnsi="Calibri"/>
      <w:sz w:val="24"/>
      <w:szCs w:val="21"/>
      <w:lang w:eastAsia="en-US"/>
    </w:rPr>
  </w:style>
  <w:style w:type="character" w:customStyle="1" w:styleId="PlainTextChar">
    <w:name w:val="Plain Text Char"/>
    <w:basedOn w:val="DefaultParagraphFont"/>
    <w:link w:val="PlainText"/>
    <w:uiPriority w:val="99"/>
    <w:semiHidden/>
    <w:rPr>
      <w:rFonts w:ascii="Calibri" w:hAnsi="Calibri"/>
      <w:sz w:val="24"/>
      <w:szCs w:val="21"/>
    </w:rPr>
  </w:style>
  <w:style w:type="paragraph" w:customStyle="1" w:styleId="LegalNumPar">
    <w:name w:val="LegalNumPar"/>
    <w:basedOn w:val="Normal"/>
    <w:pPr>
      <w:numPr>
        <w:numId w:val="5"/>
      </w:numPr>
      <w:spacing w:line="360" w:lineRule="auto"/>
    </w:pPr>
    <w:rPr>
      <w:rFonts w:ascii="Times New Roman" w:eastAsiaTheme="minorHAnsi" w:hAnsi="Times New Roman"/>
      <w:sz w:val="24"/>
      <w:lang w:eastAsia="en-US"/>
    </w:rPr>
  </w:style>
  <w:style w:type="paragraph" w:customStyle="1" w:styleId="LegalNumPar2">
    <w:name w:val="LegalNumPar2"/>
    <w:basedOn w:val="Normal"/>
    <w:pPr>
      <w:numPr>
        <w:ilvl w:val="1"/>
        <w:numId w:val="5"/>
      </w:numPr>
      <w:spacing w:line="360" w:lineRule="auto"/>
    </w:pPr>
    <w:rPr>
      <w:rFonts w:ascii="Times New Roman" w:eastAsiaTheme="minorHAnsi" w:hAnsi="Times New Roman"/>
      <w:sz w:val="24"/>
      <w:lang w:eastAsia="en-US"/>
    </w:rPr>
  </w:style>
  <w:style w:type="paragraph" w:customStyle="1" w:styleId="LegalNumPar3">
    <w:name w:val="LegalNumPar3"/>
    <w:basedOn w:val="Normal"/>
    <w:pPr>
      <w:numPr>
        <w:ilvl w:val="2"/>
        <w:numId w:val="5"/>
      </w:numPr>
      <w:spacing w:line="360" w:lineRule="auto"/>
    </w:pPr>
    <w:rPr>
      <w:rFonts w:ascii="Times New Roman" w:eastAsiaTheme="minorHAnsi" w:hAnsi="Times New Roman"/>
      <w:sz w:val="24"/>
      <w:lang w:eastAsia="en-US"/>
    </w:rPr>
  </w:style>
  <w:style w:type="paragraph" w:customStyle="1" w:styleId="Heading">
    <w:name w:val="Heading"/>
    <w:basedOn w:val="Normal"/>
    <w:next w:val="Normal"/>
    <w:pPr>
      <w:keepNext/>
      <w:spacing w:before="120" w:after="120" w:line="240" w:lineRule="atLeast"/>
      <w:jc w:val="both"/>
    </w:pPr>
    <w:rPr>
      <w:rFonts w:ascii="Century Gothic" w:eastAsiaTheme="minorHAnsi" w:hAnsi="Century Gothic" w:cs="Times New Roman"/>
      <w:b/>
      <w:color w:val="333399"/>
      <w:sz w:val="18"/>
      <w:lang w:eastAsia="en-US"/>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en-US"/>
    </w:rPr>
  </w:style>
  <w:style w:type="paragraph" w:customStyle="1" w:styleId="SectionTitle">
    <w:name w:val="Section Title"/>
    <w:basedOn w:val="Normal"/>
    <w:next w:val="Normal"/>
    <w:pPr>
      <w:keepNext/>
      <w:spacing w:before="1080" w:after="240" w:line="240" w:lineRule="auto"/>
      <w:ind w:left="992" w:hanging="992"/>
    </w:pPr>
    <w:rPr>
      <w:rFonts w:ascii="Century Gothic" w:eastAsiaTheme="minorHAnsi" w:hAnsi="Century Gothic" w:cs="Times New Roman"/>
      <w:caps/>
      <w:color w:val="333399"/>
      <w:sz w:val="28"/>
      <w:lang w:eastAsia="en-US"/>
    </w:rPr>
  </w:style>
  <w:style w:type="paragraph" w:customStyle="1" w:styleId="HeaderTitleLeft">
    <w:name w:val="Header Title Left"/>
    <w:basedOn w:val="Normal"/>
    <w:next w:val="Normal"/>
    <w:pPr>
      <w:tabs>
        <w:tab w:val="right" w:pos="8220"/>
      </w:tabs>
      <w:spacing w:before="100" w:after="40" w:line="240" w:lineRule="auto"/>
      <w:ind w:left="-850"/>
      <w:jc w:val="both"/>
    </w:pPr>
    <w:rPr>
      <w:rFonts w:ascii="Century Gothic" w:eastAsiaTheme="minorHAnsi" w:hAnsi="Century Gothic" w:cs="Times New Roman"/>
      <w:color w:val="333399"/>
      <w:sz w:val="14"/>
      <w:lang w:eastAsia="en-US"/>
    </w:rPr>
  </w:style>
  <w:style w:type="paragraph" w:customStyle="1" w:styleId="HeaderSubtitleLeft">
    <w:name w:val="Header Subtitle Left"/>
    <w:basedOn w:val="Normal"/>
    <w:next w:val="Normal"/>
    <w:pPr>
      <w:tabs>
        <w:tab w:val="right" w:pos="8220"/>
      </w:tabs>
      <w:spacing w:after="0" w:line="240" w:lineRule="auto"/>
      <w:ind w:left="-850"/>
      <w:jc w:val="both"/>
    </w:pPr>
    <w:rPr>
      <w:rFonts w:ascii="Century Gothic" w:eastAsiaTheme="minorHAnsi" w:hAnsi="Century Gothic" w:cs="Times New Roman"/>
      <w:color w:val="333399"/>
      <w:sz w:val="14"/>
      <w:lang w:eastAsia="en-US"/>
    </w:rPr>
  </w:style>
  <w:style w:type="paragraph" w:customStyle="1" w:styleId="HeaderTitleRight">
    <w:name w:val="Header Title Right"/>
    <w:basedOn w:val="Normal"/>
    <w:next w:val="Normal"/>
    <w:pPr>
      <w:spacing w:before="100" w:after="40" w:line="240" w:lineRule="auto"/>
      <w:ind w:right="-850"/>
      <w:jc w:val="right"/>
    </w:pPr>
    <w:rPr>
      <w:rFonts w:ascii="Century Gothic" w:eastAsiaTheme="minorHAnsi" w:hAnsi="Century Gothic" w:cs="Times New Roman"/>
      <w:color w:val="333399"/>
      <w:sz w:val="14"/>
      <w:lang w:eastAsia="en-US"/>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eastAsiaTheme="minorHAnsi" w:hAnsi="Century Gothic" w:cs="Times New Roman"/>
      <w:color w:val="333399"/>
      <w:sz w:val="18"/>
      <w:lang w:eastAsia="en-US"/>
    </w:rPr>
  </w:style>
  <w:style w:type="character" w:customStyle="1" w:styleId="Corpsdutexte">
    <w:name w:val="Corps du texte_"/>
    <w:basedOn w:val="DefaultParagraphFont"/>
    <w:link w:val="Corpsdutexte0"/>
    <w:locked/>
    <w:rPr>
      <w:sz w:val="23"/>
      <w:szCs w:val="23"/>
      <w:shd w:val="clear" w:color="auto" w:fill="FFFFFF"/>
    </w:rPr>
  </w:style>
  <w:style w:type="paragraph" w:customStyle="1" w:styleId="Corpsdutexte0">
    <w:name w:val="Corps du texte"/>
    <w:basedOn w:val="Normal"/>
    <w:link w:val="Corpsdutexte"/>
    <w:pPr>
      <w:widowControl w:val="0"/>
      <w:shd w:val="clear" w:color="auto" w:fill="FFFFFF"/>
      <w:spacing w:before="240" w:after="240" w:line="274" w:lineRule="exact"/>
      <w:ind w:hanging="380"/>
      <w:jc w:val="both"/>
    </w:pPr>
    <w:rPr>
      <w:rFonts w:eastAsiaTheme="minorHAnsi"/>
      <w:sz w:val="23"/>
      <w:szCs w:val="23"/>
      <w:lang w:eastAsia="en-US"/>
    </w:rPr>
  </w:style>
  <w:style w:type="character" w:customStyle="1" w:styleId="ilfuvd">
    <w:name w:val="ilfuvd"/>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lang w:eastAsia="en-US"/>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lang w:eastAsia="en-US"/>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lang w:eastAsia="en-US"/>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lang w:eastAsia="en-US"/>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lang w:eastAsia="en-US"/>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lang w:eastAsia="en-US"/>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lang w:eastAsia="en-US"/>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lang w:eastAsia="en-US"/>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lang w:eastAsia="en-US"/>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lang w:eastAsia="en-US"/>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eastAsia="en-US"/>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lang w:eastAsia="en-US"/>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lang w:eastAsia="en-US"/>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lang w:eastAsia="en-US"/>
    </w:rPr>
  </w:style>
  <w:style w:type="paragraph" w:customStyle="1" w:styleId="Tiret0">
    <w:name w:val="Tiret 0"/>
    <w:basedOn w:val="Point0"/>
    <w:pPr>
      <w:numPr>
        <w:numId w:val="6"/>
      </w:numPr>
    </w:pPr>
  </w:style>
  <w:style w:type="paragraph" w:customStyle="1" w:styleId="Tiret1">
    <w:name w:val="Tiret 1"/>
    <w:basedOn w:val="Point1"/>
    <w:pPr>
      <w:numPr>
        <w:numId w:val="7"/>
      </w:numPr>
    </w:pPr>
  </w:style>
  <w:style w:type="paragraph" w:customStyle="1" w:styleId="Tiret2">
    <w:name w:val="Tiret 2"/>
    <w:basedOn w:val="Point2"/>
    <w:pPr>
      <w:numPr>
        <w:numId w:val="8"/>
      </w:numPr>
    </w:pPr>
  </w:style>
  <w:style w:type="paragraph" w:customStyle="1" w:styleId="Tiret3">
    <w:name w:val="Tiret 3"/>
    <w:basedOn w:val="Point3"/>
    <w:pPr>
      <w:numPr>
        <w:numId w:val="9"/>
      </w:numPr>
    </w:pPr>
  </w:style>
  <w:style w:type="paragraph" w:customStyle="1" w:styleId="Tiret4">
    <w:name w:val="Tiret 4"/>
    <w:basedOn w:val="Point4"/>
    <w:pPr>
      <w:numPr>
        <w:numId w:val="10"/>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lang w:eastAsia="en-US"/>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lang w:eastAsia="en-US"/>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lang w:eastAsia="en-US"/>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lang w:eastAsia="en-US"/>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lang w:eastAsia="en-US"/>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lang w:eastAsia="en-US"/>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lang w:eastAsia="en-US"/>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lang w:eastAsia="en-US"/>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lang w:eastAsia="en-US"/>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lang w:eastAsia="en-US"/>
    </w:rPr>
  </w:style>
  <w:style w:type="paragraph" w:customStyle="1" w:styleId="NumPar1">
    <w:name w:val="NumPar 1"/>
    <w:basedOn w:val="Normal"/>
    <w:next w:val="Text1"/>
    <w:pPr>
      <w:numPr>
        <w:numId w:val="11"/>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NumPar2">
    <w:name w:val="NumPar 2"/>
    <w:basedOn w:val="Normal"/>
    <w:next w:val="Text1"/>
    <w:pPr>
      <w:numPr>
        <w:ilvl w:val="1"/>
        <w:numId w:val="11"/>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NumPar3">
    <w:name w:val="NumPar 3"/>
    <w:basedOn w:val="Normal"/>
    <w:next w:val="Text1"/>
    <w:pPr>
      <w:numPr>
        <w:ilvl w:val="2"/>
        <w:numId w:val="11"/>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NumPar4">
    <w:name w:val="NumPar 4"/>
    <w:basedOn w:val="Normal"/>
    <w:next w:val="Text1"/>
    <w:pPr>
      <w:numPr>
        <w:ilvl w:val="3"/>
        <w:numId w:val="11"/>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lang w:eastAsia="en-US"/>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lang w:eastAsia="en-US"/>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lang w:eastAsia="en-US"/>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lang w:eastAsia="en-US"/>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lang w:eastAsia="en-US"/>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en-US"/>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en-US"/>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eastAsia="en-US"/>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eastAsia="en-US"/>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lang w:eastAsia="en-US"/>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lang w:eastAsia="en-US"/>
    </w:rPr>
  </w:style>
  <w:style w:type="paragraph" w:customStyle="1" w:styleId="SectionTitle0">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lang w:eastAsia="en-US"/>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lang w:eastAsia="en-US"/>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en-US"/>
    </w:rPr>
  </w:style>
  <w:style w:type="paragraph" w:customStyle="1" w:styleId="Point0number">
    <w:name w:val="Point 0 (number)"/>
    <w:basedOn w:val="Normal"/>
    <w:pPr>
      <w:numPr>
        <w:numId w:val="12"/>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1number">
    <w:name w:val="Point 1 (number)"/>
    <w:basedOn w:val="Normal"/>
    <w:pPr>
      <w:numPr>
        <w:ilvl w:val="2"/>
        <w:numId w:val="12"/>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2number">
    <w:name w:val="Point 2 (number)"/>
    <w:basedOn w:val="Normal"/>
    <w:pPr>
      <w:numPr>
        <w:ilvl w:val="4"/>
        <w:numId w:val="12"/>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3number">
    <w:name w:val="Point 3 (number)"/>
    <w:basedOn w:val="Normal"/>
    <w:pPr>
      <w:numPr>
        <w:ilvl w:val="6"/>
        <w:numId w:val="12"/>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0letter">
    <w:name w:val="Point 0 (letter)"/>
    <w:basedOn w:val="Normal"/>
    <w:pPr>
      <w:numPr>
        <w:ilvl w:val="1"/>
        <w:numId w:val="12"/>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1letter">
    <w:name w:val="Point 1 (letter)"/>
    <w:basedOn w:val="Normal"/>
    <w:pPr>
      <w:numPr>
        <w:ilvl w:val="3"/>
        <w:numId w:val="12"/>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2letter">
    <w:name w:val="Point 2 (letter)"/>
    <w:basedOn w:val="Normal"/>
    <w:pPr>
      <w:numPr>
        <w:ilvl w:val="5"/>
        <w:numId w:val="12"/>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3letter">
    <w:name w:val="Point 3 (letter)"/>
    <w:basedOn w:val="Normal"/>
    <w:pPr>
      <w:numPr>
        <w:ilvl w:val="7"/>
        <w:numId w:val="12"/>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4letter">
    <w:name w:val="Point 4 (letter)"/>
    <w:basedOn w:val="Normal"/>
    <w:pPr>
      <w:numPr>
        <w:ilvl w:val="8"/>
        <w:numId w:val="12"/>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Bullet0">
    <w:name w:val="Bullet 0"/>
    <w:basedOn w:val="Normal"/>
    <w:pPr>
      <w:numPr>
        <w:numId w:val="13"/>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Bullet2">
    <w:name w:val="Bullet 2"/>
    <w:basedOn w:val="Normal"/>
    <w:pPr>
      <w:numPr>
        <w:numId w:val="14"/>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Bullet3">
    <w:name w:val="Bullet 3"/>
    <w:basedOn w:val="Normal"/>
    <w:pPr>
      <w:numPr>
        <w:numId w:val="15"/>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Bullet4">
    <w:name w:val="Bullet 4"/>
    <w:basedOn w:val="Normal"/>
    <w:pPr>
      <w:numPr>
        <w:numId w:val="16"/>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lang w:eastAsia="en-US"/>
    </w:rPr>
  </w:style>
  <w:style w:type="paragraph" w:customStyle="1" w:styleId="Annexetitre">
    <w:name w:val="Annexe titre"/>
    <w:basedOn w:val="Normal"/>
    <w:next w:val="Normal"/>
    <w:pPr>
      <w:spacing w:before="120" w:after="120" w:line="240" w:lineRule="auto"/>
    </w:pPr>
    <w:rPr>
      <w:rFonts w:ascii="Times New Roman" w:eastAsia="Times New Roman" w:hAnsi="Times New Roman" w:cs="Times New Roman"/>
      <w:b/>
      <w:sz w:val="24"/>
      <w:szCs w:val="24"/>
      <w:lang w:eastAsia="en-US"/>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lang w:eastAsia="en-US"/>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lang w:eastAsia="en-US"/>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lang w:eastAsia="en-US"/>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lang w:eastAsia="en-US"/>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lang w:eastAsia="en-US"/>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lang w:eastAsia="en-US"/>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lang w:eastAsia="en-US"/>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lang w:eastAsia="en-US"/>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lang w:eastAsia="en-US"/>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lang w:eastAsia="en-US"/>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lang w:eastAsia="en-US"/>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7"/>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lang w:eastAsia="en-US"/>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lang w:eastAsia="en-US"/>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lang w:eastAsia="en-US"/>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lang w:eastAsia="en-US"/>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en-US"/>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lang w:eastAsia="en-US"/>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lang w:eastAsia="en-US"/>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lang w:eastAsia="en-US"/>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lang w:eastAsia="en-US"/>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lang w:eastAsia="en-US"/>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lang w:eastAsia="en-US"/>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lang w:eastAsia="en-US"/>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lang w:eastAsia="en-US"/>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lang w:eastAsia="en-US"/>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lang w:eastAsia="en-US"/>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lang w:eastAsia="en-US"/>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lang w:eastAsia="en-US"/>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lang w:eastAsia="en-US"/>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lang w:eastAsia="en-US"/>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lang w:eastAsia="en-US"/>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lang w:eastAsia="en-US"/>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lang w:eastAsia="en-US"/>
    </w:rPr>
  </w:style>
  <w:style w:type="paragraph" w:styleId="ListBullet">
    <w:name w:val="List Bullet"/>
    <w:basedOn w:val="Normal"/>
    <w:pPr>
      <w:numPr>
        <w:numId w:val="24"/>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6"/>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27"/>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28"/>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1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1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2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2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25"/>
      </w:numPr>
    </w:pPr>
    <w:rPr>
      <w:lang w:eastAsia="de-DE"/>
    </w:rPr>
  </w:style>
  <w:style w:type="paragraph" w:customStyle="1" w:styleId="ListNumberLevel2">
    <w:name w:val="List Number (Level 2)"/>
    <w:basedOn w:val="Normal"/>
    <w:pPr>
      <w:numPr>
        <w:ilvl w:val="1"/>
        <w:numId w:val="2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25"/>
      </w:numPr>
    </w:pPr>
    <w:rPr>
      <w:lang w:eastAsia="de-DE"/>
    </w:rPr>
  </w:style>
  <w:style w:type="paragraph" w:customStyle="1" w:styleId="ListNumber2Level2">
    <w:name w:val="List Number 2 (Level 2)"/>
    <w:basedOn w:val="Text2"/>
    <w:pPr>
      <w:numPr>
        <w:ilvl w:val="1"/>
        <w:numId w:val="26"/>
      </w:numPr>
    </w:pPr>
    <w:rPr>
      <w:lang w:eastAsia="de-DE"/>
    </w:rPr>
  </w:style>
  <w:style w:type="paragraph" w:customStyle="1" w:styleId="ListNumber3Level2">
    <w:name w:val="List Number 3 (Level 2)"/>
    <w:basedOn w:val="Text3"/>
    <w:pPr>
      <w:numPr>
        <w:ilvl w:val="1"/>
        <w:numId w:val="27"/>
      </w:numPr>
    </w:pPr>
    <w:rPr>
      <w:lang w:eastAsia="de-DE"/>
    </w:rPr>
  </w:style>
  <w:style w:type="paragraph" w:customStyle="1" w:styleId="ListNumber4Level2">
    <w:name w:val="List Number 4 (Level 2)"/>
    <w:basedOn w:val="Text4"/>
    <w:pPr>
      <w:numPr>
        <w:ilvl w:val="1"/>
        <w:numId w:val="28"/>
      </w:numPr>
    </w:pPr>
    <w:rPr>
      <w:lang w:eastAsia="de-DE"/>
    </w:rPr>
  </w:style>
  <w:style w:type="paragraph" w:customStyle="1" w:styleId="ListNumberLevel3">
    <w:name w:val="List Number (Level 3)"/>
    <w:basedOn w:val="Normal"/>
    <w:pPr>
      <w:numPr>
        <w:ilvl w:val="2"/>
        <w:numId w:val="2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25"/>
      </w:numPr>
    </w:pPr>
    <w:rPr>
      <w:lang w:eastAsia="de-DE"/>
    </w:rPr>
  </w:style>
  <w:style w:type="paragraph" w:customStyle="1" w:styleId="ListNumber2Level3">
    <w:name w:val="List Number 2 (Level 3)"/>
    <w:basedOn w:val="Text2"/>
    <w:pPr>
      <w:numPr>
        <w:ilvl w:val="2"/>
        <w:numId w:val="26"/>
      </w:numPr>
    </w:pPr>
    <w:rPr>
      <w:lang w:eastAsia="de-DE"/>
    </w:rPr>
  </w:style>
  <w:style w:type="paragraph" w:customStyle="1" w:styleId="ListNumber3Level3">
    <w:name w:val="List Number 3 (Level 3)"/>
    <w:basedOn w:val="Text3"/>
    <w:pPr>
      <w:numPr>
        <w:ilvl w:val="2"/>
        <w:numId w:val="27"/>
      </w:numPr>
    </w:pPr>
    <w:rPr>
      <w:lang w:eastAsia="de-DE"/>
    </w:rPr>
  </w:style>
  <w:style w:type="paragraph" w:customStyle="1" w:styleId="ListNumber4Level3">
    <w:name w:val="List Number 4 (Level 3)"/>
    <w:basedOn w:val="Text4"/>
    <w:pPr>
      <w:numPr>
        <w:ilvl w:val="2"/>
        <w:numId w:val="28"/>
      </w:numPr>
    </w:pPr>
    <w:rPr>
      <w:lang w:eastAsia="de-DE"/>
    </w:rPr>
  </w:style>
  <w:style w:type="paragraph" w:customStyle="1" w:styleId="ListNumberLevel4">
    <w:name w:val="List Number (Level 4)"/>
    <w:basedOn w:val="Normal"/>
    <w:pPr>
      <w:numPr>
        <w:ilvl w:val="3"/>
        <w:numId w:val="2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25"/>
      </w:numPr>
    </w:pPr>
    <w:rPr>
      <w:lang w:eastAsia="de-DE"/>
    </w:rPr>
  </w:style>
  <w:style w:type="paragraph" w:customStyle="1" w:styleId="ListNumber2Level4">
    <w:name w:val="List Number 2 (Level 4)"/>
    <w:basedOn w:val="Text2"/>
    <w:pPr>
      <w:numPr>
        <w:ilvl w:val="3"/>
        <w:numId w:val="26"/>
      </w:numPr>
    </w:pPr>
    <w:rPr>
      <w:lang w:eastAsia="de-DE"/>
    </w:rPr>
  </w:style>
  <w:style w:type="paragraph" w:customStyle="1" w:styleId="ListNumber3Level4">
    <w:name w:val="List Number 3 (Level 4)"/>
    <w:basedOn w:val="Text3"/>
    <w:pPr>
      <w:numPr>
        <w:ilvl w:val="3"/>
        <w:numId w:val="27"/>
      </w:numPr>
    </w:pPr>
    <w:rPr>
      <w:lang w:eastAsia="de-DE"/>
    </w:rPr>
  </w:style>
  <w:style w:type="paragraph" w:customStyle="1" w:styleId="ListNumber4Level4">
    <w:name w:val="List Number 4 (Level 4)"/>
    <w:basedOn w:val="Text4"/>
    <w:pPr>
      <w:numPr>
        <w:ilvl w:val="3"/>
        <w:numId w:val="28"/>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eastAsia="en-US"/>
    </w:rPr>
  </w:style>
  <w:style w:type="paragraph" w:styleId="ListNumber">
    <w:name w:val="List Number"/>
    <w:basedOn w:val="Normal"/>
    <w:pPr>
      <w:numPr>
        <w:numId w:val="29"/>
      </w:numPr>
      <w:spacing w:before="120" w:after="120" w:line="240" w:lineRule="auto"/>
      <w:jc w:val="both"/>
    </w:pPr>
    <w:rPr>
      <w:rFonts w:ascii="Times New Roman" w:eastAsia="Times New Roman" w:hAnsi="Times New Roman" w:cs="Times New Roman"/>
      <w:sz w:val="24"/>
      <w:szCs w:val="24"/>
      <w:lang w:eastAsia="en-US"/>
    </w:rPr>
  </w:style>
  <w:style w:type="paragraph" w:styleId="ListNumber2">
    <w:name w:val="List Number 2"/>
    <w:basedOn w:val="Normal"/>
    <w:pPr>
      <w:numPr>
        <w:numId w:val="30"/>
      </w:numPr>
      <w:spacing w:before="120" w:after="120" w:line="240" w:lineRule="auto"/>
      <w:jc w:val="both"/>
    </w:pPr>
    <w:rPr>
      <w:rFonts w:ascii="Times New Roman" w:eastAsia="Times New Roman" w:hAnsi="Times New Roman" w:cs="Times New Roman"/>
      <w:sz w:val="24"/>
      <w:szCs w:val="24"/>
      <w:lang w:eastAsia="en-US"/>
    </w:rPr>
  </w:style>
  <w:style w:type="paragraph" w:styleId="ListNumber3">
    <w:name w:val="List Number 3"/>
    <w:basedOn w:val="Normal"/>
    <w:pPr>
      <w:numPr>
        <w:numId w:val="31"/>
      </w:numPr>
      <w:spacing w:before="120" w:after="120" w:line="240" w:lineRule="auto"/>
      <w:jc w:val="both"/>
    </w:pPr>
    <w:rPr>
      <w:rFonts w:ascii="Times New Roman" w:eastAsia="Times New Roman" w:hAnsi="Times New Roman" w:cs="Times New Roman"/>
      <w:sz w:val="24"/>
      <w:szCs w:val="24"/>
      <w:lang w:eastAsia="en-US"/>
    </w:rPr>
  </w:style>
  <w:style w:type="paragraph" w:styleId="ListNumber4">
    <w:name w:val="List Number 4"/>
    <w:basedOn w:val="Normal"/>
    <w:pPr>
      <w:numPr>
        <w:numId w:val="32"/>
      </w:numPr>
      <w:spacing w:before="120" w:after="120" w:line="240" w:lineRule="auto"/>
      <w:jc w:val="both"/>
    </w:pPr>
    <w:rPr>
      <w:rFonts w:ascii="Times New Roman" w:eastAsia="Times New Roman" w:hAnsi="Times New Roman" w:cs="Times New Roman"/>
      <w:sz w:val="24"/>
      <w:szCs w:val="24"/>
      <w:lang w:eastAsia="en-US"/>
    </w:rPr>
  </w:style>
  <w:style w:type="character" w:styleId="FollowedHyperlink">
    <w:name w:val="FollowedHyperlink"/>
    <w:rPr>
      <w:color w:val="800080"/>
      <w:u w:val="single"/>
      <w:shd w:val="clear" w:color="auto" w:fill="auto"/>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24"/>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styleId="TOC1">
    <w:name w:val="toc 1"/>
    <w:basedOn w:val="Normal"/>
    <w:next w:val="Normal"/>
    <w:autoRedefine/>
    <w:uiPriority w:val="39"/>
    <w:unhideWhenUsed/>
    <w:qFormat/>
    <w:pPr>
      <w:tabs>
        <w:tab w:val="left" w:pos="9072"/>
      </w:tabs>
      <w:spacing w:before="60" w:after="120" w:line="240" w:lineRule="auto"/>
      <w:ind w:left="851" w:hanging="851"/>
      <w:jc w:val="both"/>
    </w:pPr>
    <w:rPr>
      <w:rFonts w:ascii="Times New Roman" w:eastAsiaTheme="minorHAnsi" w:hAnsi="Times New Roman"/>
      <w:bCs/>
      <w:caps/>
      <w:sz w:val="24"/>
      <w:szCs w:val="24"/>
      <w:lang w:eastAsia="en-US"/>
    </w:rPr>
  </w:style>
  <w:style w:type="paragraph" w:styleId="TOC2">
    <w:name w:val="toc 2"/>
    <w:basedOn w:val="Normal"/>
    <w:next w:val="ManualHeading1"/>
    <w:autoRedefine/>
    <w:uiPriority w:val="39"/>
    <w:unhideWhenUsed/>
    <w:pPr>
      <w:tabs>
        <w:tab w:val="left" w:pos="9072"/>
      </w:tabs>
      <w:spacing w:before="60" w:after="120" w:line="240" w:lineRule="auto"/>
      <w:ind w:left="851" w:hanging="851"/>
    </w:pPr>
    <w:rPr>
      <w:rFonts w:ascii="Times New Roman" w:eastAsiaTheme="minorHAnsi" w:hAnsi="Times New Roman" w:cstheme="minorHAnsi"/>
      <w:bCs/>
      <w:sz w:val="24"/>
      <w:szCs w:val="20"/>
      <w:lang w:eastAsia="en-US"/>
    </w:rPr>
  </w:style>
  <w:style w:type="paragraph" w:styleId="TOC3">
    <w:name w:val="toc 3"/>
    <w:basedOn w:val="TOC2"/>
    <w:next w:val="Normal"/>
    <w:link w:val="TOC3Char"/>
    <w:autoRedefine/>
    <w:uiPriority w:val="39"/>
    <w:unhideWhenUsed/>
    <w:rPr>
      <w:kern w:val="24"/>
    </w:rPr>
  </w:style>
  <w:style w:type="paragraph" w:styleId="TOC4">
    <w:name w:val="toc 4"/>
    <w:basedOn w:val="Normal"/>
    <w:next w:val="Normal"/>
    <w:autoRedefine/>
    <w:unhideWhenUsed/>
    <w:pPr>
      <w:spacing w:after="0"/>
      <w:ind w:left="480"/>
    </w:pPr>
    <w:rPr>
      <w:rFonts w:eastAsiaTheme="minorHAnsi" w:cstheme="minorHAnsi"/>
      <w:sz w:val="20"/>
      <w:szCs w:val="20"/>
      <w:lang w:eastAsia="en-US"/>
    </w:rPr>
  </w:style>
  <w:style w:type="paragraph" w:styleId="TOC5">
    <w:name w:val="toc 5"/>
    <w:basedOn w:val="Normal"/>
    <w:next w:val="Normal"/>
    <w:autoRedefine/>
    <w:unhideWhenUsed/>
    <w:pPr>
      <w:spacing w:after="0"/>
      <w:ind w:left="720"/>
    </w:pPr>
    <w:rPr>
      <w:rFonts w:eastAsiaTheme="minorHAnsi" w:cstheme="minorHAnsi"/>
      <w:sz w:val="20"/>
      <w:szCs w:val="20"/>
      <w:lang w:eastAsia="en-US"/>
    </w:rPr>
  </w:style>
  <w:style w:type="paragraph" w:styleId="TOC6">
    <w:name w:val="toc 6"/>
    <w:basedOn w:val="Normal"/>
    <w:next w:val="Normal"/>
    <w:autoRedefine/>
    <w:unhideWhenUsed/>
    <w:pPr>
      <w:spacing w:after="0"/>
      <w:ind w:left="960"/>
    </w:pPr>
    <w:rPr>
      <w:rFonts w:eastAsiaTheme="minorHAnsi" w:cstheme="minorHAnsi"/>
      <w:sz w:val="20"/>
      <w:szCs w:val="20"/>
      <w:lang w:eastAsia="en-US"/>
    </w:rPr>
  </w:style>
  <w:style w:type="paragraph" w:styleId="TOC7">
    <w:name w:val="toc 7"/>
    <w:basedOn w:val="Normal"/>
    <w:next w:val="Normal"/>
    <w:autoRedefine/>
    <w:unhideWhenUsed/>
    <w:pPr>
      <w:spacing w:after="0"/>
      <w:ind w:left="1200"/>
    </w:pPr>
    <w:rPr>
      <w:rFonts w:eastAsiaTheme="minorHAnsi" w:cstheme="minorHAnsi"/>
      <w:sz w:val="20"/>
      <w:szCs w:val="20"/>
      <w:lang w:eastAsia="en-US"/>
    </w:rPr>
  </w:style>
  <w:style w:type="paragraph" w:styleId="TOC8">
    <w:name w:val="toc 8"/>
    <w:basedOn w:val="Normal"/>
    <w:next w:val="Normal"/>
    <w:autoRedefine/>
    <w:unhideWhenUsed/>
    <w:pPr>
      <w:spacing w:after="0"/>
      <w:ind w:left="1440"/>
    </w:pPr>
    <w:rPr>
      <w:rFonts w:eastAsiaTheme="minorHAnsi" w:cstheme="minorHAnsi"/>
      <w:sz w:val="20"/>
      <w:szCs w:val="20"/>
      <w:lang w:eastAsia="en-US"/>
    </w:rPr>
  </w:style>
  <w:style w:type="paragraph" w:styleId="TOC9">
    <w:name w:val="toc 9"/>
    <w:basedOn w:val="Normal"/>
    <w:next w:val="Normal"/>
    <w:autoRedefine/>
    <w:unhideWhenUsed/>
    <w:pPr>
      <w:spacing w:after="0"/>
      <w:ind w:left="1680"/>
    </w:pPr>
    <w:rPr>
      <w:rFonts w:eastAsiaTheme="minorHAnsi" w:cstheme="minorHAnsi"/>
      <w:sz w:val="20"/>
      <w:szCs w:val="20"/>
      <w:lang w:eastAsia="en-US"/>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ydpb5a96999msonormal">
    <w:name w:val="ydpb5a96999msonormal"/>
    <w:basedOn w:val="Normal"/>
    <w:uiPriority w:val="99"/>
    <w:pPr>
      <w:spacing w:before="100" w:beforeAutospacing="1" w:after="100" w:afterAutospacing="1" w:line="240" w:lineRule="auto"/>
    </w:pPr>
    <w:rPr>
      <w:rFonts w:ascii="Times New Roman" w:eastAsiaTheme="minorHAnsi" w:hAnsi="Times New Roman" w:cs="Times New Roman"/>
      <w:sz w:val="24"/>
      <w:szCs w:val="24"/>
    </w:r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US"/>
    </w:rPr>
  </w:style>
  <w:style w:type="character" w:styleId="SubtleEmphasis">
    <w:name w:val="Subtle Emphasis"/>
    <w:basedOn w:val="DefaultParagraphFont"/>
    <w:uiPriority w:val="19"/>
    <w:qFormat/>
    <w:rPr>
      <w:i/>
      <w:iCs/>
      <w:color w:val="808080" w:themeColor="text1" w:themeTint="7F"/>
    </w:rPr>
  </w:style>
  <w:style w:type="paragraph" w:customStyle="1" w:styleId="Times10PointCharCharCharChar1CharCharCharCharCharCharCharCarattere">
    <w:name w:val="Times 10 Point Char Char Char Char1 Char Char Char Char Char Char Char Carattere"/>
    <w:aliases w:val="Exposant 3 Point Char Char Char Char1 Char Char Char Char Char Char Char Carattere"/>
    <w:basedOn w:val="Normal"/>
    <w:uiPriority w:val="99"/>
    <w:pPr>
      <w:spacing w:after="160" w:line="240" w:lineRule="exact"/>
    </w:pPr>
    <w:rPr>
      <w:rFonts w:eastAsiaTheme="minorHAnsi"/>
      <w:vertAlign w:val="superscript"/>
      <w:lang w:eastAsia="en-US"/>
    </w:rPr>
  </w:style>
  <w:style w:type="character" w:customStyle="1" w:styleId="s3">
    <w:name w:val="s3"/>
    <w:basedOn w:val="DefaultParagraphFont"/>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paragraph" w:customStyle="1" w:styleId="NoSpacing5">
    <w:name w:val="No Spacing5"/>
    <w:uiPriority w:val="99"/>
    <w:qFormat/>
    <w:pPr>
      <w:spacing w:after="0" w:line="240" w:lineRule="auto"/>
    </w:pPr>
    <w:rPr>
      <w:rFonts w:ascii="Times New Roman" w:eastAsia="Times New Roman" w:hAnsi="Times New Roman" w:cs="Times New Roman"/>
      <w:szCs w:val="20"/>
      <w:lang w:val="en-US"/>
    </w:rPr>
  </w:style>
  <w:style w:type="character" w:customStyle="1" w:styleId="e24kjd">
    <w:name w:val="e24kjd"/>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eastAsiaTheme="minorEastAsia"/>
      <w:sz w:val="20"/>
      <w:szCs w:val="20"/>
      <w:lang w:eastAsia="en-GB"/>
    </w:rPr>
  </w:style>
  <w:style w:type="character" w:styleId="EndnoteReference">
    <w:name w:val="end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reference-text">
    <w:name w:val="reference-text"/>
    <w:basedOn w:val="DefaultParagraphFont"/>
  </w:style>
  <w:style w:type="paragraph" w:customStyle="1" w:styleId="Normal1">
    <w:name w:val="Normal1"/>
    <w:pPr>
      <w:spacing w:after="0" w:line="240" w:lineRule="auto"/>
    </w:pPr>
    <w:rPr>
      <w:rFonts w:ascii="Times New Roman" w:eastAsia="Times New Roman" w:hAnsi="Times New Roman" w:cs="Times New Roman"/>
      <w:sz w:val="24"/>
      <w:szCs w:val="24"/>
      <w:lang w:val="en-US"/>
    </w:rPr>
  </w:style>
  <w:style w:type="character" w:customStyle="1" w:styleId="HeaderChar1">
    <w:name w:val="Header Char1"/>
    <w:basedOn w:val="DefaultParagraphFont"/>
    <w:uiPriority w:val="99"/>
    <w:semiHidden/>
    <w:rPr>
      <w:rFonts w:ascii="Times New Roman" w:hAnsi="Times New Roman"/>
      <w:sz w:val="24"/>
    </w:rPr>
  </w:style>
  <w:style w:type="character" w:customStyle="1" w:styleId="FooterChar1">
    <w:name w:val="Footer Char1"/>
    <w:basedOn w:val="DefaultParagraphFont"/>
    <w:uiPriority w:val="99"/>
    <w:semiHidden/>
    <w:rPr>
      <w:rFonts w:ascii="Times New Roman" w:hAnsi="Times New Roman"/>
      <w:sz w:val="24"/>
    </w:rPr>
  </w:style>
  <w:style w:type="character" w:customStyle="1" w:styleId="CommentTextChar1">
    <w:name w:val="Comment Text Char1"/>
    <w:basedOn w:val="DefaultParagraphFont"/>
    <w:uiPriority w:val="99"/>
    <w:semiHidden/>
    <w:rPr>
      <w:rFonts w:ascii="Times New Roman" w:hAnsi="Times New Roman"/>
      <w:sz w:val="20"/>
      <w:szCs w:val="20"/>
    </w:rPr>
  </w:style>
  <w:style w:type="numbering" w:customStyle="1" w:styleId="NoList4">
    <w:name w:val="No List4"/>
    <w:next w:val="NoList"/>
    <w:uiPriority w:val="99"/>
    <w:semiHidden/>
    <w:unhideWhenUsed/>
  </w:style>
  <w:style w:type="numbering" w:customStyle="1" w:styleId="NoList5">
    <w:name w:val="No List5"/>
    <w:next w:val="NoList"/>
    <w:semiHidden/>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lang w:eastAsia="en-US"/>
    </w:rPr>
  </w:style>
  <w:style w:type="character" w:customStyle="1" w:styleId="TOC3Char">
    <w:name w:val="TOC 3 Char"/>
    <w:basedOn w:val="DefaultParagraphFont"/>
    <w:link w:val="TOC3"/>
    <w:uiPriority w:val="39"/>
    <w:rPr>
      <w:rFonts w:ascii="Times New Roman" w:hAnsi="Times New Roman" w:cstheme="minorHAnsi"/>
      <w:bCs/>
      <w:kern w:val="2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91865">
      <w:bodyDiv w:val="1"/>
      <w:marLeft w:val="0"/>
      <w:marRight w:val="0"/>
      <w:marTop w:val="0"/>
      <w:marBottom w:val="0"/>
      <w:divBdr>
        <w:top w:val="none" w:sz="0" w:space="0" w:color="auto"/>
        <w:left w:val="none" w:sz="0" w:space="0" w:color="auto"/>
        <w:bottom w:val="none" w:sz="0" w:space="0" w:color="auto"/>
        <w:right w:val="none" w:sz="0" w:space="0" w:color="auto"/>
      </w:divBdr>
    </w:div>
    <w:div w:id="233205883">
      <w:bodyDiv w:val="1"/>
      <w:marLeft w:val="0"/>
      <w:marRight w:val="0"/>
      <w:marTop w:val="0"/>
      <w:marBottom w:val="0"/>
      <w:divBdr>
        <w:top w:val="none" w:sz="0" w:space="0" w:color="auto"/>
        <w:left w:val="none" w:sz="0" w:space="0" w:color="auto"/>
        <w:bottom w:val="none" w:sz="0" w:space="0" w:color="auto"/>
        <w:right w:val="none" w:sz="0" w:space="0" w:color="auto"/>
      </w:divBdr>
    </w:div>
    <w:div w:id="486360348">
      <w:bodyDiv w:val="1"/>
      <w:marLeft w:val="0"/>
      <w:marRight w:val="0"/>
      <w:marTop w:val="0"/>
      <w:marBottom w:val="0"/>
      <w:divBdr>
        <w:top w:val="none" w:sz="0" w:space="0" w:color="auto"/>
        <w:left w:val="none" w:sz="0" w:space="0" w:color="auto"/>
        <w:bottom w:val="none" w:sz="0" w:space="0" w:color="auto"/>
        <w:right w:val="none" w:sz="0" w:space="0" w:color="auto"/>
      </w:divBdr>
    </w:div>
    <w:div w:id="808740996">
      <w:bodyDiv w:val="1"/>
      <w:marLeft w:val="0"/>
      <w:marRight w:val="0"/>
      <w:marTop w:val="0"/>
      <w:marBottom w:val="0"/>
      <w:divBdr>
        <w:top w:val="none" w:sz="0" w:space="0" w:color="auto"/>
        <w:left w:val="none" w:sz="0" w:space="0" w:color="auto"/>
        <w:bottom w:val="none" w:sz="0" w:space="0" w:color="auto"/>
        <w:right w:val="none" w:sz="0" w:space="0" w:color="auto"/>
      </w:divBdr>
    </w:div>
    <w:div w:id="922107421">
      <w:bodyDiv w:val="1"/>
      <w:marLeft w:val="0"/>
      <w:marRight w:val="0"/>
      <w:marTop w:val="0"/>
      <w:marBottom w:val="0"/>
      <w:divBdr>
        <w:top w:val="none" w:sz="0" w:space="0" w:color="auto"/>
        <w:left w:val="none" w:sz="0" w:space="0" w:color="auto"/>
        <w:bottom w:val="none" w:sz="0" w:space="0" w:color="auto"/>
        <w:right w:val="none" w:sz="0" w:space="0" w:color="auto"/>
      </w:divBdr>
    </w:div>
    <w:div w:id="962999739">
      <w:bodyDiv w:val="1"/>
      <w:marLeft w:val="0"/>
      <w:marRight w:val="0"/>
      <w:marTop w:val="0"/>
      <w:marBottom w:val="0"/>
      <w:divBdr>
        <w:top w:val="none" w:sz="0" w:space="0" w:color="auto"/>
        <w:left w:val="none" w:sz="0" w:space="0" w:color="auto"/>
        <w:bottom w:val="none" w:sz="0" w:space="0" w:color="auto"/>
        <w:right w:val="none" w:sz="0" w:space="0" w:color="auto"/>
      </w:divBdr>
    </w:div>
    <w:div w:id="193574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header" Target="header5.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uropol.europa.eu/crime-areas-and-trends/eu-policy-cycle-empact" TargetMode="External"/><Relationship Id="rId23" Type="http://schemas.openxmlformats.org/officeDocument/2006/relationships/hyperlink" Target="https://www.bankofalbania.org/Shtypi/Njoftimet_per_shtyp/Vendimmarrja_e_Keshillit_Mbikeqyres_ne_mbledhjen_e_dates_8_prill_2020.html" TargetMode="Externa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bankofalbania.org/Press/Press_Releases/Measures_undertaken_by_the_Bank_of_Albania_on_the_rescheduling_the_instalments_of_loans.html" TargetMode="Externa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www.enterprisesurvey.org" TargetMode="External"/><Relationship Id="rId2" Type="http://schemas.openxmlformats.org/officeDocument/2006/relationships/hyperlink" Target="https://www.consilium.europa.eu/media/43076/26-vc-euco-statement-en.pdf" TargetMode="External"/><Relationship Id="rId1" Type="http://schemas.openxmlformats.org/officeDocument/2006/relationships/hyperlink" Target="https://ec.europa.eu/neighbourhood-enlargement/sites/near/files/update-on-the-republic-of-alban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B4D2B-BFF0-42C3-812C-AEA07CC1D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125</Pages>
  <Words>69983</Words>
  <Characters>396108</Characters>
  <Application>Microsoft Office Word</Application>
  <DocSecurity>0</DocSecurity>
  <Lines>7073</Lines>
  <Paragraphs>2505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20</cp:revision>
  <cp:lastPrinted>2020-10-04T21:13:00Z</cp:lastPrinted>
  <dcterms:created xsi:type="dcterms:W3CDTF">2020-10-05T20:25:00Z</dcterms:created>
  <dcterms:modified xsi:type="dcterms:W3CDTF">2020-10-06T09:26:00Z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ies>
</file>