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FDCE2B04-597F-44B9-9377-E51AFE9D4396" style="width:451pt;height:44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NormalWeb"/>
        <w:spacing w:after="120"/>
        <w:jc w:val="center"/>
        <w:rPr>
          <w:b/>
          <w:noProof/>
          <w:u w:val="single"/>
          <w:lang w:val="en-GB"/>
        </w:rPr>
      </w:pPr>
      <w:bookmarkStart w:id="1" w:name="_GoBack"/>
      <w:bookmarkEnd w:id="1"/>
      <w:r>
        <w:rPr>
          <w:b/>
          <w:noProof/>
          <w:u w:val="single"/>
          <w:lang w:val="en-GB"/>
        </w:rPr>
        <w:lastRenderedPageBreak/>
        <w:t>ANNEX</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noProof/>
        </w:rPr>
      </w:pPr>
      <w:r>
        <w:rPr>
          <w:rFonts w:ascii="Times New Roman" w:eastAsia="Times New Roman" w:hAnsi="Times New Roman" w:cs="Times New Roman"/>
          <w:noProof/>
          <w:sz w:val="24"/>
          <w:szCs w:val="24"/>
        </w:rPr>
        <w:t>In the context of the twin Green and Digital transition the Commission will examine the costs the benefits and the impact of the following priority investment flagships and their corresponding project proposals with a view to taking them forward actively and expediently.</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area of transport, the Commission foresees the following </w:t>
      </w:r>
      <w:r>
        <w:rPr>
          <w:rFonts w:ascii="Times New Roman" w:eastAsia="Times New Roman" w:hAnsi="Times New Roman" w:cs="Times New Roman"/>
          <w:b/>
          <w:noProof/>
          <w:sz w:val="24"/>
          <w:szCs w:val="24"/>
        </w:rPr>
        <w:t xml:space="preserve">investment flagships </w:t>
      </w:r>
      <w:r>
        <w:rPr>
          <w:rFonts w:ascii="Times New Roman" w:eastAsia="Times New Roman" w:hAnsi="Times New Roman" w:cs="Times New Roman"/>
          <w:noProof/>
          <w:sz w:val="24"/>
          <w:szCs w:val="24"/>
        </w:rPr>
        <w:t>to be completed or advanced by the end of this Commission’s mandate:</w:t>
      </w:r>
    </w:p>
    <w:p>
      <w:pPr>
        <w:spacing w:after="120" w:line="240" w:lineRule="auto"/>
        <w:jc w:val="both"/>
        <w:rPr>
          <w:rFonts w:ascii="Times New Roman" w:eastAsia="Times New Roman" w:hAnsi="Times New Roman" w:cs="Times New Roman"/>
          <w:noProof/>
          <w:sz w:val="24"/>
          <w:szCs w:val="24"/>
        </w:rPr>
      </w:pPr>
    </w:p>
    <w:p>
      <w:pPr>
        <w:pBdr>
          <w:top w:val="single" w:sz="12" w:space="0"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 xml:space="preserve">FLAGSHIP 1 - CONNECTING EAST TO WEST </w:t>
      </w:r>
    </w:p>
    <w:p>
      <w:pPr>
        <w:pBdr>
          <w:top w:val="single" w:sz="12" w:space="0"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noProof/>
          <w:sz w:val="24"/>
          <w:u w:val="single"/>
        </w:rPr>
      </w:pPr>
      <w:r>
        <w:rPr>
          <w:rFonts w:ascii="Times New Roman" w:hAnsi="Times New Roman"/>
          <w:noProof/>
          <w:sz w:val="24"/>
          <w:u w:val="single"/>
        </w:rPr>
        <w:t xml:space="preserve">Major east to west connections will be </w:t>
      </w:r>
      <w:r>
        <w:rPr>
          <w:rFonts w:ascii="Times New Roman" w:hAnsi="Times New Roman"/>
          <w:b/>
          <w:noProof/>
          <w:sz w:val="24"/>
          <w:u w:val="single"/>
        </w:rPr>
        <w:t>completed or advanced by 2024</w:t>
      </w:r>
      <w:r>
        <w:rPr>
          <w:rFonts w:ascii="Times New Roman" w:hAnsi="Times New Roman"/>
          <w:noProof/>
          <w:sz w:val="24"/>
          <w:u w:val="single"/>
        </w:rPr>
        <w:t>:</w:t>
      </w:r>
    </w:p>
    <w:p>
      <w:pPr>
        <w:numPr>
          <w:ilvl w:val="0"/>
          <w:numId w:val="2"/>
        </w:numPr>
        <w:pBdr>
          <w:top w:val="single" w:sz="12" w:space="0"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w:t>
      </w:r>
      <w:r>
        <w:rPr>
          <w:rFonts w:ascii="Times New Roman" w:eastAsia="Times New Roman" w:hAnsi="Times New Roman" w:cs="Times New Roman"/>
          <w:b/>
          <w:noProof/>
          <w:sz w:val="24"/>
          <w:szCs w:val="24"/>
        </w:rPr>
        <w:t>Peace Highway” in Kosovo* (</w:t>
      </w:r>
      <w:r>
        <w:rPr>
          <w:rFonts w:ascii="Times New Roman" w:eastAsia="Times New Roman" w:hAnsi="Times New Roman" w:cs="Times New Roman"/>
          <w:noProof/>
          <w:sz w:val="24"/>
          <w:szCs w:val="24"/>
        </w:rPr>
        <w:t>linking Pristina with Niš in Serbia)</w:t>
      </w:r>
      <w:r>
        <w:rPr>
          <w:rFonts w:ascii="Times New Roman" w:eastAsia="Times New Roman" w:hAnsi="Times New Roman" w:cs="Times New Roman"/>
          <w:b/>
          <w:noProof/>
          <w:sz w:val="24"/>
          <w:szCs w:val="24"/>
        </w:rPr>
        <w:t xml:space="preserve"> will be finished </w:t>
      </w:r>
      <w:r>
        <w:rPr>
          <w:rFonts w:ascii="Times New Roman" w:eastAsia="Times New Roman" w:hAnsi="Times New Roman" w:cs="Times New Roman"/>
          <w:noProof/>
          <w:sz w:val="24"/>
          <w:szCs w:val="24"/>
        </w:rPr>
        <w:t xml:space="preserve">with </w:t>
      </w:r>
      <w:r>
        <w:rPr>
          <w:rFonts w:ascii="Times New Roman" w:eastAsia="Times New Roman" w:hAnsi="Times New Roman" w:cs="Times New Roman"/>
          <w:b/>
          <w:noProof/>
          <w:sz w:val="24"/>
          <w:szCs w:val="24"/>
        </w:rPr>
        <w:t>the Serbia section substantially advanced</w:t>
      </w:r>
      <w:r>
        <w:rPr>
          <w:rFonts w:ascii="Times New Roman" w:eastAsia="Times New Roman" w:hAnsi="Times New Roman" w:cs="Times New Roman"/>
          <w:noProof/>
          <w:sz w:val="24"/>
          <w:szCs w:val="24"/>
        </w:rPr>
        <w:t>.</w:t>
      </w:r>
    </w:p>
    <w:p>
      <w:pPr>
        <w:numPr>
          <w:ilvl w:val="0"/>
          <w:numId w:val="2"/>
        </w:numPr>
        <w:pBdr>
          <w:top w:val="single" w:sz="12" w:space="0"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While the (core network of the) </w:t>
      </w:r>
      <w:r>
        <w:rPr>
          <w:rFonts w:ascii="Times New Roman" w:hAnsi="Times New Roman"/>
          <w:noProof/>
          <w:sz w:val="24"/>
        </w:rPr>
        <w:t>road corridor (Corridor X)</w:t>
      </w:r>
      <w:r>
        <w:rPr>
          <w:rFonts w:ascii="Times New Roman" w:eastAsia="Times New Roman" w:hAnsi="Times New Roman" w:cs="Times New Roman"/>
          <w:noProof/>
          <w:sz w:val="24"/>
          <w:szCs w:val="24"/>
        </w:rPr>
        <w:t xml:space="preserve"> south-east from Hungary through the region to Bulgaria, Greece and beyond has been practically </w:t>
      </w:r>
      <w:r>
        <w:rPr>
          <w:rFonts w:ascii="Times New Roman" w:hAnsi="Times New Roman"/>
          <w:noProof/>
          <w:sz w:val="24"/>
        </w:rPr>
        <w:t>completed</w:t>
      </w:r>
      <w:r>
        <w:rPr>
          <w:rFonts w:ascii="Times New Roman" w:eastAsia="Times New Roman" w:hAnsi="Times New Roman" w:cs="Times New Roman"/>
          <w:noProof/>
          <w:sz w:val="24"/>
          <w:szCs w:val="24"/>
        </w:rPr>
        <w:t xml:space="preserve">, including with EU support, the </w:t>
      </w:r>
      <w:r>
        <w:rPr>
          <w:rFonts w:ascii="Times New Roman" w:hAnsi="Times New Roman"/>
          <w:noProof/>
          <w:sz w:val="24"/>
        </w:rPr>
        <w:t xml:space="preserve">parallel rail corridor will be fully </w:t>
      </w:r>
      <w:r>
        <w:rPr>
          <w:rFonts w:ascii="Times New Roman" w:eastAsia="Times New Roman" w:hAnsi="Times New Roman" w:cs="Times New Roman"/>
          <w:noProof/>
          <w:sz w:val="24"/>
          <w:szCs w:val="24"/>
        </w:rPr>
        <w:t xml:space="preserve">modernised. In particular, the </w:t>
      </w:r>
      <w:r>
        <w:rPr>
          <w:rFonts w:ascii="Times New Roman" w:hAnsi="Times New Roman"/>
          <w:noProof/>
          <w:sz w:val="24"/>
        </w:rPr>
        <w:t xml:space="preserve">Niš railway bypass in Serbia </w:t>
      </w:r>
      <w:r>
        <w:rPr>
          <w:rFonts w:ascii="Times New Roman" w:eastAsia="Times New Roman" w:hAnsi="Times New Roman" w:cs="Times New Roman"/>
          <w:noProof/>
          <w:sz w:val="24"/>
          <w:szCs w:val="24"/>
        </w:rPr>
        <w:t>will be finalised in this timeframe.</w:t>
      </w:r>
      <w:r>
        <w:rPr>
          <w:noProof/>
        </w:rPr>
        <w:t xml:space="preserve"> </w:t>
      </w:r>
      <w:r>
        <w:rPr>
          <w:rFonts w:ascii="Times New Roman" w:eastAsia="Times New Roman" w:hAnsi="Times New Roman" w:cs="Times New Roman"/>
          <w:noProof/>
          <w:sz w:val="24"/>
          <w:szCs w:val="24"/>
        </w:rPr>
        <w:t>The project on Corridor X to upgrade the rail connection between Serbia and Croatia, which is a vital link in terms of rail freight, will be considerably advanced, as will the project to upgrade the rail link to North Macedonia.</w:t>
      </w:r>
    </w:p>
    <w:p>
      <w:pPr>
        <w:numPr>
          <w:ilvl w:val="0"/>
          <w:numId w:val="2"/>
        </w:numPr>
        <w:pBdr>
          <w:top w:val="single" w:sz="12" w:space="0"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Rail Corridor VIII between Skopje and the Bulgarian border </w:t>
      </w:r>
      <w:r>
        <w:rPr>
          <w:rFonts w:ascii="Times New Roman" w:eastAsia="Times New Roman" w:hAnsi="Times New Roman" w:cs="Times New Roman"/>
          <w:noProof/>
          <w:sz w:val="24"/>
          <w:szCs w:val="24"/>
        </w:rPr>
        <w:t xml:space="preserve">will be substantially advanced to connect Skopje and Sofia. </w:t>
      </w:r>
    </w:p>
    <w:p>
      <w:pPr>
        <w:numPr>
          <w:ilvl w:val="0"/>
          <w:numId w:val="2"/>
        </w:numPr>
        <w:pBdr>
          <w:top w:val="single" w:sz="12" w:space="0"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Demining of the Sava river</w:t>
      </w:r>
      <w:r>
        <w:rPr>
          <w:rFonts w:ascii="Times New Roman" w:hAnsi="Times New Roman"/>
          <w:b/>
          <w:noProof/>
          <w:sz w:val="24"/>
        </w:rPr>
        <w:t xml:space="preserve"> </w:t>
      </w:r>
      <w:r>
        <w:rPr>
          <w:rFonts w:ascii="Times New Roman" w:eastAsia="Times New Roman" w:hAnsi="Times New Roman" w:cs="Times New Roman"/>
          <w:b/>
          <w:noProof/>
          <w:sz w:val="24"/>
          <w:szCs w:val="24"/>
        </w:rPr>
        <w:t xml:space="preserve">and addressing bottlenecks on the Danube river </w:t>
      </w:r>
      <w:r>
        <w:rPr>
          <w:rFonts w:ascii="Times New Roman" w:eastAsia="Times New Roman" w:hAnsi="Times New Roman" w:cs="Times New Roman"/>
          <w:noProof/>
          <w:sz w:val="24"/>
          <w:szCs w:val="24"/>
        </w:rPr>
        <w:t xml:space="preserve"> will be completed or advanced to improve the sustainable transport mode of these important waterways as part of the TEN-T network, and to facilitate further development of intermodal exchanges.</w:t>
      </w:r>
    </w:p>
    <w:p>
      <w:pPr>
        <w:spacing w:after="120" w:line="240" w:lineRule="auto"/>
        <w:jc w:val="both"/>
        <w:rPr>
          <w:rFonts w:ascii="Times New Roman" w:eastAsia="Times New Roman" w:hAnsi="Times New Roman"/>
          <w:noProof/>
          <w:sz w:val="24"/>
          <w:szCs w:val="24"/>
        </w:rPr>
      </w:pP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 xml:space="preserve">FLAGSHIP 2 - CONNECTING NORTH TO SOUTH </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noProof/>
          <w:sz w:val="24"/>
          <w:u w:val="single"/>
        </w:rPr>
      </w:pPr>
      <w:r>
        <w:rPr>
          <w:rFonts w:ascii="Times New Roman" w:hAnsi="Times New Roman"/>
          <w:noProof/>
          <w:sz w:val="24"/>
          <w:u w:val="single"/>
        </w:rPr>
        <w:t xml:space="preserve">Major north to south connections will be </w:t>
      </w:r>
      <w:r>
        <w:rPr>
          <w:rFonts w:ascii="Times New Roman" w:hAnsi="Times New Roman"/>
          <w:b/>
          <w:noProof/>
          <w:sz w:val="24"/>
          <w:u w:val="single"/>
        </w:rPr>
        <w:t>completed or advanced by 2024</w:t>
      </w:r>
      <w:r>
        <w:rPr>
          <w:rFonts w:ascii="Times New Roman" w:hAnsi="Times New Roman"/>
          <w:noProof/>
          <w:sz w:val="24"/>
          <w:u w:val="single"/>
        </w:rPr>
        <w:t>:</w:t>
      </w:r>
    </w:p>
    <w:p>
      <w:pPr>
        <w:numPr>
          <w:ilvl w:val="0"/>
          <w:numId w:val="2"/>
        </w:num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b/>
          <w:noProof/>
          <w:sz w:val="24"/>
          <w:szCs w:val="24"/>
          <w:lang w:eastAsia="fr-BE"/>
        </w:rPr>
        <w:t>75% of the main north-south road corridor</w:t>
      </w:r>
      <w:r>
        <w:rPr>
          <w:rFonts w:ascii="Times New Roman" w:eastAsia="Times New Roman" w:hAnsi="Times New Roman" w:cs="Times New Roman"/>
          <w:noProof/>
          <w:sz w:val="24"/>
          <w:szCs w:val="24"/>
          <w:lang w:eastAsia="fr-BE"/>
        </w:rPr>
        <w:t xml:space="preserve"> linking central Europe capitals through Sarajevo in Bosnia and Herzegovina to the port of Ploče on the Adriatic coast (</w:t>
      </w:r>
      <w:r>
        <w:rPr>
          <w:rFonts w:ascii="Times New Roman" w:eastAsia="Times New Roman" w:hAnsi="Times New Roman" w:cs="Times New Roman"/>
          <w:b/>
          <w:noProof/>
          <w:sz w:val="24"/>
          <w:szCs w:val="24"/>
          <w:lang w:eastAsia="fr-BE"/>
        </w:rPr>
        <w:t>Corridor Vc)</w:t>
      </w:r>
      <w:r>
        <w:rPr>
          <w:rFonts w:ascii="Times New Roman" w:eastAsia="Times New Roman" w:hAnsi="Times New Roman" w:cs="Times New Roman"/>
          <w:noProof/>
          <w:sz w:val="24"/>
          <w:szCs w:val="24"/>
          <w:lang w:eastAsia="fr-BE"/>
        </w:rPr>
        <w:t xml:space="preserve"> </w:t>
      </w:r>
      <w:r>
        <w:rPr>
          <w:rFonts w:ascii="Times New Roman" w:eastAsia="Times New Roman" w:hAnsi="Times New Roman" w:cs="Times New Roman"/>
          <w:b/>
          <w:noProof/>
          <w:sz w:val="24"/>
          <w:szCs w:val="24"/>
          <w:lang w:eastAsia="fr-BE"/>
        </w:rPr>
        <w:t>will be completed to motorway standards.</w:t>
      </w:r>
      <w:r>
        <w:rPr>
          <w:rFonts w:ascii="Times New Roman" w:eastAsia="Times New Roman" w:hAnsi="Times New Roman" w:cs="Times New Roman"/>
          <w:noProof/>
          <w:sz w:val="24"/>
          <w:szCs w:val="24"/>
          <w:lang w:eastAsia="fr-BE"/>
        </w:rPr>
        <w:t xml:space="preserve"> The rail connection along the same corridor will also be upgraded. </w:t>
      </w:r>
    </w:p>
    <w:p>
      <w:pPr>
        <w:numPr>
          <w:ilvl w:val="0"/>
          <w:numId w:val="2"/>
        </w:num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b/>
          <w:noProof/>
          <w:sz w:val="24"/>
          <w:szCs w:val="24"/>
        </w:rPr>
        <w:t xml:space="preserve">Rail Route 4 linking Belgrade to Podgorica to the Montenegrin port of Bar </w:t>
      </w:r>
      <w:r>
        <w:rPr>
          <w:rFonts w:ascii="Times New Roman" w:eastAsia="Times New Roman" w:hAnsi="Times New Roman" w:cs="Times New Roman"/>
          <w:noProof/>
          <w:sz w:val="24"/>
          <w:szCs w:val="24"/>
        </w:rPr>
        <w:t xml:space="preserve">will be fully rehabilitated from the Serbia border to the sea. </w:t>
      </w:r>
      <w:r>
        <w:rPr>
          <w:rFonts w:ascii="Times New Roman" w:eastAsia="Times New Roman" w:hAnsi="Times New Roman" w:cs="Times New Roman"/>
          <w:b/>
          <w:noProof/>
          <w:sz w:val="24"/>
          <w:szCs w:val="24"/>
        </w:rPr>
        <w:t>The parallel road corridor will be further advanced, in particular the Podgorica bypass</w:t>
      </w:r>
      <w:r>
        <w:rPr>
          <w:rFonts w:ascii="Times New Roman" w:eastAsia="Times New Roman" w:hAnsi="Times New Roman" w:cs="Times New Roman"/>
          <w:noProof/>
          <w:sz w:val="24"/>
          <w:szCs w:val="24"/>
        </w:rPr>
        <w:t>.</w:t>
      </w:r>
    </w:p>
    <w:p>
      <w:pPr>
        <w:numPr>
          <w:ilvl w:val="0"/>
          <w:numId w:val="2"/>
        </w:num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The Sarajevo to Podgorica capital to capital connection will be enhanced, </w:t>
      </w:r>
      <w:r>
        <w:rPr>
          <w:rFonts w:ascii="Times New Roman" w:eastAsia="Times New Roman" w:hAnsi="Times New Roman" w:cs="Times New Roman"/>
          <w:noProof/>
          <w:sz w:val="24"/>
          <w:szCs w:val="24"/>
        </w:rPr>
        <w:t>linking further to the existing and planned networks in Bosnia and Herzegovina, and providing more direct links between neighbours.</w:t>
      </w:r>
    </w:p>
    <w:p>
      <w:pPr>
        <w:numPr>
          <w:ilvl w:val="0"/>
          <w:numId w:val="2"/>
        </w:num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Railway Route connecting Belgrade with Pristina will be further upgraded</w:t>
      </w:r>
      <w:r>
        <w:rPr>
          <w:rFonts w:ascii="Times New Roman" w:eastAsia="Times New Roman" w:hAnsi="Times New Roman" w:cs="Times New Roman"/>
          <w:noProof/>
          <w:sz w:val="24"/>
          <w:szCs w:val="24"/>
        </w:rPr>
        <w:t xml:space="preserve"> through </w:t>
      </w:r>
      <w:r>
        <w:rPr>
          <w:rFonts w:ascii="Times New Roman" w:hAnsi="Times New Roman"/>
          <w:noProof/>
          <w:sz w:val="24"/>
        </w:rPr>
        <w:t xml:space="preserve">construction </w:t>
      </w:r>
      <w:r>
        <w:rPr>
          <w:rFonts w:ascii="Times New Roman" w:eastAsia="Times New Roman" w:hAnsi="Times New Roman" w:cs="Times New Roman"/>
          <w:noProof/>
          <w:sz w:val="24"/>
          <w:szCs w:val="24"/>
        </w:rPr>
        <w:t>works in Kosovo and by preparing</w:t>
      </w:r>
      <w:r>
        <w:rPr>
          <w:rFonts w:ascii="Times New Roman" w:hAnsi="Times New Roman"/>
          <w:noProof/>
          <w:sz w:val="24"/>
        </w:rPr>
        <w:t xml:space="preserve"> the </w:t>
      </w:r>
      <w:r>
        <w:rPr>
          <w:rFonts w:ascii="Times New Roman" w:eastAsia="Times New Roman" w:hAnsi="Times New Roman" w:cs="Times New Roman"/>
          <w:noProof/>
          <w:sz w:val="24"/>
          <w:szCs w:val="24"/>
        </w:rPr>
        <w:t>necessary technical documentation for the rehabilitation works in Serbia</w:t>
      </w:r>
      <w:r>
        <w:rPr>
          <w:rFonts w:ascii="Times New Roman" w:hAnsi="Times New Roman"/>
          <w:noProof/>
          <w:sz w:val="24"/>
        </w:rPr>
        <w:t>.</w:t>
      </w:r>
    </w:p>
    <w:p>
      <w:pPr>
        <w:spacing w:after="120" w:line="240" w:lineRule="auto"/>
        <w:jc w:val="both"/>
        <w:rPr>
          <w:rFonts w:ascii="Times New Roman" w:eastAsia="Times New Roman" w:hAnsi="Times New Roman"/>
          <w:b/>
          <w:noProof/>
          <w:sz w:val="24"/>
          <w:szCs w:val="24"/>
          <w:u w:val="single"/>
        </w:rPr>
      </w:pP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lastRenderedPageBreak/>
        <w:t xml:space="preserve">FLAGSHIP 3: CONNECTING THE COASTAL REGIONS </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following will be </w:t>
      </w:r>
      <w:r>
        <w:rPr>
          <w:rFonts w:ascii="Times New Roman" w:eastAsia="Times New Roman" w:hAnsi="Times New Roman" w:cs="Times New Roman"/>
          <w:b/>
          <w:noProof/>
          <w:sz w:val="24"/>
          <w:szCs w:val="24"/>
        </w:rPr>
        <w:t>completed or advanced by 2024</w:t>
      </w:r>
      <w:r>
        <w:rPr>
          <w:rFonts w:ascii="Times New Roman" w:eastAsia="Times New Roman" w:hAnsi="Times New Roman" w:cs="Times New Roman"/>
          <w:noProof/>
          <w:sz w:val="24"/>
          <w:szCs w:val="24"/>
        </w:rPr>
        <w:t>:</w:t>
      </w:r>
    </w:p>
    <w:p>
      <w:pPr>
        <w:numPr>
          <w:ilvl w:val="0"/>
          <w:numId w:val="2"/>
        </w:num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w:t>
      </w:r>
      <w:r>
        <w:rPr>
          <w:rFonts w:ascii="Times New Roman" w:eastAsia="Times New Roman" w:hAnsi="Times New Roman" w:cs="Times New Roman"/>
          <w:b/>
          <w:noProof/>
          <w:sz w:val="24"/>
          <w:szCs w:val="24"/>
        </w:rPr>
        <w:t>Rail Route 2 linking the capitals of Tirana  and Podgorica, and extended to the port of Durres,  is a key project for the region and will be enhanced</w:t>
      </w:r>
      <w:r>
        <w:rPr>
          <w:rFonts w:ascii="Times New Roman" w:eastAsia="Times New Roman" w:hAnsi="Times New Roman" w:cs="Times New Roman"/>
          <w:noProof/>
          <w:sz w:val="24"/>
          <w:szCs w:val="24"/>
        </w:rPr>
        <w:t xml:space="preserve"> through the rehabilitation of 120 km of railway line in Albania towards the border with Montenegro. </w:t>
      </w:r>
    </w:p>
    <w:p>
      <w:pPr>
        <w:numPr>
          <w:ilvl w:val="0"/>
          <w:numId w:val="2"/>
        </w:num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Major steps will be taken to complete the </w:t>
      </w:r>
      <w:r>
        <w:rPr>
          <w:rFonts w:ascii="Times New Roman" w:eastAsia="Times New Roman" w:hAnsi="Times New Roman" w:cs="Times New Roman"/>
          <w:b/>
          <w:noProof/>
          <w:sz w:val="24"/>
          <w:szCs w:val="24"/>
        </w:rPr>
        <w:t>“Blue Highway”</w:t>
      </w:r>
      <w:r>
        <w:rPr>
          <w:rFonts w:ascii="Times New Roman" w:eastAsia="Times New Roman" w:hAnsi="Times New Roman" w:cs="Times New Roman"/>
          <w:noProof/>
          <w:sz w:val="24"/>
          <w:szCs w:val="24"/>
        </w:rPr>
        <w:t xml:space="preserve"> along the coast </w:t>
      </w:r>
      <w:r>
        <w:rPr>
          <w:rFonts w:ascii="Times New Roman" w:eastAsia="Times New Roman" w:hAnsi="Times New Roman" w:cs="Times New Roman"/>
          <w:b/>
          <w:noProof/>
          <w:sz w:val="24"/>
          <w:szCs w:val="24"/>
        </w:rPr>
        <w:t xml:space="preserve">from Croatia down to Greece: </w:t>
      </w:r>
      <w:r>
        <w:rPr>
          <w:rFonts w:ascii="Times New Roman" w:eastAsia="Times New Roman" w:hAnsi="Times New Roman" w:cs="Times New Roman"/>
          <w:noProof/>
          <w:sz w:val="24"/>
          <w:szCs w:val="24"/>
        </w:rPr>
        <w:t xml:space="preserve"> the </w:t>
      </w:r>
      <w:r>
        <w:rPr>
          <w:rFonts w:ascii="Times New Roman" w:eastAsia="Times New Roman" w:hAnsi="Times New Roman" w:cs="Times New Roman"/>
          <w:b/>
          <w:noProof/>
          <w:sz w:val="24"/>
          <w:szCs w:val="24"/>
        </w:rPr>
        <w:t xml:space="preserve">Tirana road bypass </w:t>
      </w:r>
      <w:r>
        <w:rPr>
          <w:rFonts w:ascii="Times New Roman" w:eastAsia="Times New Roman" w:hAnsi="Times New Roman" w:cs="Times New Roman"/>
          <w:noProof/>
          <w:sz w:val="24"/>
          <w:szCs w:val="24"/>
        </w:rPr>
        <w:t xml:space="preserve">will be completed and </w:t>
      </w:r>
      <w:r>
        <w:rPr>
          <w:rFonts w:ascii="Times New Roman" w:eastAsia="Times New Roman" w:hAnsi="Times New Roman" w:cs="Times New Roman"/>
          <w:b/>
          <w:noProof/>
          <w:sz w:val="24"/>
          <w:szCs w:val="24"/>
        </w:rPr>
        <w:t>two further sections in Albania</w:t>
      </w:r>
      <w:r>
        <w:rPr>
          <w:rFonts w:ascii="Times New Roman" w:eastAsia="Times New Roman" w:hAnsi="Times New Roman" w:cs="Times New Roman"/>
          <w:noProof/>
          <w:sz w:val="24"/>
          <w:szCs w:val="24"/>
        </w:rPr>
        <w:t xml:space="preserve"> plus the </w:t>
      </w:r>
      <w:r>
        <w:rPr>
          <w:rFonts w:ascii="Times New Roman" w:eastAsia="Times New Roman" w:hAnsi="Times New Roman" w:cs="Times New Roman"/>
          <w:b/>
          <w:noProof/>
          <w:sz w:val="24"/>
          <w:szCs w:val="24"/>
        </w:rPr>
        <w:t>Budva bypass in Montenegro</w:t>
      </w:r>
      <w:r>
        <w:rPr>
          <w:rFonts w:ascii="Times New Roman" w:eastAsia="Times New Roman" w:hAnsi="Times New Roman" w:cs="Times New Roman"/>
          <w:noProof/>
          <w:sz w:val="24"/>
          <w:szCs w:val="24"/>
        </w:rPr>
        <w:t xml:space="preserve"> will be substantially advanced. </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area of </w:t>
      </w:r>
      <w:r>
        <w:rPr>
          <w:rFonts w:ascii="Times New Roman" w:eastAsia="Times New Roman" w:hAnsi="Times New Roman" w:cs="Times New Roman"/>
          <w:b/>
          <w:noProof/>
          <w:sz w:val="24"/>
          <w:szCs w:val="24"/>
        </w:rPr>
        <w:t>energy</w:t>
      </w:r>
      <w:r>
        <w:rPr>
          <w:rFonts w:ascii="Times New Roman" w:eastAsia="Times New Roman" w:hAnsi="Times New Roman" w:cs="Times New Roman"/>
          <w:noProof/>
          <w:sz w:val="24"/>
          <w:szCs w:val="24"/>
        </w:rPr>
        <w:t xml:space="preserve">, the Commission suggests the following </w:t>
      </w:r>
      <w:r>
        <w:rPr>
          <w:rFonts w:ascii="Times New Roman" w:eastAsia="Times New Roman" w:hAnsi="Times New Roman" w:cs="Times New Roman"/>
          <w:b/>
          <w:noProof/>
          <w:sz w:val="24"/>
          <w:szCs w:val="24"/>
        </w:rPr>
        <w:t>investment</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flagships</w:t>
      </w:r>
      <w:r>
        <w:rPr>
          <w:rFonts w:ascii="Times New Roman" w:eastAsia="Times New Roman" w:hAnsi="Times New Roman" w:cs="Times New Roman"/>
          <w:noProof/>
          <w:sz w:val="24"/>
          <w:szCs w:val="24"/>
        </w:rPr>
        <w:t>:</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 xml:space="preserve">FLAGSHIP 4 – RENEWABLE ENERGY </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Increased use of </w:t>
      </w:r>
      <w:r>
        <w:rPr>
          <w:rFonts w:ascii="Times New Roman" w:eastAsia="Times New Roman" w:hAnsi="Times New Roman" w:cs="Times New Roman"/>
          <w:b/>
          <w:noProof/>
          <w:sz w:val="24"/>
          <w:szCs w:val="24"/>
        </w:rPr>
        <w:t>renewable energy sources</w:t>
      </w:r>
      <w:r>
        <w:rPr>
          <w:rFonts w:ascii="Times New Roman" w:eastAsia="Times New Roman" w:hAnsi="Times New Roman" w:cs="Times New Roman"/>
          <w:noProof/>
          <w:sz w:val="24"/>
          <w:szCs w:val="24"/>
        </w:rPr>
        <w:t xml:space="preserve"> will be supported, in line with the region’s potential and national preferences. </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u w:val="single"/>
        </w:rPr>
      </w:pPr>
      <w:r>
        <w:rPr>
          <w:rFonts w:ascii="Times New Roman" w:hAnsi="Times New Roman"/>
          <w:noProof/>
          <w:sz w:val="24"/>
          <w:u w:val="single"/>
        </w:rPr>
        <w:t>The following concrete projects could be supported</w:t>
      </w:r>
      <w:r>
        <w:rPr>
          <w:rFonts w:ascii="Times New Roman" w:eastAsia="Times New Roman" w:hAnsi="Times New Roman" w:cs="Times New Roman"/>
          <w:noProof/>
          <w:sz w:val="24"/>
          <w:szCs w:val="24"/>
          <w:u w:val="single"/>
        </w:rPr>
        <w:t>:</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The </w:t>
      </w:r>
      <w:r>
        <w:rPr>
          <w:rFonts w:ascii="Times New Roman" w:hAnsi="Times New Roman" w:cs="Times New Roman"/>
          <w:b/>
          <w:bCs/>
          <w:noProof/>
          <w:sz w:val="24"/>
          <w:szCs w:val="24"/>
        </w:rPr>
        <w:t xml:space="preserve">Fierza Hydro Power Plant rehabilitation in Albania </w:t>
      </w:r>
      <w:r>
        <w:rPr>
          <w:rFonts w:ascii="Times New Roman" w:hAnsi="Times New Roman" w:cs="Times New Roman"/>
          <w:bCs/>
          <w:noProof/>
          <w:sz w:val="24"/>
          <w:szCs w:val="24"/>
        </w:rPr>
        <w:t xml:space="preserve">will be completed, and the </w:t>
      </w:r>
      <w:r>
        <w:rPr>
          <w:rFonts w:ascii="Times New Roman" w:hAnsi="Times New Roman" w:cs="Times New Roman"/>
          <w:noProof/>
          <w:sz w:val="24"/>
          <w:szCs w:val="24"/>
        </w:rPr>
        <w:t xml:space="preserve">construction of the </w:t>
      </w:r>
      <w:r>
        <w:rPr>
          <w:rFonts w:ascii="Times New Roman" w:hAnsi="Times New Roman" w:cs="Times New Roman"/>
          <w:b/>
          <w:noProof/>
          <w:sz w:val="24"/>
          <w:szCs w:val="24"/>
        </w:rPr>
        <w:t>Skavica Hydro Power Plant</w:t>
      </w:r>
      <w:r>
        <w:rPr>
          <w:rFonts w:ascii="Times New Roman" w:hAnsi="Times New Roman" w:cs="Times New Roman"/>
          <w:noProof/>
          <w:sz w:val="24"/>
          <w:szCs w:val="24"/>
        </w:rPr>
        <w:t xml:space="preserve"> advanced, in order to increase the potential for the country and ultimately the region with view to increase export of electricity from clean energy.</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The Piva Hydro Power System in Montenegro will be expanded with the start of the construction of the </w:t>
      </w:r>
      <w:r>
        <w:rPr>
          <w:rFonts w:ascii="Times New Roman" w:hAnsi="Times New Roman" w:cs="Times New Roman"/>
          <w:b/>
          <w:noProof/>
          <w:sz w:val="24"/>
          <w:szCs w:val="24"/>
        </w:rPr>
        <w:t>Komarnica Hydro Power Plant</w:t>
      </w:r>
      <w:r>
        <w:rPr>
          <w:rFonts w:ascii="Times New Roman" w:hAnsi="Times New Roman" w:cs="Times New Roman"/>
          <w:noProof/>
          <w:sz w:val="24"/>
          <w:szCs w:val="24"/>
        </w:rPr>
        <w:t>.</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Preparations for the construction of the </w:t>
      </w:r>
      <w:r>
        <w:rPr>
          <w:rFonts w:ascii="Times New Roman" w:hAnsi="Times New Roman" w:cs="Times New Roman"/>
          <w:b/>
          <w:noProof/>
          <w:sz w:val="24"/>
          <w:szCs w:val="24"/>
        </w:rPr>
        <w:t>Ibër-Lepenc Hydro System Phase II in Kosovo</w:t>
      </w:r>
      <w:r>
        <w:rPr>
          <w:rFonts w:ascii="Times New Roman" w:hAnsi="Times New Roman" w:cs="Times New Roman"/>
          <w:noProof/>
          <w:sz w:val="24"/>
          <w:szCs w:val="24"/>
        </w:rPr>
        <w:t xml:space="preserve"> will be accelerated.</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b/>
          <w:noProof/>
          <w:sz w:val="24"/>
          <w:szCs w:val="24"/>
        </w:rPr>
        <w:t>Wind park and solar power plant investments in North Macedonia</w:t>
      </w:r>
      <w:r>
        <w:rPr>
          <w:rFonts w:ascii="Times New Roman" w:hAnsi="Times New Roman"/>
          <w:b/>
          <w:noProof/>
          <w:sz w:val="24"/>
        </w:rPr>
        <w:t xml:space="preserve"> </w:t>
      </w:r>
      <w:r>
        <w:rPr>
          <w:rFonts w:ascii="Times New Roman" w:hAnsi="Times New Roman" w:cs="Times New Roman"/>
          <w:noProof/>
          <w:sz w:val="24"/>
          <w:szCs w:val="24"/>
        </w:rPr>
        <w:t>will be substantially advanced and serve as an example for  future proof investments making use of the renewable energy potential of the region.</w:t>
      </w:r>
    </w:p>
    <w:p>
      <w:pPr>
        <w:spacing w:after="120" w:line="240" w:lineRule="auto"/>
        <w:jc w:val="both"/>
        <w:rPr>
          <w:rFonts w:ascii="Times New Roman" w:eastAsia="Times New Roman" w:hAnsi="Times New Roman" w:cs="Times New Roman"/>
          <w:noProof/>
          <w:sz w:val="24"/>
          <w:szCs w:val="24"/>
        </w:rPr>
      </w:pPr>
    </w:p>
    <w:p>
      <w:pPr>
        <w:pBdr>
          <w:top w:val="single" w:sz="12" w:space="1" w:color="auto"/>
          <w:left w:val="single" w:sz="12" w:space="4" w:color="auto"/>
          <w:bottom w:val="single" w:sz="4" w:space="1" w:color="auto"/>
          <w:right w:val="single" w:sz="12" w:space="4" w:color="auto"/>
        </w:pBdr>
        <w:shd w:val="pct15" w:color="auto" w:fill="auto"/>
        <w:spacing w:after="120" w:line="240" w:lineRule="auto"/>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 xml:space="preserve">FLAGSHIP 5 - TRANSITION FROM COAL </w:t>
      </w:r>
    </w:p>
    <w:p>
      <w:pPr>
        <w:pBdr>
          <w:top w:val="single" w:sz="12" w:space="1" w:color="auto"/>
          <w:left w:val="single" w:sz="12" w:space="4" w:color="auto"/>
          <w:bottom w:val="single" w:sz="4"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transition from highly polluting coal to more sustainable and green sources of energy production will be key for the region to meets its commitments under the Paris Agreement. Future-proof gas pipelines supportive of the low carbon transition and transit of decarbonised gas and hydrogen will play a key role, as well as performant electricity transmission lines and smart grids for increased use of renewable energy sources in line with the region’s potential.</w:t>
      </w:r>
    </w:p>
    <w:p>
      <w:pPr>
        <w:keepNext/>
        <w:pBdr>
          <w:top w:val="single" w:sz="12" w:space="1" w:color="auto"/>
          <w:left w:val="single" w:sz="12" w:space="4" w:color="auto"/>
          <w:bottom w:val="single" w:sz="4" w:space="1" w:color="auto"/>
          <w:right w:val="single" w:sz="12" w:space="4" w:color="auto"/>
        </w:pBdr>
        <w:shd w:val="pct15" w:color="auto" w:fill="auto"/>
        <w:spacing w:after="120" w:line="240" w:lineRule="auto"/>
        <w:jc w:val="both"/>
        <w:rPr>
          <w:rFonts w:ascii="Times New Roman" w:hAnsi="Times New Roman"/>
          <w:b/>
          <w:noProof/>
          <w:sz w:val="24"/>
          <w:u w:val="single"/>
        </w:rPr>
      </w:pPr>
      <w:r>
        <w:rPr>
          <w:rFonts w:ascii="Times New Roman" w:hAnsi="Times New Roman"/>
          <w:noProof/>
          <w:sz w:val="24"/>
          <w:u w:val="single"/>
        </w:rPr>
        <w:t xml:space="preserve">The following concrete projects could be supported: </w:t>
      </w:r>
    </w:p>
    <w:p>
      <w:pPr>
        <w:pStyle w:val="ListParagraph"/>
        <w:keepLines/>
        <w:numPr>
          <w:ilvl w:val="0"/>
          <w:numId w:val="2"/>
        </w:numPr>
        <w:pBdr>
          <w:top w:val="single" w:sz="12" w:space="1" w:color="auto"/>
          <w:left w:val="single" w:sz="12" w:space="4" w:color="auto"/>
          <w:bottom w:val="single" w:sz="4" w:space="1" w:color="auto"/>
          <w:right w:val="single" w:sz="12" w:space="4" w:color="auto"/>
        </w:pBdr>
        <w:shd w:val="pct15" w:color="auto" w:fill="auto"/>
        <w:spacing w:after="120"/>
        <w:ind w:left="357" w:hanging="357"/>
        <w:jc w:val="both"/>
        <w:rPr>
          <w:rFonts w:ascii="Times New Roman" w:hAnsi="Times New Roman"/>
          <w:b/>
          <w:bCs/>
          <w:noProof/>
          <w:sz w:val="24"/>
          <w:szCs w:val="24"/>
          <w:lang w:val="en-GB"/>
        </w:rPr>
      </w:pPr>
      <w:r>
        <w:rPr>
          <w:rFonts w:ascii="Times New Roman" w:hAnsi="Times New Roman"/>
          <w:b/>
          <w:bCs/>
          <w:noProof/>
          <w:sz w:val="24"/>
          <w:szCs w:val="24"/>
          <w:lang w:val="en-GB"/>
        </w:rPr>
        <w:t>As part of the Trans Adriatic Pipeline, the construction of the Fier-Vlora gas pipeline in Albania</w:t>
      </w:r>
      <w:r>
        <w:rPr>
          <w:rFonts w:ascii="Times New Roman" w:hAnsi="Times New Roman"/>
          <w:bCs/>
          <w:noProof/>
          <w:sz w:val="24"/>
          <w:szCs w:val="24"/>
          <w:lang w:val="en-GB"/>
        </w:rPr>
        <w:t xml:space="preserve"> will be completed, and</w:t>
      </w:r>
      <w:r>
        <w:rPr>
          <w:noProof/>
          <w:lang w:val="en-GB"/>
        </w:rPr>
        <w:t xml:space="preserve"> </w:t>
      </w:r>
      <w:r>
        <w:rPr>
          <w:rFonts w:ascii="Times New Roman" w:hAnsi="Times New Roman"/>
          <w:bCs/>
          <w:noProof/>
          <w:sz w:val="24"/>
          <w:szCs w:val="24"/>
          <w:lang w:val="en-GB"/>
        </w:rPr>
        <w:t xml:space="preserve">the Ionian-Adriatic pipeline along the coast will be prioritised, facilitating a major diversification of the sources of gas supply to the Western Balkans region and beyond </w:t>
      </w:r>
    </w:p>
    <w:p>
      <w:pPr>
        <w:pStyle w:val="ListParagraph"/>
        <w:numPr>
          <w:ilvl w:val="0"/>
          <w:numId w:val="2"/>
        </w:numPr>
        <w:pBdr>
          <w:top w:val="single" w:sz="12" w:space="1" w:color="auto"/>
          <w:left w:val="single" w:sz="12" w:space="4" w:color="auto"/>
          <w:bottom w:val="single" w:sz="4" w:space="1" w:color="auto"/>
          <w:right w:val="single" w:sz="12" w:space="4" w:color="auto"/>
        </w:pBdr>
        <w:shd w:val="pct15" w:color="auto" w:fill="auto"/>
        <w:spacing w:after="120"/>
        <w:jc w:val="both"/>
        <w:rPr>
          <w:rFonts w:ascii="Times New Roman" w:hAnsi="Times New Roman"/>
          <w:b/>
          <w:bCs/>
          <w:noProof/>
          <w:sz w:val="24"/>
          <w:szCs w:val="24"/>
          <w:lang w:val="en-GB"/>
        </w:rPr>
      </w:pPr>
      <w:r>
        <w:rPr>
          <w:rFonts w:ascii="Times New Roman" w:hAnsi="Times New Roman"/>
          <w:bCs/>
          <w:noProof/>
          <w:sz w:val="24"/>
          <w:szCs w:val="24"/>
          <w:lang w:val="en-GB"/>
        </w:rPr>
        <w:t>T</w:t>
      </w:r>
      <w:r>
        <w:rPr>
          <w:rFonts w:ascii="Times New Roman" w:hAnsi="Times New Roman"/>
          <w:noProof/>
          <w:sz w:val="24"/>
          <w:szCs w:val="24"/>
          <w:lang w:val="en-GB"/>
        </w:rPr>
        <w:t xml:space="preserve">he </w:t>
      </w:r>
      <w:r>
        <w:rPr>
          <w:rFonts w:ascii="Times New Roman" w:hAnsi="Times New Roman"/>
          <w:b/>
          <w:bCs/>
          <w:noProof/>
          <w:sz w:val="24"/>
          <w:szCs w:val="24"/>
          <w:lang w:val="en-GB"/>
        </w:rPr>
        <w:t>Gas-interconnector Bosnia and Herzegovina – Croatia,</w:t>
      </w:r>
      <w:r>
        <w:rPr>
          <w:rFonts w:ascii="Times New Roman" w:hAnsi="Times New Roman"/>
          <w:noProof/>
          <w:sz w:val="24"/>
          <w:szCs w:val="24"/>
          <w:lang w:val="en-GB"/>
        </w:rPr>
        <w:t xml:space="preserve"> complementing the above diversification, and increasing the potential and diversification of the existing gas distribution system in the country, will be completed  </w:t>
      </w:r>
    </w:p>
    <w:p>
      <w:pPr>
        <w:pStyle w:val="ListParagraph"/>
        <w:numPr>
          <w:ilvl w:val="0"/>
          <w:numId w:val="2"/>
        </w:numPr>
        <w:pBdr>
          <w:top w:val="single" w:sz="12" w:space="1" w:color="auto"/>
          <w:left w:val="single" w:sz="12" w:space="4" w:color="auto"/>
          <w:bottom w:val="single" w:sz="4" w:space="1" w:color="auto"/>
          <w:right w:val="single" w:sz="12" w:space="4" w:color="auto"/>
        </w:pBdr>
        <w:shd w:val="pct15" w:color="auto" w:fill="auto"/>
        <w:spacing w:after="120"/>
        <w:jc w:val="both"/>
        <w:rPr>
          <w:rFonts w:ascii="Times New Roman" w:hAnsi="Times New Roman"/>
          <w:b/>
          <w:bCs/>
          <w:noProof/>
          <w:sz w:val="24"/>
          <w:szCs w:val="24"/>
          <w:lang w:val="en-GB"/>
        </w:rPr>
      </w:pPr>
      <w:r>
        <w:rPr>
          <w:rFonts w:ascii="Times New Roman" w:hAnsi="Times New Roman"/>
          <w:noProof/>
          <w:sz w:val="24"/>
          <w:szCs w:val="24"/>
          <w:lang w:val="en-GB"/>
        </w:rPr>
        <w:t xml:space="preserve">The </w:t>
      </w:r>
      <w:r>
        <w:rPr>
          <w:rFonts w:ascii="Times New Roman" w:hAnsi="Times New Roman"/>
          <w:b/>
          <w:bCs/>
          <w:noProof/>
          <w:sz w:val="24"/>
          <w:szCs w:val="24"/>
          <w:lang w:val="en-GB"/>
        </w:rPr>
        <w:t>North Macedonia – Kosovo Gas Interconnection</w:t>
      </w:r>
      <w:r>
        <w:rPr>
          <w:rFonts w:ascii="Times New Roman" w:hAnsi="Times New Roman"/>
          <w:noProof/>
          <w:sz w:val="24"/>
          <w:szCs w:val="24"/>
          <w:lang w:val="en-GB"/>
        </w:rPr>
        <w:t xml:space="preserve">, and extending the already ongoing investment of the North Macedonia – Greece interconnector, would start construction. </w:t>
      </w:r>
    </w:p>
    <w:p>
      <w:pPr>
        <w:pStyle w:val="ListParagraph"/>
        <w:numPr>
          <w:ilvl w:val="0"/>
          <w:numId w:val="2"/>
        </w:numPr>
        <w:pBdr>
          <w:top w:val="single" w:sz="12" w:space="1" w:color="auto"/>
          <w:left w:val="single" w:sz="12" w:space="4" w:color="auto"/>
          <w:bottom w:val="single" w:sz="4" w:space="1" w:color="auto"/>
          <w:right w:val="single" w:sz="12" w:space="4" w:color="auto"/>
        </w:pBdr>
        <w:shd w:val="pct15" w:color="auto" w:fill="auto"/>
        <w:spacing w:after="120"/>
        <w:jc w:val="both"/>
        <w:rPr>
          <w:rFonts w:ascii="Times New Roman" w:hAnsi="Times New Roman"/>
          <w:b/>
          <w:bCs/>
          <w:noProof/>
          <w:sz w:val="24"/>
          <w:szCs w:val="24"/>
          <w:lang w:val="en-GB"/>
        </w:rPr>
      </w:pPr>
      <w:r>
        <w:rPr>
          <w:rFonts w:ascii="Times New Roman" w:hAnsi="Times New Roman"/>
          <w:noProof/>
          <w:sz w:val="24"/>
          <w:szCs w:val="24"/>
          <w:lang w:val="en-GB"/>
        </w:rPr>
        <w:t xml:space="preserve">The </w:t>
      </w:r>
      <w:r>
        <w:rPr>
          <w:rFonts w:ascii="Times New Roman" w:hAnsi="Times New Roman"/>
          <w:b/>
          <w:bCs/>
          <w:noProof/>
          <w:sz w:val="24"/>
          <w:szCs w:val="24"/>
          <w:lang w:val="en-GB"/>
        </w:rPr>
        <w:t xml:space="preserve">North Macedonia – Serbia Gas Interconnection </w:t>
      </w:r>
      <w:r>
        <w:rPr>
          <w:rFonts w:ascii="Times New Roman" w:hAnsi="Times New Roman"/>
          <w:bCs/>
          <w:noProof/>
          <w:sz w:val="24"/>
          <w:szCs w:val="24"/>
          <w:lang w:val="en-GB"/>
        </w:rPr>
        <w:t>will be prepared for construction.</w:t>
      </w:r>
    </w:p>
    <w:p>
      <w:pPr>
        <w:pStyle w:val="ListParagraph"/>
        <w:numPr>
          <w:ilvl w:val="0"/>
          <w:numId w:val="1"/>
        </w:numPr>
        <w:pBdr>
          <w:top w:val="single" w:sz="12" w:space="1" w:color="auto"/>
          <w:left w:val="single" w:sz="12" w:space="4" w:color="auto"/>
          <w:bottom w:val="single" w:sz="4" w:space="1" w:color="auto"/>
          <w:right w:val="single" w:sz="12" w:space="4" w:color="auto"/>
        </w:pBdr>
        <w:shd w:val="pct15" w:color="auto" w:fill="auto"/>
        <w:spacing w:after="120"/>
        <w:jc w:val="both"/>
        <w:rPr>
          <w:rFonts w:ascii="Times New Roman" w:eastAsia="Times New Roman" w:hAnsi="Times New Roman"/>
          <w:noProof/>
          <w:sz w:val="24"/>
          <w:szCs w:val="24"/>
          <w:lang w:val="en-GB"/>
        </w:rPr>
      </w:pPr>
      <w:r>
        <w:rPr>
          <w:rFonts w:ascii="Times New Roman" w:hAnsi="Times New Roman"/>
          <w:noProof/>
          <w:sz w:val="24"/>
          <w:szCs w:val="24"/>
          <w:lang w:val="en-GB"/>
        </w:rPr>
        <w:t xml:space="preserve">The </w:t>
      </w:r>
      <w:r>
        <w:rPr>
          <w:rFonts w:ascii="Times New Roman" w:hAnsi="Times New Roman"/>
          <w:b/>
          <w:bCs/>
          <w:noProof/>
          <w:sz w:val="24"/>
          <w:szCs w:val="24"/>
          <w:lang w:val="en-GB"/>
        </w:rPr>
        <w:t>Trans-Balkan Electricity Transmission Corridor in Serbia</w:t>
      </w:r>
      <w:r>
        <w:rPr>
          <w:rFonts w:ascii="Times New Roman" w:hAnsi="Times New Roman"/>
          <w:noProof/>
          <w:sz w:val="24"/>
          <w:szCs w:val="24"/>
          <w:lang w:val="en-GB"/>
        </w:rPr>
        <w:t xml:space="preserve"> as part of interconnection between Serbia, Montenegro, and Bosnia and Herzegovina will be completed to provide the backbone for the electricity distribution of the whole region and towards the EU.</w:t>
      </w:r>
    </w:p>
    <w:p>
      <w:pPr>
        <w:spacing w:after="120" w:line="240" w:lineRule="auto"/>
        <w:jc w:val="both"/>
        <w:rPr>
          <w:rFonts w:ascii="Times New Roman" w:eastAsia="Times New Roman" w:hAnsi="Times New Roman" w:cs="Times New Roman"/>
          <w:noProof/>
          <w:sz w:val="24"/>
          <w:szCs w:val="24"/>
        </w:rPr>
      </w:pP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b/>
          <w:noProof/>
          <w:sz w:val="24"/>
          <w:szCs w:val="24"/>
          <w:u w:val="single"/>
        </w:rPr>
        <w:t>FLAGSHIP 6 – RENOVATION WAVE</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Commission proposes to expand the </w:t>
      </w:r>
      <w:r>
        <w:rPr>
          <w:rFonts w:ascii="Times New Roman" w:eastAsia="Times New Roman" w:hAnsi="Times New Roman" w:cs="Times New Roman"/>
          <w:b/>
          <w:noProof/>
          <w:sz w:val="24"/>
          <w:szCs w:val="24"/>
        </w:rPr>
        <w:t xml:space="preserve">“EU renovation wave” </w:t>
      </w:r>
      <w:r>
        <w:rPr>
          <w:rFonts w:ascii="Times New Roman" w:eastAsia="Times New Roman" w:hAnsi="Times New Roman" w:cs="Times New Roman"/>
          <w:noProof/>
          <w:sz w:val="24"/>
          <w:szCs w:val="24"/>
        </w:rPr>
        <w:t xml:space="preserve">to the Western Balkans. </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The building sector accounts for over 40% of total energy consumption</w:t>
      </w:r>
      <w:r>
        <w:rPr>
          <w:rStyle w:val="FootnoteReference"/>
          <w:rFonts w:ascii="Times New Roman" w:hAnsi="Times New Roman" w:cs="Times New Roman"/>
          <w:noProof/>
        </w:rPr>
        <w:footnoteReference w:id="1"/>
      </w:r>
      <w:r>
        <w:rPr>
          <w:rFonts w:ascii="Times New Roman" w:hAnsi="Times New Roman" w:cs="Times New Roman"/>
          <w:noProof/>
          <w:sz w:val="24"/>
          <w:szCs w:val="24"/>
        </w:rPr>
        <w:t xml:space="preserve"> in the Western Balkans. Renovating public and private buildings to meet minimal energy performance standards can make a very significant contribution to the reduction of greenhouse gas emissions, improve the living standards of citizens, as well as their health. A building renovation wave implemented with the help of the Energy Community will assist the Western Balkans in decarbonisation of public and private building stock, with a strong emphasis on digitalisation and taking into account energy poverty. The EU together with international financing institutions, will support the efforts of the Western Balkans partners to triple  the current renovation rate and energy savings in existing buildings and achieving nearly-zero energy and emission standard in new buildings.</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the </w:t>
      </w:r>
      <w:r>
        <w:rPr>
          <w:rFonts w:ascii="Times New Roman" w:eastAsia="Times New Roman" w:hAnsi="Times New Roman" w:cs="Times New Roman"/>
          <w:b/>
          <w:noProof/>
          <w:sz w:val="24"/>
          <w:szCs w:val="24"/>
        </w:rPr>
        <w:t>environment sector</w:t>
      </w:r>
      <w:r>
        <w:rPr>
          <w:rFonts w:ascii="Times New Roman" w:eastAsia="Times New Roman" w:hAnsi="Times New Roman" w:cs="Times New Roman"/>
          <w:noProof/>
          <w:sz w:val="24"/>
          <w:szCs w:val="24"/>
        </w:rPr>
        <w:t xml:space="preserve">, the Commission foresees the following </w:t>
      </w:r>
      <w:r>
        <w:rPr>
          <w:rFonts w:ascii="Times New Roman" w:eastAsia="Times New Roman" w:hAnsi="Times New Roman" w:cs="Times New Roman"/>
          <w:b/>
          <w:noProof/>
          <w:sz w:val="24"/>
          <w:szCs w:val="24"/>
        </w:rPr>
        <w:t>investment</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flagship</w:t>
      </w:r>
      <w:r>
        <w:rPr>
          <w:rFonts w:ascii="Times New Roman" w:eastAsia="Times New Roman" w:hAnsi="Times New Roman" w:cs="Times New Roman"/>
          <w:noProof/>
          <w:sz w:val="24"/>
          <w:szCs w:val="24"/>
        </w:rPr>
        <w:t xml:space="preserve">: </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 xml:space="preserve">FLAGSHIP 7 – WASTE and WASTE WATER MANAGEMENT </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Sustainable and reliable ways of managing water supply, waste water and</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waste disposal are crucial for the protection of the environment and of the health of citizens and can have positive impacts on tourism in the region. This is essential for the green perspectives of the region, and safeguarding the health and welfare of its people</w:t>
      </w:r>
    </w:p>
    <w:p>
      <w:pPr>
        <w:keepNext/>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noProof/>
          <w:sz w:val="24"/>
          <w:u w:val="single"/>
        </w:rPr>
      </w:pPr>
      <w:r>
        <w:rPr>
          <w:rFonts w:ascii="Times New Roman" w:hAnsi="Times New Roman"/>
          <w:noProof/>
          <w:sz w:val="24"/>
          <w:u w:val="single"/>
        </w:rPr>
        <w:t>The following concrete projects should be supported:</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Construction of </w:t>
      </w:r>
      <w:r>
        <w:rPr>
          <w:rFonts w:ascii="Times New Roman" w:eastAsia="Times New Roman" w:hAnsi="Times New Roman" w:cs="Times New Roman"/>
          <w:b/>
          <w:noProof/>
          <w:sz w:val="24"/>
          <w:szCs w:val="24"/>
        </w:rPr>
        <w:t>wastewater treatment plants in Skopje and Pristina will be completed</w:t>
      </w:r>
      <w:r>
        <w:rPr>
          <w:rFonts w:ascii="Times New Roman" w:eastAsia="Times New Roman" w:hAnsi="Times New Roman" w:cs="Times New Roman"/>
          <w:noProof/>
          <w:sz w:val="24"/>
          <w:szCs w:val="24"/>
        </w:rPr>
        <w:t>. These projects have a high transboundary impact and improving the living conditions of the population.</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The implementation of an </w:t>
      </w:r>
      <w:r>
        <w:rPr>
          <w:rFonts w:ascii="Times New Roman" w:eastAsia="Times New Roman" w:hAnsi="Times New Roman" w:cs="Times New Roman"/>
          <w:b/>
          <w:noProof/>
          <w:sz w:val="24"/>
          <w:szCs w:val="24"/>
        </w:rPr>
        <w:t>environmental investment programme in Serbia,</w:t>
      </w:r>
      <w:r>
        <w:rPr>
          <w:rFonts w:ascii="Times New Roman" w:eastAsia="Times New Roman" w:hAnsi="Times New Roman" w:cs="Times New Roman"/>
          <w:noProof/>
          <w:sz w:val="24"/>
          <w:szCs w:val="24"/>
        </w:rPr>
        <w:t xml:space="preserve"> comprising  modernised waste water treatment projects for large and medium sized towns, will be undertaken </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Integrated </w:t>
      </w:r>
      <w:r>
        <w:rPr>
          <w:rFonts w:ascii="Times New Roman" w:eastAsia="Times New Roman" w:hAnsi="Times New Roman" w:cs="Times New Roman"/>
          <w:b/>
          <w:noProof/>
          <w:sz w:val="24"/>
          <w:szCs w:val="24"/>
        </w:rPr>
        <w:t>regional waste management systems in Albania, Montenegro, North Macedonia and Serbia</w:t>
      </w:r>
      <w:r>
        <w:rPr>
          <w:rFonts w:ascii="Times New Roman" w:eastAsia="Times New Roman" w:hAnsi="Times New Roman" w:cs="Times New Roman"/>
          <w:noProof/>
          <w:sz w:val="24"/>
          <w:szCs w:val="24"/>
        </w:rPr>
        <w:t xml:space="preserve">, going hand-in-hand with </w:t>
      </w:r>
      <w:r>
        <w:rPr>
          <w:rFonts w:ascii="Times New Roman" w:hAnsi="Times New Roman"/>
          <w:noProof/>
          <w:sz w:val="24"/>
        </w:rPr>
        <w:t xml:space="preserve">the </w:t>
      </w:r>
      <w:r>
        <w:rPr>
          <w:rFonts w:ascii="Times New Roman" w:eastAsia="Times New Roman" w:hAnsi="Times New Roman" w:cs="Times New Roman"/>
          <w:noProof/>
          <w:sz w:val="24"/>
          <w:szCs w:val="24"/>
        </w:rPr>
        <w:t xml:space="preserve">closure of non-compliant landfills, will be established. </w:t>
      </w:r>
      <w:r>
        <w:rPr>
          <w:rFonts w:ascii="Times New Roman" w:hAnsi="Times New Roman"/>
          <w:noProof/>
          <w:sz w:val="24"/>
          <w:szCs w:val="24"/>
        </w:rPr>
        <w:t xml:space="preserve">Similar investments elsewhere in the region should also </w:t>
      </w:r>
      <w:r>
        <w:rPr>
          <w:rFonts w:ascii="Times New Roman" w:eastAsia="Times New Roman" w:hAnsi="Times New Roman" w:cs="Times New Roman"/>
          <w:noProof/>
          <w:sz w:val="24"/>
          <w:szCs w:val="24"/>
        </w:rPr>
        <w:t>be supported in the future, including better management of waste in cross-border areas.</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Support for the establishment of proper </w:t>
      </w:r>
      <w:r>
        <w:rPr>
          <w:rFonts w:ascii="Times New Roman" w:eastAsia="Times New Roman" w:hAnsi="Times New Roman" w:cs="Times New Roman"/>
          <w:b/>
          <w:noProof/>
          <w:sz w:val="24"/>
          <w:szCs w:val="24"/>
        </w:rPr>
        <w:t>air and water monitoring systems and pollution prevention measures.</w:t>
      </w:r>
    </w:p>
    <w:p>
      <w:pPr>
        <w:spacing w:after="120" w:line="240" w:lineRule="auto"/>
        <w:ind w:left="66"/>
        <w:jc w:val="both"/>
        <w:rPr>
          <w:rFonts w:ascii="Times New Roman" w:hAnsi="Times New Roman"/>
          <w:noProof/>
          <w:sz w:val="24"/>
          <w:szCs w:val="24"/>
        </w:rPr>
      </w:pPr>
    </w:p>
    <w:p>
      <w:pPr>
        <w:spacing w:after="120" w:line="240" w:lineRule="auto"/>
        <w:ind w:left="66"/>
        <w:jc w:val="both"/>
        <w:rPr>
          <w:rFonts w:ascii="Times New Roman" w:hAnsi="Times New Roman"/>
          <w:noProof/>
          <w:sz w:val="24"/>
          <w:szCs w:val="24"/>
        </w:rPr>
      </w:pPr>
      <w:r>
        <w:rPr>
          <w:rFonts w:ascii="Times New Roman" w:hAnsi="Times New Roman"/>
          <w:noProof/>
          <w:sz w:val="24"/>
          <w:szCs w:val="24"/>
        </w:rPr>
        <w:t xml:space="preserve">In the digital field, the Commission foresees the following </w:t>
      </w:r>
      <w:r>
        <w:rPr>
          <w:rFonts w:ascii="Times New Roman" w:hAnsi="Times New Roman"/>
          <w:b/>
          <w:noProof/>
          <w:sz w:val="24"/>
          <w:szCs w:val="24"/>
        </w:rPr>
        <w:t>investment flagship</w:t>
      </w:r>
      <w:r>
        <w:rPr>
          <w:rFonts w:ascii="Times New Roman" w:hAnsi="Times New Roman"/>
          <w:noProof/>
          <w:sz w:val="24"/>
          <w:szCs w:val="24"/>
        </w:rPr>
        <w:t>:</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noProof/>
          <w:sz w:val="24"/>
          <w:szCs w:val="24"/>
        </w:rPr>
      </w:pPr>
      <w:r>
        <w:rPr>
          <w:rFonts w:ascii="Times New Roman" w:eastAsia="Times New Roman" w:hAnsi="Times New Roman"/>
          <w:b/>
          <w:noProof/>
          <w:sz w:val="24"/>
          <w:szCs w:val="24"/>
          <w:u w:val="single"/>
        </w:rPr>
        <w:t>FLAGSHIP 8 – DIGITAL INFRASTRUCTURE</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noProof/>
          <w:sz w:val="24"/>
          <w:szCs w:val="24"/>
        </w:rPr>
      </w:pPr>
      <w:r>
        <w:rPr>
          <w:rFonts w:ascii="Times New Roman" w:hAnsi="Times New Roman"/>
          <w:noProof/>
          <w:sz w:val="24"/>
          <w:szCs w:val="24"/>
        </w:rPr>
        <w:t>The following concrete projects should be supported:</w:t>
      </w:r>
    </w:p>
    <w:p>
      <w:pPr>
        <w:pStyle w:val="ListParagraph"/>
        <w:numPr>
          <w:ilvl w:val="0"/>
          <w:numId w:val="1"/>
        </w:numPr>
        <w:pBdr>
          <w:top w:val="single" w:sz="12" w:space="1" w:color="auto"/>
          <w:left w:val="single" w:sz="12" w:space="4" w:color="auto"/>
          <w:bottom w:val="single" w:sz="12" w:space="1" w:color="auto"/>
          <w:right w:val="single" w:sz="12" w:space="4" w:color="auto"/>
        </w:pBdr>
        <w:shd w:val="pct15" w:color="auto" w:fill="auto"/>
        <w:spacing w:after="120"/>
        <w:jc w:val="both"/>
        <w:rPr>
          <w:rFonts w:ascii="Times New Roman" w:hAnsi="Times New Roman"/>
          <w:noProof/>
          <w:sz w:val="24"/>
          <w:szCs w:val="24"/>
          <w:lang w:val="en-GB"/>
        </w:rPr>
      </w:pPr>
      <w:r>
        <w:rPr>
          <w:rFonts w:ascii="Times New Roman" w:hAnsi="Times New Roman"/>
          <w:noProof/>
          <w:sz w:val="24"/>
          <w:szCs w:val="24"/>
          <w:lang w:val="en-GB"/>
        </w:rPr>
        <w:t xml:space="preserve">The development and roll-out of </w:t>
      </w:r>
      <w:r>
        <w:rPr>
          <w:rFonts w:ascii="Times New Roman" w:hAnsi="Times New Roman"/>
          <w:b/>
          <w:noProof/>
          <w:sz w:val="24"/>
          <w:szCs w:val="24"/>
          <w:lang w:val="en-GB"/>
        </w:rPr>
        <w:t>national broadband infrastructure in the six Western Balkans partners</w:t>
      </w:r>
      <w:r>
        <w:rPr>
          <w:rFonts w:ascii="Times New Roman" w:hAnsi="Times New Roman"/>
          <w:noProof/>
          <w:sz w:val="24"/>
          <w:szCs w:val="24"/>
          <w:lang w:val="en-GB"/>
        </w:rPr>
        <w:t xml:space="preserve"> will continue – with the completion of the most advanced investment projects in the region by 2024. The preparation of further investments elsewhere will be accelerated with particular focus on connecting rural areas. </w:t>
      </w:r>
    </w:p>
    <w:p>
      <w:pPr>
        <w:pStyle w:val="ListParagraph"/>
        <w:numPr>
          <w:ilvl w:val="0"/>
          <w:numId w:val="1"/>
        </w:numPr>
        <w:pBdr>
          <w:top w:val="single" w:sz="12" w:space="1" w:color="auto"/>
          <w:left w:val="single" w:sz="12" w:space="4" w:color="auto"/>
          <w:bottom w:val="single" w:sz="12" w:space="1" w:color="auto"/>
          <w:right w:val="single" w:sz="12" w:space="4" w:color="auto"/>
        </w:pBdr>
        <w:shd w:val="pct15" w:color="auto" w:fill="auto"/>
        <w:spacing w:after="120"/>
        <w:jc w:val="both"/>
        <w:rPr>
          <w:rFonts w:ascii="Times New Roman" w:hAnsi="Times New Roman"/>
          <w:noProof/>
          <w:sz w:val="24"/>
          <w:szCs w:val="24"/>
          <w:lang w:val="en-GB"/>
        </w:rPr>
      </w:pPr>
      <w:r>
        <w:rPr>
          <w:rFonts w:ascii="Times New Roman" w:hAnsi="Times New Roman"/>
          <w:noProof/>
          <w:sz w:val="24"/>
          <w:szCs w:val="24"/>
          <w:lang w:val="en-GB"/>
        </w:rPr>
        <w:t xml:space="preserve">Setting up secure, energy-efficient and trustworthy data centres, edge and cloud infrastructures while ensuring alignment with EU’s rules and fundamental values, including data protection, as well as linking to EU initiatives on high performance computers, digital incubators and innovation hubs. </w:t>
      </w:r>
    </w:p>
    <w:p>
      <w:pPr>
        <w:pStyle w:val="ListParagraph"/>
        <w:numPr>
          <w:ilvl w:val="0"/>
          <w:numId w:val="1"/>
        </w:numPr>
        <w:pBdr>
          <w:top w:val="single" w:sz="12" w:space="1" w:color="auto"/>
          <w:left w:val="single" w:sz="12" w:space="4" w:color="auto"/>
          <w:bottom w:val="single" w:sz="12" w:space="1" w:color="auto"/>
          <w:right w:val="single" w:sz="12" w:space="4" w:color="auto"/>
        </w:pBdr>
        <w:shd w:val="pct15" w:color="auto" w:fill="auto"/>
        <w:spacing w:after="120"/>
        <w:jc w:val="both"/>
        <w:rPr>
          <w:rFonts w:ascii="Times New Roman" w:hAnsi="Times New Roman"/>
          <w:noProof/>
          <w:sz w:val="24"/>
          <w:szCs w:val="24"/>
          <w:lang w:val="en-GB"/>
        </w:rPr>
      </w:pPr>
      <w:r>
        <w:rPr>
          <w:rFonts w:ascii="Times New Roman" w:eastAsia="Times New Roman" w:hAnsi="Times New Roman"/>
          <w:noProof/>
          <w:sz w:val="24"/>
          <w:szCs w:val="24"/>
          <w:lang w:val="en-GB"/>
        </w:rPr>
        <w:t>Building on ongoing initiatives such as the Balkan Digital Highway, synergies with other connectivity areas such as transport and energy should be fully explored in the context of infrastructure-sharing.</w:t>
      </w:r>
      <w:r>
        <w:rPr>
          <w:rFonts w:ascii="Times New Roman" w:hAnsi="Times New Roman"/>
          <w:noProof/>
          <w:sz w:val="24"/>
          <w:szCs w:val="24"/>
          <w:lang w:val="en-GB"/>
        </w:rPr>
        <w:t xml:space="preserve"> In addition, using technology and data purposefully to make better decisions has a high potential to deliver a better quality of life for the citizens in the region. Support will also be provided for adapting to the rapid transformative technological development in order to remain prosperous and competitive. The EU will promote cooperation in digital education globally through the renewed Digital Education Action Plan (DEAP)</w:t>
      </w:r>
      <w:r>
        <w:rPr>
          <w:noProof/>
          <w:lang w:val="en-IE"/>
        </w:rPr>
        <w:t xml:space="preserve"> </w:t>
      </w:r>
      <w:r>
        <w:rPr>
          <w:rFonts w:ascii="Times New Roman" w:hAnsi="Times New Roman"/>
          <w:noProof/>
          <w:sz w:val="24"/>
          <w:szCs w:val="24"/>
          <w:lang w:val="en-GB"/>
        </w:rPr>
        <w:t>and promote equality in access, in particular for disadvantaged groups, including Roma.</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support the private sector, the Commission proposes the following </w:t>
      </w:r>
      <w:r>
        <w:rPr>
          <w:rFonts w:ascii="Times New Roman" w:hAnsi="Times New Roman" w:cs="Times New Roman"/>
          <w:b/>
          <w:noProof/>
          <w:sz w:val="24"/>
          <w:szCs w:val="24"/>
        </w:rPr>
        <w:t>flagship</w:t>
      </w:r>
      <w:r>
        <w:rPr>
          <w:rFonts w:ascii="Times New Roman" w:hAnsi="Times New Roman" w:cs="Times New Roman"/>
          <w:noProof/>
          <w:sz w:val="24"/>
          <w:szCs w:val="24"/>
        </w:rPr>
        <w:t>:</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FLAGSHIP 9 – INVESTING IN THE COMPETITIVENESS OF THE PRIVATE SECTOR</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development of a robust, innovative and competitive private sector is essential for the socio</w:t>
      </w:r>
      <w:r>
        <w:rPr>
          <w:rFonts w:ascii="Times New Roman" w:eastAsia="Times New Roman" w:hAnsi="Times New Roman" w:cs="Times New Roman"/>
          <w:noProof/>
          <w:sz w:val="24"/>
          <w:szCs w:val="24"/>
        </w:rPr>
        <w:noBreakHyphen/>
        <w:t>economic development of the Western Balkans and its regional integration. This requires, in particular, increased investments in SMEs and their capacity to innovate, scale-up and grow. In order to unlock the potential of the private sector, the EU should:</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Plan to </w:t>
      </w:r>
      <w:r>
        <w:rPr>
          <w:rFonts w:ascii="Times New Roman" w:eastAsia="Times New Roman" w:hAnsi="Times New Roman" w:cs="Times New Roman"/>
          <w:b/>
          <w:noProof/>
          <w:sz w:val="24"/>
          <w:szCs w:val="24"/>
        </w:rPr>
        <w:t xml:space="preserve">increase the grant amount </w:t>
      </w:r>
      <w:r>
        <w:rPr>
          <w:rFonts w:ascii="Times New Roman" w:eastAsia="Times New Roman" w:hAnsi="Times New Roman" w:cs="Times New Roman"/>
          <w:noProof/>
          <w:sz w:val="24"/>
          <w:szCs w:val="24"/>
        </w:rPr>
        <w:t>to support the private sector under the Western Balkan Investment Framework.  50% of EU private sector funding should be dedicated to innovation and green growth.</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 xml:space="preserve">- Plan to </w:t>
      </w:r>
      <w:r>
        <w:rPr>
          <w:rFonts w:ascii="Times New Roman" w:eastAsia="Times New Roman" w:hAnsi="Times New Roman" w:cs="Times New Roman"/>
          <w:b/>
          <w:noProof/>
          <w:sz w:val="24"/>
          <w:szCs w:val="24"/>
        </w:rPr>
        <w:t>increase the guarantee capacity supporting investments to, primarily to strengthen the competitiveness of SMEs</w:t>
      </w:r>
      <w:r>
        <w:rPr>
          <w:rFonts w:ascii="Times New Roman" w:eastAsia="Times New Roman" w:hAnsi="Times New Roman" w:cs="Times New Roman"/>
          <w:noProof/>
          <w:sz w:val="24"/>
          <w:szCs w:val="24"/>
        </w:rPr>
        <w:t xml:space="preserve"> and enhance employment creation, particularly catering to young people, through the </w:t>
      </w:r>
      <w:r>
        <w:rPr>
          <w:rFonts w:ascii="Times New Roman" w:eastAsia="Times New Roman" w:hAnsi="Times New Roman" w:cs="Times New Roman"/>
          <w:b/>
          <w:noProof/>
          <w:sz w:val="24"/>
          <w:szCs w:val="24"/>
        </w:rPr>
        <w:t xml:space="preserve">Western Balkans Guarantee Facility. </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 xml:space="preserve">Mobilise assistance for sustainable transformation of </w:t>
      </w:r>
      <w:r>
        <w:rPr>
          <w:rFonts w:ascii="Times New Roman" w:eastAsia="Times New Roman" w:hAnsi="Times New Roman" w:cs="Times New Roman"/>
          <w:b/>
          <w:noProof/>
          <w:sz w:val="24"/>
          <w:szCs w:val="24"/>
        </w:rPr>
        <w:t>agri-food systems</w:t>
      </w:r>
      <w:r>
        <w:rPr>
          <w:rFonts w:ascii="Times New Roman" w:eastAsia="Times New Roman" w:hAnsi="Times New Roman" w:cs="Times New Roman"/>
          <w:noProof/>
          <w:sz w:val="24"/>
          <w:szCs w:val="24"/>
        </w:rPr>
        <w:t xml:space="preserve"> and </w:t>
      </w:r>
      <w:r>
        <w:rPr>
          <w:rFonts w:ascii="Times New Roman" w:eastAsia="Times New Roman" w:hAnsi="Times New Roman" w:cs="Times New Roman"/>
          <w:b/>
          <w:noProof/>
          <w:sz w:val="24"/>
          <w:szCs w:val="24"/>
        </w:rPr>
        <w:t xml:space="preserve">rural development </w:t>
      </w:r>
      <w:r>
        <w:rPr>
          <w:rFonts w:ascii="Times New Roman" w:eastAsia="Times New Roman" w:hAnsi="Times New Roman" w:cs="Times New Roman"/>
          <w:noProof/>
          <w:sz w:val="24"/>
          <w:szCs w:val="24"/>
        </w:rPr>
        <w:t>in the region.</w:t>
      </w:r>
    </w:p>
    <w:p>
      <w:pPr>
        <w:spacing w:after="120" w:line="240" w:lineRule="auto"/>
        <w:ind w:left="720"/>
        <w:rPr>
          <w:rFonts w:ascii="Times New Roman" w:eastAsia="Times New Roman" w:hAnsi="Times New Roman" w:cs="Times New Roman"/>
          <w:b/>
          <w:noProof/>
          <w:sz w:val="24"/>
          <w:szCs w:val="24"/>
          <w:lang w:eastAsia="fr-BE"/>
        </w:rPr>
      </w:pPr>
    </w:p>
    <w:p>
      <w:pPr>
        <w:spacing w:after="120" w:line="240" w:lineRule="auto"/>
        <w:jc w:val="both"/>
        <w:rPr>
          <w:rFonts w:ascii="Times New Roman" w:eastAsia="Calibri" w:hAnsi="Times New Roman" w:cs="Times New Roman"/>
          <w:noProof/>
          <w:sz w:val="24"/>
          <w:szCs w:val="24"/>
          <w:lang w:eastAsia="fr-BE"/>
        </w:rPr>
      </w:pPr>
      <w:r>
        <w:rPr>
          <w:rFonts w:ascii="Times New Roman" w:eastAsia="Calibri" w:hAnsi="Times New Roman" w:cs="Times New Roman"/>
          <w:noProof/>
          <w:sz w:val="24"/>
          <w:szCs w:val="24"/>
          <w:lang w:eastAsia="fr-BE"/>
        </w:rPr>
        <w:t xml:space="preserve">To support </w:t>
      </w:r>
      <w:r>
        <w:rPr>
          <w:rFonts w:ascii="Times New Roman" w:hAnsi="Times New Roman" w:cs="Times New Roman"/>
          <w:noProof/>
          <w:sz w:val="24"/>
          <w:szCs w:val="24"/>
        </w:rPr>
        <w:t>employment</w:t>
      </w:r>
      <w:r>
        <w:rPr>
          <w:rFonts w:ascii="Times New Roman" w:eastAsia="Calibri" w:hAnsi="Times New Roman" w:cs="Times New Roman"/>
          <w:noProof/>
          <w:sz w:val="24"/>
          <w:szCs w:val="24"/>
          <w:lang w:eastAsia="fr-BE"/>
        </w:rPr>
        <w:t xml:space="preserve"> and offer solutions and perspectives for young people at local level, the Commission proposes the following </w:t>
      </w:r>
      <w:r>
        <w:rPr>
          <w:rFonts w:ascii="Times New Roman" w:eastAsia="Calibri" w:hAnsi="Times New Roman" w:cs="Times New Roman"/>
          <w:b/>
          <w:noProof/>
          <w:sz w:val="24"/>
          <w:szCs w:val="24"/>
          <w:lang w:eastAsia="fr-BE"/>
        </w:rPr>
        <w:t>flagship</w:t>
      </w:r>
      <w:r>
        <w:rPr>
          <w:rFonts w:ascii="Times New Roman" w:eastAsia="Calibri" w:hAnsi="Times New Roman" w:cs="Times New Roman"/>
          <w:noProof/>
          <w:sz w:val="24"/>
          <w:szCs w:val="24"/>
          <w:lang w:eastAsia="fr-BE"/>
        </w:rPr>
        <w:t>:</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b/>
          <w:noProof/>
          <w:sz w:val="24"/>
          <w:szCs w:val="24"/>
          <w:u w:val="single"/>
        </w:rPr>
      </w:pPr>
      <w:r>
        <w:rPr>
          <w:rFonts w:ascii="Times New Roman" w:eastAsia="Times New Roman" w:hAnsi="Times New Roman" w:cs="Times New Roman"/>
          <w:b/>
          <w:noProof/>
          <w:sz w:val="24"/>
          <w:szCs w:val="24"/>
          <w:u w:val="single"/>
        </w:rPr>
        <w:t>FLAGSHIP 10 – YOUTH GUARANTEE</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Youth Guarantee is an activation scheme to ensure that all young people receive a good quality offer of employment, continued education, apprenticeship or traineeship within a period of four months of becoming unemployed or leaving formal education.</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Times New Roman" w:hAnsi="Times New Roman" w:cs="Times New Roman"/>
          <w:noProof/>
          <w:sz w:val="24"/>
          <w:szCs w:val="24"/>
          <w:u w:val="single"/>
        </w:rPr>
      </w:pPr>
      <w:r>
        <w:rPr>
          <w:rFonts w:ascii="Times New Roman" w:eastAsia="Calibri" w:hAnsi="Times New Roman" w:cs="Times New Roman"/>
          <w:noProof/>
          <w:sz w:val="24"/>
          <w:szCs w:val="24"/>
          <w:u w:val="single"/>
          <w:lang w:eastAsia="fr-BE"/>
        </w:rPr>
        <w:t>The Youth Guarantee flagship should be implemented by Western Balkan governments in line with the EU Youth Guarantee. It is proposed to implement it in four phases, which could all potentially benefit from EU support:</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Calibri" w:hAnsi="Times New Roman" w:cs="Times New Roman"/>
          <w:noProof/>
          <w:sz w:val="24"/>
          <w:szCs w:val="24"/>
          <w:lang w:eastAsia="fr-BE"/>
        </w:rPr>
      </w:pPr>
      <w:r>
        <w:rPr>
          <w:rFonts w:ascii="Times New Roman" w:eastAsia="Times New Roman" w:hAnsi="Times New Roman" w:cs="Times New Roman"/>
          <w:noProof/>
          <w:sz w:val="24"/>
          <w:szCs w:val="24"/>
        </w:rPr>
        <w:t>- Phase 1 – </w:t>
      </w:r>
      <w:r>
        <w:rPr>
          <w:rFonts w:ascii="Times New Roman" w:eastAsia="Times New Roman" w:hAnsi="Times New Roman" w:cs="Times New Roman"/>
          <w:b/>
          <w:noProof/>
          <w:sz w:val="24"/>
          <w:szCs w:val="24"/>
        </w:rPr>
        <w:t>Implementation  plan</w:t>
      </w:r>
      <w:r>
        <w:rPr>
          <w:rFonts w:ascii="Times New Roman" w:eastAsia="Times New Roman" w:hAnsi="Times New Roman" w:cs="Times New Roman"/>
          <w:noProof/>
          <w:sz w:val="24"/>
          <w:szCs w:val="24"/>
        </w:rPr>
        <w: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identification of planned measures and their timelines, budget, necessary changes to legal framework, definition of a central coordinating body and the roles of relevant public authorities (</w:t>
      </w:r>
      <w:r>
        <w:rPr>
          <w:rFonts w:ascii="Times New Roman" w:eastAsia="Calibri" w:hAnsi="Times New Roman" w:cs="Times New Roman"/>
          <w:noProof/>
          <w:sz w:val="24"/>
          <w:szCs w:val="24"/>
          <w:lang w:eastAsia="fr-BE"/>
        </w:rPr>
        <w:t>line ministries and their agencies, including employment services and centres for social work, education and training institutions including VET schools, etc.) and stakeholders (employers and trade unions, chambers of commerce, youth organisations, NGOs, etc.)</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Calibri" w:hAnsi="Times New Roman" w:cs="Times New Roman"/>
          <w:noProof/>
          <w:sz w:val="24"/>
          <w:szCs w:val="24"/>
          <w:lang w:eastAsia="fr-BE"/>
        </w:rPr>
      </w:pPr>
      <w:r>
        <w:rPr>
          <w:rFonts w:ascii="Times New Roman" w:eastAsia="Calibri" w:hAnsi="Times New Roman" w:cs="Times New Roman"/>
          <w:noProof/>
          <w:sz w:val="24"/>
          <w:szCs w:val="24"/>
          <w:lang w:eastAsia="fr-BE"/>
        </w:rPr>
        <w:t xml:space="preserve">- Phase 2 – </w:t>
      </w:r>
      <w:r>
        <w:rPr>
          <w:rFonts w:ascii="Times New Roman" w:eastAsia="Calibri" w:hAnsi="Times New Roman" w:cs="Times New Roman"/>
          <w:b/>
          <w:noProof/>
          <w:sz w:val="24"/>
          <w:szCs w:val="24"/>
          <w:lang w:eastAsia="fr-BE"/>
        </w:rPr>
        <w:t>Preparatory work</w:t>
      </w:r>
      <w:r>
        <w:rPr>
          <w:rFonts w:ascii="Times New Roman" w:eastAsia="Calibri" w:hAnsi="Times New Roman" w:cs="Times New Roman"/>
          <w:noProof/>
          <w:sz w:val="24"/>
          <w:szCs w:val="24"/>
          <w:lang w:eastAsia="fr-BE"/>
        </w:rPr>
        <w:t>: building commitment at political level; building the commitment and capacity of public authorities and stakeholders, staffing and infrastructure development; changes to legal framework, preparation of monitoring and evaluation frameworks</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Calibri" w:hAnsi="Times New Roman" w:cs="Times New Roman"/>
          <w:noProof/>
          <w:sz w:val="24"/>
          <w:szCs w:val="24"/>
          <w:lang w:eastAsia="fr-BE"/>
        </w:rPr>
      </w:pPr>
      <w:r>
        <w:rPr>
          <w:rFonts w:ascii="Times New Roman" w:eastAsia="Calibri" w:hAnsi="Times New Roman" w:cs="Times New Roman"/>
          <w:noProof/>
          <w:sz w:val="24"/>
          <w:szCs w:val="24"/>
          <w:lang w:eastAsia="fr-BE"/>
        </w:rPr>
        <w:t xml:space="preserve">- Phase 3 – </w:t>
      </w:r>
      <w:r>
        <w:rPr>
          <w:rFonts w:ascii="Times New Roman" w:eastAsia="Calibri" w:hAnsi="Times New Roman" w:cs="Times New Roman"/>
          <w:b/>
          <w:noProof/>
          <w:sz w:val="24"/>
          <w:szCs w:val="24"/>
          <w:lang w:eastAsia="fr-BE"/>
        </w:rPr>
        <w:t>Pilot phase</w:t>
      </w:r>
      <w:r>
        <w:rPr>
          <w:rFonts w:ascii="Times New Roman" w:eastAsia="Calibri" w:hAnsi="Times New Roman" w:cs="Times New Roman"/>
          <w:noProof/>
          <w:sz w:val="24"/>
          <w:szCs w:val="24"/>
          <w:lang w:eastAsia="fr-BE"/>
        </w:rPr>
        <w:t>: implementation in a limited number of localities/regions, monitoring and evaluation</w:t>
      </w:r>
    </w:p>
    <w:p>
      <w:pPr>
        <w:pBdr>
          <w:top w:val="single" w:sz="12" w:space="1" w:color="auto"/>
          <w:left w:val="single" w:sz="12" w:space="4" w:color="auto"/>
          <w:bottom w:val="single" w:sz="12" w:space="1" w:color="auto"/>
          <w:right w:val="single" w:sz="12" w:space="4" w:color="auto"/>
        </w:pBdr>
        <w:shd w:val="pct15" w:color="auto" w:fill="auto"/>
        <w:spacing w:after="120" w:line="240" w:lineRule="auto"/>
        <w:jc w:val="both"/>
        <w:rPr>
          <w:rFonts w:ascii="Times New Roman" w:eastAsia="Calibri" w:hAnsi="Times New Roman" w:cs="Times New Roman"/>
          <w:noProof/>
          <w:sz w:val="24"/>
          <w:szCs w:val="24"/>
          <w:lang w:eastAsia="fr-BE"/>
        </w:rPr>
      </w:pPr>
      <w:r>
        <w:rPr>
          <w:rFonts w:ascii="Times New Roman" w:eastAsia="Calibri" w:hAnsi="Times New Roman" w:cs="Times New Roman"/>
          <w:noProof/>
          <w:sz w:val="24"/>
          <w:szCs w:val="24"/>
          <w:lang w:eastAsia="fr-BE"/>
        </w:rPr>
        <w:t xml:space="preserve">- Phase 4 – </w:t>
      </w:r>
      <w:r>
        <w:rPr>
          <w:rFonts w:ascii="Times New Roman" w:eastAsia="Calibri" w:hAnsi="Times New Roman" w:cs="Times New Roman"/>
          <w:b/>
          <w:noProof/>
          <w:sz w:val="24"/>
          <w:szCs w:val="24"/>
          <w:lang w:eastAsia="fr-BE"/>
        </w:rPr>
        <w:t>Progressive/General deployment</w:t>
      </w:r>
      <w:r>
        <w:rPr>
          <w:rFonts w:ascii="Times New Roman" w:eastAsia="Calibri" w:hAnsi="Times New Roman" w:cs="Times New Roman"/>
          <w:noProof/>
          <w:sz w:val="24"/>
          <w:szCs w:val="24"/>
          <w:lang w:eastAsia="fr-BE"/>
        </w:rPr>
        <w:t>: implementation in more regions/countrywide, monitoring and evaluation</w:t>
      </w:r>
    </w:p>
    <w:p>
      <w:pPr>
        <w:pStyle w:val="NormalWeb"/>
        <w:spacing w:after="120"/>
        <w:rPr>
          <w:noProof/>
          <w:lang w:val="cs-CZ"/>
        </w:rPr>
      </w:pPr>
    </w:p>
    <w:p>
      <w:pPr>
        <w:pStyle w:val="NormalWeb"/>
        <w:spacing w:after="120"/>
        <w:jc w:val="center"/>
        <w:rPr>
          <w:noProof/>
          <w:lang w:val="cs-CZ"/>
        </w:rPr>
      </w:pPr>
      <w:r>
        <w:rPr>
          <w:noProof/>
          <w:lang w:val="cs-CZ"/>
        </w:rPr>
        <w:t>**</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5206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lang w:val="en-GB"/>
        </w:rPr>
        <w:t xml:space="preserve"> Source: Energy Community Secretariat - WB6 Energy Transition Tracker, July 2020: </w:t>
      </w:r>
      <w:hyperlink r:id="rId1" w:history="1">
        <w:r>
          <w:rPr>
            <w:rStyle w:val="Hyperlink"/>
            <w:rFonts w:ascii="Times New Roman" w:hAnsi="Times New Roman"/>
            <w:lang w:val="en-GB"/>
          </w:rPr>
          <w:t>https://www.energy-community.org/dam/jcr:2077a2ba-805a-4ca2-afcb-91c90ecc0878/EnC_WB6_072020.pdf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751E2"/>
    <w:multiLevelType w:val="hybridMultilevel"/>
    <w:tmpl w:val="29B8FF8C"/>
    <w:lvl w:ilvl="0" w:tplc="FDEE4844">
      <w:start w:val="1"/>
      <w:numFmt w:val="bullet"/>
      <w:lvlText w:val="-"/>
      <w:lvlJc w:val="left"/>
      <w:pPr>
        <w:ind w:left="360" w:hanging="360"/>
      </w:pPr>
      <w:rPr>
        <w:rFonts w:ascii="Times New Roman" w:eastAsiaTheme="minorHAnsi"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A Alexandra (NEAR)">
    <w15:presenceInfo w15:providerId="AD" w15:userId="S-1-5-21-1606980848-2025429265-839522115-599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w:docVar w:name="LW_ANNEX_NBR_FIRST" w:val="1"/>
    <w:docVar w:name="LW_ANNEX_NBR_LAST" w:val="1"/>
    <w:docVar w:name="LW_ANNEX_UNIQUE" w:val="1"/>
    <w:docVar w:name="LW_CORRIGENDUM" w:val="&lt;UNUSED&gt;"/>
    <w:docVar w:name="LW_COVERPAGE_EXISTS" w:val="True"/>
    <w:docVar w:name="LW_COVERPAGE_GUID" w:val="FDCE2B04-597F-44B9-9377-E51AFE9D4396"/>
    <w:docVar w:name="LW_COVERPAGE_TYPE" w:val="1"/>
    <w:docVar w:name="LW_CROSSREFERENCE" w:val="{SWD(2020) 223 final}"/>
    <w:docVar w:name="LW_DocType" w:val="NORMAL"/>
    <w:docVar w:name="LW_EMISSION" w:val="6.10.2020"/>
    <w:docVar w:name="LW_EMISSION_ISODATE" w:val="2020-10-06"/>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lt;FMT:Bold&gt;An Economic and Investment Plan for the Western Balkans&lt;/FMT&gt;_x000d__x000d__x000d__x000d__x000d__x000d__x000b_"/>
    <w:docVar w:name="LW_PART_NBR" w:val="1"/>
    <w:docVar w:name="LW_PART_NBR_TOTAL" w:val="1"/>
    <w:docVar w:name="LW_REF.INST.NEW" w:val="COM"/>
    <w:docVar w:name="LW_REF.INST.NEW_ADOPTED" w:val="final"/>
    <w:docVar w:name="LW_REF.INST.NEW_TEXT" w:val="(2020) 6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COUNCIL, THE EUROPEAN ECONOMIC AND SOCIAL COMMITTEE AND THE COMMITTEE OF THE REGIONS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列出段落"/>
    <w:basedOn w:val="Normal"/>
    <w:link w:val="ListParagraphChar"/>
    <w:uiPriority w:val="34"/>
    <w:qFormat/>
    <w:pPr>
      <w:spacing w:after="0" w:line="240" w:lineRule="auto"/>
      <w:ind w:left="720"/>
    </w:pPr>
    <w:rPr>
      <w:rFonts w:ascii="Calibri" w:eastAsia="Calibri" w:hAnsi="Calibri" w:cs="Times New Roman"/>
      <w:lang w:val="fr-BE" w:eastAsia="fr-BE"/>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rFonts w:ascii="Calibri" w:eastAsia="Calibri" w:hAnsi="Calibri" w:cs="Times New Roman"/>
      <w:sz w:val="20"/>
      <w:szCs w:val="20"/>
      <w:lang w:val="fr-BE" w:eastAsia="fr-BE"/>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rFonts w:ascii="Calibri" w:eastAsia="Calibri" w:hAnsi="Calibri" w:cs="Times New Roman"/>
      <w:sz w:val="20"/>
      <w:szCs w:val="20"/>
      <w:lang w:val="fr-BE" w:eastAsia="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n,Nota"/>
    <w:basedOn w:val="DefaultParagraphFont"/>
    <w:link w:val="FootnotesymbolCarZchn"/>
    <w:uiPriority w:val="99"/>
    <w:unhideWhenUsed/>
    <w:qFormat/>
    <w:rPr>
      <w:sz w:val="20"/>
      <w:szCs w:val="20"/>
      <w:vertAlign w:val="superscript"/>
    </w:rPr>
  </w:style>
  <w:style w:type="paragraph" w:styleId="NormalWeb">
    <w:name w:val="Normal (Web)"/>
    <w:basedOn w:val="Normal"/>
    <w:uiPriority w:val="99"/>
    <w:unhideWhenUsed/>
    <w:pPr>
      <w:spacing w:after="0" w:line="240" w:lineRule="auto"/>
    </w:pPr>
    <w:rPr>
      <w:rFonts w:ascii="Times New Roman" w:eastAsia="Times New Roman" w:hAnsi="Times New Roman" w:cs="Times New Roman"/>
      <w:sz w:val="24"/>
      <w:szCs w:val="24"/>
      <w:lang w:val="fr-BE" w:eastAsia="fr-BE"/>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basedOn w:val="DefaultParagraphFont"/>
    <w:link w:val="ListParagraph"/>
    <w:uiPriority w:val="34"/>
    <w:qFormat/>
    <w:rPr>
      <w:rFonts w:ascii="Calibri" w:eastAsia="Calibri" w:hAnsi="Calibri" w:cs="Times New Roman"/>
      <w:lang w:val="fr-BE" w:eastAsia="fr-BE"/>
    </w:rPr>
  </w:style>
  <w:style w:type="character" w:styleId="Hyperlink">
    <w:name w:val="Hyperlink"/>
    <w:basedOn w:val="DefaultParagraphFont"/>
    <w:uiPriority w:val="99"/>
    <w:unhideWhenUsed/>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line="240" w:lineRule="exact"/>
      <w:jc w:val="both"/>
    </w:pPr>
    <w:rPr>
      <w:sz w:val="20"/>
      <w:szCs w:val="20"/>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列出段落"/>
    <w:basedOn w:val="Normal"/>
    <w:link w:val="ListParagraphChar"/>
    <w:uiPriority w:val="34"/>
    <w:qFormat/>
    <w:pPr>
      <w:spacing w:after="0" w:line="240" w:lineRule="auto"/>
      <w:ind w:left="720"/>
    </w:pPr>
    <w:rPr>
      <w:rFonts w:ascii="Calibri" w:eastAsia="Calibri" w:hAnsi="Calibri" w:cs="Times New Roman"/>
      <w:lang w:val="fr-BE" w:eastAsia="fr-BE"/>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rFonts w:ascii="Calibri" w:eastAsia="Calibri" w:hAnsi="Calibri" w:cs="Times New Roman"/>
      <w:sz w:val="20"/>
      <w:szCs w:val="20"/>
      <w:lang w:val="fr-BE" w:eastAsia="fr-BE"/>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rFonts w:ascii="Calibri" w:eastAsia="Calibri" w:hAnsi="Calibri" w:cs="Times New Roman"/>
      <w:sz w:val="20"/>
      <w:szCs w:val="20"/>
      <w:lang w:val="fr-BE" w:eastAsia="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n,Nota"/>
    <w:basedOn w:val="DefaultParagraphFont"/>
    <w:link w:val="FootnotesymbolCarZchn"/>
    <w:uiPriority w:val="99"/>
    <w:unhideWhenUsed/>
    <w:qFormat/>
    <w:rPr>
      <w:sz w:val="20"/>
      <w:szCs w:val="20"/>
      <w:vertAlign w:val="superscript"/>
    </w:rPr>
  </w:style>
  <w:style w:type="paragraph" w:styleId="NormalWeb">
    <w:name w:val="Normal (Web)"/>
    <w:basedOn w:val="Normal"/>
    <w:uiPriority w:val="99"/>
    <w:unhideWhenUsed/>
    <w:pPr>
      <w:spacing w:after="0" w:line="240" w:lineRule="auto"/>
    </w:pPr>
    <w:rPr>
      <w:rFonts w:ascii="Times New Roman" w:eastAsia="Times New Roman" w:hAnsi="Times New Roman" w:cs="Times New Roman"/>
      <w:sz w:val="24"/>
      <w:szCs w:val="24"/>
      <w:lang w:val="fr-BE" w:eastAsia="fr-BE"/>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basedOn w:val="DefaultParagraphFont"/>
    <w:link w:val="ListParagraph"/>
    <w:uiPriority w:val="34"/>
    <w:qFormat/>
    <w:rPr>
      <w:rFonts w:ascii="Calibri" w:eastAsia="Calibri" w:hAnsi="Calibri" w:cs="Times New Roman"/>
      <w:lang w:val="fr-BE" w:eastAsia="fr-BE"/>
    </w:rPr>
  </w:style>
  <w:style w:type="character" w:styleId="Hyperlink">
    <w:name w:val="Hyperlink"/>
    <w:basedOn w:val="DefaultParagraphFont"/>
    <w:uiPriority w:val="99"/>
    <w:unhideWhenUsed/>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line="240" w:lineRule="exact"/>
      <w:jc w:val="both"/>
    </w:pPr>
    <w:rPr>
      <w:sz w:val="20"/>
      <w:szCs w:val="20"/>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rldefense.com/v3/__https:/www.energy-community.org/dam/jcr:2077a2ba-805a-4ca2-afcb-91c90ecc0878/EnC_WB6_072020.pdf__;!!DOxrgLBm!WrJBX7TMl0kPEJa8XlpWcvipNV_1eH0zQz9InVdgGi2ePZB65jlg6MYiu-F4-hRsIokP82CTP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1855</Words>
  <Characters>10502</Characters>
  <Application>Microsoft Office Word</Application>
  <DocSecurity>0</DocSecurity>
  <Lines>190</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MARBAN LORENZO Sofia (NEAR)</dc:creator>
  <cp:keywords/>
  <dc:description/>
  <cp:lastModifiedBy>WES PDFC Administrator</cp:lastModifiedBy>
  <cp:revision>10</cp:revision>
  <dcterms:created xsi:type="dcterms:W3CDTF">2020-10-06T07:44:00Z</dcterms:created>
  <dcterms:modified xsi:type="dcterms:W3CDTF">2020-10-06T08:53:00Z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7.0.1, Build 20190916</vt:lpwstr>
  </property>
</Properties>
</file>