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C35AFC51-5E59-4BAE-935E-4AA5C7F7BE7A" style="width:450.75pt;height:452.2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caps/>
          <w:noProof/>
          <w:szCs w:val="24"/>
          <w:u w:val="none"/>
        </w:rPr>
      </w:pPr>
      <w:bookmarkStart w:id="0" w:name="_GoBack"/>
      <w:bookmarkEnd w:id="0"/>
      <w:r>
        <w:rPr>
          <w:noProof/>
        </w:rPr>
        <w:lastRenderedPageBreak/>
        <w:t xml:space="preserve">ПРИЛОЖЕНИЕ </w:t>
      </w:r>
      <w:r>
        <w:rPr>
          <w:noProof/>
        </w:rPr>
        <w:br/>
        <w:t xml:space="preserve"> </w:t>
      </w:r>
      <w:r>
        <w:rPr>
          <w:noProof/>
        </w:rPr>
        <w:br/>
      </w:r>
      <w:r>
        <w:rPr>
          <w:caps/>
          <w:noProof/>
          <w:u w:val="none"/>
        </w:rPr>
        <w:t>Указания за водене на преговори по споразумение в областта на рибарството с Обединеното кралство Великобритания и Северна Ирландия и с Кралство Норвегия</w:t>
      </w:r>
      <w:r>
        <w:rPr>
          <w:caps/>
          <w:noProof/>
          <w:szCs w:val="24"/>
          <w:u w:val="none"/>
        </w:rPr>
        <w:t xml:space="preserve"> </w:t>
      </w:r>
    </w:p>
    <w:p>
      <w:pPr>
        <w:pStyle w:val="ManualHeading1"/>
        <w:rPr>
          <w:noProof/>
          <w:szCs w:val="24"/>
        </w:rPr>
      </w:pPr>
      <w:r>
        <w:rPr>
          <w:noProof/>
        </w:rPr>
        <w:t>I.</w:t>
      </w:r>
      <w:r>
        <w:rPr>
          <w:noProof/>
        </w:rPr>
        <w:tab/>
      </w:r>
      <w:r>
        <w:rPr>
          <w:caps/>
          <w:smallCaps w:val="0"/>
          <w:noProof/>
        </w:rPr>
        <w:t>Общ контекст</w:t>
      </w:r>
      <w:r>
        <w:rPr>
          <w:noProof/>
        </w:rPr>
        <w:t xml:space="preserve"> И ЦЕЛ НА СПОРАЗУМЕНИЕТО В ОБЛАСТТА НА РИБАРСТВОТО</w:t>
      </w:r>
    </w:p>
    <w:p>
      <w:pPr>
        <w:spacing w:before="0" w:after="0"/>
        <w:ind w:left="850"/>
        <w:rPr>
          <w:noProof/>
          <w:szCs w:val="24"/>
        </w:rPr>
      </w:pPr>
      <w:r>
        <w:rPr>
          <w:noProof/>
        </w:rPr>
        <w:t xml:space="preserve">След оттеглянето на Обединеното кралство Великобритания и Северна Ирландия (наричано по-долу „Обединеното кралство“) от Европейския съюз редица рибни запаси в Северно море не могат повече да бъдат считани за двустранно експлоатирани само от страна на Европейския съюз и Кралство Норвегия. Тези запаси се срещат във водите на Съюза и във водите под суверенитета или юрисдикцията на Обединеното кралство и на Кралство Норвегия. </w:t>
      </w:r>
    </w:p>
    <w:p>
      <w:pPr>
        <w:spacing w:before="0" w:after="0"/>
        <w:ind w:left="850"/>
        <w:rPr>
          <w:noProof/>
          <w:szCs w:val="24"/>
        </w:rPr>
      </w:pPr>
    </w:p>
    <w:p>
      <w:pPr>
        <w:spacing w:before="0" w:after="0"/>
        <w:ind w:left="850"/>
        <w:rPr>
          <w:noProof/>
          <w:szCs w:val="24"/>
        </w:rPr>
      </w:pPr>
      <w:r>
        <w:rPr>
          <w:noProof/>
        </w:rPr>
        <w:t>В съответствие с член 63, параграф 1 от Конвенцията на Организацията на обединените нации по морско право</w:t>
      </w:r>
      <w:r>
        <w:rPr>
          <w:rStyle w:val="FootnoteReference"/>
          <w:noProof/>
          <w:szCs w:val="24"/>
        </w:rPr>
        <w:footnoteReference w:id="1"/>
      </w:r>
      <w:r>
        <w:rPr>
          <w:noProof/>
        </w:rPr>
        <w:t xml:space="preserve"> Европейският съюз, Обединеното кралство и Кралство Норвегия следва да договорят необходимите мерки за координиране и осигуряване на опазването и развитието на съответните запаси в Северно море. </w:t>
      </w:r>
    </w:p>
    <w:p>
      <w:pPr>
        <w:spacing w:before="0" w:after="0"/>
        <w:ind w:left="850"/>
        <w:rPr>
          <w:noProof/>
          <w:szCs w:val="24"/>
        </w:rPr>
      </w:pPr>
    </w:p>
    <w:p>
      <w:pPr>
        <w:spacing w:before="0" w:after="0"/>
        <w:ind w:left="850"/>
        <w:rPr>
          <w:noProof/>
          <w:szCs w:val="24"/>
        </w:rPr>
      </w:pPr>
      <w:r>
        <w:rPr>
          <w:noProof/>
        </w:rPr>
        <w:t xml:space="preserve">За тази цел Европейският съюз се стреми да сключи споразумение в областта на рибарството с Обединеното кралство и с Кралство Норвегия (наричано по-долу „споразумението“).  </w:t>
      </w:r>
    </w:p>
    <w:p>
      <w:pPr>
        <w:pStyle w:val="ManualHeading1"/>
        <w:rPr>
          <w:noProof/>
          <w:szCs w:val="24"/>
        </w:rPr>
      </w:pPr>
      <w:r>
        <w:rPr>
          <w:noProof/>
        </w:rPr>
        <w:t>II.</w:t>
      </w:r>
      <w:r>
        <w:rPr>
          <w:noProof/>
        </w:rPr>
        <w:tab/>
        <w:t>СЪДЪРЖАНИЕ НА СПОРАЗУМЕНИЕТО В ОБЛАСТТА НА РИБАРСТВОТО</w:t>
      </w:r>
    </w:p>
    <w:p>
      <w:pPr>
        <w:pStyle w:val="NumPar1"/>
        <w:numPr>
          <w:ilvl w:val="0"/>
          <w:numId w:val="3"/>
        </w:numPr>
        <w:rPr>
          <w:noProof/>
          <w:szCs w:val="24"/>
        </w:rPr>
      </w:pPr>
      <w:r>
        <w:rPr>
          <w:noProof/>
        </w:rPr>
        <w:t xml:space="preserve">В споразумението следва да бъде определена рамка за управлението на общите рибни запаси, както и условията за достъп до водите и ресурсите. Чрез него следва да се осигури постоянно отговорно рибарство, гарантиращо дългосрочното опазване и устойчивата експлоатация на морските биологични ресурси, в съответствие с приложимите принципи на международното право. </w:t>
      </w:r>
    </w:p>
    <w:p>
      <w:pPr>
        <w:pStyle w:val="NumPar1"/>
        <w:rPr>
          <w:noProof/>
          <w:szCs w:val="24"/>
        </w:rPr>
      </w:pPr>
      <w:r>
        <w:rPr>
          <w:noProof/>
        </w:rPr>
        <w:t xml:space="preserve">Разпоредбите относно рибарството следва да обхващат сътрудничеството, насочено към разработване на мерки за устойчива експлоатация и опазване на ресурсите, включително за избягване на изхвърлянето на улов. Тези мерки следва да бъдат недискриминационни и да следват научнообоснован подход, съобразен с целта за постигане на максимален устойчив улов за съответните запаси. Споразумението следва да съдържа разпоредби за сътрудничеството в областта на контрола и правоприлагането, събирането на данни и научните становища. </w:t>
      </w:r>
    </w:p>
    <w:p>
      <w:pPr>
        <w:pStyle w:val="NumPar1"/>
        <w:rPr>
          <w:noProof/>
          <w:szCs w:val="24"/>
        </w:rPr>
      </w:pPr>
      <w:r>
        <w:rPr>
          <w:noProof/>
        </w:rPr>
        <w:t xml:space="preserve">Споразумението следва да съдържа договорености за подкрепа на риболовните дейности на Съюза и за избягване на икономически смущения в риболовните дейности на страните по него. </w:t>
      </w:r>
    </w:p>
    <w:p>
      <w:pPr>
        <w:pStyle w:val="NumPar1"/>
        <w:rPr>
          <w:noProof/>
          <w:szCs w:val="24"/>
        </w:rPr>
      </w:pPr>
      <w:r>
        <w:rPr>
          <w:noProof/>
        </w:rPr>
        <w:t>Разпоредбите на споразумението следва да запазят съществуващите реципрочни условия за достъп и квоти, основавайки се на традиционната дейност на флота на Съюза, предвидена в рамковото Споразумение относно риболова между Европейския съюз и Кралство Норвегия</w:t>
      </w:r>
      <w:r>
        <w:rPr>
          <w:rStyle w:val="FootnoteReference"/>
          <w:noProof/>
          <w:szCs w:val="24"/>
        </w:rPr>
        <w:footnoteReference w:id="2"/>
      </w:r>
      <w:r>
        <w:rPr>
          <w:noProof/>
        </w:rPr>
        <w:t>, поради което в тях следва да се определи следното:</w:t>
      </w:r>
    </w:p>
    <w:p>
      <w:pPr>
        <w:pStyle w:val="NumPar1"/>
        <w:numPr>
          <w:ilvl w:val="0"/>
          <w:numId w:val="2"/>
        </w:numPr>
        <w:rPr>
          <w:noProof/>
        </w:rPr>
      </w:pPr>
      <w:r>
        <w:rPr>
          <w:noProof/>
        </w:rPr>
        <w:t xml:space="preserve">непрекъснат реципрочен достъп на кораби на Съюза, Обединеното кралство и Кралство Норвегия до водите на Съюза, Обединеното кралство и Кралство Норвегия, </w:t>
      </w:r>
    </w:p>
    <w:p>
      <w:pPr>
        <w:pStyle w:val="NumPar1"/>
        <w:numPr>
          <w:ilvl w:val="0"/>
          <w:numId w:val="2"/>
        </w:numPr>
        <w:rPr>
          <w:noProof/>
        </w:rPr>
      </w:pPr>
      <w:r>
        <w:rPr>
          <w:noProof/>
        </w:rPr>
        <w:t>стабилни квоти, които могат да бъдат коригирани само със съгласието на пряко засегнатите страни,</w:t>
      </w:r>
    </w:p>
    <w:p>
      <w:pPr>
        <w:pStyle w:val="NumPar1"/>
        <w:numPr>
          <w:ilvl w:val="0"/>
          <w:numId w:val="2"/>
        </w:numPr>
        <w:rPr>
          <w:noProof/>
        </w:rPr>
      </w:pPr>
      <w:r>
        <w:rPr>
          <w:noProof/>
        </w:rPr>
        <w:t>редът и условията за прехвърляне и размяна на квоти и за определяне на годишен или многогодишен общ допустим улов (или ограничения на риболовното усилие) въз основа на дългосрочни стратегии за управление,</w:t>
      </w:r>
    </w:p>
    <w:p>
      <w:pPr>
        <w:pStyle w:val="NumPar1"/>
        <w:numPr>
          <w:ilvl w:val="0"/>
          <w:numId w:val="2"/>
        </w:numPr>
        <w:rPr>
          <w:noProof/>
        </w:rPr>
      </w:pPr>
      <w:r>
        <w:rPr>
          <w:noProof/>
        </w:rPr>
        <w:t>организацията, свързана с реда и условията за получаване на разрешения за риболов и разпоредбите, с които се гарантира равно третиране и спазване, включително съвместни дейности за контрол и проверка,</w:t>
      </w:r>
    </w:p>
    <w:p>
      <w:pPr>
        <w:pStyle w:val="NumPar1"/>
        <w:numPr>
          <w:ilvl w:val="0"/>
          <w:numId w:val="2"/>
        </w:numPr>
        <w:rPr>
          <w:noProof/>
        </w:rPr>
      </w:pPr>
      <w:r>
        <w:rPr>
          <w:noProof/>
        </w:rPr>
        <w:t>създаването на подходяща институционална рамка за сътрудничество в областта на опазването и управлението на общите рибни запаси.</w:t>
      </w:r>
    </w:p>
    <w:p>
      <w:pPr>
        <w:pStyle w:val="NumPar1"/>
        <w:rPr>
          <w:noProof/>
        </w:rPr>
      </w:pPr>
      <w:r>
        <w:rPr>
          <w:noProof/>
        </w:rPr>
        <w:t xml:space="preserve">Споразумението следва да бъде сключено своевременно, за да може то да бъде използвано за определяне на възможностите за риболов през първата година след края на преходния период, установен в Споразумението за оттегляне. </w:t>
      </w:r>
    </w:p>
    <w:sectPr>
      <w:footerReference w:type="defaul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Конвенция на Организацията на обединените нации по морско право (</w:t>
      </w:r>
      <w:r>
        <w:rPr>
          <w:rStyle w:val="Emphasis"/>
        </w:rPr>
        <w:t>ОВ L 179, 23.6.1998 г., стр. 3</w:t>
      </w:r>
      <w:r>
        <w:t>).</w:t>
      </w:r>
    </w:p>
  </w:footnote>
  <w:footnote w:id="2">
    <w:p>
      <w:pPr>
        <w:pStyle w:val="FootnoteText"/>
      </w:pPr>
      <w:r>
        <w:rPr>
          <w:rStyle w:val="FootnoteReference"/>
        </w:rPr>
        <w:footnoteRef/>
      </w:r>
      <w:r>
        <w:tab/>
        <w:t>ОВ L 226, 29.8.1980 г., стр. 47.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101EAAE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BD4E52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0D78FFA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FC54C3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FC679F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FE36E0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962E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34C4D9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4"/>
  </w:num>
  <w:num w:numId="7">
    <w:abstractNumId w:val="3"/>
  </w:num>
  <w:num w:numId="8">
    <w:abstractNumId w:val="6"/>
  </w:num>
  <w:num w:numId="9">
    <w:abstractNumId w:val="2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0-09-30 15:57:18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5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C35AFC51-5E59-4BAE-935E-4AA5C7F7BE7A"/>
    <w:docVar w:name="LW_COVERPAGE_TYPE" w:val="1"/>
    <w:docVar w:name="LW_CROSSREFERENCE" w:val="&lt;UNUSED&gt;"/>
    <w:docVar w:name="LW_DocType" w:val="ANNEX"/>
    <w:docVar w:name="LW_EMISSION" w:val="7.10.2020"/>
    <w:docVar w:name="LW_EMISSION_ISODATE" w:val="2020-10-07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&lt;FMT:Bold&gt;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\u1090?\u1086? \u1074? \u1086?\u1073?\u1083?\u1072?\u1089?\u1090?\u1090?\u1072? \u1085?\u1072? \u1088?\u1080?\u1073?\u1072?\u1088?\u1089?\u1090?\u1074?\u1086?\u1090?\u1086? \u1089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0? \u1089? \u1050?\u1088?\u1072?\u1083?\u1089?\u1090?\u1074?\u1086? \u1053?\u1086?\u1088?\u1074?\u1077?\u1075?\u1080?\u1103?&lt;/FMT&gt;_x000d__x000b__x000d__x000d__x000d__x000d__x000d__x000b_"/>
    <w:docVar w:name="LW_OBJETACTEPRINCIPAL.CP" w:val="&lt;FMT:Bold&gt;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\u1090?\u1086? \u1074? \u1086?\u1073?\u1083?\u1072?\u1089?\u1090?\u1090?\u1072? \u1085?\u1072? \u1088?\u1080?\u1073?\u1072?\u1088?\u1089?\u1090?\u1074?\u1086?\u1090?\u1086? \u1089? \u1054?\u1073?\u1077?\u1076?\u1080?\u1085?\u1077?\u1085?\u1086?\u1090?\u1086? \u1082?\u1088?\u1072?\u1083?\u1089?\u1090?\u1074?\u1086? \u1042?\u1077?\u1083?\u1080?\u1082?\u1086?\u1073?\u1088?\u1080?\u1090?\u1072?\u1085?\u1080?\u1103? \u1080? \u1057?\u1077?\u1074?\u1077?\u1088?\u1085?\u1072? \u1048?\u1088?\u1083?\u1072?\u1085?\u1076?\u1080?\u1103? \u1080? \u1089? \u1050?\u1088?\u1072?\u1083?\u1089?\u1090?\u1074?\u1086? \u1053?\u1086?\u1088?\u1074?\u1077?\u1075?\u1080?\u1103?&lt;/FMT&gt;_x000d__x000b__x000d__x000d__x000d__x000d__x000d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20) 637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 \u1079?\u1072?_x000b__x000b_\u1056?\u1045?\u1064?\u1045?\u1053?\u1045? \u1053?\u1040? \u1057?\u1066?\u1042?\u1045?\u1058?\u1040?"/>
    <w:docVar w:name="LW_TYPEACTEPRINCIPAL.CP" w:val="\u1055?\u1088?\u1077?\u1087?\u1086?\u1088?\u1098?\u1082?\u1072? \u1079?\u1072?_x000b__x000b_\u1056?\u1045?\u1064?\u1045?\u1053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3">
    <w:name w:val="List Number 3"/>
    <w:basedOn w:val="Normal"/>
    <w:uiPriority w:val="99"/>
    <w:semiHidden/>
    <w:unhideWhenUsed/>
    <w:pPr>
      <w:numPr>
        <w:numId w:val="1"/>
      </w:numPr>
      <w:contextualSpacing/>
    </w:p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3</Pages>
  <Words>509</Words>
  <Characters>3066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ALELUIA Lucia Maria (MARE)</dc:creator>
  <cp:keywords/>
  <dc:description/>
  <cp:lastModifiedBy>WES PDFC Administrator</cp:lastModifiedBy>
  <cp:revision>9</cp:revision>
  <dcterms:created xsi:type="dcterms:W3CDTF">2020-09-24T10:43:00Z</dcterms:created>
  <dcterms:modified xsi:type="dcterms:W3CDTF">2020-09-30T13:57:00Z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