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B37C1DFA-B3C9-4834-ABE2-CFFD7A72B546" style="width:450.8pt;height:379.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 xml:space="preserve">След оттеглянето на Обединеното кралство Великобритания и Северна Ирландия (наричано по-долу „Обединеното кралство“) от Европейския съюз редица рибни запаси в Северно море не могат повече да бъдат считани за двустранно експлоатирани само от страна на Европейския съюз и Кралство Норвегия. Тези запаси се срещат във водите на Съюза и във водите под суверенитета или юрисдикцията на Обединеното кралство и на Кралство Норвегия. </w:t>
      </w:r>
    </w:p>
    <w:p>
      <w:pPr>
        <w:rPr>
          <w:noProof/>
        </w:rPr>
      </w:pPr>
      <w:r>
        <w:rPr>
          <w:noProof/>
        </w:rPr>
        <w:t>В съответствие с член 63, параграф 1 от Конвенцията на Организацията на обединените нации по морско право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като се имат предвид като цяло отношенията между Европейския съюз, Обединеното кралство и Кралство Норвегия, е важно да се сътрудничи за осигуряване на постоянно отговорно рибарство, за да се гарантират дългосрочното опазване и устойчивата експлоатация на морските биологични ресурси.</w:t>
      </w:r>
    </w:p>
    <w:p>
      <w:pPr>
        <w:rPr>
          <w:noProof/>
        </w:rPr>
      </w:pPr>
      <w:r>
        <w:rPr>
          <w:noProof/>
        </w:rPr>
        <w:t>За тази цел Европейският съюз се стреми да сключи споразумение в областта на рибарството с Обединеното кралство и с Кралство Норвегия.</w:t>
      </w:r>
    </w:p>
    <w:p>
      <w:pPr>
        <w:rPr>
          <w:noProof/>
        </w:rPr>
      </w:pPr>
      <w:r>
        <w:rPr>
          <w:noProof/>
        </w:rPr>
        <w:t xml:space="preserve">Поради това следва да започнат преговори с Обединеното кралство и с Кралство Норвегия за сключването на споразумение в областта на рибарството между Европейския съюз, Обединеното кралство и Кралство Норвегия.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rPr>
          <w:noProof/>
        </w:rPr>
      </w:pPr>
      <w:r>
        <w:rPr>
          <w:noProof/>
        </w:rPr>
        <w:t>В съответствие с целите, заложени в Регламент (ЕС) № 1380/2013 на Европейския парламент и на Съвета относно общата политика в областта на рибарството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, в споразумението следва да бъде определена рамка за управлението на общите рибни запаси, както и условията за достъп до водите и ресурсите. Чрез него следва да се осигури постоянно отговорно рибарство, гарантиращо дългосрочното опазване и устойчивата експлоатация на морските биологични ресурси, в съответствие с приложимите принципи на международното право. </w:t>
      </w:r>
    </w:p>
    <w:p>
      <w:pPr>
        <w:rPr>
          <w:noProof/>
        </w:rPr>
      </w:pPr>
      <w:r>
        <w:rPr>
          <w:noProof/>
        </w:rPr>
        <w:t xml:space="preserve">Разпоредбите относно рибарството следва да обхващат сътрудничеството, насочено към разработване на мерки за устойчива експлоатация и опазване на ресурсите, включително за избягване на изхвърлянето на улов. Тези мерки следва да бъдат недискриминационни и да следват научнообоснован подход, съобразен с целта за постигане на максимален устойчив улов за съответните запаси. Споразумението следва да съдържа разпоредби за сътрудничеството в областта на контрола и правоприлагането, събирането на данни и научните становища. 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rPr>
          <w:noProof/>
        </w:rPr>
      </w:pPr>
      <w:r>
        <w:rPr>
          <w:noProof/>
        </w:rPr>
        <w:t>Преговорите ще се водят в постоянна консултация с всички заинтересовани служби на Комисията.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Правно основание</w:t>
      </w:r>
    </w:p>
    <w:p>
      <w:pPr>
        <w:rPr>
          <w:noProof/>
        </w:rPr>
      </w:pPr>
      <w:r>
        <w:rPr>
          <w:noProof/>
        </w:rPr>
        <w:t>Правното основание за решението се съдържа в част пета — „Външна дейност на Съюза“, дял V — „Международни споразумения“, член 218 от Договора за функционирането на Европейския съюз (ДФЕС), в който се определя процедурата за водене на преговори и сключване на споразумения между ЕС и трети държави.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 xml:space="preserve">Субсидиарност (при неизключителна компетентност) </w:t>
      </w:r>
    </w:p>
    <w:p>
      <w:pPr>
        <w:rPr>
          <w:noProof/>
        </w:rPr>
      </w:pPr>
      <w:r>
        <w:rPr>
          <w:noProof/>
        </w:rPr>
        <w:t>Не се прилага — изключителна компетентност.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Пропорционалност</w:t>
      </w:r>
    </w:p>
    <w:p>
      <w:pPr>
        <w:rPr>
          <w:noProof/>
        </w:rPr>
      </w:pPr>
      <w:r>
        <w:rPr>
          <w:noProof/>
        </w:rPr>
        <w:t>Решението е пропорционално на заложената цел.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Избор на инструмент</w:t>
      </w:r>
    </w:p>
    <w:p>
      <w:pPr>
        <w:rPr>
          <w:noProof/>
        </w:rPr>
      </w:pPr>
      <w:r>
        <w:rPr>
          <w:noProof/>
        </w:rPr>
        <w:t>Инструментът е предвиден по силата на член 218, параграфи 3 и 4 от ДФЕС.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Последващи оценки/проверки за пригодност на действащото законодателство</w:t>
      </w:r>
    </w:p>
    <w:p>
      <w:pPr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Консултации със заинтересованите страни</w:t>
      </w:r>
    </w:p>
    <w:p>
      <w:pPr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Събиране и използване на експертни становища</w:t>
      </w:r>
    </w:p>
    <w:p>
      <w:pPr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Оценка на въздействието</w:t>
      </w:r>
    </w:p>
    <w:p>
      <w:pPr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Пригодност и опростяване на законодателството</w:t>
      </w:r>
    </w:p>
    <w:p>
      <w:pPr>
        <w:rPr>
          <w:noProof/>
        </w:rPr>
      </w:pPr>
      <w:r>
        <w:rPr>
          <w:noProof/>
        </w:rPr>
        <w:t xml:space="preserve">След оттеглянето на Обединеното кралство Великобритания и Северна Ирландия (наричано по-долу „Обединеното кралство“) от Европейския съюз редица рибни запаси в Северно море не могат повече да бъдат считани за двустранно експлоатирани само от страна на Европейския съюз и Кралство Норвегия. Тези запаси се срещат във водите на Съюза и във водите под суверенитета или юрисдикцията на Обединеното кралство и на Кралство Норвегия. </w:t>
      </w:r>
    </w:p>
    <w:p>
      <w:pPr>
        <w:rPr>
          <w:noProof/>
        </w:rPr>
      </w:pPr>
      <w:r>
        <w:rPr>
          <w:noProof/>
        </w:rPr>
        <w:t>В съответствие с член 63, параграф 1 от Конвенцията на Организацията на обединените нации по морско право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Европейският съюз, Обединеното кралство и Кралство Норвегия следва да договорят необходимите мерки за координиране и осигуряване на опазването и развитието на съответните запаси в Северно море. </w:t>
      </w:r>
    </w:p>
    <w:p>
      <w:pPr>
        <w:rPr>
          <w:noProof/>
        </w:rPr>
      </w:pPr>
      <w:r>
        <w:rPr>
          <w:noProof/>
        </w:rPr>
        <w:t xml:space="preserve">За тази цел Европейският съюз се стреми да сключи споразумение в областта на рибарството с Обединеното кралство и Кралство Норвегия (наричано по-долу „споразумението“). 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lastRenderedPageBreak/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Основни права</w:t>
      </w:r>
    </w:p>
    <w:p>
      <w:pPr>
        <w:rPr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rPr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Планове за изпълнение и механизъм за наблюдение, оценка и докладване</w:t>
      </w:r>
    </w:p>
    <w:p>
      <w:pPr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Обяснителни документи (за директивите)</w:t>
      </w:r>
    </w:p>
    <w:p>
      <w:pPr>
        <w:rPr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  <w:u w:color="000000"/>
          <w:bdr w:val="nil"/>
        </w:rPr>
        <w:t>•</w:t>
      </w:r>
      <w:r>
        <w:rPr>
          <w:noProof/>
        </w:rPr>
        <w:tab/>
      </w:r>
      <w:r>
        <w:rPr>
          <w:noProof/>
          <w:u w:color="000000"/>
          <w:bdr w:val="nil"/>
        </w:rPr>
        <w:t>Подробно разяснение на отделните разпоредби на предложението</w:t>
      </w:r>
    </w:p>
    <w:p>
      <w:pPr>
        <w:rPr>
          <w:noProof/>
        </w:rPr>
      </w:pPr>
      <w:r>
        <w:rPr>
          <w:noProof/>
        </w:rPr>
        <w:t>Комисията препоръчва следното:</w:t>
      </w:r>
    </w:p>
    <w:p>
      <w:pPr>
        <w:rPr>
          <w:noProof/>
        </w:rPr>
      </w:pPr>
      <w:r>
        <w:rPr>
          <w:noProof/>
        </w:rPr>
        <w:t>— Съветът да упълномощи Комисията да започне и проведе преговори за сключването на Споразумението в областта на рибарството с Обединеното кралство Великобритания и Северна Ирландия и с Кралство Норвегия,</w:t>
      </w:r>
    </w:p>
    <w:p>
      <w:pPr>
        <w:rPr>
          <w:noProof/>
        </w:rPr>
      </w:pPr>
      <w:r>
        <w:rPr>
          <w:noProof/>
        </w:rPr>
        <w:t xml:space="preserve">— Комисията да бъде определена за преговарящ на ЕС по този въпрос, </w:t>
      </w:r>
    </w:p>
    <w:p>
      <w:pPr>
        <w:rPr>
          <w:noProof/>
        </w:rPr>
      </w:pPr>
      <w:r>
        <w:rPr>
          <w:noProof/>
        </w:rPr>
        <w:t>— Комисията да води преговорите в консултация със специалния комитет, създаден в съответствие с ДФЕС,</w:t>
      </w:r>
    </w:p>
    <w:p>
      <w:pPr>
        <w:rPr>
          <w:noProof/>
        </w:rPr>
      </w:pPr>
      <w:r>
        <w:rPr>
          <w:noProof/>
        </w:rPr>
        <w:t xml:space="preserve">— Съветът да одобри указанията за водене на преговори, приложени към настоящата препоръка. </w:t>
      </w:r>
    </w:p>
    <w:p>
      <w:pPr>
        <w:pStyle w:val="Statut"/>
        <w:rPr>
          <w:noProof/>
        </w:rPr>
      </w:pPr>
      <w:r>
        <w:rPr>
          <w:noProof/>
        </w:rPr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  <w:color w:val="000000"/>
          <w:szCs w:val="24"/>
        </w:rPr>
        <w:t>за упълномощаване на Комисията да започне преговори от името на Европейския съюз за сключване на Споразумението в областта на рибарството с Обединеното кралство Великобритания и Северна Ирландия и с Кралство Норвегия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218, параграфи 3 и 4 от него,</w:t>
      </w:r>
    </w:p>
    <w:p>
      <w:pPr>
        <w:rPr>
          <w:noProof/>
        </w:rPr>
      </w:pPr>
      <w:r>
        <w:rPr>
          <w:noProof/>
        </w:rPr>
        <w:t>като взе предвид препоръката на Комисията,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След оттеглянето на Обединеното кралство Великобритания и Северна Ирландия (наричано по-долу „Обединеното кралство“) от Европейския съюз редица рибни запаси в Северно море не могат повече да бъдат считани за двустранно експлоатирани само от страна на Европейския съюз и Кралство Норвегия. Тези запаси се срещат във водите на Съюза и във водите под </w:t>
      </w:r>
      <w:r>
        <w:rPr>
          <w:noProof/>
        </w:rPr>
        <w:lastRenderedPageBreak/>
        <w:t xml:space="preserve">суверенитета или юрисдикцията на Обединеното кралство и на Кралство Норвегия. 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В съответствие с член 63, параграф 1 от Конвенцията на Организацията на обединените нации по морско право</w:t>
      </w:r>
      <w:r>
        <w:rPr>
          <w:rStyle w:val="FootnoteReference"/>
          <w:noProof/>
          <w:szCs w:val="24"/>
        </w:rPr>
        <w:footnoteReference w:id="4"/>
      </w:r>
      <w:r>
        <w:rPr>
          <w:noProof/>
        </w:rPr>
        <w:t xml:space="preserve"> и като се имат предвид като цяло отношенията между Европейския съюз, Обединеното кралство и Кралство Норвегия, е важно да се сътрудничи за осигуряване на постоянно отговорно рибарство, за да се гарантират дългосрочното опазване и устойчивата експлоатация на морските биологични ресурси.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За тази цел Европейският съюз се стреми да сключи споразумение в областта на рибарството с Обединеното кралство и Кралство Норвегия.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 xml:space="preserve">Поради това следва да започнат преговори с Обединеното кралство и с Кралство Норвегия за сключването на споразумение в областта на рибарството между Европейския съюз, Обединеното кралство и Кралство Норвегия, 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 xml:space="preserve">Комисията се упълномощава да започне преговори за сключване на споразумение в областта на рибарството с Обединеното кралство Великобритания и Северна Ирландия и с Кралство Норвегия. 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Преговорите се провеждат в консултация с Работната група на Съвета по външна политика на рибарството въз основа на указанията за водене на преговори на Съвета, съдържащи се в приложението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bookmarkStart w:id="1" w:name="_CopyToNewDocument_"/>
      <w:bookmarkEnd w:id="1"/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Конвенция на Организацията на обединените нации по морско право (</w:t>
      </w:r>
      <w:r>
        <w:rPr>
          <w:rStyle w:val="Emphasis"/>
        </w:rPr>
        <w:t>ОВ L 179, 23.6.1998 г., стр. 3</w:t>
      </w:r>
      <w:r>
        <w:t>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 354, 28.12.2013 г., стр. 22.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Конвенция на Организацията на обединените нации по морско право (</w:t>
      </w:r>
      <w:r>
        <w:rPr>
          <w:rStyle w:val="Emphasis"/>
        </w:rPr>
        <w:t>ОВ L 179, 23.6.1998 г., стр. 3</w:t>
      </w:r>
      <w:r>
        <w:t>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Конвенция на Организацията на обединените нации по морско право (</w:t>
      </w:r>
      <w:r>
        <w:rPr>
          <w:rStyle w:val="Emphasis"/>
        </w:rPr>
        <w:t>ОВ L 179, 23.6.1998 г., стр. 3</w:t>
      </w:r>
      <w: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4D0435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55C57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14427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99244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E1CA1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E28F8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0E0E4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3D6AD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9-30 15:56:4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B37C1DFA-B3C9-4834-ABE2-CFFD7A72B546"/>
    <w:docVar w:name="LW_COVERPAGE_TYPE" w:val="1"/>
    <w:docVar w:name="LW_CROSSREFERENCE" w:val="&lt;UNUSED&gt;"/>
    <w:docVar w:name="LW_DocType" w:val="COM"/>
    <w:docVar w:name="LW_EMISSION" w:val="7.10.2020"/>
    <w:docVar w:name="LW_EMISSION_ISODATE" w:val="2020-10-07"/>
    <w:docVar w:name="LW_EMISSION_LOCATION" w:val="BRX"/>
    <w:docVar w:name="LW_EMISSION_PREFIX" w:val="\u1041?\u1088?\u1102?\u1082?\u1089?\u1077?\u1083?, "/>
    <w:docVar w:name="LW_EMISSION_SUFFIX" w:val=" \u1075?."/>
    <w:docVar w:name="LW_ID_DOCMODEL" w:val="SG-001"/>
    <w:docVar w:name="LW_ID_DOCSIGNATURE" w:val="SG-001"/>
    <w:docVar w:name="LW_ID_DOCSTRUCTURE" w:val="COM/PL/ORG/NOEEA"/>
    <w:docVar w:name="LW_ID_DOCTYPE" w:val="SG-001"/>
    <w:docVar w:name="LW_ID_EXP.MOTIFS.NEW" w:val="EM_PL_"/>
    <w:docVar w:name="LW_ID_STATUT" w:val="SG-001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6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" w:val="\u1055?\u1088?\u1077?\u1087?\u1086?\u1088?\u1098?\u1082?\u1072? \u1079?\u1072?"/>
    <w:docVar w:name="LW_STATUT.CP" w:val="\u1055?\u1088?\u1077?\u1087?\u1086?\u1088?\u1098?\u1082?\u1072? \u1079?\u1072?"/>
    <w:docVar w:name="LW_SUPERTITRE" w:val="&lt;UNUSED&gt;"/>
    <w:docVar w:name="LW_TITRE.OBJ" w:val="&lt;FMT:Bold&gt;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57?\u1087?\u1086?\u1088?\u1072?\u1079?\u1091?\u1084?\u1077?\u1085?\u1080?\u1077?\u1090?\u1086? \u1074? \u1086?\u1073?\u1083?\u1072?\u1089?\u1090?\u1090?\u1072? \u1085?\u1072? \u1088?\u1080?\u1073?\u1072?\u1088?\u1089?\u1090?\u1074?\u1086?\u1090?\u1086? \u1089? \u1054?\u1073?\u1077?\u1076?\u1080?\u1085?\u1077?\u1085?\u1086?\u1090?\u1086? \u1082?\u1088?\u1072?\u1083?\u1089?\u1090?\u1074?\u1086? \u1042?\u1077?\u1083?\u1080?\u1082?\u1086?\u1073?\u1088?\u1080?\u1090?\u1072?\u1085?\u1080?\u1103? \u1080? \u1057?\u1077?\u1074?\u1077?\u1088?\u1085?\u1072? \u1048?\u1088?\u1083?\u1072?\u1085?\u1076?\u1080?\u1103? \u1080? \u1089? \u1050?\u1088?\u1072?\u1083?\u1089?\u1090?\u1074?\u1086? \u1053?\u1086?\u1088?\u1074?\u1077?\u1075?\u1080?\u1103?&lt;/FMT&gt;_x000b__x000d__x000d__x000b_"/>
    <w:docVar w:name="LW_TITRE.OBJ.CP" w:val="&lt;FMT:Bold&gt;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57?\u1087?\u1086?\u1088?\u1072?\u1079?\u1091?\u1084?\u1077?\u1085?\u1080?\u1077?\u1090?\u1086? \u1074? \u1086?\u1073?\u1083?\u1072?\u1089?\u1090?\u1090?\u1072? \u1085?\u1072? \u1088?\u1080?\u1073?\u1072?\u1088?\u1089?\u1090?\u1074?\u1086?\u1090?\u1086? \u1089? \u1054?\u1073?\u1077?\u1076?\u1080?\u1085?\u1077?\u1085?\u1086?\u1090?\u1086? \u1082?\u1088?\u1072?\u1083?\u1089?\u1090?\u1074?\u1086? \u1042?\u1077?\u1083?\u1080?\u1082?\u1086?\u1073?\u1088?\u1080?\u1090?\u1072?\u1085?\u1080?\u1103? \u1080? \u1057?\u1077?\u1074?\u1077?\u1088?\u1085?\u1072? \u1048?\u1088?\u1083?\u1072?\u1085?\u1076?\u1080?\u1103? \u1080? \u1089? \u1050?\u1088?\u1072?\u1083?\u1089?\u1090?\u1074?\u1086? \u1053?\u1086?\u1088?\u1074?\u1077?\u1075?\u1080?\u1103?&lt;/FMT&gt;_x000b__x000d__x000d__x000b_"/>
    <w:docVar w:name="LW_TYPE.DOC" w:val="\u1056?\u1045?\u1064?\u1045?\u1053?\u1048?\u1045? \u1053?\u1040? \u1057?\u1066?\u1042?\u1045?\u1058?\u104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166B-402E-4863-AD8D-6C3B16C9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5</Pages>
  <Words>1050</Words>
  <Characters>6347</Characters>
  <Application>Microsoft Office Word</Application>
  <DocSecurity>0</DocSecurity>
  <Lines>141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17</cp:revision>
  <cp:lastPrinted>2020-09-16T09:10:00Z</cp:lastPrinted>
  <dcterms:created xsi:type="dcterms:W3CDTF">2020-09-24T10:47:00Z</dcterms:created>
  <dcterms:modified xsi:type="dcterms:W3CDTF">2020-09-30T13:56:00Z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COM/PL/ORG/NOEEA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SG-001</vt:lpwstr>
  </property>
  <property fmtid="{D5CDD505-2E9C-101B-9397-08002B2CF9AE}" pid="10" name="DQCStatus">
    <vt:lpwstr>Green (DQC version 03)</vt:lpwstr>
  </property>
</Properties>
</file>