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fr-BE"/>
        </w:rPr>
      </w:pPr>
      <w:bookmarkStart w:id="0" w:name="LW_BM_COVERPAGE"/>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5AA8132-A808-4627-A452-934734FED08D" style="width:450.45pt;height:334.1pt">
            <v:imagedata r:id="rId9" o:title=""/>
          </v:shape>
        </w:pict>
      </w:r>
    </w:p>
    <w:bookmarkEnd w:id="0"/>
    <w:p>
      <w:pPr>
        <w:rPr>
          <w:noProof/>
          <w:lang w:val="fr-BE"/>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jc w:val="center"/>
        <w:rPr>
          <w:b/>
          <w:noProof/>
          <w:lang w:val="fr-BE"/>
        </w:rPr>
      </w:pPr>
      <w:bookmarkStart w:id="1" w:name="_GoBack"/>
      <w:bookmarkEnd w:id="1"/>
      <w:r>
        <w:rPr>
          <w:b/>
          <w:noProof/>
          <w:lang w:val="fr-BE"/>
        </w:rPr>
        <w:lastRenderedPageBreak/>
        <w:t>RAPPORT DE LA COMMISSION AU CONSEIL ET AU PARLEMENT EUROPEEN</w:t>
      </w:r>
    </w:p>
    <w:p>
      <w:pPr>
        <w:jc w:val="center"/>
        <w:rPr>
          <w:b/>
          <w:noProof/>
          <w:lang w:val="fr-BE"/>
        </w:rPr>
      </w:pPr>
      <w:r>
        <w:rPr>
          <w:b/>
          <w:noProof/>
          <w:lang w:val="fr-BE"/>
        </w:rPr>
        <w:t>sur l'utilisation faite en 2018 par les institutions des règlements du Conseil n° 495/77, modifié en dernier lieu par le règlement n° 1945/2006 (sur les astreintes), n° 858/2004 (sur les conditions de travail pénibles) et n° 300/76, modifié en dernier lieu par le règlement n° 1873/2006 (sur le service continu ou par tours)</w:t>
      </w:r>
    </w:p>
    <w:p>
      <w:pPr>
        <w:jc w:val="center"/>
        <w:rPr>
          <w:b/>
          <w:noProof/>
          <w:lang w:val="fr-BE"/>
        </w:rPr>
      </w:pPr>
    </w:p>
    <w:p>
      <w:pPr>
        <w:pStyle w:val="Heading1"/>
        <w:numPr>
          <w:ilvl w:val="0"/>
          <w:numId w:val="0"/>
        </w:numPr>
        <w:spacing w:before="0" w:after="0"/>
        <w:ind w:left="850"/>
        <w:rPr>
          <w:noProof/>
          <w:lang w:val="fr-BE"/>
        </w:rPr>
      </w:pPr>
      <w:r>
        <w:rPr>
          <w:noProof/>
          <w:lang w:val="fr-BE"/>
        </w:rPr>
        <w:t>1.</w:t>
      </w:r>
      <w:r>
        <w:rPr>
          <w:noProof/>
          <w:lang w:val="fr-BE"/>
        </w:rPr>
        <w:tab/>
        <w:t>Introduction</w:t>
      </w:r>
    </w:p>
    <w:p>
      <w:pPr>
        <w:rPr>
          <w:noProof/>
          <w:lang w:val="fr-BE"/>
        </w:rPr>
      </w:pPr>
      <w:r>
        <w:rPr>
          <w:noProof/>
          <w:lang w:val="fr-BE"/>
        </w:rPr>
        <w:t>Les règlements du Conseil sur les astreintes (n° 495/77) et sur les conditions de travail pénibles (n° 858/2004) imposent à la Commission de présenter, chaque année, au Conseil un rapport sur le nombre de fonctionnaires et autres agents, par catégorie, qui bénéficient des indemnités visées aux règlements concernés ainsi que sur les dépenses totales afférentes.</w:t>
      </w:r>
    </w:p>
    <w:p>
      <w:pPr>
        <w:rPr>
          <w:noProof/>
          <w:lang w:val="fr-BE"/>
        </w:rPr>
      </w:pPr>
      <w:r>
        <w:rPr>
          <w:noProof/>
          <w:lang w:val="fr-BE"/>
        </w:rPr>
        <w:t>Le présent rapport se fonde sur les derniers chiffres annuels complets disponibles au moment de son élaboration et se rapporte à l'année 2018. Il concerne l'ensemble des institutions et contient également, par souci d'exhaustivité, des informations similaires sur le recours au service continu ou par tours (règlement n° 300/76 du Conseil).</w:t>
      </w:r>
    </w:p>
    <w:p>
      <w:pPr>
        <w:pStyle w:val="Heading1"/>
        <w:numPr>
          <w:ilvl w:val="0"/>
          <w:numId w:val="0"/>
        </w:numPr>
        <w:spacing w:before="0" w:after="0"/>
        <w:ind w:left="850"/>
        <w:rPr>
          <w:bCs w:val="0"/>
          <w:noProof/>
          <w:lang w:val="fr-BE"/>
        </w:rPr>
      </w:pPr>
      <w:r>
        <w:rPr>
          <w:noProof/>
          <w:lang w:val="fr-BE"/>
        </w:rPr>
        <w:t>2.</w:t>
      </w:r>
      <w:r>
        <w:rPr>
          <w:noProof/>
          <w:lang w:val="fr-BE"/>
        </w:rPr>
        <w:tab/>
        <w:t>Indemnité d'astreinte</w:t>
      </w:r>
    </w:p>
    <w:p>
      <w:pPr>
        <w:rPr>
          <w:noProof/>
          <w:lang w:val="fr-BE"/>
        </w:rPr>
      </w:pPr>
      <w:r>
        <w:rPr>
          <w:noProof/>
          <w:lang w:val="fr-BE"/>
        </w:rPr>
        <w:t>Les bases juridiques de cette indemnité sont les articles 55 et 56 </w:t>
      </w:r>
      <w:r>
        <w:rPr>
          <w:i/>
          <w:noProof/>
          <w:lang w:val="fr-BE"/>
        </w:rPr>
        <w:t>ter</w:t>
      </w:r>
      <w:r>
        <w:rPr>
          <w:noProof/>
          <w:lang w:val="fr-BE"/>
        </w:rPr>
        <w:t xml:space="preserve"> du statut ainsi que le règlement n° 495/77 du Conseil du 8 mars 1977, tel qu’amendé.</w:t>
      </w:r>
    </w:p>
    <w:p>
      <w:pPr>
        <w:spacing w:after="0"/>
        <w:rPr>
          <w:noProof/>
          <w:lang w:val="fr-BE"/>
        </w:rPr>
      </w:pPr>
      <w:r>
        <w:rPr>
          <w:noProof/>
          <w:lang w:val="fr-BE"/>
        </w:rPr>
        <w:t xml:space="preserve">Le paiement de l'indemnité est limité aux fonctionnaires et autres agents rémunérés sur les </w:t>
      </w:r>
      <w:r>
        <w:rPr>
          <w:i/>
          <w:noProof/>
          <w:lang w:val="fr-BE"/>
        </w:rPr>
        <w:t>crédits de recherche</w:t>
      </w:r>
      <w:r>
        <w:rPr>
          <w:noProof/>
          <w:lang w:val="fr-BE"/>
        </w:rPr>
        <w:t xml:space="preserve"> et affectés :</w:t>
      </w:r>
    </w:p>
    <w:p>
      <w:pPr>
        <w:pStyle w:val="Tiret1"/>
        <w:numPr>
          <w:ilvl w:val="0"/>
          <w:numId w:val="24"/>
        </w:numPr>
        <w:spacing w:before="0" w:after="0"/>
        <w:ind w:left="1418"/>
        <w:rPr>
          <w:noProof/>
          <w:lang w:val="fr-BE"/>
        </w:rPr>
      </w:pPr>
      <w:r>
        <w:rPr>
          <w:noProof/>
          <w:lang w:val="fr-BE"/>
        </w:rPr>
        <w:t xml:space="preserve">à un établissement du Centre commun de recherche (CCR), ou </w:t>
      </w:r>
    </w:p>
    <w:p>
      <w:pPr>
        <w:pStyle w:val="Tiret1"/>
        <w:numPr>
          <w:ilvl w:val="0"/>
          <w:numId w:val="25"/>
        </w:numPr>
        <w:spacing w:before="0" w:after="0"/>
        <w:ind w:left="1418"/>
        <w:rPr>
          <w:noProof/>
          <w:lang w:val="fr-BE"/>
        </w:rPr>
      </w:pPr>
      <w:r>
        <w:rPr>
          <w:noProof/>
          <w:lang w:val="fr-BE"/>
        </w:rPr>
        <w:t>aux actions indirectes, ou</w:t>
      </w:r>
    </w:p>
    <w:p>
      <w:pPr>
        <w:spacing w:after="0"/>
        <w:rPr>
          <w:noProof/>
          <w:lang w:val="fr-BE"/>
        </w:rPr>
      </w:pPr>
      <w:r>
        <w:rPr>
          <w:noProof/>
          <w:lang w:val="fr-BE"/>
        </w:rPr>
        <w:t xml:space="preserve">rémunérés sur les </w:t>
      </w:r>
      <w:r>
        <w:rPr>
          <w:i/>
          <w:noProof/>
          <w:lang w:val="fr-BE"/>
        </w:rPr>
        <w:t>crédits de fonctionnement</w:t>
      </w:r>
      <w:r>
        <w:rPr>
          <w:noProof/>
          <w:lang w:val="fr-BE"/>
        </w:rPr>
        <w:t xml:space="preserve"> et affectés :</w:t>
      </w:r>
    </w:p>
    <w:p>
      <w:pPr>
        <w:pStyle w:val="Tiret1"/>
        <w:numPr>
          <w:ilvl w:val="0"/>
          <w:numId w:val="25"/>
        </w:numPr>
        <w:spacing w:before="0" w:after="0"/>
        <w:ind w:left="1418"/>
        <w:rPr>
          <w:noProof/>
          <w:lang w:val="fr-BE"/>
        </w:rPr>
      </w:pPr>
      <w:r>
        <w:rPr>
          <w:noProof/>
          <w:lang w:val="fr-BE"/>
        </w:rPr>
        <w:t>à la conduite ou à la surveillance des installations techniques,</w:t>
      </w:r>
    </w:p>
    <w:p>
      <w:pPr>
        <w:pStyle w:val="Tiret1"/>
        <w:numPr>
          <w:ilvl w:val="0"/>
          <w:numId w:val="25"/>
        </w:numPr>
        <w:spacing w:before="0" w:after="0"/>
        <w:ind w:left="1418"/>
        <w:rPr>
          <w:noProof/>
          <w:lang w:val="fr-BE"/>
        </w:rPr>
      </w:pPr>
      <w:r>
        <w:rPr>
          <w:noProof/>
          <w:lang w:val="fr-BE"/>
        </w:rPr>
        <w:t>auprès d'un service de sécurité,</w:t>
      </w:r>
    </w:p>
    <w:p>
      <w:pPr>
        <w:pStyle w:val="Tiret1"/>
        <w:numPr>
          <w:ilvl w:val="0"/>
          <w:numId w:val="25"/>
        </w:numPr>
        <w:spacing w:before="0" w:after="0"/>
        <w:ind w:left="1418"/>
        <w:rPr>
          <w:noProof/>
          <w:lang w:val="fr-BE"/>
        </w:rPr>
      </w:pPr>
      <w:r>
        <w:rPr>
          <w:noProof/>
          <w:lang w:val="fr-BE"/>
        </w:rPr>
        <w:t>auprès d'un service de technologies de l'information et de communication (TIC),</w:t>
      </w:r>
    </w:p>
    <w:p>
      <w:pPr>
        <w:pStyle w:val="Tiret1"/>
        <w:numPr>
          <w:ilvl w:val="0"/>
          <w:numId w:val="25"/>
        </w:numPr>
        <w:spacing w:before="0" w:after="0"/>
        <w:ind w:left="1418"/>
        <w:rPr>
          <w:noProof/>
          <w:lang w:val="fr-BE"/>
        </w:rPr>
      </w:pPr>
      <w:r>
        <w:rPr>
          <w:noProof/>
          <w:lang w:val="fr-BE"/>
        </w:rPr>
        <w:t>à un service de soutien à la politique étrangère et de sécurité commune (PESC)/politique européenne de sécurité et de défense (PESD) ou au dispositif pour la coordination des situations d'urgence et des crises, ou</w:t>
      </w:r>
    </w:p>
    <w:p>
      <w:pPr>
        <w:pStyle w:val="Tiret1"/>
        <w:numPr>
          <w:ilvl w:val="0"/>
          <w:numId w:val="25"/>
        </w:numPr>
        <w:spacing w:before="0"/>
        <w:rPr>
          <w:noProof/>
          <w:lang w:val="fr-BE"/>
        </w:rPr>
      </w:pPr>
      <w:r>
        <w:rPr>
          <w:noProof/>
          <w:lang w:val="fr-BE"/>
        </w:rPr>
        <w:t>auprès d'un dispositif créé pour fournir une assistance aux États membres 24 heures sur 24 et 7 jours sur 7 («EM 24/7») dans le cadre de la coordination en cas d'urgence ou de crise ou des services dans lesquels existe la nécessité avérée d'exécuter des tâches afin de garantir un mécanisme destiné à fournir une assistance aux Etats membres.</w:t>
      </w:r>
    </w:p>
    <w:p>
      <w:pPr>
        <w:rPr>
          <w:noProof/>
          <w:lang w:val="fr-BE"/>
        </w:rPr>
      </w:pPr>
      <w:r>
        <w:rPr>
          <w:noProof/>
          <w:lang w:val="fr-BE"/>
        </w:rPr>
        <w:t>L'indemnité d'astreinte est exprimée en points. Le nombre de points accordés par heure d'astreinte effectivement accomplie est établi comme suit:</w:t>
      </w:r>
    </w:p>
    <w:p>
      <w:pPr>
        <w:pStyle w:val="Tiret1"/>
        <w:numPr>
          <w:ilvl w:val="0"/>
          <w:numId w:val="25"/>
        </w:numPr>
        <w:spacing w:before="0" w:after="0"/>
        <w:ind w:left="1418"/>
        <w:rPr>
          <w:noProof/>
          <w:lang w:val="fr-BE"/>
        </w:rPr>
      </w:pPr>
      <w:r>
        <w:rPr>
          <w:noProof/>
          <w:lang w:val="fr-BE"/>
        </w:rPr>
        <w:t>astreinte à domicile un jour ouvrable: 2,15 points;</w:t>
      </w:r>
    </w:p>
    <w:p>
      <w:pPr>
        <w:pStyle w:val="Tiret1"/>
        <w:numPr>
          <w:ilvl w:val="0"/>
          <w:numId w:val="25"/>
        </w:numPr>
        <w:spacing w:before="0" w:after="0"/>
        <w:ind w:left="1418"/>
        <w:rPr>
          <w:noProof/>
          <w:lang w:val="fr-BE"/>
        </w:rPr>
      </w:pPr>
      <w:r>
        <w:rPr>
          <w:noProof/>
          <w:lang w:val="fr-BE"/>
        </w:rPr>
        <w:t>astreinte à domicile le week-end et les jours fériés: 4,3 points;</w:t>
      </w:r>
    </w:p>
    <w:p>
      <w:pPr>
        <w:pStyle w:val="Tiret1"/>
        <w:numPr>
          <w:ilvl w:val="0"/>
          <w:numId w:val="25"/>
        </w:numPr>
        <w:spacing w:before="0" w:after="0"/>
        <w:ind w:left="1418"/>
        <w:rPr>
          <w:noProof/>
          <w:lang w:val="fr-BE"/>
        </w:rPr>
      </w:pPr>
      <w:r>
        <w:rPr>
          <w:noProof/>
          <w:lang w:val="fr-BE"/>
        </w:rPr>
        <w:t>astreinte sur le lieu de travail un jour ouvrable: 11 points;</w:t>
      </w:r>
    </w:p>
    <w:p>
      <w:pPr>
        <w:pStyle w:val="Tiret1"/>
        <w:numPr>
          <w:ilvl w:val="0"/>
          <w:numId w:val="25"/>
        </w:numPr>
        <w:spacing w:before="0" w:after="0"/>
        <w:ind w:left="1418"/>
        <w:rPr>
          <w:noProof/>
          <w:lang w:val="fr-BE"/>
        </w:rPr>
      </w:pPr>
      <w:r>
        <w:rPr>
          <w:noProof/>
          <w:lang w:val="fr-BE"/>
        </w:rPr>
        <w:t>astreinte sur le lieu de travail le week-end et les jours fériés: 22 points.</w:t>
      </w:r>
    </w:p>
    <w:p>
      <w:pPr>
        <w:rPr>
          <w:noProof/>
          <w:lang w:val="fr-BE"/>
        </w:rPr>
      </w:pPr>
      <w:r>
        <w:rPr>
          <w:noProof/>
          <w:lang w:val="fr-BE"/>
        </w:rPr>
        <w:t>Un point est égal à 0,032 % du salaire de base d'un fonctionnaire de grade 1 au premier échelon (soit 0,93 € en 2018).</w:t>
      </w:r>
    </w:p>
    <w:p>
      <w:pPr>
        <w:spacing w:after="0"/>
        <w:rPr>
          <w:noProof/>
          <w:lang w:val="fr-BE"/>
        </w:rPr>
      </w:pPr>
      <w:r>
        <w:rPr>
          <w:noProof/>
          <w:lang w:val="fr-BE"/>
        </w:rPr>
        <w:t>Les chiffres suivants indiquent le nombre d'indemnités octroyées par chaque institution pour l'année 2018.</w:t>
      </w:r>
    </w:p>
    <w:p>
      <w:pPr>
        <w:spacing w:before="0" w:after="0"/>
        <w:rPr>
          <w:noProof/>
          <w:lang w:val="fr-BE"/>
        </w:rPr>
      </w:pPr>
    </w:p>
    <w:p>
      <w:pPr>
        <w:pStyle w:val="Heading2"/>
        <w:numPr>
          <w:ilvl w:val="0"/>
          <w:numId w:val="0"/>
        </w:numPr>
        <w:spacing w:before="0" w:after="0"/>
        <w:rPr>
          <w:noProof/>
          <w:lang w:val="fr-BE"/>
        </w:rPr>
      </w:pPr>
      <w:r>
        <w:rPr>
          <w:noProof/>
          <w:lang w:val="fr-BE"/>
        </w:rPr>
        <w:t>2.1.</w:t>
      </w:r>
      <w:r>
        <w:rPr>
          <w:noProof/>
          <w:lang w:val="fr-BE"/>
        </w:rPr>
        <w:tab/>
        <w:t>Nombre de bénéficiaires (fonctionnaires/agents temporaires et agents contractuels)</w:t>
      </w:r>
      <w:r>
        <w:rPr>
          <w:rStyle w:val="FootnoteReference"/>
          <w:noProof/>
          <w:lang w:val="fr-BE"/>
        </w:rPr>
        <w:footnoteReference w:id="1"/>
      </w:r>
      <w:r>
        <w:rPr>
          <w:noProof/>
          <w:lang w:val="fr-BE"/>
        </w:rPr>
        <w:t xml:space="preserve"> :</w:t>
      </w:r>
    </w:p>
    <w:tbl>
      <w:tblPr>
        <w:tblW w:w="9067" w:type="dxa"/>
        <w:tblInd w:w="113" w:type="dxa"/>
        <w:tblLook w:val="04A0" w:firstRow="1" w:lastRow="0" w:firstColumn="1" w:lastColumn="0" w:noHBand="0" w:noVBand="1"/>
      </w:tblPr>
      <w:tblGrid>
        <w:gridCol w:w="2122"/>
        <w:gridCol w:w="1134"/>
        <w:gridCol w:w="1134"/>
        <w:gridCol w:w="1103"/>
        <w:gridCol w:w="960"/>
        <w:gridCol w:w="960"/>
        <w:gridCol w:w="804"/>
        <w:gridCol w:w="850"/>
      </w:tblGrid>
      <w:tr>
        <w:trPr>
          <w:trHeight w:val="313"/>
        </w:trPr>
        <w:tc>
          <w:tcPr>
            <w:tcW w:w="2122" w:type="dxa"/>
            <w:vMerge w:val="restart"/>
            <w:tcBorders>
              <w:top w:val="single" w:sz="4" w:space="0" w:color="auto"/>
              <w:left w:val="single" w:sz="4" w:space="0" w:color="auto"/>
              <w:bottom w:val="single" w:sz="4" w:space="0" w:color="000000"/>
              <w:right w:val="single" w:sz="4" w:space="0" w:color="auto"/>
            </w:tcBorders>
            <w:shd w:val="clear" w:color="auto" w:fill="auto"/>
            <w:hideMark/>
          </w:tcPr>
          <w:p>
            <w:pPr>
              <w:spacing w:before="0" w:after="0"/>
              <w:jc w:val="center"/>
              <w:rPr>
                <w:rFonts w:ascii="Arial" w:hAnsi="Arial" w:cs="Arial"/>
                <w:b/>
                <w:bCs/>
                <w:noProof/>
                <w:sz w:val="20"/>
                <w:szCs w:val="20"/>
                <w:lang w:eastAsia="en-GB"/>
              </w:rPr>
            </w:pPr>
            <w:r>
              <w:rPr>
                <w:rFonts w:ascii="Arial" w:hAnsi="Arial" w:cs="Arial"/>
                <w:b/>
                <w:bCs/>
                <w:noProof/>
                <w:sz w:val="20"/>
                <w:szCs w:val="20"/>
                <w:lang w:eastAsia="en-GB"/>
              </w:rPr>
              <w:t>Institution</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pPr>
              <w:spacing w:before="0" w:after="0"/>
              <w:jc w:val="center"/>
              <w:rPr>
                <w:rFonts w:ascii="Arial" w:hAnsi="Arial" w:cs="Arial"/>
                <w:b/>
                <w:bCs/>
                <w:noProof/>
                <w:sz w:val="20"/>
                <w:szCs w:val="20"/>
                <w:lang w:eastAsia="en-GB"/>
              </w:rPr>
            </w:pPr>
            <w:r>
              <w:rPr>
                <w:rFonts w:ascii="Arial" w:hAnsi="Arial" w:cs="Arial"/>
                <w:b/>
                <w:bCs/>
                <w:noProof/>
                <w:sz w:val="20"/>
                <w:szCs w:val="20"/>
                <w:lang w:eastAsia="en-GB"/>
              </w:rPr>
              <w:t>AD</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pPr>
              <w:spacing w:before="0" w:after="0"/>
              <w:jc w:val="center"/>
              <w:rPr>
                <w:rFonts w:ascii="Arial" w:hAnsi="Arial" w:cs="Arial"/>
                <w:b/>
                <w:bCs/>
                <w:noProof/>
                <w:sz w:val="20"/>
                <w:szCs w:val="20"/>
                <w:lang w:eastAsia="en-GB"/>
              </w:rPr>
            </w:pPr>
            <w:r>
              <w:rPr>
                <w:rFonts w:ascii="Arial" w:hAnsi="Arial" w:cs="Arial"/>
                <w:b/>
                <w:bCs/>
                <w:noProof/>
                <w:sz w:val="20"/>
                <w:szCs w:val="20"/>
                <w:lang w:eastAsia="en-GB"/>
              </w:rPr>
              <w:t>SC- AST</w:t>
            </w:r>
          </w:p>
        </w:tc>
        <w:tc>
          <w:tcPr>
            <w:tcW w:w="3827" w:type="dxa"/>
            <w:gridSpan w:val="4"/>
            <w:tcBorders>
              <w:top w:val="single" w:sz="4" w:space="0" w:color="auto"/>
              <w:left w:val="nil"/>
              <w:bottom w:val="single" w:sz="4" w:space="0" w:color="auto"/>
              <w:right w:val="single" w:sz="4" w:space="0" w:color="auto"/>
            </w:tcBorders>
            <w:shd w:val="clear" w:color="auto" w:fill="auto"/>
            <w:hideMark/>
          </w:tcPr>
          <w:p>
            <w:pPr>
              <w:spacing w:before="0" w:after="0"/>
              <w:jc w:val="center"/>
              <w:rPr>
                <w:rFonts w:ascii="Arial" w:hAnsi="Arial" w:cs="Arial"/>
                <w:b/>
                <w:bCs/>
                <w:noProof/>
                <w:sz w:val="20"/>
                <w:szCs w:val="20"/>
                <w:lang w:eastAsia="en-GB"/>
              </w:rPr>
            </w:pPr>
            <w:r>
              <w:rPr>
                <w:rFonts w:ascii="Arial" w:hAnsi="Arial" w:cs="Arial"/>
                <w:b/>
                <w:bCs/>
                <w:noProof/>
                <w:sz w:val="20"/>
                <w:szCs w:val="20"/>
                <w:lang w:eastAsia="en-GB"/>
              </w:rPr>
              <w:t>AC</w:t>
            </w:r>
          </w:p>
        </w:tc>
        <w:tc>
          <w:tcPr>
            <w:tcW w:w="850" w:type="dxa"/>
            <w:vMerge w:val="restart"/>
            <w:tcBorders>
              <w:top w:val="single" w:sz="8" w:space="0" w:color="auto"/>
              <w:left w:val="single" w:sz="8" w:space="0" w:color="auto"/>
              <w:bottom w:val="single" w:sz="4" w:space="0" w:color="auto"/>
              <w:right w:val="single" w:sz="8" w:space="0" w:color="auto"/>
            </w:tcBorders>
            <w:shd w:val="clear" w:color="auto" w:fill="auto"/>
            <w:hideMark/>
          </w:tcPr>
          <w:p>
            <w:pPr>
              <w:spacing w:before="0" w:after="0"/>
              <w:jc w:val="center"/>
              <w:rPr>
                <w:rFonts w:ascii="Arial" w:hAnsi="Arial" w:cs="Arial"/>
                <w:b/>
                <w:bCs/>
                <w:noProof/>
                <w:color w:val="000000"/>
                <w:sz w:val="20"/>
                <w:szCs w:val="20"/>
                <w:lang w:eastAsia="en-GB"/>
              </w:rPr>
            </w:pPr>
            <w:r>
              <w:rPr>
                <w:rFonts w:ascii="Arial" w:hAnsi="Arial" w:cs="Arial"/>
                <w:b/>
                <w:bCs/>
                <w:noProof/>
                <w:color w:val="000000"/>
                <w:sz w:val="20"/>
                <w:szCs w:val="20"/>
                <w:lang w:eastAsia="en-GB"/>
              </w:rPr>
              <w:t xml:space="preserve">Total </w:t>
            </w:r>
          </w:p>
        </w:tc>
      </w:tr>
      <w:tr>
        <w:trPr>
          <w:trHeight w:val="335"/>
        </w:trPr>
        <w:tc>
          <w:tcPr>
            <w:tcW w:w="2122"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ascii="Arial" w:hAnsi="Arial" w:cs="Arial"/>
                <w:b/>
                <w:bCs/>
                <w:noProof/>
                <w:sz w:val="20"/>
                <w:szCs w:val="20"/>
                <w:lang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ascii="Arial" w:hAnsi="Arial" w:cs="Arial"/>
                <w:b/>
                <w:bCs/>
                <w:noProof/>
                <w:sz w:val="20"/>
                <w:szCs w:val="20"/>
                <w:lang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ascii="Arial" w:hAnsi="Arial" w:cs="Arial"/>
                <w:b/>
                <w:bCs/>
                <w:noProof/>
                <w:sz w:val="20"/>
                <w:szCs w:val="20"/>
                <w:lang w:eastAsia="en-GB"/>
              </w:rPr>
            </w:pPr>
          </w:p>
        </w:tc>
        <w:tc>
          <w:tcPr>
            <w:tcW w:w="1103" w:type="dxa"/>
            <w:tcBorders>
              <w:top w:val="nil"/>
              <w:left w:val="nil"/>
              <w:bottom w:val="single" w:sz="4" w:space="0" w:color="auto"/>
              <w:right w:val="single" w:sz="4" w:space="0" w:color="auto"/>
            </w:tcBorders>
            <w:shd w:val="clear" w:color="auto" w:fill="auto"/>
            <w:hideMark/>
          </w:tcPr>
          <w:p>
            <w:pPr>
              <w:spacing w:before="0" w:after="0"/>
              <w:rPr>
                <w:rFonts w:ascii="Arial" w:hAnsi="Arial" w:cs="Arial"/>
                <w:b/>
                <w:bCs/>
                <w:noProof/>
                <w:sz w:val="20"/>
                <w:szCs w:val="20"/>
                <w:lang w:eastAsia="en-GB"/>
              </w:rPr>
            </w:pPr>
            <w:r>
              <w:rPr>
                <w:rFonts w:ascii="Arial" w:hAnsi="Arial" w:cs="Arial"/>
                <w:b/>
                <w:bCs/>
                <w:noProof/>
                <w:sz w:val="20"/>
                <w:szCs w:val="20"/>
                <w:lang w:eastAsia="en-GB"/>
              </w:rPr>
              <w:t>GF I</w:t>
            </w:r>
          </w:p>
        </w:tc>
        <w:tc>
          <w:tcPr>
            <w:tcW w:w="960" w:type="dxa"/>
            <w:tcBorders>
              <w:top w:val="nil"/>
              <w:left w:val="nil"/>
              <w:bottom w:val="single" w:sz="4" w:space="0" w:color="auto"/>
              <w:right w:val="single" w:sz="4" w:space="0" w:color="auto"/>
            </w:tcBorders>
            <w:shd w:val="clear" w:color="auto" w:fill="auto"/>
            <w:hideMark/>
          </w:tcPr>
          <w:p>
            <w:pPr>
              <w:spacing w:before="0" w:after="0"/>
              <w:rPr>
                <w:rFonts w:ascii="Arial" w:hAnsi="Arial" w:cs="Arial"/>
                <w:b/>
                <w:bCs/>
                <w:noProof/>
                <w:sz w:val="20"/>
                <w:szCs w:val="20"/>
                <w:lang w:eastAsia="en-GB"/>
              </w:rPr>
            </w:pPr>
            <w:r>
              <w:rPr>
                <w:rFonts w:ascii="Arial" w:hAnsi="Arial" w:cs="Arial"/>
                <w:b/>
                <w:bCs/>
                <w:noProof/>
                <w:sz w:val="20"/>
                <w:szCs w:val="20"/>
                <w:lang w:eastAsia="en-GB"/>
              </w:rPr>
              <w:t>GF II</w:t>
            </w:r>
          </w:p>
        </w:tc>
        <w:tc>
          <w:tcPr>
            <w:tcW w:w="960" w:type="dxa"/>
            <w:tcBorders>
              <w:top w:val="nil"/>
              <w:left w:val="nil"/>
              <w:bottom w:val="single" w:sz="4" w:space="0" w:color="auto"/>
              <w:right w:val="single" w:sz="4" w:space="0" w:color="auto"/>
            </w:tcBorders>
            <w:shd w:val="clear" w:color="auto" w:fill="auto"/>
            <w:hideMark/>
          </w:tcPr>
          <w:p>
            <w:pPr>
              <w:spacing w:before="0" w:after="0"/>
              <w:rPr>
                <w:rFonts w:ascii="Arial" w:hAnsi="Arial" w:cs="Arial"/>
                <w:b/>
                <w:bCs/>
                <w:noProof/>
                <w:sz w:val="20"/>
                <w:szCs w:val="20"/>
                <w:lang w:eastAsia="en-GB"/>
              </w:rPr>
            </w:pPr>
            <w:r>
              <w:rPr>
                <w:rFonts w:ascii="Arial" w:hAnsi="Arial" w:cs="Arial"/>
                <w:b/>
                <w:bCs/>
                <w:noProof/>
                <w:sz w:val="20"/>
                <w:szCs w:val="20"/>
                <w:lang w:eastAsia="en-GB"/>
              </w:rPr>
              <w:t xml:space="preserve">GF III </w:t>
            </w:r>
          </w:p>
        </w:tc>
        <w:tc>
          <w:tcPr>
            <w:tcW w:w="804" w:type="dxa"/>
            <w:tcBorders>
              <w:top w:val="nil"/>
              <w:left w:val="nil"/>
              <w:bottom w:val="single" w:sz="4" w:space="0" w:color="auto"/>
              <w:right w:val="single" w:sz="4" w:space="0" w:color="auto"/>
            </w:tcBorders>
            <w:shd w:val="clear" w:color="auto" w:fill="auto"/>
            <w:hideMark/>
          </w:tcPr>
          <w:p>
            <w:pPr>
              <w:spacing w:before="0" w:after="0"/>
              <w:rPr>
                <w:rFonts w:ascii="Arial" w:hAnsi="Arial" w:cs="Arial"/>
                <w:b/>
                <w:bCs/>
                <w:noProof/>
                <w:sz w:val="20"/>
                <w:szCs w:val="20"/>
                <w:lang w:eastAsia="en-GB"/>
              </w:rPr>
            </w:pPr>
            <w:r>
              <w:rPr>
                <w:rFonts w:ascii="Arial" w:hAnsi="Arial" w:cs="Arial"/>
                <w:b/>
                <w:bCs/>
                <w:noProof/>
                <w:sz w:val="20"/>
                <w:szCs w:val="20"/>
                <w:lang w:eastAsia="en-GB"/>
              </w:rPr>
              <w:t>GF IV</w:t>
            </w:r>
          </w:p>
        </w:tc>
        <w:tc>
          <w:tcPr>
            <w:tcW w:w="850" w:type="dxa"/>
            <w:vMerge/>
            <w:tcBorders>
              <w:top w:val="single" w:sz="8" w:space="0" w:color="auto"/>
              <w:left w:val="single" w:sz="8" w:space="0" w:color="auto"/>
              <w:bottom w:val="single" w:sz="4" w:space="0" w:color="auto"/>
              <w:right w:val="single" w:sz="8" w:space="0" w:color="auto"/>
            </w:tcBorders>
            <w:vAlign w:val="center"/>
            <w:hideMark/>
          </w:tcPr>
          <w:p>
            <w:pPr>
              <w:spacing w:before="0" w:after="0"/>
              <w:jc w:val="left"/>
              <w:rPr>
                <w:rFonts w:ascii="Arial" w:hAnsi="Arial" w:cs="Arial"/>
                <w:b/>
                <w:bCs/>
                <w:noProof/>
                <w:color w:val="000000"/>
                <w:sz w:val="20"/>
                <w:szCs w:val="20"/>
                <w:lang w:eastAsia="en-GB"/>
              </w:rPr>
            </w:pPr>
          </w:p>
        </w:tc>
      </w:tr>
      <w:tr>
        <w:trPr>
          <w:trHeight w:val="195"/>
        </w:trPr>
        <w:tc>
          <w:tcPr>
            <w:tcW w:w="2122" w:type="dxa"/>
            <w:tcBorders>
              <w:top w:val="nil"/>
              <w:left w:val="single" w:sz="4" w:space="0" w:color="auto"/>
              <w:bottom w:val="single" w:sz="4" w:space="0" w:color="auto"/>
              <w:right w:val="single" w:sz="4" w:space="0" w:color="auto"/>
            </w:tcBorders>
            <w:shd w:val="clear" w:color="000000" w:fill="FFFFFF"/>
            <w:hideMark/>
          </w:tcPr>
          <w:p>
            <w:pPr>
              <w:spacing w:before="0" w:after="0"/>
              <w:jc w:val="left"/>
              <w:rPr>
                <w:rFonts w:ascii="Arial" w:hAnsi="Arial" w:cs="Arial"/>
                <w:noProof/>
                <w:sz w:val="20"/>
                <w:szCs w:val="20"/>
                <w:lang w:eastAsia="en-GB"/>
              </w:rPr>
            </w:pPr>
            <w:r>
              <w:rPr>
                <w:rFonts w:ascii="Arial" w:hAnsi="Arial" w:cs="Arial"/>
                <w:noProof/>
                <w:sz w:val="20"/>
                <w:szCs w:val="20"/>
                <w:lang w:eastAsia="en-GB"/>
              </w:rPr>
              <w:t>Commission</w:t>
            </w:r>
          </w:p>
        </w:tc>
        <w:tc>
          <w:tcPr>
            <w:tcW w:w="1134" w:type="dxa"/>
            <w:tcBorders>
              <w:top w:val="nil"/>
              <w:left w:val="nil"/>
              <w:bottom w:val="single" w:sz="4" w:space="0" w:color="auto"/>
              <w:right w:val="single" w:sz="4" w:space="0" w:color="auto"/>
            </w:tcBorders>
            <w:shd w:val="clear" w:color="000000" w:fill="FFFFFF"/>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120</w:t>
            </w:r>
          </w:p>
        </w:tc>
        <w:tc>
          <w:tcPr>
            <w:tcW w:w="1134" w:type="dxa"/>
            <w:tcBorders>
              <w:top w:val="nil"/>
              <w:left w:val="nil"/>
              <w:bottom w:val="single" w:sz="4" w:space="0" w:color="auto"/>
              <w:right w:val="single" w:sz="4" w:space="0" w:color="auto"/>
            </w:tcBorders>
            <w:shd w:val="clear" w:color="000000" w:fill="FFFFFF"/>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210,33</w:t>
            </w:r>
          </w:p>
        </w:tc>
        <w:tc>
          <w:tcPr>
            <w:tcW w:w="1103" w:type="dxa"/>
            <w:tcBorders>
              <w:top w:val="nil"/>
              <w:left w:val="nil"/>
              <w:bottom w:val="single" w:sz="4" w:space="0" w:color="auto"/>
              <w:right w:val="nil"/>
            </w:tcBorders>
            <w:shd w:val="clear" w:color="000000" w:fill="FFFFFF"/>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51,67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10</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16</w:t>
            </w:r>
          </w:p>
        </w:tc>
        <w:tc>
          <w:tcPr>
            <w:tcW w:w="804" w:type="dxa"/>
            <w:tcBorders>
              <w:top w:val="nil"/>
              <w:left w:val="nil"/>
              <w:bottom w:val="single" w:sz="4" w:space="0" w:color="auto"/>
              <w:right w:val="nil"/>
            </w:tcBorders>
            <w:shd w:val="clear" w:color="auto" w:fill="auto"/>
            <w:noWrap/>
            <w:vAlign w:val="bottom"/>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8</w:t>
            </w:r>
          </w:p>
        </w:tc>
        <w:tc>
          <w:tcPr>
            <w:tcW w:w="850" w:type="dxa"/>
            <w:tcBorders>
              <w:top w:val="single" w:sz="8" w:space="0" w:color="auto"/>
              <w:left w:val="single" w:sz="8" w:space="0" w:color="auto"/>
              <w:bottom w:val="single" w:sz="4" w:space="0" w:color="auto"/>
              <w:right w:val="single" w:sz="8" w:space="0" w:color="auto"/>
            </w:tcBorders>
            <w:shd w:val="clear" w:color="000000" w:fill="FFFFFF"/>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416</w:t>
            </w:r>
          </w:p>
        </w:tc>
      </w:tr>
      <w:tr>
        <w:trPr>
          <w:trHeight w:val="154"/>
        </w:trPr>
        <w:tc>
          <w:tcPr>
            <w:tcW w:w="2122" w:type="dxa"/>
            <w:tcBorders>
              <w:top w:val="nil"/>
              <w:left w:val="single" w:sz="4" w:space="0" w:color="auto"/>
              <w:bottom w:val="single" w:sz="4" w:space="0" w:color="auto"/>
              <w:right w:val="single" w:sz="4" w:space="0" w:color="auto"/>
            </w:tcBorders>
            <w:shd w:val="clear" w:color="000000" w:fill="FFFFFF"/>
            <w:hideMark/>
          </w:tcPr>
          <w:p>
            <w:pPr>
              <w:spacing w:before="0" w:after="0"/>
              <w:jc w:val="left"/>
              <w:rPr>
                <w:rFonts w:ascii="Arial" w:hAnsi="Arial" w:cs="Arial"/>
                <w:i/>
                <w:iCs/>
                <w:noProof/>
                <w:color w:val="A5A5A5"/>
                <w:sz w:val="20"/>
                <w:szCs w:val="20"/>
                <w:lang w:eastAsia="en-GB"/>
              </w:rPr>
            </w:pPr>
            <w:r>
              <w:rPr>
                <w:rFonts w:ascii="Arial" w:hAnsi="Arial" w:cs="Arial"/>
                <w:i/>
                <w:iCs/>
                <w:noProof/>
                <w:color w:val="A5A5A5"/>
                <w:sz w:val="20"/>
                <w:szCs w:val="20"/>
                <w:lang w:eastAsia="en-GB"/>
              </w:rPr>
              <w:t>- dont CCR:</w:t>
            </w:r>
          </w:p>
        </w:tc>
        <w:tc>
          <w:tcPr>
            <w:tcW w:w="1134" w:type="dxa"/>
            <w:tcBorders>
              <w:top w:val="nil"/>
              <w:left w:val="nil"/>
              <w:bottom w:val="single" w:sz="4" w:space="0" w:color="auto"/>
              <w:right w:val="single" w:sz="4" w:space="0" w:color="auto"/>
            </w:tcBorders>
            <w:shd w:val="clear" w:color="000000" w:fill="FFFFFF"/>
            <w:hideMark/>
          </w:tcPr>
          <w:p>
            <w:pPr>
              <w:spacing w:before="0" w:after="0"/>
              <w:rPr>
                <w:rFonts w:ascii="Arial" w:hAnsi="Arial" w:cs="Arial"/>
                <w:i/>
                <w:iCs/>
                <w:noProof/>
                <w:color w:val="A5A5A5"/>
                <w:sz w:val="20"/>
                <w:szCs w:val="20"/>
                <w:lang w:eastAsia="en-GB"/>
              </w:rPr>
            </w:pPr>
            <w:r>
              <w:rPr>
                <w:rFonts w:ascii="Arial" w:hAnsi="Arial" w:cs="Arial"/>
                <w:i/>
                <w:iCs/>
                <w:noProof/>
                <w:color w:val="A5A5A5"/>
                <w:sz w:val="20"/>
                <w:szCs w:val="20"/>
                <w:lang w:eastAsia="en-GB"/>
              </w:rPr>
              <w:t>46</w:t>
            </w:r>
          </w:p>
        </w:tc>
        <w:tc>
          <w:tcPr>
            <w:tcW w:w="1134" w:type="dxa"/>
            <w:tcBorders>
              <w:top w:val="nil"/>
              <w:left w:val="nil"/>
              <w:bottom w:val="single" w:sz="4" w:space="0" w:color="auto"/>
              <w:right w:val="single" w:sz="4" w:space="0" w:color="auto"/>
            </w:tcBorders>
            <w:shd w:val="clear" w:color="000000" w:fill="FFFFFF"/>
            <w:hideMark/>
          </w:tcPr>
          <w:p>
            <w:pPr>
              <w:spacing w:before="0" w:after="0"/>
              <w:rPr>
                <w:rFonts w:ascii="Arial" w:hAnsi="Arial" w:cs="Arial"/>
                <w:i/>
                <w:iCs/>
                <w:noProof/>
                <w:color w:val="A5A5A5"/>
                <w:sz w:val="20"/>
                <w:szCs w:val="20"/>
                <w:lang w:eastAsia="en-GB"/>
              </w:rPr>
            </w:pPr>
            <w:r>
              <w:rPr>
                <w:rFonts w:ascii="Arial" w:hAnsi="Arial" w:cs="Arial"/>
                <w:i/>
                <w:iCs/>
                <w:noProof/>
                <w:color w:val="A5A5A5"/>
                <w:sz w:val="20"/>
                <w:szCs w:val="20"/>
                <w:lang w:eastAsia="en-GB"/>
              </w:rPr>
              <w:t>81</w:t>
            </w:r>
          </w:p>
        </w:tc>
        <w:tc>
          <w:tcPr>
            <w:tcW w:w="1103" w:type="dxa"/>
            <w:tcBorders>
              <w:top w:val="nil"/>
              <w:left w:val="nil"/>
              <w:bottom w:val="single" w:sz="4" w:space="0" w:color="auto"/>
              <w:right w:val="nil"/>
            </w:tcBorders>
            <w:shd w:val="clear" w:color="000000" w:fill="FFFFFF"/>
            <w:hideMark/>
          </w:tcPr>
          <w:p>
            <w:pPr>
              <w:spacing w:before="0" w:after="0"/>
              <w:rPr>
                <w:rFonts w:ascii="Arial" w:hAnsi="Arial" w:cs="Arial"/>
                <w:i/>
                <w:iCs/>
                <w:noProof/>
                <w:color w:val="A5A5A5"/>
                <w:sz w:val="20"/>
                <w:szCs w:val="20"/>
                <w:lang w:eastAsia="en-GB"/>
              </w:rPr>
            </w:pPr>
            <w:r>
              <w:rPr>
                <w:rFonts w:ascii="Arial" w:hAnsi="Arial" w:cs="Arial"/>
                <w:i/>
                <w:iCs/>
                <w:noProof/>
                <w:color w:val="A5A5A5"/>
                <w:sz w:val="20"/>
                <w:szCs w:val="20"/>
                <w:lang w:eastAsia="en-GB"/>
              </w:rPr>
              <w:t>19</w:t>
            </w:r>
          </w:p>
        </w:tc>
        <w:tc>
          <w:tcPr>
            <w:tcW w:w="960" w:type="dxa"/>
            <w:tcBorders>
              <w:top w:val="nil"/>
              <w:left w:val="single" w:sz="4" w:space="0" w:color="auto"/>
              <w:bottom w:val="single" w:sz="4" w:space="0" w:color="auto"/>
              <w:right w:val="nil"/>
            </w:tcBorders>
            <w:shd w:val="clear" w:color="000000" w:fill="FFFFFF"/>
            <w:hideMark/>
          </w:tcPr>
          <w:p>
            <w:pPr>
              <w:spacing w:before="0" w:after="0"/>
              <w:rPr>
                <w:rFonts w:ascii="Arial" w:hAnsi="Arial" w:cs="Arial"/>
                <w:i/>
                <w:iCs/>
                <w:noProof/>
                <w:color w:val="A5A5A5"/>
                <w:sz w:val="20"/>
                <w:szCs w:val="20"/>
                <w:lang w:eastAsia="en-GB"/>
              </w:rPr>
            </w:pPr>
            <w:r>
              <w:rPr>
                <w:rFonts w:ascii="Arial" w:hAnsi="Arial" w:cs="Arial"/>
                <w:i/>
                <w:iCs/>
                <w:noProof/>
                <w:color w:val="A5A5A5"/>
                <w:sz w:val="20"/>
                <w:szCs w:val="20"/>
                <w:lang w:eastAsia="en-GB"/>
              </w:rPr>
              <w:t>0</w:t>
            </w:r>
          </w:p>
        </w:tc>
        <w:tc>
          <w:tcPr>
            <w:tcW w:w="960" w:type="dxa"/>
            <w:tcBorders>
              <w:top w:val="nil"/>
              <w:left w:val="single" w:sz="4" w:space="0" w:color="auto"/>
              <w:bottom w:val="single" w:sz="4" w:space="0" w:color="auto"/>
              <w:right w:val="nil"/>
            </w:tcBorders>
            <w:shd w:val="clear" w:color="000000" w:fill="FFFFFF"/>
            <w:hideMark/>
          </w:tcPr>
          <w:p>
            <w:pPr>
              <w:spacing w:before="0" w:after="0"/>
              <w:rPr>
                <w:rFonts w:ascii="Arial" w:hAnsi="Arial" w:cs="Arial"/>
                <w:i/>
                <w:iCs/>
                <w:noProof/>
                <w:color w:val="A5A5A5"/>
                <w:sz w:val="20"/>
                <w:szCs w:val="20"/>
                <w:lang w:eastAsia="en-GB"/>
              </w:rPr>
            </w:pPr>
            <w:r>
              <w:rPr>
                <w:rFonts w:ascii="Arial" w:hAnsi="Arial" w:cs="Arial"/>
                <w:i/>
                <w:iCs/>
                <w:noProof/>
                <w:color w:val="A5A5A5"/>
                <w:sz w:val="20"/>
                <w:szCs w:val="20"/>
                <w:lang w:eastAsia="en-GB"/>
              </w:rPr>
              <w:t>1</w:t>
            </w:r>
          </w:p>
        </w:tc>
        <w:tc>
          <w:tcPr>
            <w:tcW w:w="804" w:type="dxa"/>
            <w:tcBorders>
              <w:top w:val="nil"/>
              <w:left w:val="single" w:sz="4" w:space="0" w:color="auto"/>
              <w:bottom w:val="single" w:sz="4" w:space="0" w:color="auto"/>
              <w:right w:val="nil"/>
            </w:tcBorders>
            <w:shd w:val="clear" w:color="000000" w:fill="FFFFFF"/>
            <w:hideMark/>
          </w:tcPr>
          <w:p>
            <w:pPr>
              <w:spacing w:before="0" w:after="0"/>
              <w:rPr>
                <w:rFonts w:ascii="Arial" w:hAnsi="Arial" w:cs="Arial"/>
                <w:i/>
                <w:iCs/>
                <w:noProof/>
                <w:color w:val="A5A5A5"/>
                <w:sz w:val="20"/>
                <w:szCs w:val="20"/>
                <w:lang w:eastAsia="en-GB"/>
              </w:rPr>
            </w:pPr>
            <w:r>
              <w:rPr>
                <w:rFonts w:ascii="Arial" w:hAnsi="Arial" w:cs="Arial"/>
                <w:i/>
                <w:iCs/>
                <w:noProof/>
                <w:color w:val="A5A5A5"/>
                <w:sz w:val="20"/>
                <w:szCs w:val="20"/>
                <w:lang w:eastAsia="en-GB"/>
              </w:rPr>
              <w:t>3</w:t>
            </w:r>
          </w:p>
        </w:tc>
        <w:tc>
          <w:tcPr>
            <w:tcW w:w="850" w:type="dxa"/>
            <w:tcBorders>
              <w:top w:val="nil"/>
              <w:left w:val="single" w:sz="8" w:space="0" w:color="auto"/>
              <w:bottom w:val="single" w:sz="4" w:space="0" w:color="auto"/>
              <w:right w:val="single" w:sz="8" w:space="0" w:color="auto"/>
            </w:tcBorders>
            <w:shd w:val="clear" w:color="000000" w:fill="FFFFFF"/>
            <w:hideMark/>
          </w:tcPr>
          <w:p>
            <w:pPr>
              <w:spacing w:before="0" w:after="0"/>
              <w:rPr>
                <w:rFonts w:ascii="Arial" w:hAnsi="Arial" w:cs="Arial"/>
                <w:b/>
                <w:i/>
                <w:iCs/>
                <w:noProof/>
                <w:color w:val="A5A5A5"/>
                <w:sz w:val="20"/>
                <w:szCs w:val="20"/>
                <w:lang w:eastAsia="en-GB"/>
              </w:rPr>
            </w:pPr>
            <w:r>
              <w:rPr>
                <w:rFonts w:ascii="Arial" w:hAnsi="Arial" w:cs="Arial"/>
                <w:b/>
                <w:i/>
                <w:iCs/>
                <w:noProof/>
                <w:color w:val="A5A5A5"/>
                <w:sz w:val="20"/>
                <w:szCs w:val="20"/>
                <w:lang w:eastAsia="en-GB"/>
              </w:rPr>
              <w:t>150</w:t>
            </w:r>
          </w:p>
        </w:tc>
      </w:tr>
      <w:tr>
        <w:trPr>
          <w:trHeight w:val="324"/>
        </w:trPr>
        <w:tc>
          <w:tcPr>
            <w:tcW w:w="2122"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hAnsi="Arial" w:cs="Arial"/>
                <w:noProof/>
                <w:sz w:val="20"/>
                <w:szCs w:val="20"/>
                <w:lang w:eastAsia="en-GB"/>
              </w:rPr>
            </w:pPr>
            <w:r>
              <w:rPr>
                <w:rFonts w:ascii="Arial" w:hAnsi="Arial" w:cs="Arial"/>
                <w:noProof/>
                <w:sz w:val="20"/>
                <w:szCs w:val="20"/>
                <w:lang w:eastAsia="en-GB"/>
              </w:rPr>
              <w:t>Conseil</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14</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59</w:t>
            </w:r>
          </w:p>
        </w:tc>
        <w:tc>
          <w:tcPr>
            <w:tcW w:w="1103" w:type="dxa"/>
            <w:tcBorders>
              <w:top w:val="nil"/>
              <w:left w:val="nil"/>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04"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50" w:type="dxa"/>
            <w:tcBorders>
              <w:top w:val="nil"/>
              <w:left w:val="single" w:sz="8" w:space="0" w:color="auto"/>
              <w:bottom w:val="single" w:sz="4" w:space="0" w:color="auto"/>
              <w:right w:val="single" w:sz="8" w:space="0" w:color="auto"/>
            </w:tcBorders>
            <w:shd w:val="clear" w:color="000000" w:fill="FFFFFF"/>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77</w:t>
            </w:r>
          </w:p>
        </w:tc>
      </w:tr>
      <w:tr>
        <w:trPr>
          <w:trHeight w:val="324"/>
        </w:trPr>
        <w:tc>
          <w:tcPr>
            <w:tcW w:w="2122"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hAnsi="Arial" w:cs="Arial"/>
                <w:noProof/>
                <w:sz w:val="20"/>
                <w:szCs w:val="20"/>
                <w:lang w:eastAsia="en-GB"/>
              </w:rPr>
            </w:pPr>
            <w:r>
              <w:rPr>
                <w:rFonts w:ascii="Arial" w:hAnsi="Arial" w:cs="Arial"/>
                <w:noProof/>
                <w:sz w:val="20"/>
                <w:szCs w:val="20"/>
                <w:lang w:eastAsia="en-GB"/>
              </w:rPr>
              <w:t>Parlement</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03"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0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50" w:type="dxa"/>
            <w:tcBorders>
              <w:top w:val="single" w:sz="8" w:space="0" w:color="auto"/>
              <w:left w:val="single" w:sz="8" w:space="0" w:color="auto"/>
              <w:bottom w:val="single" w:sz="4" w:space="0" w:color="auto"/>
              <w:right w:val="single" w:sz="8" w:space="0" w:color="auto"/>
            </w:tcBorders>
            <w:shd w:val="clear" w:color="000000" w:fill="FFFFFF"/>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0</w:t>
            </w:r>
          </w:p>
        </w:tc>
      </w:tr>
      <w:tr>
        <w:trPr>
          <w:trHeight w:val="324"/>
        </w:trPr>
        <w:tc>
          <w:tcPr>
            <w:tcW w:w="2122"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hAnsi="Arial" w:cs="Arial"/>
                <w:noProof/>
                <w:sz w:val="20"/>
                <w:szCs w:val="20"/>
                <w:lang w:eastAsia="en-GB"/>
              </w:rPr>
            </w:pPr>
            <w:r>
              <w:rPr>
                <w:rFonts w:ascii="Arial" w:hAnsi="Arial" w:cs="Arial"/>
                <w:noProof/>
                <w:sz w:val="20"/>
                <w:szCs w:val="20"/>
                <w:lang w:eastAsia="en-GB"/>
              </w:rPr>
              <w:t>Cour de justice</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10</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16</w:t>
            </w:r>
          </w:p>
        </w:tc>
        <w:tc>
          <w:tcPr>
            <w:tcW w:w="1103"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0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50" w:type="dxa"/>
            <w:tcBorders>
              <w:top w:val="single" w:sz="8" w:space="0" w:color="auto"/>
              <w:left w:val="single" w:sz="8" w:space="0" w:color="auto"/>
              <w:bottom w:val="single" w:sz="4" w:space="0" w:color="auto"/>
              <w:right w:val="single" w:sz="8" w:space="0" w:color="auto"/>
            </w:tcBorders>
            <w:shd w:val="clear" w:color="000000" w:fill="FFFFFF"/>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27</w:t>
            </w:r>
          </w:p>
        </w:tc>
      </w:tr>
      <w:tr>
        <w:trPr>
          <w:trHeight w:val="324"/>
        </w:trPr>
        <w:tc>
          <w:tcPr>
            <w:tcW w:w="2122" w:type="dxa"/>
            <w:tcBorders>
              <w:top w:val="nil"/>
              <w:left w:val="single" w:sz="4" w:space="0" w:color="auto"/>
              <w:bottom w:val="single" w:sz="4" w:space="0" w:color="auto"/>
              <w:right w:val="single" w:sz="4" w:space="0" w:color="auto"/>
            </w:tcBorders>
            <w:shd w:val="clear" w:color="000000" w:fill="FFFFFF"/>
            <w:hideMark/>
          </w:tcPr>
          <w:p>
            <w:pPr>
              <w:spacing w:before="0" w:after="0"/>
              <w:jc w:val="left"/>
              <w:rPr>
                <w:rFonts w:ascii="Arial" w:hAnsi="Arial" w:cs="Arial"/>
                <w:noProof/>
                <w:sz w:val="20"/>
                <w:szCs w:val="20"/>
                <w:lang w:eastAsia="en-GB"/>
              </w:rPr>
            </w:pPr>
            <w:r>
              <w:rPr>
                <w:rFonts w:ascii="Arial" w:hAnsi="Arial" w:cs="Arial"/>
                <w:noProof/>
                <w:sz w:val="20"/>
                <w:szCs w:val="20"/>
                <w:lang w:eastAsia="en-GB"/>
              </w:rPr>
              <w:t>Cour des comptes</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03" w:type="dxa"/>
            <w:tcBorders>
              <w:top w:val="nil"/>
              <w:left w:val="nil"/>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17</w:t>
            </w:r>
          </w:p>
        </w:tc>
        <w:tc>
          <w:tcPr>
            <w:tcW w:w="960" w:type="dxa"/>
            <w:tcBorders>
              <w:top w:val="nil"/>
              <w:left w:val="single" w:sz="4" w:space="0" w:color="auto"/>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single" w:sz="4" w:space="0" w:color="auto"/>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04" w:type="dxa"/>
            <w:tcBorders>
              <w:top w:val="nil"/>
              <w:left w:val="single" w:sz="4" w:space="0" w:color="auto"/>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50" w:type="dxa"/>
            <w:tcBorders>
              <w:top w:val="single" w:sz="8" w:space="0" w:color="auto"/>
              <w:left w:val="single" w:sz="8" w:space="0" w:color="auto"/>
              <w:bottom w:val="single" w:sz="4" w:space="0" w:color="auto"/>
              <w:right w:val="single" w:sz="8" w:space="0" w:color="auto"/>
            </w:tcBorders>
            <w:shd w:val="clear" w:color="000000" w:fill="FFFFFF"/>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17</w:t>
            </w:r>
          </w:p>
        </w:tc>
      </w:tr>
      <w:tr>
        <w:trPr>
          <w:trHeight w:val="324"/>
        </w:trPr>
        <w:tc>
          <w:tcPr>
            <w:tcW w:w="2122" w:type="dxa"/>
            <w:tcBorders>
              <w:top w:val="nil"/>
              <w:left w:val="single" w:sz="4" w:space="0" w:color="auto"/>
              <w:bottom w:val="single" w:sz="4" w:space="0" w:color="auto"/>
              <w:right w:val="single" w:sz="4" w:space="0" w:color="auto"/>
            </w:tcBorders>
            <w:shd w:val="clear" w:color="000000" w:fill="FFFFFF"/>
            <w:hideMark/>
          </w:tcPr>
          <w:p>
            <w:pPr>
              <w:spacing w:before="0" w:after="0"/>
              <w:jc w:val="left"/>
              <w:rPr>
                <w:rFonts w:ascii="Arial" w:hAnsi="Arial" w:cs="Arial"/>
                <w:noProof/>
                <w:sz w:val="20"/>
                <w:szCs w:val="20"/>
                <w:lang w:eastAsia="en-GB"/>
              </w:rPr>
            </w:pPr>
            <w:r>
              <w:rPr>
                <w:rFonts w:ascii="Arial" w:hAnsi="Arial" w:cs="Arial"/>
                <w:noProof/>
                <w:sz w:val="20"/>
                <w:szCs w:val="20"/>
                <w:lang w:eastAsia="en-GB"/>
              </w:rPr>
              <w:t>CESE</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2</w:t>
            </w:r>
          </w:p>
        </w:tc>
        <w:tc>
          <w:tcPr>
            <w:tcW w:w="1103"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0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50" w:type="dxa"/>
            <w:tcBorders>
              <w:top w:val="single" w:sz="8" w:space="0" w:color="auto"/>
              <w:left w:val="single" w:sz="8" w:space="0" w:color="auto"/>
              <w:bottom w:val="single" w:sz="4" w:space="0" w:color="auto"/>
              <w:right w:val="single" w:sz="8" w:space="0" w:color="auto"/>
            </w:tcBorders>
            <w:shd w:val="clear" w:color="000000" w:fill="FFFFFF"/>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2</w:t>
            </w:r>
          </w:p>
        </w:tc>
      </w:tr>
      <w:tr>
        <w:trPr>
          <w:trHeight w:val="324"/>
        </w:trPr>
        <w:tc>
          <w:tcPr>
            <w:tcW w:w="2122"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hAnsi="Arial" w:cs="Arial"/>
                <w:noProof/>
                <w:sz w:val="20"/>
                <w:szCs w:val="20"/>
                <w:lang w:eastAsia="en-GB"/>
              </w:rPr>
            </w:pPr>
            <w:r>
              <w:rPr>
                <w:rFonts w:ascii="Arial" w:hAnsi="Arial" w:cs="Arial"/>
                <w:noProof/>
                <w:sz w:val="20"/>
                <w:szCs w:val="20"/>
                <w:lang w:eastAsia="en-GB"/>
              </w:rPr>
              <w:t>CdR</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3</w:t>
            </w:r>
          </w:p>
        </w:tc>
        <w:tc>
          <w:tcPr>
            <w:tcW w:w="1103"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w:t>
            </w:r>
          </w:p>
        </w:tc>
        <w:tc>
          <w:tcPr>
            <w:tcW w:w="80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50" w:type="dxa"/>
            <w:tcBorders>
              <w:top w:val="single" w:sz="8" w:space="0" w:color="auto"/>
              <w:left w:val="single" w:sz="8" w:space="0" w:color="auto"/>
              <w:bottom w:val="single" w:sz="4" w:space="0" w:color="auto"/>
              <w:right w:val="single" w:sz="8" w:space="0" w:color="auto"/>
            </w:tcBorders>
            <w:shd w:val="clear" w:color="000000" w:fill="FFFFFF"/>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4</w:t>
            </w:r>
          </w:p>
        </w:tc>
      </w:tr>
      <w:tr>
        <w:trPr>
          <w:trHeight w:val="324"/>
        </w:trPr>
        <w:tc>
          <w:tcPr>
            <w:tcW w:w="2122" w:type="dxa"/>
            <w:tcBorders>
              <w:top w:val="nil"/>
              <w:left w:val="single" w:sz="4" w:space="0" w:color="auto"/>
              <w:bottom w:val="single" w:sz="4" w:space="0" w:color="auto"/>
              <w:right w:val="single" w:sz="4" w:space="0" w:color="auto"/>
            </w:tcBorders>
            <w:shd w:val="clear" w:color="000000" w:fill="FFFFFF"/>
            <w:hideMark/>
          </w:tcPr>
          <w:p>
            <w:pPr>
              <w:spacing w:before="0" w:after="0"/>
              <w:jc w:val="left"/>
              <w:rPr>
                <w:rFonts w:ascii="Arial" w:hAnsi="Arial" w:cs="Arial"/>
                <w:noProof/>
                <w:sz w:val="20"/>
                <w:szCs w:val="20"/>
                <w:lang w:eastAsia="en-GB"/>
              </w:rPr>
            </w:pPr>
            <w:r>
              <w:rPr>
                <w:rFonts w:ascii="Arial" w:hAnsi="Arial" w:cs="Arial"/>
                <w:noProof/>
                <w:sz w:val="20"/>
                <w:szCs w:val="20"/>
                <w:lang w:eastAsia="en-GB"/>
              </w:rPr>
              <w:t>CEPD</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03"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0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50" w:type="dxa"/>
            <w:tcBorders>
              <w:top w:val="single" w:sz="8" w:space="0" w:color="auto"/>
              <w:left w:val="single" w:sz="8" w:space="0" w:color="auto"/>
              <w:bottom w:val="single" w:sz="4" w:space="0" w:color="auto"/>
              <w:right w:val="single" w:sz="8" w:space="0" w:color="auto"/>
            </w:tcBorders>
            <w:shd w:val="clear" w:color="000000" w:fill="FFFFFF"/>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0</w:t>
            </w:r>
          </w:p>
        </w:tc>
      </w:tr>
      <w:tr>
        <w:trPr>
          <w:trHeight w:val="324"/>
        </w:trPr>
        <w:tc>
          <w:tcPr>
            <w:tcW w:w="2122" w:type="dxa"/>
            <w:tcBorders>
              <w:top w:val="nil"/>
              <w:left w:val="single" w:sz="4" w:space="0" w:color="auto"/>
              <w:bottom w:val="single" w:sz="4" w:space="0" w:color="auto"/>
              <w:right w:val="single" w:sz="4" w:space="0" w:color="auto"/>
            </w:tcBorders>
            <w:shd w:val="clear" w:color="000000" w:fill="FFFFFF"/>
            <w:hideMark/>
          </w:tcPr>
          <w:p>
            <w:pPr>
              <w:spacing w:before="0" w:after="0"/>
              <w:jc w:val="left"/>
              <w:rPr>
                <w:rFonts w:ascii="Arial" w:hAnsi="Arial" w:cs="Arial"/>
                <w:noProof/>
                <w:sz w:val="20"/>
                <w:szCs w:val="20"/>
                <w:lang w:eastAsia="en-GB"/>
              </w:rPr>
            </w:pPr>
            <w:r>
              <w:rPr>
                <w:rFonts w:ascii="Arial" w:hAnsi="Arial" w:cs="Arial"/>
                <w:noProof/>
                <w:sz w:val="20"/>
                <w:szCs w:val="20"/>
                <w:lang w:eastAsia="en-GB"/>
              </w:rPr>
              <w:t>Médiateur</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3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03"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04"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50" w:type="dxa"/>
            <w:tcBorders>
              <w:top w:val="single" w:sz="8" w:space="0" w:color="auto"/>
              <w:left w:val="single" w:sz="8" w:space="0" w:color="auto"/>
              <w:bottom w:val="single" w:sz="8" w:space="0" w:color="auto"/>
              <w:right w:val="single" w:sz="8" w:space="0" w:color="auto"/>
            </w:tcBorders>
            <w:shd w:val="clear" w:color="000000" w:fill="FFFFFF"/>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0</w:t>
            </w:r>
          </w:p>
        </w:tc>
      </w:tr>
      <w:tr>
        <w:trPr>
          <w:trHeight w:val="324"/>
        </w:trPr>
        <w:tc>
          <w:tcPr>
            <w:tcW w:w="2122" w:type="dxa"/>
            <w:tcBorders>
              <w:top w:val="nil"/>
              <w:left w:val="single" w:sz="4" w:space="0" w:color="auto"/>
              <w:bottom w:val="single" w:sz="4" w:space="0" w:color="auto"/>
              <w:right w:val="single" w:sz="4" w:space="0" w:color="auto"/>
            </w:tcBorders>
            <w:shd w:val="clear" w:color="000000" w:fill="FFFFFF"/>
          </w:tcPr>
          <w:p>
            <w:pPr>
              <w:spacing w:before="0" w:after="0"/>
              <w:jc w:val="left"/>
              <w:rPr>
                <w:rFonts w:ascii="Arial" w:hAnsi="Arial" w:cs="Arial"/>
                <w:noProof/>
                <w:sz w:val="20"/>
                <w:szCs w:val="20"/>
                <w:lang w:eastAsia="en-GB"/>
              </w:rPr>
            </w:pPr>
            <w:r>
              <w:rPr>
                <w:rFonts w:ascii="Arial" w:hAnsi="Arial" w:cs="Arial"/>
                <w:noProof/>
                <w:sz w:val="20"/>
                <w:szCs w:val="20"/>
                <w:lang w:eastAsia="en-GB"/>
              </w:rPr>
              <w:t>SEAE</w:t>
            </w:r>
          </w:p>
        </w:tc>
        <w:tc>
          <w:tcPr>
            <w:tcW w:w="1134"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eastAsia="en-GB"/>
              </w:rPr>
            </w:pPr>
            <w:r>
              <w:rPr>
                <w:rFonts w:ascii="Arial" w:hAnsi="Arial" w:cs="Arial"/>
                <w:noProof/>
                <w:sz w:val="20"/>
                <w:szCs w:val="20"/>
                <w:lang w:eastAsia="en-GB"/>
              </w:rPr>
              <w:t>14</w:t>
            </w:r>
          </w:p>
        </w:tc>
        <w:tc>
          <w:tcPr>
            <w:tcW w:w="1134"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eastAsia="en-GB"/>
              </w:rPr>
            </w:pPr>
            <w:r>
              <w:rPr>
                <w:rFonts w:ascii="Arial" w:hAnsi="Arial" w:cs="Arial"/>
                <w:noProof/>
                <w:sz w:val="20"/>
                <w:szCs w:val="20"/>
                <w:lang w:eastAsia="en-GB"/>
              </w:rPr>
              <w:t>9</w:t>
            </w:r>
          </w:p>
        </w:tc>
        <w:tc>
          <w:tcPr>
            <w:tcW w:w="1103"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960"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eastAsia="en-GB"/>
              </w:rPr>
            </w:pPr>
            <w:r>
              <w:rPr>
                <w:rFonts w:ascii="Arial" w:hAnsi="Arial" w:cs="Arial"/>
                <w:noProof/>
                <w:sz w:val="20"/>
                <w:szCs w:val="20"/>
                <w:lang w:eastAsia="en-GB"/>
              </w:rPr>
              <w:t>1</w:t>
            </w:r>
          </w:p>
        </w:tc>
        <w:tc>
          <w:tcPr>
            <w:tcW w:w="960"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eastAsia="en-GB"/>
              </w:rPr>
            </w:pPr>
            <w:r>
              <w:rPr>
                <w:rFonts w:ascii="Arial" w:hAnsi="Arial" w:cs="Arial"/>
                <w:noProof/>
                <w:sz w:val="20"/>
                <w:szCs w:val="20"/>
                <w:lang w:eastAsia="en-GB"/>
              </w:rPr>
              <w:t>5</w:t>
            </w:r>
          </w:p>
        </w:tc>
        <w:tc>
          <w:tcPr>
            <w:tcW w:w="804"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850" w:type="dxa"/>
            <w:tcBorders>
              <w:top w:val="single" w:sz="8" w:space="0" w:color="auto"/>
              <w:left w:val="single" w:sz="8" w:space="0" w:color="auto"/>
              <w:bottom w:val="single" w:sz="8" w:space="0" w:color="auto"/>
              <w:right w:val="single" w:sz="8" w:space="0" w:color="auto"/>
            </w:tcBorders>
            <w:shd w:val="clear" w:color="000000" w:fill="FFFFFF"/>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29</w:t>
            </w:r>
          </w:p>
        </w:tc>
      </w:tr>
      <w:tr>
        <w:trPr>
          <w:trHeight w:val="175"/>
        </w:trPr>
        <w:tc>
          <w:tcPr>
            <w:tcW w:w="2122" w:type="dxa"/>
            <w:tcBorders>
              <w:top w:val="nil"/>
              <w:left w:val="single" w:sz="8" w:space="0" w:color="auto"/>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Total</w:t>
            </w:r>
          </w:p>
        </w:tc>
        <w:tc>
          <w:tcPr>
            <w:tcW w:w="1134" w:type="dxa"/>
            <w:tcBorders>
              <w:top w:val="single" w:sz="8" w:space="0" w:color="auto"/>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158</w:t>
            </w:r>
          </w:p>
        </w:tc>
        <w:tc>
          <w:tcPr>
            <w:tcW w:w="1134" w:type="dxa"/>
            <w:tcBorders>
              <w:top w:val="single" w:sz="8" w:space="0" w:color="auto"/>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299,33</w:t>
            </w:r>
          </w:p>
        </w:tc>
        <w:tc>
          <w:tcPr>
            <w:tcW w:w="1103" w:type="dxa"/>
            <w:tcBorders>
              <w:top w:val="single" w:sz="8" w:space="0" w:color="auto"/>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73,67</w:t>
            </w:r>
          </w:p>
        </w:tc>
        <w:tc>
          <w:tcPr>
            <w:tcW w:w="960" w:type="dxa"/>
            <w:tcBorders>
              <w:top w:val="single" w:sz="8" w:space="0" w:color="auto"/>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11</w:t>
            </w:r>
          </w:p>
        </w:tc>
        <w:tc>
          <w:tcPr>
            <w:tcW w:w="960" w:type="dxa"/>
            <w:tcBorders>
              <w:top w:val="single" w:sz="8" w:space="0" w:color="auto"/>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22</w:t>
            </w:r>
          </w:p>
        </w:tc>
        <w:tc>
          <w:tcPr>
            <w:tcW w:w="804" w:type="dxa"/>
            <w:tcBorders>
              <w:top w:val="single" w:sz="8" w:space="0" w:color="auto"/>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8</w:t>
            </w:r>
          </w:p>
        </w:tc>
        <w:tc>
          <w:tcPr>
            <w:tcW w:w="850" w:type="dxa"/>
            <w:tcBorders>
              <w:top w:val="nil"/>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572</w:t>
            </w:r>
          </w:p>
        </w:tc>
      </w:tr>
    </w:tbl>
    <w:p>
      <w:pPr>
        <w:rPr>
          <w:noProof/>
          <w:lang w:val="fr-BE"/>
        </w:rPr>
      </w:pPr>
      <w:r>
        <w:rPr>
          <w:noProof/>
          <w:lang w:val="fr-BE"/>
        </w:rPr>
        <w:br w:type="page"/>
      </w:r>
    </w:p>
    <w:p>
      <w:pPr>
        <w:pStyle w:val="Heading2"/>
        <w:numPr>
          <w:ilvl w:val="0"/>
          <w:numId w:val="0"/>
        </w:numPr>
        <w:spacing w:before="0" w:after="0"/>
        <w:rPr>
          <w:noProof/>
          <w:lang w:val="fr-BE"/>
        </w:rPr>
      </w:pPr>
      <w:r>
        <w:rPr>
          <w:noProof/>
          <w:lang w:val="fr-BE"/>
        </w:rPr>
        <w:t>2.2.</w:t>
      </w:r>
      <w:r>
        <w:rPr>
          <w:noProof/>
          <w:lang w:val="fr-BE"/>
        </w:rPr>
        <w:tab/>
        <w:t>Nombre de bénéficiaires par type d'astreinte :</w:t>
      </w:r>
    </w:p>
    <w:tbl>
      <w:tblPr>
        <w:tblW w:w="8880" w:type="dxa"/>
        <w:tblInd w:w="113" w:type="dxa"/>
        <w:tblLook w:val="04A0" w:firstRow="1" w:lastRow="0" w:firstColumn="1" w:lastColumn="0" w:noHBand="0" w:noVBand="1"/>
      </w:tblPr>
      <w:tblGrid>
        <w:gridCol w:w="2840"/>
        <w:gridCol w:w="1120"/>
        <w:gridCol w:w="1720"/>
        <w:gridCol w:w="2080"/>
        <w:gridCol w:w="1120"/>
      </w:tblGrid>
      <w:tr>
        <w:trPr>
          <w:trHeight w:val="540"/>
        </w:trPr>
        <w:tc>
          <w:tcPr>
            <w:tcW w:w="2840" w:type="dxa"/>
            <w:tcBorders>
              <w:top w:val="single" w:sz="4" w:space="0" w:color="auto"/>
              <w:left w:val="single" w:sz="4" w:space="0" w:color="auto"/>
              <w:bottom w:val="single" w:sz="4" w:space="0" w:color="auto"/>
              <w:right w:val="single" w:sz="4" w:space="0" w:color="auto"/>
            </w:tcBorders>
            <w:shd w:val="clear" w:color="auto" w:fill="auto"/>
            <w:vAlign w:val="bottom"/>
            <w:hideMark/>
          </w:tcPr>
          <w:p>
            <w:pPr>
              <w:spacing w:before="0" w:after="0"/>
              <w:jc w:val="left"/>
              <w:rPr>
                <w:rFonts w:ascii="Arial" w:hAnsi="Arial" w:cs="Arial"/>
                <w:b/>
                <w:bCs/>
                <w:noProof/>
                <w:sz w:val="20"/>
                <w:szCs w:val="20"/>
                <w:lang w:val="fr-BE" w:eastAsia="en-GB"/>
              </w:rPr>
            </w:pPr>
            <w:r>
              <w:rPr>
                <w:rFonts w:ascii="Arial" w:hAnsi="Arial" w:cs="Arial"/>
                <w:b/>
                <w:bCs/>
                <w:noProof/>
                <w:sz w:val="20"/>
                <w:szCs w:val="20"/>
                <w:lang w:val="fr-BE" w:eastAsia="en-GB"/>
              </w:rPr>
              <w:t>1- Nombre de bénéficiaires</w:t>
            </w:r>
            <w:r>
              <w:rPr>
                <w:rFonts w:ascii="Arial" w:hAnsi="Arial" w:cs="Arial"/>
                <w:b/>
                <w:bCs/>
                <w:noProof/>
                <w:sz w:val="20"/>
                <w:szCs w:val="20"/>
                <w:lang w:val="fr-BE" w:eastAsia="en-GB"/>
              </w:rPr>
              <w:br/>
              <w:t>par type d'astreintes</w:t>
            </w:r>
          </w:p>
        </w:tc>
        <w:tc>
          <w:tcPr>
            <w:tcW w:w="6040" w:type="dxa"/>
            <w:gridSpan w:val="4"/>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Arial" w:hAnsi="Arial" w:cs="Arial"/>
                <w:b/>
                <w:bCs/>
                <w:noProof/>
                <w:sz w:val="20"/>
                <w:szCs w:val="20"/>
                <w:lang w:eastAsia="en-GB"/>
              </w:rPr>
            </w:pPr>
            <w:r>
              <w:rPr>
                <w:rFonts w:ascii="Arial" w:hAnsi="Arial" w:cs="Arial"/>
                <w:b/>
                <w:bCs/>
                <w:noProof/>
                <w:sz w:val="20"/>
                <w:szCs w:val="20"/>
                <w:lang w:eastAsia="en-GB"/>
              </w:rPr>
              <w:t>année 2018</w:t>
            </w:r>
          </w:p>
        </w:tc>
      </w:tr>
      <w:tr>
        <w:trPr>
          <w:trHeight w:val="528"/>
        </w:trPr>
        <w:tc>
          <w:tcPr>
            <w:tcW w:w="2840" w:type="dxa"/>
            <w:vMerge w:val="restart"/>
            <w:tcBorders>
              <w:top w:val="nil"/>
              <w:left w:val="single" w:sz="4" w:space="0" w:color="auto"/>
              <w:bottom w:val="single" w:sz="4" w:space="0" w:color="000000"/>
              <w:right w:val="single" w:sz="4" w:space="0" w:color="auto"/>
            </w:tcBorders>
            <w:shd w:val="clear" w:color="auto" w:fill="auto"/>
            <w:noWrap/>
            <w:vAlign w:val="bottom"/>
            <w:hideMark/>
          </w:tcPr>
          <w:p>
            <w:pPr>
              <w:spacing w:before="0" w:after="0"/>
              <w:jc w:val="center"/>
              <w:rPr>
                <w:rFonts w:ascii="Arial" w:hAnsi="Arial" w:cs="Arial"/>
                <w:b/>
                <w:bCs/>
                <w:noProof/>
                <w:sz w:val="20"/>
                <w:szCs w:val="20"/>
                <w:lang w:eastAsia="en-GB"/>
              </w:rPr>
            </w:pPr>
            <w:r>
              <w:rPr>
                <w:rFonts w:ascii="Arial" w:hAnsi="Arial" w:cs="Arial"/>
                <w:b/>
                <w:bCs/>
                <w:noProof/>
                <w:sz w:val="20"/>
                <w:szCs w:val="20"/>
                <w:lang w:eastAsia="en-GB"/>
              </w:rPr>
              <w:t>Institution</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pPr>
              <w:spacing w:before="0" w:after="0"/>
              <w:jc w:val="center"/>
              <w:rPr>
                <w:rFonts w:ascii="Arial" w:hAnsi="Arial" w:cs="Arial"/>
                <w:b/>
                <w:bCs/>
                <w:noProof/>
                <w:sz w:val="20"/>
                <w:szCs w:val="20"/>
                <w:lang w:eastAsia="en-GB"/>
              </w:rPr>
            </w:pPr>
            <w:r>
              <w:rPr>
                <w:rFonts w:ascii="Arial" w:hAnsi="Arial" w:cs="Arial"/>
                <w:b/>
                <w:bCs/>
                <w:noProof/>
                <w:sz w:val="20"/>
                <w:szCs w:val="20"/>
                <w:lang w:eastAsia="en-GB"/>
              </w:rPr>
              <w:t>À domicile</w:t>
            </w:r>
          </w:p>
        </w:tc>
        <w:tc>
          <w:tcPr>
            <w:tcW w:w="17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pPr>
              <w:spacing w:before="0" w:after="0"/>
              <w:jc w:val="center"/>
              <w:rPr>
                <w:rFonts w:ascii="Arial" w:hAnsi="Arial" w:cs="Arial"/>
                <w:b/>
                <w:bCs/>
                <w:noProof/>
                <w:sz w:val="20"/>
                <w:szCs w:val="20"/>
                <w:lang w:val="fr-BE" w:eastAsia="en-GB"/>
              </w:rPr>
            </w:pPr>
            <w:r>
              <w:rPr>
                <w:rFonts w:ascii="Arial" w:hAnsi="Arial" w:cs="Arial"/>
                <w:b/>
                <w:bCs/>
                <w:noProof/>
                <w:sz w:val="20"/>
                <w:szCs w:val="20"/>
                <w:lang w:val="fr-BE" w:eastAsia="en-GB"/>
              </w:rPr>
              <w:t>À domicile et sur le lieu de travail</w:t>
            </w:r>
          </w:p>
        </w:tc>
        <w:tc>
          <w:tcPr>
            <w:tcW w:w="20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pPr>
              <w:spacing w:before="0" w:after="0"/>
              <w:jc w:val="center"/>
              <w:rPr>
                <w:rFonts w:ascii="Arial" w:hAnsi="Arial" w:cs="Arial"/>
                <w:b/>
                <w:bCs/>
                <w:noProof/>
                <w:sz w:val="20"/>
                <w:szCs w:val="20"/>
                <w:lang w:val="fr-BE" w:eastAsia="en-GB"/>
              </w:rPr>
            </w:pPr>
            <w:r>
              <w:rPr>
                <w:rFonts w:ascii="Arial" w:hAnsi="Arial" w:cs="Arial"/>
                <w:b/>
                <w:bCs/>
                <w:noProof/>
                <w:sz w:val="20"/>
                <w:szCs w:val="20"/>
                <w:lang w:val="fr-BE" w:eastAsia="en-GB"/>
              </w:rPr>
              <w:t>Sur le lieu de travail</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center"/>
              <w:rPr>
                <w:rFonts w:ascii="Arial" w:hAnsi="Arial" w:cs="Arial"/>
                <w:b/>
                <w:bCs/>
                <w:noProof/>
                <w:sz w:val="20"/>
                <w:szCs w:val="20"/>
                <w:lang w:eastAsia="en-GB"/>
              </w:rPr>
            </w:pPr>
            <w:r>
              <w:rPr>
                <w:rFonts w:ascii="Arial" w:hAnsi="Arial" w:cs="Arial"/>
                <w:b/>
                <w:bCs/>
                <w:noProof/>
                <w:sz w:val="20"/>
                <w:szCs w:val="20"/>
                <w:lang w:eastAsia="en-GB"/>
              </w:rPr>
              <w:t xml:space="preserve">Total </w:t>
            </w:r>
          </w:p>
        </w:tc>
      </w:tr>
      <w:tr>
        <w:trPr>
          <w:trHeight w:val="230"/>
        </w:trPr>
        <w:tc>
          <w:tcPr>
            <w:tcW w:w="284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Arial" w:hAnsi="Arial" w:cs="Arial"/>
                <w:b/>
                <w:bCs/>
                <w:noProof/>
                <w:sz w:val="20"/>
                <w:szCs w:val="20"/>
                <w:lang w:eastAsia="en-GB"/>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ascii="Arial" w:hAnsi="Arial" w:cs="Arial"/>
                <w:b/>
                <w:bCs/>
                <w:noProof/>
                <w:sz w:val="20"/>
                <w:szCs w:val="20"/>
                <w:lang w:eastAsia="en-GB"/>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ascii="Arial" w:hAnsi="Arial" w:cs="Arial"/>
                <w:b/>
                <w:bCs/>
                <w:noProof/>
                <w:sz w:val="20"/>
                <w:szCs w:val="20"/>
                <w:lang w:eastAsia="en-GB"/>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ascii="Arial" w:hAnsi="Arial" w:cs="Arial"/>
                <w:b/>
                <w:bCs/>
                <w:noProof/>
                <w:sz w:val="20"/>
                <w:szCs w:val="20"/>
                <w:lang w:eastAsia="en-GB"/>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Arial" w:hAnsi="Arial" w:cs="Arial"/>
                <w:b/>
                <w:bCs/>
                <w:noProof/>
                <w:sz w:val="20"/>
                <w:szCs w:val="20"/>
                <w:lang w:eastAsia="en-GB"/>
              </w:rPr>
            </w:pPr>
          </w:p>
        </w:tc>
      </w:tr>
      <w:tr>
        <w:trPr>
          <w:trHeight w:val="324"/>
        </w:trPr>
        <w:tc>
          <w:tcPr>
            <w:tcW w:w="2840" w:type="dxa"/>
            <w:tcBorders>
              <w:top w:val="nil"/>
              <w:left w:val="single" w:sz="4" w:space="0" w:color="auto"/>
              <w:bottom w:val="single" w:sz="4" w:space="0" w:color="auto"/>
              <w:right w:val="single" w:sz="4" w:space="0" w:color="auto"/>
            </w:tcBorders>
            <w:shd w:val="clear" w:color="000000" w:fill="FFFFFF"/>
            <w:hideMark/>
          </w:tcPr>
          <w:p>
            <w:pPr>
              <w:spacing w:before="0" w:after="0"/>
              <w:rPr>
                <w:rFonts w:ascii="Arial" w:hAnsi="Arial" w:cs="Arial"/>
                <w:noProof/>
                <w:sz w:val="20"/>
                <w:szCs w:val="20"/>
                <w:lang w:eastAsia="en-GB"/>
              </w:rPr>
            </w:pPr>
            <w:r>
              <w:rPr>
                <w:rFonts w:ascii="Arial" w:hAnsi="Arial" w:cs="Arial"/>
                <w:noProof/>
                <w:sz w:val="20"/>
                <w:szCs w:val="20"/>
                <w:lang w:eastAsia="en-GB"/>
              </w:rPr>
              <w:t>Commission</w:t>
            </w:r>
          </w:p>
        </w:tc>
        <w:tc>
          <w:tcPr>
            <w:tcW w:w="1120" w:type="dxa"/>
            <w:tcBorders>
              <w:top w:val="nil"/>
              <w:left w:val="nil"/>
              <w:bottom w:val="single" w:sz="4" w:space="0" w:color="auto"/>
              <w:right w:val="single" w:sz="4" w:space="0" w:color="auto"/>
            </w:tcBorders>
            <w:shd w:val="clear" w:color="000000" w:fill="FFFFFF"/>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399</w:t>
            </w:r>
          </w:p>
        </w:tc>
        <w:tc>
          <w:tcPr>
            <w:tcW w:w="1720" w:type="dxa"/>
            <w:tcBorders>
              <w:top w:val="nil"/>
              <w:left w:val="nil"/>
              <w:bottom w:val="single" w:sz="4" w:space="0" w:color="auto"/>
              <w:right w:val="single" w:sz="4" w:space="0" w:color="auto"/>
            </w:tcBorders>
            <w:shd w:val="clear" w:color="000000" w:fill="FFFFFF"/>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6</w:t>
            </w:r>
          </w:p>
        </w:tc>
        <w:tc>
          <w:tcPr>
            <w:tcW w:w="2080" w:type="dxa"/>
            <w:tcBorders>
              <w:top w:val="nil"/>
              <w:left w:val="nil"/>
              <w:bottom w:val="single" w:sz="4" w:space="0" w:color="auto"/>
              <w:right w:val="nil"/>
            </w:tcBorders>
            <w:shd w:val="clear" w:color="000000" w:fill="FFFFFF"/>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11</w:t>
            </w:r>
          </w:p>
        </w:tc>
        <w:tc>
          <w:tcPr>
            <w:tcW w:w="1120" w:type="dxa"/>
            <w:tcBorders>
              <w:top w:val="single" w:sz="8" w:space="0" w:color="auto"/>
              <w:left w:val="single" w:sz="8" w:space="0" w:color="auto"/>
              <w:bottom w:val="single" w:sz="8" w:space="0" w:color="auto"/>
              <w:right w:val="single" w:sz="8"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416</w:t>
            </w:r>
          </w:p>
        </w:tc>
      </w:tr>
      <w:tr>
        <w:trPr>
          <w:trHeight w:val="324"/>
        </w:trPr>
        <w:tc>
          <w:tcPr>
            <w:tcW w:w="2840" w:type="dxa"/>
            <w:tcBorders>
              <w:top w:val="nil"/>
              <w:left w:val="single" w:sz="4" w:space="0" w:color="auto"/>
              <w:bottom w:val="single" w:sz="4" w:space="0" w:color="auto"/>
              <w:right w:val="single" w:sz="4" w:space="0" w:color="auto"/>
            </w:tcBorders>
            <w:shd w:val="clear" w:color="000000" w:fill="FFFFFF"/>
            <w:hideMark/>
          </w:tcPr>
          <w:p>
            <w:pPr>
              <w:spacing w:before="0" w:after="0"/>
              <w:rPr>
                <w:rFonts w:ascii="Arial" w:hAnsi="Arial" w:cs="Arial"/>
                <w:i/>
                <w:iCs/>
                <w:noProof/>
                <w:color w:val="A5A5A5"/>
                <w:sz w:val="20"/>
                <w:szCs w:val="20"/>
                <w:lang w:eastAsia="en-GB"/>
              </w:rPr>
            </w:pPr>
            <w:r>
              <w:rPr>
                <w:rFonts w:ascii="Arial" w:hAnsi="Arial" w:cs="Arial"/>
                <w:i/>
                <w:iCs/>
                <w:noProof/>
                <w:color w:val="A5A5A5"/>
                <w:sz w:val="20"/>
                <w:szCs w:val="20"/>
                <w:lang w:eastAsia="en-GB"/>
              </w:rPr>
              <w:t>- dont CCR:</w:t>
            </w:r>
          </w:p>
        </w:tc>
        <w:tc>
          <w:tcPr>
            <w:tcW w:w="1120" w:type="dxa"/>
            <w:tcBorders>
              <w:top w:val="nil"/>
              <w:left w:val="nil"/>
              <w:bottom w:val="single" w:sz="4" w:space="0" w:color="auto"/>
              <w:right w:val="single" w:sz="4" w:space="0" w:color="auto"/>
            </w:tcBorders>
            <w:shd w:val="clear" w:color="000000" w:fill="FFFFFF"/>
            <w:hideMark/>
          </w:tcPr>
          <w:p>
            <w:pPr>
              <w:spacing w:before="0" w:after="0"/>
              <w:rPr>
                <w:rFonts w:ascii="Arial" w:hAnsi="Arial" w:cs="Arial"/>
                <w:i/>
                <w:iCs/>
                <w:noProof/>
                <w:color w:val="A5A5A5"/>
                <w:sz w:val="20"/>
                <w:szCs w:val="20"/>
                <w:lang w:eastAsia="en-GB"/>
              </w:rPr>
            </w:pPr>
            <w:r>
              <w:rPr>
                <w:rFonts w:ascii="Arial" w:hAnsi="Arial" w:cs="Arial"/>
                <w:i/>
                <w:iCs/>
                <w:noProof/>
                <w:color w:val="A5A5A5"/>
                <w:sz w:val="20"/>
                <w:szCs w:val="20"/>
                <w:lang w:eastAsia="en-GB"/>
              </w:rPr>
              <w:t>134</w:t>
            </w:r>
          </w:p>
        </w:tc>
        <w:tc>
          <w:tcPr>
            <w:tcW w:w="1720" w:type="dxa"/>
            <w:tcBorders>
              <w:top w:val="nil"/>
              <w:left w:val="nil"/>
              <w:bottom w:val="single" w:sz="4" w:space="0" w:color="auto"/>
              <w:right w:val="single" w:sz="4" w:space="0" w:color="auto"/>
            </w:tcBorders>
            <w:shd w:val="clear" w:color="000000" w:fill="FFFFFF"/>
            <w:hideMark/>
          </w:tcPr>
          <w:p>
            <w:pPr>
              <w:spacing w:before="0" w:after="0"/>
              <w:rPr>
                <w:rFonts w:ascii="Arial" w:hAnsi="Arial" w:cs="Arial"/>
                <w:i/>
                <w:iCs/>
                <w:noProof/>
                <w:color w:val="A5A5A5"/>
                <w:sz w:val="20"/>
                <w:szCs w:val="20"/>
                <w:lang w:eastAsia="en-GB"/>
              </w:rPr>
            </w:pPr>
            <w:r>
              <w:rPr>
                <w:rFonts w:ascii="Arial" w:hAnsi="Arial" w:cs="Arial"/>
                <w:i/>
                <w:iCs/>
                <w:noProof/>
                <w:color w:val="A5A5A5"/>
                <w:sz w:val="20"/>
                <w:szCs w:val="20"/>
                <w:lang w:eastAsia="en-GB"/>
              </w:rPr>
              <w:t>6</w:t>
            </w:r>
          </w:p>
        </w:tc>
        <w:tc>
          <w:tcPr>
            <w:tcW w:w="2080" w:type="dxa"/>
            <w:tcBorders>
              <w:top w:val="nil"/>
              <w:left w:val="nil"/>
              <w:bottom w:val="single" w:sz="4" w:space="0" w:color="auto"/>
              <w:right w:val="nil"/>
            </w:tcBorders>
            <w:shd w:val="clear" w:color="000000" w:fill="FFFFFF"/>
            <w:hideMark/>
          </w:tcPr>
          <w:p>
            <w:pPr>
              <w:spacing w:before="0" w:after="0"/>
              <w:rPr>
                <w:rFonts w:ascii="Arial" w:hAnsi="Arial" w:cs="Arial"/>
                <w:i/>
                <w:iCs/>
                <w:noProof/>
                <w:color w:val="A5A5A5"/>
                <w:sz w:val="20"/>
                <w:szCs w:val="20"/>
                <w:lang w:eastAsia="en-GB"/>
              </w:rPr>
            </w:pPr>
            <w:r>
              <w:rPr>
                <w:rFonts w:ascii="Arial" w:hAnsi="Arial" w:cs="Arial"/>
                <w:i/>
                <w:iCs/>
                <w:noProof/>
                <w:color w:val="A5A5A5"/>
                <w:sz w:val="20"/>
                <w:szCs w:val="20"/>
                <w:lang w:eastAsia="en-GB"/>
              </w:rPr>
              <w:t>10</w:t>
            </w:r>
          </w:p>
        </w:tc>
        <w:tc>
          <w:tcPr>
            <w:tcW w:w="1120" w:type="dxa"/>
            <w:tcBorders>
              <w:top w:val="single" w:sz="4" w:space="0" w:color="auto"/>
              <w:left w:val="single" w:sz="8" w:space="0" w:color="auto"/>
              <w:bottom w:val="single" w:sz="4" w:space="0" w:color="auto"/>
              <w:right w:val="single" w:sz="8" w:space="0" w:color="auto"/>
            </w:tcBorders>
            <w:shd w:val="clear" w:color="000000" w:fill="FFFFFF"/>
            <w:hideMark/>
          </w:tcPr>
          <w:p>
            <w:pPr>
              <w:spacing w:before="0" w:after="0"/>
              <w:rPr>
                <w:rFonts w:ascii="Arial" w:hAnsi="Arial" w:cs="Arial"/>
                <w:i/>
                <w:iCs/>
                <w:noProof/>
                <w:sz w:val="20"/>
                <w:szCs w:val="20"/>
                <w:lang w:eastAsia="en-GB"/>
              </w:rPr>
            </w:pPr>
            <w:r>
              <w:rPr>
                <w:rFonts w:ascii="Arial" w:hAnsi="Arial" w:cs="Arial"/>
                <w:i/>
                <w:iCs/>
                <w:noProof/>
                <w:sz w:val="20"/>
                <w:szCs w:val="20"/>
                <w:lang w:eastAsia="en-GB"/>
              </w:rPr>
              <w:t>150</w:t>
            </w:r>
          </w:p>
        </w:tc>
      </w:tr>
      <w:tr>
        <w:trPr>
          <w:trHeight w:val="324"/>
        </w:trPr>
        <w:tc>
          <w:tcPr>
            <w:tcW w:w="2840" w:type="dxa"/>
            <w:tcBorders>
              <w:top w:val="nil"/>
              <w:left w:val="single" w:sz="4" w:space="0" w:color="auto"/>
              <w:bottom w:val="single" w:sz="4" w:space="0" w:color="auto"/>
              <w:right w:val="single" w:sz="4" w:space="0" w:color="auto"/>
            </w:tcBorders>
            <w:shd w:val="clear" w:color="auto" w:fill="auto"/>
            <w:hideMark/>
          </w:tcPr>
          <w:p>
            <w:pPr>
              <w:spacing w:before="0" w:after="0"/>
              <w:rPr>
                <w:rFonts w:ascii="Arial" w:hAnsi="Arial" w:cs="Arial"/>
                <w:noProof/>
                <w:sz w:val="20"/>
                <w:szCs w:val="20"/>
                <w:lang w:eastAsia="en-GB"/>
              </w:rPr>
            </w:pPr>
            <w:r>
              <w:rPr>
                <w:rFonts w:ascii="Arial" w:hAnsi="Arial" w:cs="Arial"/>
                <w:noProof/>
                <w:sz w:val="20"/>
                <w:szCs w:val="20"/>
                <w:lang w:eastAsia="en-GB"/>
              </w:rPr>
              <w:t>Conseil</w:t>
            </w:r>
          </w:p>
        </w:tc>
        <w:tc>
          <w:tcPr>
            <w:tcW w:w="11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77</w:t>
            </w:r>
          </w:p>
        </w:tc>
        <w:tc>
          <w:tcPr>
            <w:tcW w:w="17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2080" w:type="dxa"/>
            <w:tcBorders>
              <w:top w:val="nil"/>
              <w:left w:val="nil"/>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20" w:type="dxa"/>
            <w:tcBorders>
              <w:top w:val="nil"/>
              <w:left w:val="single" w:sz="8" w:space="0" w:color="auto"/>
              <w:bottom w:val="single" w:sz="8" w:space="0" w:color="auto"/>
              <w:right w:val="single" w:sz="8"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77</w:t>
            </w:r>
          </w:p>
        </w:tc>
      </w:tr>
      <w:tr>
        <w:trPr>
          <w:trHeight w:val="324"/>
        </w:trPr>
        <w:tc>
          <w:tcPr>
            <w:tcW w:w="2840" w:type="dxa"/>
            <w:tcBorders>
              <w:top w:val="nil"/>
              <w:left w:val="single" w:sz="4" w:space="0" w:color="auto"/>
              <w:bottom w:val="single" w:sz="4" w:space="0" w:color="auto"/>
              <w:right w:val="single" w:sz="4" w:space="0" w:color="auto"/>
            </w:tcBorders>
            <w:shd w:val="clear" w:color="auto" w:fill="auto"/>
            <w:hideMark/>
          </w:tcPr>
          <w:p>
            <w:pPr>
              <w:spacing w:before="0" w:after="0"/>
              <w:rPr>
                <w:rFonts w:ascii="Arial" w:hAnsi="Arial" w:cs="Arial"/>
                <w:noProof/>
                <w:sz w:val="20"/>
                <w:szCs w:val="20"/>
                <w:lang w:eastAsia="en-GB"/>
              </w:rPr>
            </w:pPr>
            <w:r>
              <w:rPr>
                <w:rFonts w:ascii="Arial" w:hAnsi="Arial" w:cs="Arial"/>
                <w:noProof/>
                <w:sz w:val="20"/>
                <w:szCs w:val="20"/>
                <w:lang w:eastAsia="en-GB"/>
              </w:rPr>
              <w:t>Parlement</w:t>
            </w:r>
          </w:p>
        </w:tc>
        <w:tc>
          <w:tcPr>
            <w:tcW w:w="11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7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2080" w:type="dxa"/>
            <w:tcBorders>
              <w:top w:val="nil"/>
              <w:left w:val="nil"/>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20" w:type="dxa"/>
            <w:tcBorders>
              <w:top w:val="nil"/>
              <w:left w:val="single" w:sz="8" w:space="0" w:color="auto"/>
              <w:bottom w:val="single" w:sz="8" w:space="0" w:color="auto"/>
              <w:right w:val="single" w:sz="8"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r>
      <w:tr>
        <w:trPr>
          <w:trHeight w:val="324"/>
        </w:trPr>
        <w:tc>
          <w:tcPr>
            <w:tcW w:w="2840" w:type="dxa"/>
            <w:tcBorders>
              <w:top w:val="nil"/>
              <w:left w:val="single" w:sz="4" w:space="0" w:color="auto"/>
              <w:bottom w:val="single" w:sz="4" w:space="0" w:color="auto"/>
              <w:right w:val="single" w:sz="4" w:space="0" w:color="auto"/>
            </w:tcBorders>
            <w:shd w:val="clear" w:color="auto" w:fill="auto"/>
            <w:hideMark/>
          </w:tcPr>
          <w:p>
            <w:pPr>
              <w:spacing w:before="0" w:after="0"/>
              <w:rPr>
                <w:rFonts w:ascii="Arial" w:hAnsi="Arial" w:cs="Arial"/>
                <w:noProof/>
                <w:sz w:val="20"/>
                <w:szCs w:val="20"/>
                <w:lang w:eastAsia="en-GB"/>
              </w:rPr>
            </w:pPr>
            <w:r>
              <w:rPr>
                <w:rFonts w:ascii="Arial" w:hAnsi="Arial" w:cs="Arial"/>
                <w:noProof/>
                <w:sz w:val="20"/>
                <w:szCs w:val="20"/>
                <w:lang w:eastAsia="en-GB"/>
              </w:rPr>
              <w:t>Cour de justice</w:t>
            </w:r>
          </w:p>
        </w:tc>
        <w:tc>
          <w:tcPr>
            <w:tcW w:w="11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27</w:t>
            </w:r>
          </w:p>
        </w:tc>
        <w:tc>
          <w:tcPr>
            <w:tcW w:w="17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2080" w:type="dxa"/>
            <w:tcBorders>
              <w:top w:val="nil"/>
              <w:left w:val="nil"/>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20" w:type="dxa"/>
            <w:tcBorders>
              <w:top w:val="nil"/>
              <w:left w:val="single" w:sz="8" w:space="0" w:color="auto"/>
              <w:bottom w:val="single" w:sz="8" w:space="0" w:color="auto"/>
              <w:right w:val="single" w:sz="8" w:space="0" w:color="auto"/>
            </w:tcBorders>
            <w:shd w:val="clear" w:color="auto" w:fill="auto"/>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27</w:t>
            </w:r>
          </w:p>
        </w:tc>
      </w:tr>
      <w:tr>
        <w:trPr>
          <w:trHeight w:val="324"/>
        </w:trPr>
        <w:tc>
          <w:tcPr>
            <w:tcW w:w="2840" w:type="dxa"/>
            <w:tcBorders>
              <w:top w:val="nil"/>
              <w:left w:val="single" w:sz="4" w:space="0" w:color="auto"/>
              <w:bottom w:val="single" w:sz="4" w:space="0" w:color="auto"/>
              <w:right w:val="single" w:sz="4" w:space="0" w:color="auto"/>
            </w:tcBorders>
            <w:shd w:val="clear" w:color="000000" w:fill="FFFFFF"/>
            <w:hideMark/>
          </w:tcPr>
          <w:p>
            <w:pPr>
              <w:spacing w:before="0" w:after="0"/>
              <w:jc w:val="left"/>
              <w:rPr>
                <w:rFonts w:ascii="Arial" w:hAnsi="Arial" w:cs="Arial"/>
                <w:noProof/>
                <w:sz w:val="20"/>
                <w:szCs w:val="20"/>
                <w:lang w:eastAsia="en-GB"/>
              </w:rPr>
            </w:pPr>
            <w:r>
              <w:rPr>
                <w:rFonts w:ascii="Arial" w:hAnsi="Arial" w:cs="Arial"/>
                <w:noProof/>
                <w:sz w:val="20"/>
                <w:szCs w:val="20"/>
                <w:lang w:eastAsia="en-GB"/>
              </w:rPr>
              <w:t>Cour des comptes</w:t>
            </w:r>
          </w:p>
        </w:tc>
        <w:tc>
          <w:tcPr>
            <w:tcW w:w="11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17</w:t>
            </w:r>
          </w:p>
        </w:tc>
        <w:tc>
          <w:tcPr>
            <w:tcW w:w="17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2080" w:type="dxa"/>
            <w:tcBorders>
              <w:top w:val="nil"/>
              <w:left w:val="nil"/>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20" w:type="dxa"/>
            <w:tcBorders>
              <w:top w:val="nil"/>
              <w:left w:val="single" w:sz="8" w:space="0" w:color="auto"/>
              <w:bottom w:val="single" w:sz="8" w:space="0" w:color="auto"/>
              <w:right w:val="single" w:sz="8" w:space="0" w:color="auto"/>
            </w:tcBorders>
            <w:shd w:val="clear" w:color="auto" w:fill="auto"/>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17</w:t>
            </w:r>
          </w:p>
        </w:tc>
      </w:tr>
      <w:tr>
        <w:trPr>
          <w:trHeight w:val="324"/>
        </w:trPr>
        <w:tc>
          <w:tcPr>
            <w:tcW w:w="2840" w:type="dxa"/>
            <w:tcBorders>
              <w:top w:val="nil"/>
              <w:left w:val="single" w:sz="4" w:space="0" w:color="auto"/>
              <w:bottom w:val="single" w:sz="4" w:space="0" w:color="auto"/>
              <w:right w:val="single" w:sz="4" w:space="0" w:color="auto"/>
            </w:tcBorders>
            <w:shd w:val="clear" w:color="000000" w:fill="FFFFFF"/>
            <w:hideMark/>
          </w:tcPr>
          <w:p>
            <w:pPr>
              <w:spacing w:before="0" w:after="0"/>
              <w:rPr>
                <w:rFonts w:ascii="Arial" w:hAnsi="Arial" w:cs="Arial"/>
                <w:noProof/>
                <w:sz w:val="20"/>
                <w:szCs w:val="20"/>
                <w:lang w:eastAsia="en-GB"/>
              </w:rPr>
            </w:pPr>
            <w:r>
              <w:rPr>
                <w:rFonts w:ascii="Arial" w:hAnsi="Arial" w:cs="Arial"/>
                <w:noProof/>
                <w:sz w:val="20"/>
                <w:szCs w:val="20"/>
                <w:lang w:eastAsia="en-GB"/>
              </w:rPr>
              <w:t>CESE</w:t>
            </w:r>
          </w:p>
        </w:tc>
        <w:tc>
          <w:tcPr>
            <w:tcW w:w="11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2</w:t>
            </w:r>
          </w:p>
        </w:tc>
        <w:tc>
          <w:tcPr>
            <w:tcW w:w="17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2080" w:type="dxa"/>
            <w:tcBorders>
              <w:top w:val="nil"/>
              <w:left w:val="nil"/>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20" w:type="dxa"/>
            <w:tcBorders>
              <w:top w:val="nil"/>
              <w:left w:val="single" w:sz="8" w:space="0" w:color="auto"/>
              <w:bottom w:val="single" w:sz="8" w:space="0" w:color="auto"/>
              <w:right w:val="single" w:sz="8" w:space="0" w:color="auto"/>
            </w:tcBorders>
            <w:shd w:val="clear" w:color="auto" w:fill="auto"/>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2</w:t>
            </w:r>
          </w:p>
        </w:tc>
      </w:tr>
      <w:tr>
        <w:trPr>
          <w:trHeight w:val="324"/>
        </w:trPr>
        <w:tc>
          <w:tcPr>
            <w:tcW w:w="2840" w:type="dxa"/>
            <w:tcBorders>
              <w:top w:val="nil"/>
              <w:left w:val="single" w:sz="4" w:space="0" w:color="auto"/>
              <w:bottom w:val="single" w:sz="4" w:space="0" w:color="auto"/>
              <w:right w:val="single" w:sz="4" w:space="0" w:color="auto"/>
            </w:tcBorders>
            <w:shd w:val="clear" w:color="auto" w:fill="auto"/>
            <w:hideMark/>
          </w:tcPr>
          <w:p>
            <w:pPr>
              <w:spacing w:before="0" w:after="0"/>
              <w:rPr>
                <w:rFonts w:ascii="Arial" w:hAnsi="Arial" w:cs="Arial"/>
                <w:noProof/>
                <w:sz w:val="20"/>
                <w:szCs w:val="20"/>
                <w:lang w:eastAsia="en-GB"/>
              </w:rPr>
            </w:pPr>
            <w:r>
              <w:rPr>
                <w:rFonts w:ascii="Arial" w:hAnsi="Arial" w:cs="Arial"/>
                <w:noProof/>
                <w:sz w:val="20"/>
                <w:szCs w:val="20"/>
                <w:lang w:eastAsia="en-GB"/>
              </w:rPr>
              <w:t>CdR</w:t>
            </w:r>
          </w:p>
        </w:tc>
        <w:tc>
          <w:tcPr>
            <w:tcW w:w="11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4</w:t>
            </w:r>
          </w:p>
        </w:tc>
        <w:tc>
          <w:tcPr>
            <w:tcW w:w="17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2080" w:type="dxa"/>
            <w:tcBorders>
              <w:top w:val="nil"/>
              <w:left w:val="nil"/>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20" w:type="dxa"/>
            <w:tcBorders>
              <w:top w:val="nil"/>
              <w:left w:val="single" w:sz="8" w:space="0" w:color="auto"/>
              <w:bottom w:val="single" w:sz="8" w:space="0" w:color="auto"/>
              <w:right w:val="single" w:sz="8" w:space="0" w:color="auto"/>
            </w:tcBorders>
            <w:shd w:val="clear" w:color="auto" w:fill="auto"/>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4</w:t>
            </w:r>
          </w:p>
        </w:tc>
      </w:tr>
      <w:tr>
        <w:trPr>
          <w:trHeight w:val="324"/>
        </w:trPr>
        <w:tc>
          <w:tcPr>
            <w:tcW w:w="2840" w:type="dxa"/>
            <w:tcBorders>
              <w:top w:val="nil"/>
              <w:left w:val="single" w:sz="4" w:space="0" w:color="auto"/>
              <w:bottom w:val="single" w:sz="4" w:space="0" w:color="auto"/>
              <w:right w:val="single" w:sz="4" w:space="0" w:color="auto"/>
            </w:tcBorders>
            <w:shd w:val="clear" w:color="000000" w:fill="FFFFFF"/>
            <w:hideMark/>
          </w:tcPr>
          <w:p>
            <w:pPr>
              <w:spacing w:before="0" w:after="0"/>
              <w:rPr>
                <w:rFonts w:ascii="Arial" w:hAnsi="Arial" w:cs="Arial"/>
                <w:noProof/>
                <w:sz w:val="20"/>
                <w:szCs w:val="20"/>
                <w:lang w:eastAsia="en-GB"/>
              </w:rPr>
            </w:pPr>
            <w:r>
              <w:rPr>
                <w:rFonts w:ascii="Arial" w:hAnsi="Arial" w:cs="Arial"/>
                <w:noProof/>
                <w:sz w:val="20"/>
                <w:szCs w:val="20"/>
                <w:lang w:eastAsia="en-GB"/>
              </w:rPr>
              <w:t>CEPD</w:t>
            </w:r>
          </w:p>
        </w:tc>
        <w:tc>
          <w:tcPr>
            <w:tcW w:w="11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7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2080" w:type="dxa"/>
            <w:tcBorders>
              <w:top w:val="nil"/>
              <w:left w:val="nil"/>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20" w:type="dxa"/>
            <w:tcBorders>
              <w:top w:val="nil"/>
              <w:left w:val="single" w:sz="8" w:space="0" w:color="auto"/>
              <w:bottom w:val="single" w:sz="8" w:space="0" w:color="auto"/>
              <w:right w:val="single" w:sz="8" w:space="0" w:color="auto"/>
            </w:tcBorders>
            <w:shd w:val="clear" w:color="auto" w:fill="auto"/>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0</w:t>
            </w:r>
          </w:p>
        </w:tc>
      </w:tr>
      <w:tr>
        <w:trPr>
          <w:trHeight w:val="324"/>
        </w:trPr>
        <w:tc>
          <w:tcPr>
            <w:tcW w:w="2840" w:type="dxa"/>
            <w:tcBorders>
              <w:top w:val="nil"/>
              <w:left w:val="single" w:sz="4" w:space="0" w:color="auto"/>
              <w:bottom w:val="single" w:sz="4" w:space="0" w:color="auto"/>
              <w:right w:val="single" w:sz="4" w:space="0" w:color="auto"/>
            </w:tcBorders>
            <w:shd w:val="clear" w:color="000000" w:fill="FFFFFF"/>
            <w:hideMark/>
          </w:tcPr>
          <w:p>
            <w:pPr>
              <w:spacing w:before="0" w:after="0"/>
              <w:rPr>
                <w:rFonts w:ascii="Arial" w:hAnsi="Arial" w:cs="Arial"/>
                <w:noProof/>
                <w:sz w:val="20"/>
                <w:szCs w:val="20"/>
                <w:lang w:eastAsia="en-GB"/>
              </w:rPr>
            </w:pPr>
            <w:r>
              <w:rPr>
                <w:rFonts w:ascii="Arial" w:hAnsi="Arial" w:cs="Arial"/>
                <w:noProof/>
                <w:sz w:val="20"/>
                <w:szCs w:val="20"/>
                <w:lang w:eastAsia="en-GB"/>
              </w:rPr>
              <w:t>Médiateur</w:t>
            </w:r>
          </w:p>
        </w:tc>
        <w:tc>
          <w:tcPr>
            <w:tcW w:w="11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720" w:type="dxa"/>
            <w:tcBorders>
              <w:top w:val="nil"/>
              <w:left w:val="nil"/>
              <w:bottom w:val="single" w:sz="4" w:space="0" w:color="auto"/>
              <w:right w:val="single" w:sz="4" w:space="0" w:color="auto"/>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2080" w:type="dxa"/>
            <w:tcBorders>
              <w:top w:val="nil"/>
              <w:left w:val="nil"/>
              <w:bottom w:val="single" w:sz="4" w:space="0" w:color="auto"/>
              <w:right w:val="nil"/>
            </w:tcBorders>
            <w:shd w:val="clear" w:color="auto" w:fill="auto"/>
            <w:hideMark/>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20" w:type="dxa"/>
            <w:tcBorders>
              <w:top w:val="nil"/>
              <w:left w:val="single" w:sz="8" w:space="0" w:color="auto"/>
              <w:bottom w:val="single" w:sz="8" w:space="0" w:color="auto"/>
              <w:right w:val="single" w:sz="8" w:space="0" w:color="auto"/>
            </w:tcBorders>
            <w:shd w:val="clear" w:color="auto" w:fill="auto"/>
            <w:hideMark/>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0</w:t>
            </w:r>
          </w:p>
        </w:tc>
      </w:tr>
      <w:tr>
        <w:trPr>
          <w:trHeight w:val="324"/>
        </w:trPr>
        <w:tc>
          <w:tcPr>
            <w:tcW w:w="2840" w:type="dxa"/>
            <w:tcBorders>
              <w:top w:val="nil"/>
              <w:left w:val="single" w:sz="4" w:space="0" w:color="auto"/>
              <w:bottom w:val="single" w:sz="4" w:space="0" w:color="auto"/>
              <w:right w:val="single" w:sz="4" w:space="0" w:color="auto"/>
            </w:tcBorders>
            <w:shd w:val="clear" w:color="000000" w:fill="FFFFFF"/>
          </w:tcPr>
          <w:p>
            <w:pPr>
              <w:spacing w:before="0" w:after="0"/>
              <w:rPr>
                <w:rFonts w:ascii="Arial" w:hAnsi="Arial" w:cs="Arial"/>
                <w:noProof/>
                <w:sz w:val="20"/>
                <w:szCs w:val="20"/>
                <w:lang w:eastAsia="en-GB"/>
              </w:rPr>
            </w:pPr>
            <w:r>
              <w:rPr>
                <w:rFonts w:ascii="Arial" w:hAnsi="Arial" w:cs="Arial"/>
                <w:noProof/>
                <w:sz w:val="20"/>
                <w:szCs w:val="20"/>
                <w:lang w:eastAsia="en-GB"/>
              </w:rPr>
              <w:t>SEAE</w:t>
            </w:r>
          </w:p>
        </w:tc>
        <w:tc>
          <w:tcPr>
            <w:tcW w:w="1120" w:type="dxa"/>
            <w:tcBorders>
              <w:top w:val="single" w:sz="4" w:space="0" w:color="auto"/>
              <w:left w:val="nil"/>
              <w:bottom w:val="single" w:sz="8" w:space="0" w:color="auto"/>
              <w:right w:val="single" w:sz="4" w:space="0" w:color="auto"/>
            </w:tcBorders>
            <w:shd w:val="clear" w:color="auto" w:fill="auto"/>
          </w:tcPr>
          <w:p>
            <w:pPr>
              <w:spacing w:before="0" w:after="0"/>
              <w:jc w:val="right"/>
              <w:rPr>
                <w:rFonts w:ascii="Arial" w:hAnsi="Arial" w:cs="Arial"/>
                <w:noProof/>
                <w:sz w:val="20"/>
                <w:szCs w:val="20"/>
                <w:lang w:eastAsia="en-GB"/>
              </w:rPr>
            </w:pPr>
            <w:r>
              <w:rPr>
                <w:rFonts w:ascii="Arial" w:hAnsi="Arial" w:cs="Arial"/>
                <w:noProof/>
                <w:sz w:val="20"/>
                <w:szCs w:val="20"/>
                <w:lang w:eastAsia="en-GB"/>
              </w:rPr>
              <w:t>29</w:t>
            </w:r>
          </w:p>
        </w:tc>
        <w:tc>
          <w:tcPr>
            <w:tcW w:w="1720" w:type="dxa"/>
            <w:tcBorders>
              <w:top w:val="single" w:sz="4" w:space="0" w:color="auto"/>
              <w:left w:val="nil"/>
              <w:bottom w:val="single" w:sz="8" w:space="0" w:color="auto"/>
              <w:right w:val="single" w:sz="4" w:space="0" w:color="auto"/>
            </w:tcBorders>
            <w:shd w:val="clear" w:color="auto" w:fill="auto"/>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2080" w:type="dxa"/>
            <w:tcBorders>
              <w:top w:val="single" w:sz="4" w:space="0" w:color="auto"/>
              <w:left w:val="nil"/>
              <w:bottom w:val="single" w:sz="8" w:space="0" w:color="auto"/>
              <w:right w:val="nil"/>
            </w:tcBorders>
            <w:shd w:val="clear" w:color="auto" w:fill="auto"/>
          </w:tcPr>
          <w:p>
            <w:pPr>
              <w:spacing w:before="0" w:after="0"/>
              <w:jc w:val="right"/>
              <w:rPr>
                <w:rFonts w:ascii="Arial" w:hAnsi="Arial" w:cs="Arial"/>
                <w:noProof/>
                <w:sz w:val="20"/>
                <w:szCs w:val="20"/>
                <w:lang w:eastAsia="en-GB"/>
              </w:rPr>
            </w:pPr>
            <w:r>
              <w:rPr>
                <w:rFonts w:ascii="Arial" w:hAnsi="Arial" w:cs="Arial"/>
                <w:noProof/>
                <w:sz w:val="20"/>
                <w:szCs w:val="20"/>
                <w:lang w:eastAsia="en-GB"/>
              </w:rPr>
              <w:t>0</w:t>
            </w:r>
          </w:p>
        </w:tc>
        <w:tc>
          <w:tcPr>
            <w:tcW w:w="1120" w:type="dxa"/>
            <w:tcBorders>
              <w:top w:val="nil"/>
              <w:left w:val="single" w:sz="8" w:space="0" w:color="auto"/>
              <w:bottom w:val="single" w:sz="8" w:space="0" w:color="auto"/>
              <w:right w:val="single" w:sz="8" w:space="0" w:color="auto"/>
            </w:tcBorders>
            <w:shd w:val="clear" w:color="auto" w:fill="auto"/>
          </w:tcPr>
          <w:p>
            <w:pPr>
              <w:spacing w:before="0" w:after="0"/>
              <w:jc w:val="right"/>
              <w:rPr>
                <w:rFonts w:ascii="Arial" w:hAnsi="Arial" w:cs="Arial"/>
                <w:b/>
                <w:noProof/>
                <w:color w:val="000000"/>
                <w:sz w:val="20"/>
                <w:szCs w:val="20"/>
                <w:lang w:eastAsia="en-GB"/>
              </w:rPr>
            </w:pPr>
            <w:r>
              <w:rPr>
                <w:rFonts w:ascii="Arial" w:hAnsi="Arial" w:cs="Arial"/>
                <w:b/>
                <w:noProof/>
                <w:color w:val="000000"/>
                <w:sz w:val="20"/>
                <w:szCs w:val="20"/>
                <w:lang w:eastAsia="en-GB"/>
              </w:rPr>
              <w:t>29</w:t>
            </w:r>
          </w:p>
        </w:tc>
      </w:tr>
      <w:tr>
        <w:trPr>
          <w:trHeight w:val="336"/>
        </w:trPr>
        <w:tc>
          <w:tcPr>
            <w:tcW w:w="2840" w:type="dxa"/>
            <w:tcBorders>
              <w:top w:val="nil"/>
              <w:left w:val="single" w:sz="8" w:space="0" w:color="auto"/>
              <w:bottom w:val="single" w:sz="8" w:space="0" w:color="auto"/>
              <w:right w:val="single" w:sz="8" w:space="0" w:color="auto"/>
            </w:tcBorders>
            <w:shd w:val="clear" w:color="auto" w:fill="auto"/>
            <w:hideMark/>
          </w:tcPr>
          <w:p>
            <w:pPr>
              <w:spacing w:before="0" w:after="0"/>
              <w:rPr>
                <w:rFonts w:ascii="Arial" w:hAnsi="Arial" w:cs="Arial"/>
                <w:b/>
                <w:bCs/>
                <w:noProof/>
                <w:color w:val="000000"/>
                <w:sz w:val="20"/>
                <w:szCs w:val="20"/>
                <w:lang w:eastAsia="en-GB"/>
              </w:rPr>
            </w:pPr>
            <w:r>
              <w:rPr>
                <w:rFonts w:ascii="Arial" w:hAnsi="Arial" w:cs="Arial"/>
                <w:b/>
                <w:bCs/>
                <w:noProof/>
                <w:color w:val="000000"/>
                <w:sz w:val="20"/>
                <w:szCs w:val="20"/>
                <w:lang w:eastAsia="en-GB"/>
              </w:rPr>
              <w:t>Total</w:t>
            </w:r>
          </w:p>
        </w:tc>
        <w:tc>
          <w:tcPr>
            <w:tcW w:w="1120" w:type="dxa"/>
            <w:tcBorders>
              <w:top w:val="single" w:sz="8" w:space="0" w:color="auto"/>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555</w:t>
            </w:r>
          </w:p>
        </w:tc>
        <w:tc>
          <w:tcPr>
            <w:tcW w:w="1720" w:type="dxa"/>
            <w:tcBorders>
              <w:top w:val="single" w:sz="8" w:space="0" w:color="auto"/>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6</w:t>
            </w:r>
          </w:p>
        </w:tc>
        <w:tc>
          <w:tcPr>
            <w:tcW w:w="2080" w:type="dxa"/>
            <w:tcBorders>
              <w:top w:val="single" w:sz="8" w:space="0" w:color="auto"/>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11</w:t>
            </w:r>
          </w:p>
        </w:tc>
        <w:tc>
          <w:tcPr>
            <w:tcW w:w="1120" w:type="dxa"/>
            <w:tcBorders>
              <w:top w:val="nil"/>
              <w:left w:val="nil"/>
              <w:bottom w:val="single" w:sz="8" w:space="0" w:color="auto"/>
              <w:right w:val="single" w:sz="8" w:space="0" w:color="auto"/>
            </w:tcBorders>
            <w:shd w:val="clear" w:color="auto" w:fill="auto"/>
            <w:hideMark/>
          </w:tcPr>
          <w:p>
            <w:pPr>
              <w:spacing w:before="0" w:after="0"/>
              <w:jc w:val="right"/>
              <w:rPr>
                <w:rFonts w:ascii="Arial" w:hAnsi="Arial" w:cs="Arial"/>
                <w:b/>
                <w:bCs/>
                <w:noProof/>
                <w:color w:val="000000"/>
                <w:sz w:val="20"/>
                <w:szCs w:val="20"/>
                <w:lang w:eastAsia="en-GB"/>
              </w:rPr>
            </w:pPr>
            <w:r>
              <w:rPr>
                <w:rFonts w:ascii="Arial" w:hAnsi="Arial" w:cs="Arial"/>
                <w:b/>
                <w:bCs/>
                <w:noProof/>
                <w:color w:val="000000"/>
                <w:sz w:val="20"/>
                <w:szCs w:val="20"/>
                <w:lang w:eastAsia="en-GB"/>
              </w:rPr>
              <w:t>572</w:t>
            </w:r>
          </w:p>
        </w:tc>
      </w:tr>
    </w:tbl>
    <w:p>
      <w:pPr>
        <w:rPr>
          <w:noProof/>
          <w:lang w:val="fr-BE"/>
        </w:rPr>
      </w:pPr>
    </w:p>
    <w:p>
      <w:pPr>
        <w:pStyle w:val="Heading2"/>
        <w:numPr>
          <w:ilvl w:val="0"/>
          <w:numId w:val="0"/>
        </w:numPr>
        <w:spacing w:before="0" w:after="0"/>
        <w:rPr>
          <w:noProof/>
          <w:lang w:val="fr-BE"/>
        </w:rPr>
      </w:pPr>
      <w:r>
        <w:rPr>
          <w:noProof/>
          <w:lang w:val="fr-BE"/>
        </w:rPr>
        <w:t>2.3.</w:t>
      </w:r>
      <w:r>
        <w:rPr>
          <w:noProof/>
          <w:lang w:val="fr-BE"/>
        </w:rPr>
        <w:tab/>
        <w:t>Nombre de bénéficiaires par affectation</w:t>
      </w:r>
    </w:p>
    <w:tbl>
      <w:tblPr>
        <w:tblW w:w="9654" w:type="dxa"/>
        <w:tblInd w:w="93" w:type="dxa"/>
        <w:tblLayout w:type="fixed"/>
        <w:tblLook w:val="0000" w:firstRow="0" w:lastRow="0" w:firstColumn="0" w:lastColumn="0" w:noHBand="0" w:noVBand="0"/>
      </w:tblPr>
      <w:tblGrid>
        <w:gridCol w:w="1858"/>
        <w:gridCol w:w="709"/>
        <w:gridCol w:w="1276"/>
        <w:gridCol w:w="1417"/>
        <w:gridCol w:w="1134"/>
        <w:gridCol w:w="709"/>
        <w:gridCol w:w="850"/>
        <w:gridCol w:w="851"/>
        <w:gridCol w:w="850"/>
      </w:tblGrid>
      <w:tr>
        <w:trPr>
          <w:trHeight w:val="645"/>
        </w:trPr>
        <w:tc>
          <w:tcPr>
            <w:tcW w:w="1858" w:type="dxa"/>
            <w:tcBorders>
              <w:top w:val="single" w:sz="4" w:space="0" w:color="auto"/>
              <w:left w:val="single" w:sz="4" w:space="0" w:color="auto"/>
              <w:bottom w:val="single" w:sz="4" w:space="0" w:color="auto"/>
              <w:right w:val="single" w:sz="8" w:space="0" w:color="auto"/>
            </w:tcBorders>
            <w:shd w:val="clear" w:color="auto" w:fill="auto"/>
            <w:vAlign w:val="center"/>
          </w:tcPr>
          <w:p>
            <w:pPr>
              <w:spacing w:before="0" w:after="0"/>
              <w:jc w:val="center"/>
              <w:rPr>
                <w:rFonts w:ascii="Arial" w:hAnsi="Arial" w:cs="Arial"/>
                <w:b/>
                <w:bCs/>
                <w:noProof/>
                <w:sz w:val="20"/>
                <w:szCs w:val="20"/>
              </w:rPr>
            </w:pPr>
            <w:r>
              <w:rPr>
                <w:rFonts w:ascii="Arial" w:hAnsi="Arial" w:cs="Arial"/>
                <w:b/>
                <w:bCs/>
                <w:noProof/>
                <w:sz w:val="20"/>
                <w:szCs w:val="20"/>
              </w:rPr>
              <w:t>Institution</w:t>
            </w:r>
          </w:p>
        </w:tc>
        <w:tc>
          <w:tcPr>
            <w:tcW w:w="709" w:type="dxa"/>
            <w:tcBorders>
              <w:top w:val="single" w:sz="4" w:space="0" w:color="auto"/>
              <w:left w:val="nil"/>
              <w:bottom w:val="single" w:sz="4" w:space="0" w:color="auto"/>
              <w:right w:val="single" w:sz="8" w:space="0" w:color="auto"/>
            </w:tcBorders>
            <w:shd w:val="clear" w:color="auto" w:fill="auto"/>
            <w:vAlign w:val="center"/>
          </w:tcPr>
          <w:p>
            <w:pPr>
              <w:spacing w:before="0" w:after="0"/>
              <w:jc w:val="center"/>
              <w:rPr>
                <w:rFonts w:ascii="Arial" w:hAnsi="Arial" w:cs="Arial"/>
                <w:b/>
                <w:bCs/>
                <w:noProof/>
                <w:sz w:val="20"/>
                <w:szCs w:val="20"/>
              </w:rPr>
            </w:pPr>
            <w:r>
              <w:rPr>
                <w:rFonts w:ascii="Arial" w:hAnsi="Arial" w:cs="Arial"/>
                <w:b/>
                <w:bCs/>
                <w:noProof/>
                <w:sz w:val="20"/>
                <w:szCs w:val="20"/>
              </w:rPr>
              <w:t>CCR</w:t>
            </w:r>
          </w:p>
        </w:tc>
        <w:tc>
          <w:tcPr>
            <w:tcW w:w="1276" w:type="dxa"/>
            <w:tcBorders>
              <w:top w:val="single" w:sz="4" w:space="0" w:color="auto"/>
              <w:left w:val="nil"/>
              <w:bottom w:val="single" w:sz="4" w:space="0" w:color="auto"/>
              <w:right w:val="single" w:sz="8" w:space="0" w:color="auto"/>
            </w:tcBorders>
            <w:shd w:val="clear" w:color="auto" w:fill="auto"/>
            <w:vAlign w:val="center"/>
          </w:tcPr>
          <w:p>
            <w:pPr>
              <w:spacing w:before="0" w:after="0"/>
              <w:jc w:val="center"/>
              <w:rPr>
                <w:rFonts w:ascii="Arial" w:hAnsi="Arial" w:cs="Arial"/>
                <w:b/>
                <w:bCs/>
                <w:noProof/>
                <w:sz w:val="20"/>
                <w:szCs w:val="20"/>
              </w:rPr>
            </w:pPr>
            <w:r>
              <w:rPr>
                <w:rFonts w:ascii="Arial" w:hAnsi="Arial" w:cs="Arial"/>
                <w:b/>
                <w:bCs/>
                <w:noProof/>
                <w:sz w:val="20"/>
                <w:szCs w:val="20"/>
              </w:rPr>
              <w:t>Actions indirectes</w:t>
            </w:r>
          </w:p>
        </w:tc>
        <w:tc>
          <w:tcPr>
            <w:tcW w:w="1417" w:type="dxa"/>
            <w:tcBorders>
              <w:top w:val="single" w:sz="4" w:space="0" w:color="auto"/>
              <w:left w:val="nil"/>
              <w:bottom w:val="single" w:sz="4" w:space="0" w:color="auto"/>
              <w:right w:val="single" w:sz="8" w:space="0" w:color="auto"/>
            </w:tcBorders>
            <w:shd w:val="clear" w:color="auto" w:fill="auto"/>
            <w:vAlign w:val="center"/>
          </w:tcPr>
          <w:p>
            <w:pPr>
              <w:spacing w:before="0" w:after="0"/>
              <w:jc w:val="center"/>
              <w:rPr>
                <w:rFonts w:ascii="Arial" w:hAnsi="Arial" w:cs="Arial"/>
                <w:b/>
                <w:bCs/>
                <w:noProof/>
                <w:sz w:val="20"/>
                <w:szCs w:val="20"/>
              </w:rPr>
            </w:pPr>
            <w:r>
              <w:rPr>
                <w:rFonts w:ascii="Arial" w:hAnsi="Arial" w:cs="Arial"/>
                <w:b/>
                <w:bCs/>
                <w:noProof/>
                <w:sz w:val="20"/>
                <w:szCs w:val="20"/>
              </w:rPr>
              <w:t>Installations techniques</w:t>
            </w:r>
          </w:p>
        </w:tc>
        <w:tc>
          <w:tcPr>
            <w:tcW w:w="1134" w:type="dxa"/>
            <w:tcBorders>
              <w:top w:val="single" w:sz="4" w:space="0" w:color="auto"/>
              <w:left w:val="nil"/>
              <w:bottom w:val="single" w:sz="4" w:space="0" w:color="auto"/>
              <w:right w:val="single" w:sz="8" w:space="0" w:color="auto"/>
            </w:tcBorders>
            <w:shd w:val="clear" w:color="auto" w:fill="auto"/>
            <w:vAlign w:val="center"/>
          </w:tcPr>
          <w:p>
            <w:pPr>
              <w:spacing w:before="0" w:after="0"/>
              <w:jc w:val="center"/>
              <w:rPr>
                <w:rFonts w:ascii="Arial" w:hAnsi="Arial" w:cs="Arial"/>
                <w:b/>
                <w:bCs/>
                <w:noProof/>
                <w:sz w:val="20"/>
                <w:szCs w:val="20"/>
              </w:rPr>
            </w:pPr>
            <w:r>
              <w:rPr>
                <w:rFonts w:ascii="Arial" w:hAnsi="Arial" w:cs="Arial"/>
                <w:b/>
                <w:bCs/>
                <w:noProof/>
                <w:sz w:val="20"/>
                <w:szCs w:val="20"/>
              </w:rPr>
              <w:t>Sécurité</w:t>
            </w:r>
          </w:p>
        </w:tc>
        <w:tc>
          <w:tcPr>
            <w:tcW w:w="709" w:type="dxa"/>
            <w:tcBorders>
              <w:top w:val="single" w:sz="4" w:space="0" w:color="auto"/>
              <w:left w:val="nil"/>
              <w:bottom w:val="single" w:sz="4" w:space="0" w:color="auto"/>
              <w:right w:val="single" w:sz="8" w:space="0" w:color="auto"/>
            </w:tcBorders>
            <w:shd w:val="clear" w:color="auto" w:fill="auto"/>
            <w:vAlign w:val="center"/>
          </w:tcPr>
          <w:p>
            <w:pPr>
              <w:spacing w:before="0" w:after="0"/>
              <w:jc w:val="center"/>
              <w:rPr>
                <w:rFonts w:ascii="Arial" w:hAnsi="Arial" w:cs="Arial"/>
                <w:b/>
                <w:bCs/>
                <w:noProof/>
                <w:sz w:val="20"/>
                <w:szCs w:val="20"/>
              </w:rPr>
            </w:pPr>
            <w:r>
              <w:rPr>
                <w:rFonts w:ascii="Arial" w:hAnsi="Arial" w:cs="Arial"/>
                <w:b/>
                <w:bCs/>
                <w:noProof/>
                <w:sz w:val="20"/>
                <w:szCs w:val="20"/>
              </w:rPr>
              <w:t>TIC</w:t>
            </w:r>
          </w:p>
        </w:tc>
        <w:tc>
          <w:tcPr>
            <w:tcW w:w="850" w:type="dxa"/>
            <w:tcBorders>
              <w:top w:val="single" w:sz="4" w:space="0" w:color="auto"/>
              <w:left w:val="nil"/>
              <w:bottom w:val="single" w:sz="4" w:space="0" w:color="auto"/>
              <w:right w:val="single" w:sz="8" w:space="0" w:color="auto"/>
            </w:tcBorders>
            <w:shd w:val="clear" w:color="auto" w:fill="auto"/>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PESC/</w:t>
            </w:r>
            <w:r>
              <w:rPr>
                <w:rFonts w:ascii="Arial" w:hAnsi="Arial" w:cs="Arial"/>
                <w:b/>
                <w:bCs/>
                <w:noProof/>
                <w:sz w:val="20"/>
                <w:szCs w:val="20"/>
                <w:lang w:val="fr-BE"/>
              </w:rPr>
              <w:br/>
              <w:t>PESD</w:t>
            </w:r>
          </w:p>
        </w:tc>
        <w:tc>
          <w:tcPr>
            <w:tcW w:w="851" w:type="dxa"/>
            <w:tcBorders>
              <w:top w:val="single" w:sz="8" w:space="0" w:color="auto"/>
              <w:left w:val="nil"/>
              <w:bottom w:val="single" w:sz="4" w:space="0" w:color="auto"/>
              <w:right w:val="single" w:sz="8" w:space="0" w:color="auto"/>
            </w:tcBorders>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EM 24/7</w:t>
            </w:r>
          </w:p>
        </w:tc>
        <w:tc>
          <w:tcPr>
            <w:tcW w:w="850" w:type="dxa"/>
            <w:tcBorders>
              <w:top w:val="single" w:sz="8" w:space="0" w:color="auto"/>
              <w:left w:val="single" w:sz="8" w:space="0" w:color="auto"/>
              <w:bottom w:val="single" w:sz="8" w:space="0" w:color="auto"/>
              <w:right w:val="single" w:sz="8" w:space="0" w:color="auto"/>
            </w:tcBorders>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Total</w:t>
            </w:r>
          </w:p>
        </w:tc>
      </w:tr>
      <w:tr>
        <w:trPr>
          <w:trHeight w:val="274"/>
        </w:trPr>
        <w:tc>
          <w:tcPr>
            <w:tcW w:w="1858" w:type="dxa"/>
            <w:tcBorders>
              <w:top w:val="single" w:sz="4" w:space="0" w:color="auto"/>
              <w:left w:val="single" w:sz="4" w:space="0" w:color="auto"/>
              <w:bottom w:val="single" w:sz="4" w:space="0" w:color="auto"/>
              <w:right w:val="single" w:sz="4" w:space="0" w:color="auto"/>
            </w:tcBorders>
            <w:shd w:val="clear" w:color="auto" w:fill="FFFFFF"/>
          </w:tcPr>
          <w:p>
            <w:pPr>
              <w:spacing w:before="0" w:after="0"/>
              <w:jc w:val="left"/>
              <w:rPr>
                <w:rFonts w:ascii="Arial" w:hAnsi="Arial" w:cs="Arial"/>
                <w:noProof/>
                <w:sz w:val="20"/>
                <w:szCs w:val="20"/>
                <w:lang w:val="fr-BE"/>
              </w:rPr>
            </w:pPr>
            <w:r>
              <w:rPr>
                <w:rFonts w:ascii="Arial" w:hAnsi="Arial" w:cs="Arial"/>
                <w:noProof/>
                <w:sz w:val="20"/>
                <w:szCs w:val="20"/>
                <w:lang w:val="fr-BE"/>
              </w:rPr>
              <w:t>Commission</w:t>
            </w:r>
          </w:p>
        </w:tc>
        <w:tc>
          <w:tcPr>
            <w:tcW w:w="709" w:type="dxa"/>
            <w:tcBorders>
              <w:top w:val="single" w:sz="4" w:space="0" w:color="auto"/>
              <w:left w:val="nil"/>
              <w:bottom w:val="single" w:sz="4" w:space="0" w:color="auto"/>
              <w:right w:val="single" w:sz="4" w:space="0" w:color="auto"/>
            </w:tcBorders>
            <w:shd w:val="clear" w:color="auto" w:fill="FFFFFF"/>
          </w:tcPr>
          <w:p>
            <w:pPr>
              <w:spacing w:before="0" w:after="0"/>
              <w:jc w:val="right"/>
              <w:rPr>
                <w:rFonts w:ascii="Arial" w:hAnsi="Arial" w:cs="Arial"/>
                <w:noProof/>
                <w:sz w:val="20"/>
                <w:szCs w:val="20"/>
                <w:lang w:val="fr-BE"/>
              </w:rPr>
            </w:pPr>
            <w:r>
              <w:rPr>
                <w:rFonts w:ascii="Arial" w:hAnsi="Arial" w:cs="Arial"/>
                <w:noProof/>
                <w:sz w:val="20"/>
                <w:szCs w:val="20"/>
                <w:lang w:val="fr-BE"/>
              </w:rPr>
              <w:t>150</w:t>
            </w:r>
          </w:p>
        </w:tc>
        <w:tc>
          <w:tcPr>
            <w:tcW w:w="1276" w:type="dxa"/>
            <w:tcBorders>
              <w:top w:val="single" w:sz="4" w:space="0" w:color="auto"/>
              <w:left w:val="nil"/>
              <w:bottom w:val="single" w:sz="4" w:space="0" w:color="auto"/>
              <w:right w:val="single" w:sz="4" w:space="0" w:color="auto"/>
            </w:tcBorders>
            <w:shd w:val="clear" w:color="auto" w:fill="FFFFFF"/>
          </w:tcPr>
          <w:p>
            <w:pPr>
              <w:spacing w:before="0" w:after="0"/>
              <w:jc w:val="right"/>
              <w:rPr>
                <w:rFonts w:ascii="Arial" w:hAnsi="Arial" w:cs="Arial"/>
                <w:noProof/>
                <w:sz w:val="20"/>
                <w:szCs w:val="20"/>
                <w:lang w:val="fr-BE"/>
              </w:rPr>
            </w:pPr>
            <w:r>
              <w:rPr>
                <w:rFonts w:ascii="Arial" w:hAnsi="Arial" w:cs="Arial"/>
                <w:noProof/>
                <w:sz w:val="20"/>
                <w:szCs w:val="20"/>
                <w:lang w:val="fr-BE"/>
              </w:rPr>
              <w:t>2</w:t>
            </w:r>
          </w:p>
        </w:tc>
        <w:tc>
          <w:tcPr>
            <w:tcW w:w="1417" w:type="dxa"/>
            <w:tcBorders>
              <w:top w:val="single" w:sz="4" w:space="0" w:color="auto"/>
              <w:left w:val="nil"/>
              <w:bottom w:val="single" w:sz="4" w:space="0" w:color="auto"/>
              <w:right w:val="single" w:sz="4" w:space="0" w:color="auto"/>
            </w:tcBorders>
            <w:shd w:val="clear" w:color="auto" w:fill="FFFFFF"/>
          </w:tcPr>
          <w:p>
            <w:pPr>
              <w:spacing w:before="0" w:after="0"/>
              <w:jc w:val="right"/>
              <w:rPr>
                <w:rFonts w:ascii="Arial" w:hAnsi="Arial" w:cs="Arial"/>
                <w:noProof/>
                <w:sz w:val="20"/>
                <w:szCs w:val="20"/>
                <w:lang w:val="fr-BE"/>
              </w:rPr>
            </w:pPr>
            <w:r>
              <w:rPr>
                <w:rFonts w:ascii="Arial" w:hAnsi="Arial" w:cs="Arial"/>
                <w:noProof/>
                <w:sz w:val="20"/>
                <w:szCs w:val="20"/>
                <w:lang w:val="fr-BE"/>
              </w:rPr>
              <w:t>70</w:t>
            </w:r>
          </w:p>
        </w:tc>
        <w:tc>
          <w:tcPr>
            <w:tcW w:w="1134" w:type="dxa"/>
            <w:tcBorders>
              <w:top w:val="single" w:sz="4" w:space="0" w:color="auto"/>
              <w:left w:val="nil"/>
              <w:bottom w:val="single" w:sz="4" w:space="0" w:color="auto"/>
              <w:right w:val="single" w:sz="4" w:space="0" w:color="auto"/>
            </w:tcBorders>
            <w:shd w:val="clear" w:color="auto" w:fill="FFFFFF"/>
          </w:tcPr>
          <w:p>
            <w:pPr>
              <w:spacing w:before="0" w:after="0"/>
              <w:jc w:val="right"/>
              <w:rPr>
                <w:rFonts w:ascii="Arial" w:hAnsi="Arial" w:cs="Arial"/>
                <w:noProof/>
                <w:sz w:val="20"/>
                <w:szCs w:val="20"/>
                <w:lang w:val="fr-BE"/>
              </w:rPr>
            </w:pPr>
            <w:r>
              <w:rPr>
                <w:rFonts w:ascii="Arial" w:hAnsi="Arial" w:cs="Arial"/>
                <w:noProof/>
                <w:sz w:val="20"/>
                <w:szCs w:val="20"/>
                <w:lang w:val="fr-BE"/>
              </w:rPr>
              <w:t>41</w:t>
            </w:r>
          </w:p>
        </w:tc>
        <w:tc>
          <w:tcPr>
            <w:tcW w:w="709" w:type="dxa"/>
            <w:tcBorders>
              <w:top w:val="single" w:sz="4" w:space="0" w:color="auto"/>
              <w:left w:val="nil"/>
              <w:bottom w:val="single" w:sz="4" w:space="0" w:color="auto"/>
              <w:right w:val="single" w:sz="4" w:space="0" w:color="auto"/>
            </w:tcBorders>
            <w:shd w:val="clear" w:color="auto" w:fill="FFFFFF"/>
          </w:tcPr>
          <w:p>
            <w:pPr>
              <w:spacing w:before="0" w:after="0"/>
              <w:jc w:val="right"/>
              <w:rPr>
                <w:rFonts w:ascii="Arial" w:hAnsi="Arial" w:cs="Arial"/>
                <w:noProof/>
                <w:sz w:val="20"/>
                <w:szCs w:val="20"/>
                <w:lang w:val="fr-BE"/>
              </w:rPr>
            </w:pPr>
            <w:r>
              <w:rPr>
                <w:rFonts w:ascii="Arial" w:hAnsi="Arial" w:cs="Arial"/>
                <w:noProof/>
                <w:sz w:val="20"/>
                <w:szCs w:val="20"/>
                <w:lang w:val="fr-BE"/>
              </w:rPr>
              <w:t>103</w:t>
            </w:r>
          </w:p>
        </w:tc>
        <w:tc>
          <w:tcPr>
            <w:tcW w:w="850" w:type="dxa"/>
            <w:tcBorders>
              <w:top w:val="single" w:sz="4" w:space="0" w:color="auto"/>
              <w:left w:val="nil"/>
              <w:bottom w:val="single" w:sz="4" w:space="0" w:color="auto"/>
              <w:right w:val="single" w:sz="4" w:space="0" w:color="auto"/>
            </w:tcBorders>
            <w:shd w:val="clear" w:color="auto" w:fill="FFFFFF"/>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851" w:type="dxa"/>
            <w:tcBorders>
              <w:top w:val="single" w:sz="4" w:space="0" w:color="auto"/>
              <w:left w:val="single" w:sz="4" w:space="0" w:color="auto"/>
              <w:bottom w:val="single" w:sz="4" w:space="0" w:color="auto"/>
              <w:right w:val="single" w:sz="8" w:space="0" w:color="auto"/>
            </w:tcBorders>
            <w:shd w:val="clear" w:color="auto" w:fill="FFFFFF"/>
          </w:tcPr>
          <w:p>
            <w:pPr>
              <w:spacing w:before="0" w:after="0"/>
              <w:jc w:val="right"/>
              <w:rPr>
                <w:rFonts w:ascii="Arial" w:hAnsi="Arial" w:cs="Arial"/>
                <w:noProof/>
                <w:sz w:val="20"/>
                <w:szCs w:val="20"/>
                <w:lang w:val="fr-BE"/>
              </w:rPr>
            </w:pPr>
            <w:r>
              <w:rPr>
                <w:rFonts w:ascii="Arial" w:hAnsi="Arial" w:cs="Arial"/>
                <w:noProof/>
                <w:sz w:val="20"/>
                <w:szCs w:val="20"/>
                <w:lang w:val="fr-BE"/>
              </w:rPr>
              <w:t>50</w:t>
            </w:r>
          </w:p>
        </w:tc>
        <w:tc>
          <w:tcPr>
            <w:tcW w:w="850" w:type="dxa"/>
            <w:tcBorders>
              <w:top w:val="single" w:sz="8" w:space="0" w:color="auto"/>
              <w:left w:val="single" w:sz="8" w:space="0" w:color="auto"/>
              <w:bottom w:val="single" w:sz="8" w:space="0" w:color="auto"/>
              <w:right w:val="single" w:sz="8" w:space="0" w:color="auto"/>
            </w:tcBorders>
            <w:shd w:val="clear" w:color="auto" w:fill="FFFFFF"/>
          </w:tcPr>
          <w:p>
            <w:pPr>
              <w:spacing w:before="0" w:after="0"/>
              <w:jc w:val="right"/>
              <w:rPr>
                <w:rFonts w:ascii="Arial" w:hAnsi="Arial" w:cs="Arial"/>
                <w:b/>
                <w:noProof/>
                <w:sz w:val="20"/>
                <w:szCs w:val="20"/>
                <w:lang w:val="fr-BE"/>
              </w:rPr>
            </w:pPr>
            <w:r>
              <w:rPr>
                <w:rFonts w:ascii="Arial" w:hAnsi="Arial" w:cs="Arial"/>
                <w:b/>
                <w:noProof/>
                <w:sz w:val="20"/>
                <w:szCs w:val="20"/>
                <w:lang w:val="fr-BE"/>
              </w:rPr>
              <w:t>416</w:t>
            </w:r>
          </w:p>
        </w:tc>
      </w:tr>
      <w:tr>
        <w:trPr>
          <w:trHeight w:val="214"/>
        </w:trPr>
        <w:tc>
          <w:tcPr>
            <w:tcW w:w="1858" w:type="dxa"/>
            <w:tcBorders>
              <w:top w:val="nil"/>
              <w:left w:val="single" w:sz="4" w:space="0" w:color="auto"/>
              <w:bottom w:val="single" w:sz="4" w:space="0" w:color="auto"/>
              <w:right w:val="single" w:sz="4" w:space="0" w:color="auto"/>
            </w:tcBorders>
            <w:shd w:val="clear" w:color="auto" w:fill="FFFFFF"/>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 dont CCR:</w:t>
            </w:r>
          </w:p>
        </w:tc>
        <w:tc>
          <w:tcPr>
            <w:tcW w:w="709" w:type="dxa"/>
            <w:tcBorders>
              <w:top w:val="nil"/>
              <w:left w:val="nil"/>
              <w:bottom w:val="single" w:sz="4" w:space="0" w:color="auto"/>
              <w:right w:val="single" w:sz="4" w:space="0" w:color="auto"/>
            </w:tcBorders>
            <w:shd w:val="clear" w:color="auto" w:fill="FFFFFF"/>
          </w:tcPr>
          <w:p>
            <w:pPr>
              <w:spacing w:before="0" w:after="0"/>
              <w:rPr>
                <w:rFonts w:ascii="Arial" w:hAnsi="Arial" w:cs="Arial"/>
                <w:i/>
                <w:iCs/>
                <w:noProof/>
                <w:color w:val="808080"/>
                <w:sz w:val="20"/>
                <w:szCs w:val="20"/>
                <w:lang w:val="fr-BE"/>
              </w:rPr>
            </w:pPr>
            <w:r>
              <w:rPr>
                <w:rFonts w:ascii="Arial" w:hAnsi="Arial" w:cs="Arial"/>
                <w:i/>
                <w:iCs/>
                <w:noProof/>
                <w:color w:val="808080"/>
                <w:sz w:val="20"/>
                <w:szCs w:val="20"/>
                <w:lang w:val="fr-BE"/>
              </w:rPr>
              <w:t>150</w:t>
            </w:r>
          </w:p>
        </w:tc>
        <w:tc>
          <w:tcPr>
            <w:tcW w:w="1276" w:type="dxa"/>
            <w:tcBorders>
              <w:top w:val="nil"/>
              <w:left w:val="nil"/>
              <w:bottom w:val="single" w:sz="4" w:space="0" w:color="auto"/>
              <w:right w:val="single" w:sz="4" w:space="0" w:color="auto"/>
            </w:tcBorders>
            <w:shd w:val="clear" w:color="auto" w:fill="FFFFFF"/>
          </w:tcPr>
          <w:p>
            <w:pPr>
              <w:spacing w:before="0" w:after="0"/>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1417" w:type="dxa"/>
            <w:tcBorders>
              <w:top w:val="nil"/>
              <w:left w:val="nil"/>
              <w:bottom w:val="single" w:sz="4" w:space="0" w:color="auto"/>
              <w:right w:val="single" w:sz="4" w:space="0" w:color="auto"/>
            </w:tcBorders>
            <w:shd w:val="clear" w:color="auto" w:fill="FFFFFF"/>
          </w:tcPr>
          <w:p>
            <w:pPr>
              <w:spacing w:before="0" w:after="0"/>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1134" w:type="dxa"/>
            <w:tcBorders>
              <w:top w:val="nil"/>
              <w:left w:val="nil"/>
              <w:bottom w:val="single" w:sz="4" w:space="0" w:color="auto"/>
              <w:right w:val="single" w:sz="4" w:space="0" w:color="auto"/>
            </w:tcBorders>
            <w:shd w:val="clear" w:color="auto" w:fill="FFFFFF"/>
          </w:tcPr>
          <w:p>
            <w:pPr>
              <w:spacing w:before="0" w:after="0"/>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709" w:type="dxa"/>
            <w:tcBorders>
              <w:top w:val="nil"/>
              <w:left w:val="nil"/>
              <w:bottom w:val="single" w:sz="4" w:space="0" w:color="auto"/>
              <w:right w:val="single" w:sz="4" w:space="0" w:color="auto"/>
            </w:tcBorders>
            <w:shd w:val="clear" w:color="auto" w:fill="FFFFFF"/>
          </w:tcPr>
          <w:p>
            <w:pPr>
              <w:spacing w:before="0" w:after="0"/>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850" w:type="dxa"/>
            <w:tcBorders>
              <w:top w:val="nil"/>
              <w:left w:val="nil"/>
              <w:bottom w:val="single" w:sz="4" w:space="0" w:color="auto"/>
              <w:right w:val="single" w:sz="4" w:space="0" w:color="auto"/>
            </w:tcBorders>
            <w:shd w:val="clear" w:color="auto" w:fill="FFFFFF"/>
          </w:tcPr>
          <w:p>
            <w:pPr>
              <w:spacing w:before="0" w:after="0"/>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851" w:type="dxa"/>
            <w:tcBorders>
              <w:top w:val="single" w:sz="4" w:space="0" w:color="auto"/>
              <w:left w:val="single" w:sz="4" w:space="0" w:color="auto"/>
              <w:bottom w:val="single" w:sz="4" w:space="0" w:color="auto"/>
              <w:right w:val="single" w:sz="8" w:space="0" w:color="auto"/>
            </w:tcBorders>
            <w:shd w:val="clear" w:color="auto" w:fill="FFFFFF"/>
          </w:tcPr>
          <w:p>
            <w:pPr>
              <w:spacing w:before="0" w:after="0"/>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850" w:type="dxa"/>
            <w:tcBorders>
              <w:top w:val="single" w:sz="8" w:space="0" w:color="auto"/>
              <w:left w:val="single" w:sz="8" w:space="0" w:color="auto"/>
              <w:bottom w:val="single" w:sz="8" w:space="0" w:color="auto"/>
              <w:right w:val="single" w:sz="8" w:space="0" w:color="auto"/>
            </w:tcBorders>
            <w:shd w:val="clear" w:color="auto" w:fill="FFFFFF"/>
          </w:tcPr>
          <w:p>
            <w:pPr>
              <w:spacing w:before="0" w:after="0"/>
              <w:rPr>
                <w:rFonts w:ascii="Arial" w:hAnsi="Arial" w:cs="Arial"/>
                <w:b/>
                <w:i/>
                <w:iCs/>
                <w:noProof/>
                <w:color w:val="808080"/>
                <w:sz w:val="20"/>
                <w:szCs w:val="20"/>
                <w:lang w:val="fr-BE"/>
              </w:rPr>
            </w:pPr>
            <w:r>
              <w:rPr>
                <w:rFonts w:ascii="Arial" w:hAnsi="Arial" w:cs="Arial"/>
                <w:b/>
                <w:i/>
                <w:iCs/>
                <w:noProof/>
                <w:color w:val="808080"/>
                <w:sz w:val="20"/>
                <w:szCs w:val="20"/>
                <w:lang w:val="fr-BE"/>
              </w:rPr>
              <w:t>150</w:t>
            </w:r>
          </w:p>
        </w:tc>
      </w:tr>
      <w:tr>
        <w:trPr>
          <w:trHeight w:val="202"/>
        </w:trPr>
        <w:tc>
          <w:tcPr>
            <w:tcW w:w="1858" w:type="dxa"/>
            <w:tcBorders>
              <w:top w:val="nil"/>
              <w:left w:val="single" w:sz="4" w:space="0" w:color="auto"/>
              <w:bottom w:val="single" w:sz="4" w:space="0" w:color="auto"/>
              <w:right w:val="single" w:sz="4" w:space="0" w:color="auto"/>
            </w:tcBorders>
            <w:shd w:val="clear" w:color="auto" w:fill="auto"/>
          </w:tcPr>
          <w:p>
            <w:pPr>
              <w:spacing w:before="0" w:after="0"/>
              <w:jc w:val="left"/>
              <w:rPr>
                <w:rFonts w:ascii="Arial" w:hAnsi="Arial" w:cs="Arial"/>
                <w:noProof/>
                <w:sz w:val="20"/>
                <w:szCs w:val="20"/>
                <w:lang w:val="fr-BE"/>
              </w:rPr>
            </w:pPr>
            <w:r>
              <w:rPr>
                <w:rFonts w:ascii="Arial" w:hAnsi="Arial" w:cs="Arial"/>
                <w:noProof/>
                <w:sz w:val="20"/>
                <w:szCs w:val="20"/>
                <w:lang w:val="fr-BE"/>
              </w:rPr>
              <w:t>Conseil</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276"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417"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134"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val="fr-BE"/>
              </w:rPr>
            </w:pPr>
            <w:r>
              <w:rPr>
                <w:rFonts w:ascii="Arial" w:hAnsi="Arial" w:cs="Arial"/>
                <w:noProof/>
                <w:sz w:val="20"/>
                <w:szCs w:val="20"/>
                <w:lang w:val="fr-BE"/>
              </w:rPr>
              <w:t>21</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val="fr-BE"/>
              </w:rPr>
            </w:pPr>
            <w:r>
              <w:rPr>
                <w:rFonts w:ascii="Arial" w:hAnsi="Arial" w:cs="Arial"/>
                <w:noProof/>
                <w:sz w:val="20"/>
                <w:szCs w:val="20"/>
                <w:lang w:val="fr-BE"/>
              </w:rPr>
              <w:t>44</w:t>
            </w:r>
          </w:p>
        </w:tc>
        <w:tc>
          <w:tcPr>
            <w:tcW w:w="850"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val="fr-BE"/>
              </w:rPr>
            </w:pPr>
            <w:r>
              <w:rPr>
                <w:rFonts w:ascii="Arial" w:hAnsi="Arial" w:cs="Arial"/>
                <w:noProof/>
                <w:sz w:val="20"/>
                <w:szCs w:val="20"/>
                <w:lang w:val="fr-BE"/>
              </w:rPr>
              <w:t>12</w:t>
            </w:r>
          </w:p>
        </w:tc>
        <w:tc>
          <w:tcPr>
            <w:tcW w:w="851" w:type="dxa"/>
            <w:tcBorders>
              <w:top w:val="single" w:sz="4" w:space="0" w:color="auto"/>
              <w:left w:val="single" w:sz="4" w:space="0" w:color="auto"/>
              <w:bottom w:val="single" w:sz="4" w:space="0" w:color="auto"/>
              <w:right w:val="single" w:sz="8" w:space="0" w:color="auto"/>
            </w:tcBorders>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85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lang w:val="fr-BE"/>
              </w:rPr>
            </w:pPr>
            <w:r>
              <w:rPr>
                <w:rFonts w:ascii="Arial" w:hAnsi="Arial" w:cs="Arial"/>
                <w:b/>
                <w:noProof/>
                <w:sz w:val="20"/>
                <w:szCs w:val="20"/>
                <w:lang w:val="fr-BE"/>
              </w:rPr>
              <w:t>77</w:t>
            </w:r>
          </w:p>
        </w:tc>
      </w:tr>
      <w:tr>
        <w:trPr>
          <w:trHeight w:val="202"/>
        </w:trPr>
        <w:tc>
          <w:tcPr>
            <w:tcW w:w="1858" w:type="dxa"/>
            <w:tcBorders>
              <w:top w:val="nil"/>
              <w:left w:val="single" w:sz="4" w:space="0" w:color="auto"/>
              <w:bottom w:val="single" w:sz="4" w:space="0" w:color="auto"/>
              <w:right w:val="single" w:sz="4" w:space="0" w:color="auto"/>
            </w:tcBorders>
            <w:shd w:val="clear" w:color="auto" w:fill="auto"/>
          </w:tcPr>
          <w:p>
            <w:pPr>
              <w:spacing w:before="0" w:after="0"/>
              <w:jc w:val="left"/>
              <w:rPr>
                <w:rFonts w:ascii="Arial" w:hAnsi="Arial" w:cs="Arial"/>
                <w:noProof/>
                <w:sz w:val="20"/>
                <w:szCs w:val="20"/>
                <w:lang w:val="fr-BE"/>
              </w:rPr>
            </w:pPr>
            <w:r>
              <w:rPr>
                <w:rFonts w:ascii="Arial" w:hAnsi="Arial" w:cs="Arial"/>
                <w:noProof/>
                <w:sz w:val="20"/>
                <w:szCs w:val="20"/>
                <w:lang w:val="fr-BE"/>
              </w:rPr>
              <w:t>Parlement</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276"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417"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1" w:type="dxa"/>
            <w:tcBorders>
              <w:top w:val="single" w:sz="4" w:space="0" w:color="auto"/>
              <w:left w:val="single" w:sz="4" w:space="0" w:color="auto"/>
              <w:bottom w:val="single" w:sz="4"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0</w:t>
            </w:r>
          </w:p>
        </w:tc>
      </w:tr>
      <w:tr>
        <w:trPr>
          <w:trHeight w:val="178"/>
        </w:trPr>
        <w:tc>
          <w:tcPr>
            <w:tcW w:w="1858" w:type="dxa"/>
            <w:tcBorders>
              <w:top w:val="nil"/>
              <w:left w:val="single" w:sz="4" w:space="0" w:color="auto"/>
              <w:bottom w:val="single" w:sz="4" w:space="0" w:color="auto"/>
              <w:right w:val="single" w:sz="4" w:space="0" w:color="auto"/>
            </w:tcBorders>
            <w:shd w:val="clear" w:color="auto" w:fill="auto"/>
          </w:tcPr>
          <w:p>
            <w:pPr>
              <w:spacing w:before="0" w:after="0"/>
              <w:jc w:val="left"/>
              <w:rPr>
                <w:rFonts w:ascii="Arial" w:hAnsi="Arial" w:cs="Arial"/>
                <w:noProof/>
                <w:sz w:val="20"/>
                <w:szCs w:val="20"/>
              </w:rPr>
            </w:pPr>
            <w:r>
              <w:rPr>
                <w:rFonts w:ascii="Arial" w:hAnsi="Arial" w:cs="Arial"/>
                <w:noProof/>
                <w:sz w:val="20"/>
                <w:szCs w:val="20"/>
              </w:rPr>
              <w:t>Cour de justice</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276"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417"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15</w:t>
            </w:r>
          </w:p>
        </w:tc>
        <w:tc>
          <w:tcPr>
            <w:tcW w:w="1134"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12</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1" w:type="dxa"/>
            <w:tcBorders>
              <w:top w:val="single" w:sz="4" w:space="0" w:color="auto"/>
              <w:left w:val="single" w:sz="4" w:space="0" w:color="auto"/>
              <w:bottom w:val="single" w:sz="4"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27</w:t>
            </w:r>
          </w:p>
        </w:tc>
      </w:tr>
      <w:tr>
        <w:trPr>
          <w:trHeight w:val="166"/>
        </w:trPr>
        <w:tc>
          <w:tcPr>
            <w:tcW w:w="1858" w:type="dxa"/>
            <w:tcBorders>
              <w:top w:val="nil"/>
              <w:left w:val="single" w:sz="4" w:space="0" w:color="auto"/>
              <w:bottom w:val="single" w:sz="4" w:space="0" w:color="auto"/>
              <w:right w:val="single" w:sz="4" w:space="0" w:color="auto"/>
            </w:tcBorders>
            <w:shd w:val="clear" w:color="auto" w:fill="FFFFFF"/>
          </w:tcPr>
          <w:p>
            <w:pPr>
              <w:spacing w:before="0" w:after="0"/>
              <w:jc w:val="left"/>
              <w:rPr>
                <w:rFonts w:ascii="Arial" w:hAnsi="Arial" w:cs="Arial"/>
                <w:noProof/>
                <w:sz w:val="20"/>
                <w:szCs w:val="20"/>
              </w:rPr>
            </w:pPr>
            <w:r>
              <w:rPr>
                <w:rFonts w:ascii="Arial" w:hAnsi="Arial" w:cs="Arial"/>
                <w:noProof/>
                <w:sz w:val="20"/>
                <w:szCs w:val="20"/>
              </w:rPr>
              <w:t>Cour des comptes</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276"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417"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17</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1" w:type="dxa"/>
            <w:tcBorders>
              <w:top w:val="single" w:sz="4" w:space="0" w:color="auto"/>
              <w:left w:val="single" w:sz="4" w:space="0" w:color="auto"/>
              <w:bottom w:val="single" w:sz="4"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17</w:t>
            </w:r>
          </w:p>
        </w:tc>
      </w:tr>
      <w:tr>
        <w:trPr>
          <w:trHeight w:val="166"/>
        </w:trPr>
        <w:tc>
          <w:tcPr>
            <w:tcW w:w="1858" w:type="dxa"/>
            <w:tcBorders>
              <w:top w:val="nil"/>
              <w:left w:val="single" w:sz="4" w:space="0" w:color="auto"/>
              <w:bottom w:val="single" w:sz="4" w:space="0" w:color="auto"/>
              <w:right w:val="single" w:sz="4" w:space="0" w:color="auto"/>
            </w:tcBorders>
            <w:shd w:val="clear" w:color="auto" w:fill="auto"/>
          </w:tcPr>
          <w:p>
            <w:pPr>
              <w:spacing w:before="0" w:after="0"/>
              <w:jc w:val="left"/>
              <w:rPr>
                <w:rFonts w:ascii="Arial" w:hAnsi="Arial" w:cs="Arial"/>
                <w:noProof/>
                <w:sz w:val="20"/>
                <w:szCs w:val="20"/>
              </w:rPr>
            </w:pPr>
            <w:r>
              <w:rPr>
                <w:rFonts w:ascii="Arial" w:hAnsi="Arial" w:cs="Arial"/>
                <w:noProof/>
                <w:sz w:val="20"/>
                <w:szCs w:val="20"/>
              </w:rPr>
              <w:t>CESE</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276"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417"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2</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1" w:type="dxa"/>
            <w:tcBorders>
              <w:top w:val="single" w:sz="4" w:space="0" w:color="auto"/>
              <w:left w:val="single" w:sz="4" w:space="0" w:color="auto"/>
              <w:bottom w:val="single" w:sz="4"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2</w:t>
            </w:r>
          </w:p>
        </w:tc>
      </w:tr>
      <w:tr>
        <w:trPr>
          <w:trHeight w:val="154"/>
        </w:trPr>
        <w:tc>
          <w:tcPr>
            <w:tcW w:w="1858" w:type="dxa"/>
            <w:tcBorders>
              <w:top w:val="nil"/>
              <w:left w:val="single" w:sz="4" w:space="0" w:color="auto"/>
              <w:bottom w:val="single" w:sz="4" w:space="0" w:color="auto"/>
              <w:right w:val="single" w:sz="4" w:space="0" w:color="auto"/>
            </w:tcBorders>
            <w:shd w:val="clear" w:color="auto" w:fill="auto"/>
          </w:tcPr>
          <w:p>
            <w:pPr>
              <w:spacing w:before="0" w:after="0"/>
              <w:jc w:val="left"/>
              <w:rPr>
                <w:rFonts w:ascii="Arial" w:hAnsi="Arial" w:cs="Arial"/>
                <w:noProof/>
                <w:sz w:val="20"/>
                <w:szCs w:val="20"/>
              </w:rPr>
            </w:pPr>
            <w:r>
              <w:rPr>
                <w:rFonts w:ascii="Arial" w:hAnsi="Arial" w:cs="Arial"/>
                <w:noProof/>
                <w:sz w:val="20"/>
                <w:szCs w:val="20"/>
              </w:rPr>
              <w:t>CdR</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276"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417"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4</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1" w:type="dxa"/>
            <w:tcBorders>
              <w:top w:val="single" w:sz="4" w:space="0" w:color="auto"/>
              <w:left w:val="single" w:sz="4" w:space="0" w:color="auto"/>
              <w:bottom w:val="single" w:sz="4"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4</w:t>
            </w:r>
          </w:p>
        </w:tc>
      </w:tr>
      <w:tr>
        <w:trPr>
          <w:trHeight w:val="142"/>
        </w:trPr>
        <w:tc>
          <w:tcPr>
            <w:tcW w:w="1858" w:type="dxa"/>
            <w:tcBorders>
              <w:top w:val="nil"/>
              <w:left w:val="single" w:sz="4" w:space="0" w:color="auto"/>
              <w:bottom w:val="single" w:sz="4" w:space="0" w:color="auto"/>
              <w:right w:val="single" w:sz="4" w:space="0" w:color="auto"/>
            </w:tcBorders>
            <w:shd w:val="clear" w:color="auto" w:fill="FFFFFF"/>
          </w:tcPr>
          <w:p>
            <w:pPr>
              <w:spacing w:before="0" w:after="0"/>
              <w:jc w:val="left"/>
              <w:rPr>
                <w:rFonts w:ascii="Arial" w:hAnsi="Arial" w:cs="Arial"/>
                <w:noProof/>
                <w:sz w:val="20"/>
                <w:szCs w:val="20"/>
              </w:rPr>
            </w:pPr>
            <w:r>
              <w:rPr>
                <w:rFonts w:ascii="Arial" w:hAnsi="Arial" w:cs="Arial"/>
                <w:noProof/>
                <w:sz w:val="20"/>
                <w:szCs w:val="20"/>
              </w:rPr>
              <w:t>CEPD</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276"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417"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709"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nil"/>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1" w:type="dxa"/>
            <w:tcBorders>
              <w:top w:val="single" w:sz="4" w:space="0" w:color="auto"/>
              <w:left w:val="single" w:sz="4" w:space="0" w:color="auto"/>
              <w:bottom w:val="single" w:sz="4"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0</w:t>
            </w:r>
          </w:p>
        </w:tc>
      </w:tr>
      <w:tr>
        <w:trPr>
          <w:trHeight w:val="142"/>
        </w:trPr>
        <w:tc>
          <w:tcPr>
            <w:tcW w:w="1858" w:type="dxa"/>
            <w:tcBorders>
              <w:top w:val="single" w:sz="4" w:space="0" w:color="auto"/>
              <w:left w:val="single" w:sz="4" w:space="0" w:color="auto"/>
              <w:bottom w:val="nil"/>
              <w:right w:val="single" w:sz="4" w:space="0" w:color="auto"/>
            </w:tcBorders>
            <w:shd w:val="clear" w:color="auto" w:fill="FFFFFF"/>
          </w:tcPr>
          <w:p>
            <w:pPr>
              <w:spacing w:before="0" w:after="0"/>
              <w:jc w:val="left"/>
              <w:rPr>
                <w:rFonts w:ascii="Arial" w:hAnsi="Arial" w:cs="Arial"/>
                <w:noProof/>
                <w:sz w:val="20"/>
                <w:szCs w:val="20"/>
              </w:rPr>
            </w:pPr>
            <w:r>
              <w:rPr>
                <w:rFonts w:ascii="Arial" w:hAnsi="Arial" w:cs="Arial"/>
                <w:noProof/>
                <w:sz w:val="20"/>
                <w:szCs w:val="20"/>
              </w:rPr>
              <w:t>Médiateur</w:t>
            </w:r>
          </w:p>
        </w:tc>
        <w:tc>
          <w:tcPr>
            <w:tcW w:w="709" w:type="dxa"/>
            <w:tcBorders>
              <w:top w:val="single" w:sz="4" w:space="0" w:color="auto"/>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276" w:type="dxa"/>
            <w:tcBorders>
              <w:top w:val="single" w:sz="4" w:space="0" w:color="auto"/>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417" w:type="dxa"/>
            <w:tcBorders>
              <w:top w:val="single" w:sz="4" w:space="0" w:color="auto"/>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single" w:sz="4" w:space="0" w:color="auto"/>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709" w:type="dxa"/>
            <w:tcBorders>
              <w:top w:val="single" w:sz="4" w:space="0" w:color="auto"/>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single" w:sz="4" w:space="0" w:color="auto"/>
              <w:left w:val="nil"/>
              <w:bottom w:val="single" w:sz="4"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851" w:type="dxa"/>
            <w:tcBorders>
              <w:top w:val="single" w:sz="4" w:space="0" w:color="auto"/>
              <w:left w:val="single" w:sz="4" w:space="0" w:color="auto"/>
              <w:bottom w:val="single" w:sz="4"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single" w:sz="4"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0</w:t>
            </w:r>
          </w:p>
        </w:tc>
      </w:tr>
      <w:tr>
        <w:trPr>
          <w:trHeight w:val="118"/>
        </w:trPr>
        <w:tc>
          <w:tcPr>
            <w:tcW w:w="1858" w:type="dxa"/>
            <w:tcBorders>
              <w:top w:val="single" w:sz="4" w:space="0" w:color="auto"/>
              <w:left w:val="single" w:sz="4" w:space="0" w:color="auto"/>
              <w:bottom w:val="single" w:sz="2" w:space="0" w:color="auto"/>
              <w:right w:val="single" w:sz="4" w:space="0" w:color="auto"/>
            </w:tcBorders>
            <w:shd w:val="clear" w:color="auto" w:fill="FFFFFF"/>
          </w:tcPr>
          <w:p>
            <w:pPr>
              <w:spacing w:before="0" w:after="0"/>
              <w:jc w:val="left"/>
              <w:rPr>
                <w:rFonts w:ascii="Arial" w:hAnsi="Arial" w:cs="Arial"/>
                <w:noProof/>
                <w:sz w:val="20"/>
                <w:szCs w:val="20"/>
              </w:rPr>
            </w:pPr>
            <w:r>
              <w:rPr>
                <w:rFonts w:ascii="Arial" w:hAnsi="Arial" w:cs="Arial"/>
                <w:noProof/>
                <w:sz w:val="20"/>
                <w:szCs w:val="20"/>
              </w:rPr>
              <w:t>SEAE</w:t>
            </w:r>
          </w:p>
        </w:tc>
        <w:tc>
          <w:tcPr>
            <w:tcW w:w="709" w:type="dxa"/>
            <w:tcBorders>
              <w:top w:val="single" w:sz="4" w:space="0" w:color="auto"/>
              <w:left w:val="nil"/>
              <w:bottom w:val="single" w:sz="2"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276" w:type="dxa"/>
            <w:tcBorders>
              <w:top w:val="single" w:sz="4" w:space="0" w:color="auto"/>
              <w:left w:val="nil"/>
              <w:bottom w:val="single" w:sz="2"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417" w:type="dxa"/>
            <w:tcBorders>
              <w:top w:val="single" w:sz="4" w:space="0" w:color="auto"/>
              <w:left w:val="nil"/>
              <w:bottom w:val="single" w:sz="2"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single" w:sz="4" w:space="0" w:color="auto"/>
              <w:left w:val="nil"/>
              <w:bottom w:val="single" w:sz="2"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4</w:t>
            </w:r>
          </w:p>
        </w:tc>
        <w:tc>
          <w:tcPr>
            <w:tcW w:w="709" w:type="dxa"/>
            <w:tcBorders>
              <w:top w:val="single" w:sz="4" w:space="0" w:color="auto"/>
              <w:left w:val="nil"/>
              <w:bottom w:val="single" w:sz="2"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9</w:t>
            </w:r>
          </w:p>
        </w:tc>
        <w:tc>
          <w:tcPr>
            <w:tcW w:w="850" w:type="dxa"/>
            <w:tcBorders>
              <w:top w:val="single" w:sz="4" w:space="0" w:color="auto"/>
              <w:left w:val="nil"/>
              <w:bottom w:val="single" w:sz="2" w:space="0" w:color="auto"/>
              <w:right w:val="single" w:sz="4" w:space="0" w:color="auto"/>
            </w:tcBorders>
            <w:shd w:val="clear" w:color="auto" w:fill="auto"/>
          </w:tcPr>
          <w:p>
            <w:pPr>
              <w:spacing w:before="0" w:after="0"/>
              <w:jc w:val="right"/>
              <w:rPr>
                <w:rFonts w:ascii="Arial" w:hAnsi="Arial" w:cs="Arial"/>
                <w:noProof/>
                <w:sz w:val="20"/>
                <w:szCs w:val="20"/>
              </w:rPr>
            </w:pPr>
            <w:r>
              <w:rPr>
                <w:rFonts w:ascii="Arial" w:hAnsi="Arial" w:cs="Arial"/>
                <w:noProof/>
                <w:sz w:val="20"/>
                <w:szCs w:val="20"/>
              </w:rPr>
              <w:t>16</w:t>
            </w:r>
          </w:p>
        </w:tc>
        <w:tc>
          <w:tcPr>
            <w:tcW w:w="851" w:type="dxa"/>
            <w:tcBorders>
              <w:top w:val="single" w:sz="4" w:space="0" w:color="auto"/>
              <w:left w:val="single" w:sz="4" w:space="0" w:color="auto"/>
              <w:bottom w:val="single" w:sz="2"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850" w:type="dxa"/>
            <w:tcBorders>
              <w:top w:val="single" w:sz="4" w:space="0" w:color="auto"/>
              <w:left w:val="single" w:sz="8" w:space="0" w:color="auto"/>
              <w:bottom w:val="single" w:sz="2"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29</w:t>
            </w:r>
          </w:p>
        </w:tc>
      </w:tr>
      <w:tr>
        <w:trPr>
          <w:trHeight w:val="330"/>
        </w:trPr>
        <w:tc>
          <w:tcPr>
            <w:tcW w:w="1858"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iCs/>
                <w:noProof/>
                <w:sz w:val="20"/>
                <w:szCs w:val="20"/>
              </w:rPr>
            </w:pPr>
            <w:r>
              <w:rPr>
                <w:rFonts w:ascii="Arial" w:hAnsi="Arial" w:cs="Arial"/>
                <w:b/>
                <w:bCs/>
                <w:iCs/>
                <w:noProof/>
                <w:sz w:val="20"/>
                <w:szCs w:val="20"/>
              </w:rPr>
              <w:t>Total</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rPr>
            </w:pPr>
            <w:r>
              <w:rPr>
                <w:rFonts w:ascii="Arial" w:hAnsi="Arial" w:cs="Arial"/>
                <w:b/>
                <w:bCs/>
                <w:noProof/>
                <w:sz w:val="20"/>
                <w:szCs w:val="20"/>
              </w:rPr>
              <w:t>150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rPr>
            </w:pPr>
            <w:r>
              <w:rPr>
                <w:rFonts w:ascii="Arial" w:hAnsi="Arial" w:cs="Arial"/>
                <w:b/>
                <w:bCs/>
                <w:noProof/>
                <w:sz w:val="20"/>
                <w:szCs w:val="20"/>
              </w:rPr>
              <w:t>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rPr>
            </w:pPr>
            <w:r>
              <w:rPr>
                <w:rFonts w:ascii="Arial" w:hAnsi="Arial" w:cs="Arial"/>
                <w:b/>
                <w:bCs/>
                <w:noProof/>
                <w:sz w:val="20"/>
                <w:szCs w:val="20"/>
              </w:rPr>
              <w:t>85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rPr>
            </w:pPr>
            <w:r>
              <w:rPr>
                <w:rFonts w:ascii="Arial" w:hAnsi="Arial" w:cs="Arial"/>
                <w:b/>
                <w:bCs/>
                <w:noProof/>
                <w:sz w:val="20"/>
                <w:szCs w:val="20"/>
              </w:rPr>
              <w:t>101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rPr>
            </w:pPr>
            <w:r>
              <w:rPr>
                <w:rFonts w:ascii="Arial" w:hAnsi="Arial" w:cs="Arial"/>
                <w:b/>
                <w:bCs/>
                <w:noProof/>
                <w:sz w:val="20"/>
                <w:szCs w:val="20"/>
              </w:rPr>
              <w:t>156</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rPr>
            </w:pPr>
            <w:r>
              <w:rPr>
                <w:rFonts w:ascii="Arial" w:hAnsi="Arial" w:cs="Arial"/>
                <w:b/>
                <w:bCs/>
                <w:noProof/>
                <w:sz w:val="20"/>
                <w:szCs w:val="20"/>
              </w:rPr>
              <w:t>28</w:t>
            </w:r>
          </w:p>
        </w:tc>
        <w:tc>
          <w:tcPr>
            <w:tcW w:w="851" w:type="dxa"/>
            <w:tcBorders>
              <w:top w:val="single" w:sz="2" w:space="0" w:color="auto"/>
              <w:left w:val="single" w:sz="2" w:space="0" w:color="auto"/>
              <w:bottom w:val="single" w:sz="2" w:space="0" w:color="auto"/>
              <w:right w:val="single" w:sz="2" w:space="0" w:color="auto"/>
            </w:tcBorders>
            <w:vAlign w:val="center"/>
          </w:tcPr>
          <w:p>
            <w:pPr>
              <w:spacing w:before="0" w:after="0"/>
              <w:jc w:val="right"/>
              <w:rPr>
                <w:rFonts w:ascii="Arial" w:hAnsi="Arial" w:cs="Arial"/>
                <w:b/>
                <w:bCs/>
                <w:noProof/>
                <w:sz w:val="20"/>
                <w:szCs w:val="20"/>
              </w:rPr>
            </w:pPr>
            <w:r>
              <w:rPr>
                <w:rFonts w:ascii="Arial" w:hAnsi="Arial" w:cs="Arial"/>
                <w:b/>
                <w:bCs/>
                <w:noProof/>
                <w:sz w:val="20"/>
                <w:szCs w:val="20"/>
              </w:rPr>
              <w:t>50</w:t>
            </w:r>
          </w:p>
        </w:tc>
        <w:tc>
          <w:tcPr>
            <w:tcW w:w="850" w:type="dxa"/>
            <w:tcBorders>
              <w:top w:val="single" w:sz="2" w:space="0" w:color="auto"/>
              <w:left w:val="single" w:sz="2" w:space="0" w:color="auto"/>
              <w:bottom w:val="single" w:sz="2" w:space="0" w:color="auto"/>
              <w:right w:val="single" w:sz="2" w:space="0" w:color="auto"/>
            </w:tcBorders>
            <w:vAlign w:val="center"/>
          </w:tcPr>
          <w:p>
            <w:pPr>
              <w:spacing w:before="0" w:after="0"/>
              <w:jc w:val="right"/>
              <w:rPr>
                <w:rFonts w:ascii="Arial" w:hAnsi="Arial" w:cs="Arial"/>
                <w:b/>
                <w:bCs/>
                <w:noProof/>
                <w:sz w:val="20"/>
                <w:szCs w:val="20"/>
              </w:rPr>
            </w:pPr>
            <w:r>
              <w:rPr>
                <w:rFonts w:ascii="Arial" w:hAnsi="Arial" w:cs="Arial"/>
                <w:b/>
                <w:bCs/>
                <w:noProof/>
                <w:sz w:val="20"/>
                <w:szCs w:val="20"/>
              </w:rPr>
              <w:t>572</w:t>
            </w:r>
          </w:p>
        </w:tc>
      </w:tr>
    </w:tbl>
    <w:p>
      <w:pPr>
        <w:rPr>
          <w:bCs/>
          <w:smallCaps/>
          <w:noProof/>
          <w:lang w:val="fr-BE"/>
        </w:rPr>
      </w:pPr>
    </w:p>
    <w:p>
      <w:pPr>
        <w:pStyle w:val="Heading1"/>
        <w:numPr>
          <w:ilvl w:val="0"/>
          <w:numId w:val="0"/>
        </w:numPr>
        <w:spacing w:before="0" w:after="0"/>
        <w:ind w:left="850"/>
        <w:rPr>
          <w:bCs w:val="0"/>
          <w:noProof/>
          <w:lang w:val="fr-BE"/>
        </w:rPr>
      </w:pPr>
      <w:r>
        <w:rPr>
          <w:noProof/>
          <w:lang w:val="fr-BE"/>
        </w:rPr>
        <w:t>3.</w:t>
      </w:r>
      <w:r>
        <w:rPr>
          <w:noProof/>
          <w:lang w:val="fr-BE"/>
        </w:rPr>
        <w:tab/>
      </w:r>
      <w:r>
        <w:rPr>
          <w:bCs w:val="0"/>
          <w:smallCaps w:val="0"/>
          <w:noProof/>
          <w:szCs w:val="24"/>
          <w:lang w:val="fr-BE"/>
        </w:rPr>
        <w:t>Indemnité</w:t>
      </w:r>
      <w:r>
        <w:rPr>
          <w:noProof/>
          <w:lang w:val="fr-BE"/>
        </w:rPr>
        <w:t xml:space="preserve"> pour conditions de travail pénibles</w:t>
      </w:r>
    </w:p>
    <w:p>
      <w:pPr>
        <w:rPr>
          <w:noProof/>
          <w:lang w:val="fr-BE"/>
        </w:rPr>
      </w:pPr>
      <w:r>
        <w:rPr>
          <w:noProof/>
          <w:lang w:val="fr-BE"/>
        </w:rPr>
        <w:t>Les bases juridiques de cette indemnité sont l'article 56 </w:t>
      </w:r>
      <w:r>
        <w:rPr>
          <w:i/>
          <w:noProof/>
          <w:lang w:val="fr-BE"/>
        </w:rPr>
        <w:t>quater</w:t>
      </w:r>
      <w:r>
        <w:rPr>
          <w:noProof/>
          <w:lang w:val="fr-BE"/>
        </w:rPr>
        <w:t xml:space="preserve"> du statut ainsi que le règlement n° 858/2004 du Conseil du 29 avril 2004, tel qu’amendé.</w:t>
      </w:r>
      <w:r>
        <w:rPr>
          <w:noProof/>
          <w:lang w:val="fr-BE"/>
        </w:rPr>
        <w:tab/>
        <w:t xml:space="preserve">L’indemnité est accordée pour compenser les conditions particulières de travail liées (1) à la «protection individuelle» (port de vêtementes spéciaux incommodes, protection partielle), (2) au «lieu de travail» (sites confinés, bruyants et dangereux) et (3) à la «nature du travail» (par exemple manipulation de substances corrosives, travail avec des explosifs). </w:t>
      </w:r>
      <w:r>
        <w:rPr>
          <w:rStyle w:val="FootnoteReference"/>
          <w:noProof/>
          <w:lang w:val="fr-BE"/>
        </w:rPr>
        <w:footnoteReference w:id="2"/>
      </w:r>
    </w:p>
    <w:p>
      <w:pPr>
        <w:rPr>
          <w:noProof/>
          <w:lang w:val="fr-BE"/>
        </w:rPr>
      </w:pPr>
      <w:r>
        <w:rPr>
          <w:noProof/>
          <w:lang w:val="fr-BE"/>
        </w:rPr>
        <w:t xml:space="preserve"> L’indemnité est exprimée en points accordés par heure de travail effectivement accompli. Le nombre de points varie entre 2 points, par exemple pour un niveau sonore moyen supérieur à 85 décibels, et un maximum de 50 points pour un fonctionnaire portant un scaphandre autonome anti-incendie. Un point est égal à 0,032 % du salaire de base d'un fonctionnaire de grade 1 au premier échelon (soit 0,93 € en 2018).</w:t>
      </w:r>
    </w:p>
    <w:p>
      <w:pPr>
        <w:spacing w:before="0" w:after="0"/>
        <w:rPr>
          <w:noProof/>
          <w:lang w:val="fr-BE"/>
        </w:rPr>
      </w:pPr>
    </w:p>
    <w:p>
      <w:pPr>
        <w:pStyle w:val="Heading2"/>
        <w:numPr>
          <w:ilvl w:val="0"/>
          <w:numId w:val="0"/>
        </w:numPr>
        <w:spacing w:before="0" w:after="0"/>
        <w:rPr>
          <w:bCs w:val="0"/>
          <w:noProof/>
          <w:lang w:val="fr-BE"/>
        </w:rPr>
      </w:pPr>
      <w:r>
        <w:rPr>
          <w:noProof/>
          <w:lang w:val="fr-BE"/>
        </w:rPr>
        <w:t>3.1.</w:t>
      </w:r>
      <w:r>
        <w:rPr>
          <w:noProof/>
          <w:lang w:val="fr-BE"/>
        </w:rPr>
        <w:tab/>
        <w:t>Nombre de bénéficiaires (fonctionnaires/agents temporaires et agents contractuels) :</w:t>
      </w:r>
    </w:p>
    <w:tbl>
      <w:tblPr>
        <w:tblW w:w="9100" w:type="dxa"/>
        <w:tblInd w:w="93" w:type="dxa"/>
        <w:tblLook w:val="0000" w:firstRow="0" w:lastRow="0" w:firstColumn="0" w:lastColumn="0" w:noHBand="0" w:noVBand="0"/>
      </w:tblPr>
      <w:tblGrid>
        <w:gridCol w:w="2295"/>
        <w:gridCol w:w="960"/>
        <w:gridCol w:w="960"/>
        <w:gridCol w:w="840"/>
        <w:gridCol w:w="960"/>
        <w:gridCol w:w="1080"/>
        <w:gridCol w:w="1045"/>
        <w:gridCol w:w="960"/>
      </w:tblGrid>
      <w:tr>
        <w:trPr>
          <w:trHeight w:val="330"/>
        </w:trPr>
        <w:tc>
          <w:tcPr>
            <w:tcW w:w="229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pPr>
              <w:spacing w:before="0" w:after="0"/>
              <w:jc w:val="center"/>
              <w:rPr>
                <w:rFonts w:ascii="Arial" w:hAnsi="Arial" w:cs="Arial"/>
                <w:b/>
                <w:bCs/>
                <w:noProof/>
                <w:sz w:val="20"/>
                <w:szCs w:val="20"/>
              </w:rPr>
            </w:pPr>
            <w:r>
              <w:rPr>
                <w:rFonts w:ascii="Arial" w:hAnsi="Arial" w:cs="Arial"/>
                <w:b/>
                <w:bCs/>
                <w:noProof/>
                <w:sz w:val="20"/>
                <w:szCs w:val="20"/>
              </w:rPr>
              <w:t>Institution</w:t>
            </w:r>
          </w:p>
        </w:tc>
        <w:tc>
          <w:tcPr>
            <w:tcW w:w="9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pPr>
              <w:spacing w:before="0" w:after="0"/>
              <w:jc w:val="center"/>
              <w:rPr>
                <w:rFonts w:ascii="Arial" w:hAnsi="Arial" w:cs="Arial"/>
                <w:b/>
                <w:bCs/>
                <w:noProof/>
                <w:sz w:val="20"/>
                <w:szCs w:val="20"/>
              </w:rPr>
            </w:pPr>
            <w:r>
              <w:rPr>
                <w:rFonts w:ascii="Arial" w:hAnsi="Arial" w:cs="Arial"/>
                <w:b/>
                <w:bCs/>
                <w:noProof/>
                <w:sz w:val="20"/>
                <w:szCs w:val="20"/>
              </w:rPr>
              <w:t>AD</w:t>
            </w:r>
          </w:p>
        </w:tc>
        <w:tc>
          <w:tcPr>
            <w:tcW w:w="9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pPr>
              <w:spacing w:before="0" w:after="0"/>
              <w:jc w:val="center"/>
              <w:rPr>
                <w:rFonts w:ascii="Arial" w:hAnsi="Arial" w:cs="Arial"/>
                <w:b/>
                <w:bCs/>
                <w:noProof/>
                <w:sz w:val="20"/>
                <w:szCs w:val="20"/>
              </w:rPr>
            </w:pPr>
            <w:r>
              <w:rPr>
                <w:rFonts w:ascii="Arial" w:hAnsi="Arial" w:cs="Arial"/>
                <w:b/>
                <w:bCs/>
                <w:noProof/>
                <w:sz w:val="20"/>
                <w:szCs w:val="20"/>
              </w:rPr>
              <w:t>SC -AST</w:t>
            </w:r>
          </w:p>
        </w:tc>
        <w:tc>
          <w:tcPr>
            <w:tcW w:w="3925" w:type="dxa"/>
            <w:gridSpan w:val="4"/>
            <w:tcBorders>
              <w:top w:val="single" w:sz="8" w:space="0" w:color="auto"/>
              <w:left w:val="nil"/>
              <w:bottom w:val="single" w:sz="4" w:space="0" w:color="auto"/>
              <w:right w:val="single" w:sz="8" w:space="0" w:color="auto"/>
            </w:tcBorders>
            <w:shd w:val="clear" w:color="auto" w:fill="auto"/>
            <w:noWrap/>
            <w:vAlign w:val="center"/>
          </w:tcPr>
          <w:p>
            <w:pPr>
              <w:spacing w:before="0" w:after="0"/>
              <w:jc w:val="center"/>
              <w:rPr>
                <w:rFonts w:ascii="Arial" w:hAnsi="Arial" w:cs="Arial"/>
                <w:b/>
                <w:bCs/>
                <w:noProof/>
                <w:sz w:val="20"/>
                <w:szCs w:val="20"/>
              </w:rPr>
            </w:pPr>
            <w:r>
              <w:rPr>
                <w:rFonts w:ascii="Arial" w:hAnsi="Arial" w:cs="Arial"/>
                <w:b/>
                <w:bCs/>
                <w:noProof/>
                <w:sz w:val="20"/>
                <w:szCs w:val="20"/>
              </w:rPr>
              <w:t>Agents Contractuels</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center"/>
              <w:rPr>
                <w:rFonts w:ascii="Arial" w:hAnsi="Arial" w:cs="Arial"/>
                <w:b/>
                <w:bCs/>
                <w:noProof/>
                <w:sz w:val="20"/>
                <w:szCs w:val="20"/>
              </w:rPr>
            </w:pPr>
            <w:r>
              <w:rPr>
                <w:rFonts w:ascii="Arial" w:hAnsi="Arial" w:cs="Arial"/>
                <w:b/>
                <w:bCs/>
                <w:noProof/>
                <w:sz w:val="20"/>
                <w:szCs w:val="20"/>
              </w:rPr>
              <w:t>Total</w:t>
            </w:r>
          </w:p>
        </w:tc>
      </w:tr>
      <w:tr>
        <w:trPr>
          <w:trHeight w:val="330"/>
        </w:trPr>
        <w:tc>
          <w:tcPr>
            <w:tcW w:w="2295" w:type="dxa"/>
            <w:vMerge/>
            <w:tcBorders>
              <w:top w:val="single" w:sz="8" w:space="0" w:color="auto"/>
              <w:left w:val="single" w:sz="8" w:space="0" w:color="auto"/>
              <w:bottom w:val="single" w:sz="8" w:space="0" w:color="000000"/>
              <w:right w:val="single" w:sz="4" w:space="0" w:color="auto"/>
            </w:tcBorders>
            <w:vAlign w:val="center"/>
          </w:tcPr>
          <w:p>
            <w:pPr>
              <w:spacing w:before="0" w:after="0"/>
              <w:jc w:val="left"/>
              <w:rPr>
                <w:rFonts w:ascii="Arial" w:hAnsi="Arial" w:cs="Arial"/>
                <w:b/>
                <w:bCs/>
                <w:noProof/>
                <w:sz w:val="20"/>
                <w:szCs w:val="20"/>
              </w:rPr>
            </w:pPr>
          </w:p>
        </w:tc>
        <w:tc>
          <w:tcPr>
            <w:tcW w:w="960" w:type="dxa"/>
            <w:vMerge/>
            <w:tcBorders>
              <w:top w:val="single" w:sz="8" w:space="0" w:color="auto"/>
              <w:left w:val="single" w:sz="4" w:space="0" w:color="auto"/>
              <w:bottom w:val="single" w:sz="8" w:space="0" w:color="000000"/>
              <w:right w:val="single" w:sz="4" w:space="0" w:color="auto"/>
            </w:tcBorders>
            <w:vAlign w:val="center"/>
          </w:tcPr>
          <w:p>
            <w:pPr>
              <w:spacing w:before="0" w:after="0"/>
              <w:jc w:val="left"/>
              <w:rPr>
                <w:rFonts w:ascii="Arial" w:hAnsi="Arial" w:cs="Arial"/>
                <w:b/>
                <w:bCs/>
                <w:noProof/>
                <w:sz w:val="20"/>
                <w:szCs w:val="20"/>
              </w:rPr>
            </w:pPr>
          </w:p>
        </w:tc>
        <w:tc>
          <w:tcPr>
            <w:tcW w:w="960" w:type="dxa"/>
            <w:vMerge/>
            <w:tcBorders>
              <w:top w:val="single" w:sz="8" w:space="0" w:color="auto"/>
              <w:left w:val="single" w:sz="4" w:space="0" w:color="auto"/>
              <w:bottom w:val="single" w:sz="8" w:space="0" w:color="000000"/>
              <w:right w:val="single" w:sz="4" w:space="0" w:color="auto"/>
            </w:tcBorders>
            <w:vAlign w:val="center"/>
          </w:tcPr>
          <w:p>
            <w:pPr>
              <w:spacing w:before="0" w:after="0"/>
              <w:jc w:val="left"/>
              <w:rPr>
                <w:rFonts w:ascii="Arial" w:hAnsi="Arial" w:cs="Arial"/>
                <w:b/>
                <w:bCs/>
                <w:noProof/>
                <w:sz w:val="20"/>
                <w:szCs w:val="20"/>
              </w:rPr>
            </w:pPr>
          </w:p>
        </w:tc>
        <w:tc>
          <w:tcPr>
            <w:tcW w:w="840" w:type="dxa"/>
            <w:tcBorders>
              <w:top w:val="nil"/>
              <w:left w:val="nil"/>
              <w:bottom w:val="single" w:sz="8" w:space="0" w:color="auto"/>
              <w:right w:val="single" w:sz="4" w:space="0" w:color="auto"/>
            </w:tcBorders>
            <w:shd w:val="clear" w:color="auto" w:fill="auto"/>
            <w:noWrap/>
            <w:vAlign w:val="center"/>
          </w:tcPr>
          <w:p>
            <w:pPr>
              <w:spacing w:before="0" w:after="0"/>
              <w:jc w:val="center"/>
              <w:rPr>
                <w:rFonts w:ascii="Arial" w:hAnsi="Arial" w:cs="Arial"/>
                <w:b/>
                <w:bCs/>
                <w:noProof/>
                <w:sz w:val="20"/>
                <w:szCs w:val="20"/>
              </w:rPr>
            </w:pPr>
            <w:r>
              <w:rPr>
                <w:rFonts w:ascii="Arial" w:hAnsi="Arial" w:cs="Arial"/>
                <w:b/>
                <w:bCs/>
                <w:noProof/>
                <w:sz w:val="20"/>
                <w:szCs w:val="20"/>
              </w:rPr>
              <w:t>GF I</w:t>
            </w:r>
          </w:p>
        </w:tc>
        <w:tc>
          <w:tcPr>
            <w:tcW w:w="960" w:type="dxa"/>
            <w:tcBorders>
              <w:top w:val="nil"/>
              <w:left w:val="nil"/>
              <w:bottom w:val="single" w:sz="8" w:space="0" w:color="auto"/>
              <w:right w:val="single" w:sz="4" w:space="0" w:color="auto"/>
            </w:tcBorders>
            <w:shd w:val="clear" w:color="auto" w:fill="auto"/>
            <w:noWrap/>
            <w:vAlign w:val="center"/>
          </w:tcPr>
          <w:p>
            <w:pPr>
              <w:spacing w:before="0" w:after="0"/>
              <w:jc w:val="center"/>
              <w:rPr>
                <w:rFonts w:ascii="Arial" w:hAnsi="Arial" w:cs="Arial"/>
                <w:b/>
                <w:bCs/>
                <w:noProof/>
                <w:sz w:val="20"/>
                <w:szCs w:val="20"/>
              </w:rPr>
            </w:pPr>
            <w:r>
              <w:rPr>
                <w:rFonts w:ascii="Arial" w:hAnsi="Arial" w:cs="Arial"/>
                <w:b/>
                <w:bCs/>
                <w:noProof/>
                <w:sz w:val="20"/>
                <w:szCs w:val="20"/>
              </w:rPr>
              <w:t>GF II</w:t>
            </w:r>
          </w:p>
        </w:tc>
        <w:tc>
          <w:tcPr>
            <w:tcW w:w="1080" w:type="dxa"/>
            <w:tcBorders>
              <w:top w:val="nil"/>
              <w:left w:val="nil"/>
              <w:bottom w:val="single" w:sz="8" w:space="0" w:color="auto"/>
              <w:right w:val="single" w:sz="4" w:space="0" w:color="auto"/>
            </w:tcBorders>
            <w:shd w:val="clear" w:color="auto" w:fill="auto"/>
            <w:noWrap/>
            <w:vAlign w:val="center"/>
          </w:tcPr>
          <w:p>
            <w:pPr>
              <w:spacing w:before="0" w:after="0"/>
              <w:jc w:val="center"/>
              <w:rPr>
                <w:rFonts w:ascii="Arial" w:hAnsi="Arial" w:cs="Arial"/>
                <w:b/>
                <w:bCs/>
                <w:noProof/>
                <w:sz w:val="20"/>
                <w:szCs w:val="20"/>
              </w:rPr>
            </w:pPr>
            <w:r>
              <w:rPr>
                <w:rFonts w:ascii="Arial" w:hAnsi="Arial" w:cs="Arial"/>
                <w:b/>
                <w:bCs/>
                <w:noProof/>
                <w:sz w:val="20"/>
                <w:szCs w:val="20"/>
              </w:rPr>
              <w:t>GF III</w:t>
            </w:r>
          </w:p>
        </w:tc>
        <w:tc>
          <w:tcPr>
            <w:tcW w:w="1045" w:type="dxa"/>
            <w:tcBorders>
              <w:top w:val="nil"/>
              <w:left w:val="nil"/>
              <w:bottom w:val="single" w:sz="8" w:space="0" w:color="auto"/>
              <w:right w:val="single" w:sz="8" w:space="0" w:color="auto"/>
            </w:tcBorders>
            <w:shd w:val="clear" w:color="auto" w:fill="auto"/>
            <w:noWrap/>
            <w:vAlign w:val="center"/>
          </w:tcPr>
          <w:p>
            <w:pPr>
              <w:spacing w:before="0" w:after="0"/>
              <w:jc w:val="center"/>
              <w:rPr>
                <w:rFonts w:ascii="Arial" w:hAnsi="Arial" w:cs="Arial"/>
                <w:b/>
                <w:bCs/>
                <w:noProof/>
                <w:sz w:val="20"/>
                <w:szCs w:val="20"/>
              </w:rPr>
            </w:pPr>
            <w:r>
              <w:rPr>
                <w:rFonts w:ascii="Arial" w:hAnsi="Arial" w:cs="Arial"/>
                <w:b/>
                <w:bCs/>
                <w:noProof/>
                <w:sz w:val="20"/>
                <w:szCs w:val="20"/>
              </w:rPr>
              <w:t>GF IV</w:t>
            </w:r>
          </w:p>
        </w:tc>
        <w:tc>
          <w:tcPr>
            <w:tcW w:w="960" w:type="dxa"/>
            <w:vMerge/>
            <w:tcBorders>
              <w:top w:val="single" w:sz="8" w:space="0" w:color="auto"/>
              <w:left w:val="single" w:sz="8" w:space="0" w:color="auto"/>
              <w:bottom w:val="single" w:sz="8" w:space="0" w:color="auto"/>
              <w:right w:val="single" w:sz="8" w:space="0" w:color="auto"/>
            </w:tcBorders>
            <w:vAlign w:val="center"/>
          </w:tcPr>
          <w:p>
            <w:pPr>
              <w:spacing w:before="0" w:after="0"/>
              <w:jc w:val="left"/>
              <w:rPr>
                <w:rFonts w:ascii="Arial" w:hAnsi="Arial" w:cs="Arial"/>
                <w:b/>
                <w:bCs/>
                <w:noProof/>
                <w:sz w:val="20"/>
                <w:szCs w:val="20"/>
              </w:rPr>
            </w:pPr>
          </w:p>
        </w:tc>
      </w:tr>
      <w:tr>
        <w:trPr>
          <w:trHeight w:val="154"/>
        </w:trPr>
        <w:tc>
          <w:tcPr>
            <w:tcW w:w="2295" w:type="dxa"/>
            <w:tcBorders>
              <w:top w:val="nil"/>
              <w:left w:val="single" w:sz="8"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Commission</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31</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145</w:t>
            </w:r>
          </w:p>
        </w:tc>
        <w:tc>
          <w:tcPr>
            <w:tcW w:w="84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24</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w:t>
            </w:r>
          </w:p>
        </w:tc>
        <w:tc>
          <w:tcPr>
            <w:tcW w:w="1045" w:type="dxa"/>
            <w:tcBorders>
              <w:top w:val="nil"/>
              <w:left w:val="nil"/>
              <w:bottom w:val="single" w:sz="4" w:space="0" w:color="auto"/>
              <w:right w:val="single" w:sz="8"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209</w:t>
            </w:r>
          </w:p>
        </w:tc>
      </w:tr>
      <w:tr>
        <w:trPr>
          <w:trHeight w:val="315"/>
        </w:trPr>
        <w:tc>
          <w:tcPr>
            <w:tcW w:w="2295" w:type="dxa"/>
            <w:tcBorders>
              <w:top w:val="nil"/>
              <w:left w:val="single" w:sz="8" w:space="0" w:color="auto"/>
              <w:bottom w:val="single" w:sz="4" w:space="0" w:color="auto"/>
              <w:right w:val="single" w:sz="4" w:space="0" w:color="auto"/>
            </w:tcBorders>
            <w:shd w:val="clear" w:color="auto" w:fill="auto"/>
            <w:noWrap/>
            <w:vAlign w:val="center"/>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 dont CCR:</w:t>
            </w:r>
          </w:p>
        </w:tc>
        <w:tc>
          <w:tcPr>
            <w:tcW w:w="960" w:type="dxa"/>
            <w:tcBorders>
              <w:top w:val="nil"/>
              <w:left w:val="nil"/>
              <w:bottom w:val="single" w:sz="4" w:space="0" w:color="auto"/>
              <w:right w:val="single" w:sz="4" w:space="0" w:color="auto"/>
            </w:tcBorders>
            <w:shd w:val="clear" w:color="auto" w:fill="auto"/>
            <w:noWrap/>
            <w:vAlign w:val="center"/>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31</w:t>
            </w:r>
          </w:p>
        </w:tc>
        <w:tc>
          <w:tcPr>
            <w:tcW w:w="960" w:type="dxa"/>
            <w:tcBorders>
              <w:top w:val="nil"/>
              <w:left w:val="nil"/>
              <w:bottom w:val="single" w:sz="4" w:space="0" w:color="auto"/>
              <w:right w:val="single" w:sz="4" w:space="0" w:color="auto"/>
            </w:tcBorders>
            <w:shd w:val="clear" w:color="auto" w:fill="auto"/>
            <w:noWrap/>
            <w:vAlign w:val="center"/>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139</w:t>
            </w:r>
          </w:p>
        </w:tc>
        <w:tc>
          <w:tcPr>
            <w:tcW w:w="840" w:type="dxa"/>
            <w:tcBorders>
              <w:top w:val="nil"/>
              <w:left w:val="nil"/>
              <w:bottom w:val="single" w:sz="4" w:space="0" w:color="auto"/>
              <w:right w:val="single" w:sz="4" w:space="0" w:color="auto"/>
            </w:tcBorders>
            <w:shd w:val="clear" w:color="auto" w:fill="auto"/>
            <w:noWrap/>
            <w:vAlign w:val="center"/>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16</w:t>
            </w:r>
          </w:p>
        </w:tc>
        <w:tc>
          <w:tcPr>
            <w:tcW w:w="960" w:type="dxa"/>
            <w:tcBorders>
              <w:top w:val="nil"/>
              <w:left w:val="nil"/>
              <w:bottom w:val="single" w:sz="4" w:space="0" w:color="auto"/>
              <w:right w:val="single" w:sz="4" w:space="0" w:color="auto"/>
            </w:tcBorders>
            <w:shd w:val="clear" w:color="auto" w:fill="auto"/>
            <w:noWrap/>
            <w:vAlign w:val="center"/>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1</w:t>
            </w:r>
          </w:p>
        </w:tc>
        <w:tc>
          <w:tcPr>
            <w:tcW w:w="1080" w:type="dxa"/>
            <w:tcBorders>
              <w:top w:val="nil"/>
              <w:left w:val="nil"/>
              <w:bottom w:val="single" w:sz="4" w:space="0" w:color="auto"/>
              <w:right w:val="single" w:sz="4" w:space="0" w:color="auto"/>
            </w:tcBorders>
            <w:shd w:val="clear" w:color="auto" w:fill="auto"/>
            <w:noWrap/>
            <w:vAlign w:val="center"/>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1</w:t>
            </w:r>
          </w:p>
        </w:tc>
        <w:tc>
          <w:tcPr>
            <w:tcW w:w="1045" w:type="dxa"/>
            <w:tcBorders>
              <w:top w:val="nil"/>
              <w:left w:val="nil"/>
              <w:bottom w:val="single" w:sz="4" w:space="0" w:color="auto"/>
              <w:right w:val="single" w:sz="8" w:space="0" w:color="auto"/>
            </w:tcBorders>
            <w:shd w:val="clear" w:color="auto" w:fill="auto"/>
            <w:noWrap/>
            <w:vAlign w:val="center"/>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left"/>
              <w:rPr>
                <w:rFonts w:ascii="Arial" w:hAnsi="Arial" w:cs="Arial"/>
                <w:b/>
                <w:i/>
                <w:iCs/>
                <w:noProof/>
                <w:color w:val="808080"/>
                <w:sz w:val="20"/>
                <w:szCs w:val="20"/>
              </w:rPr>
            </w:pPr>
            <w:r>
              <w:rPr>
                <w:rFonts w:ascii="Arial" w:hAnsi="Arial" w:cs="Arial"/>
                <w:b/>
                <w:i/>
                <w:iCs/>
                <w:noProof/>
                <w:color w:val="808080"/>
                <w:sz w:val="20"/>
                <w:szCs w:val="20"/>
              </w:rPr>
              <w:t>195</w:t>
            </w:r>
          </w:p>
        </w:tc>
      </w:tr>
      <w:tr>
        <w:trPr>
          <w:trHeight w:val="166"/>
        </w:trPr>
        <w:tc>
          <w:tcPr>
            <w:tcW w:w="2295" w:type="dxa"/>
            <w:tcBorders>
              <w:top w:val="nil"/>
              <w:left w:val="single" w:sz="8"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Conseil</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84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45" w:type="dxa"/>
            <w:tcBorders>
              <w:top w:val="nil"/>
              <w:left w:val="nil"/>
              <w:bottom w:val="single" w:sz="4"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r>
      <w:tr>
        <w:trPr>
          <w:trHeight w:val="166"/>
        </w:trPr>
        <w:tc>
          <w:tcPr>
            <w:tcW w:w="2295" w:type="dxa"/>
            <w:tcBorders>
              <w:top w:val="nil"/>
              <w:left w:val="single" w:sz="8"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Parlement</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84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45" w:type="dxa"/>
            <w:tcBorders>
              <w:top w:val="nil"/>
              <w:left w:val="nil"/>
              <w:bottom w:val="single" w:sz="4"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r>
      <w:tr>
        <w:trPr>
          <w:trHeight w:val="154"/>
        </w:trPr>
        <w:tc>
          <w:tcPr>
            <w:tcW w:w="2295" w:type="dxa"/>
            <w:tcBorders>
              <w:top w:val="nil"/>
              <w:left w:val="single" w:sz="8"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Cour de justice</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84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45" w:type="dxa"/>
            <w:tcBorders>
              <w:top w:val="nil"/>
              <w:left w:val="nil"/>
              <w:bottom w:val="single" w:sz="4"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r>
      <w:tr>
        <w:trPr>
          <w:trHeight w:val="142"/>
        </w:trPr>
        <w:tc>
          <w:tcPr>
            <w:tcW w:w="2295" w:type="dxa"/>
            <w:tcBorders>
              <w:top w:val="nil"/>
              <w:left w:val="single" w:sz="8"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Cour des comptes</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84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45" w:type="dxa"/>
            <w:tcBorders>
              <w:top w:val="nil"/>
              <w:left w:val="nil"/>
              <w:bottom w:val="single" w:sz="4"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r>
      <w:tr>
        <w:trPr>
          <w:trHeight w:val="142"/>
        </w:trPr>
        <w:tc>
          <w:tcPr>
            <w:tcW w:w="2295" w:type="dxa"/>
            <w:tcBorders>
              <w:top w:val="nil"/>
              <w:left w:val="single" w:sz="8"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CESE</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84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45" w:type="dxa"/>
            <w:tcBorders>
              <w:top w:val="nil"/>
              <w:left w:val="nil"/>
              <w:bottom w:val="single" w:sz="4"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r>
      <w:tr>
        <w:trPr>
          <w:trHeight w:val="214"/>
        </w:trPr>
        <w:tc>
          <w:tcPr>
            <w:tcW w:w="2295" w:type="dxa"/>
            <w:tcBorders>
              <w:top w:val="nil"/>
              <w:left w:val="single" w:sz="8"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CdR</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84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45" w:type="dxa"/>
            <w:tcBorders>
              <w:top w:val="nil"/>
              <w:left w:val="nil"/>
              <w:bottom w:val="single" w:sz="4"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r>
      <w:tr>
        <w:trPr>
          <w:trHeight w:val="106"/>
        </w:trPr>
        <w:tc>
          <w:tcPr>
            <w:tcW w:w="2295" w:type="dxa"/>
            <w:tcBorders>
              <w:top w:val="nil"/>
              <w:left w:val="single" w:sz="8"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CEPD</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84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45" w:type="dxa"/>
            <w:tcBorders>
              <w:top w:val="nil"/>
              <w:left w:val="nil"/>
              <w:bottom w:val="single" w:sz="4"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r>
      <w:tr>
        <w:trPr>
          <w:trHeight w:val="106"/>
        </w:trPr>
        <w:tc>
          <w:tcPr>
            <w:tcW w:w="2295" w:type="dxa"/>
            <w:tcBorders>
              <w:top w:val="nil"/>
              <w:left w:val="single" w:sz="8"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Médiateur</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84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45" w:type="dxa"/>
            <w:tcBorders>
              <w:top w:val="nil"/>
              <w:left w:val="nil"/>
              <w:bottom w:val="single" w:sz="4"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4" w:space="0" w:color="auto"/>
              <w:right w:val="single" w:sz="8"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r>
      <w:tr>
        <w:trPr>
          <w:trHeight w:val="94"/>
        </w:trPr>
        <w:tc>
          <w:tcPr>
            <w:tcW w:w="2295" w:type="dxa"/>
            <w:tcBorders>
              <w:top w:val="single" w:sz="4" w:space="0" w:color="auto"/>
              <w:left w:val="single" w:sz="4" w:space="0" w:color="auto"/>
              <w:bottom w:val="single" w:sz="2"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SEAE</w:t>
            </w:r>
          </w:p>
        </w:tc>
        <w:tc>
          <w:tcPr>
            <w:tcW w:w="960" w:type="dxa"/>
            <w:tcBorders>
              <w:top w:val="single" w:sz="4" w:space="0" w:color="auto"/>
              <w:left w:val="single" w:sz="4" w:space="0" w:color="auto"/>
              <w:bottom w:val="single" w:sz="2"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4" w:space="0" w:color="auto"/>
              <w:left w:val="single" w:sz="4" w:space="0" w:color="auto"/>
              <w:bottom w:val="single" w:sz="2"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840" w:type="dxa"/>
            <w:tcBorders>
              <w:top w:val="single" w:sz="4" w:space="0" w:color="auto"/>
              <w:left w:val="single" w:sz="4" w:space="0" w:color="auto"/>
              <w:bottom w:val="single" w:sz="2"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4" w:space="0" w:color="auto"/>
              <w:left w:val="single" w:sz="4" w:space="0" w:color="auto"/>
              <w:bottom w:val="single" w:sz="2"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single" w:sz="4" w:space="0" w:color="auto"/>
              <w:left w:val="single" w:sz="4" w:space="0" w:color="auto"/>
              <w:bottom w:val="single" w:sz="2"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1045" w:type="dxa"/>
            <w:tcBorders>
              <w:top w:val="single" w:sz="4" w:space="0" w:color="auto"/>
              <w:left w:val="single" w:sz="4" w:space="0" w:color="auto"/>
              <w:bottom w:val="single" w:sz="2"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4" w:space="0" w:color="auto"/>
              <w:left w:val="single" w:sz="4" w:space="0" w:color="auto"/>
              <w:bottom w:val="single" w:sz="2" w:space="0" w:color="auto"/>
              <w:right w:val="single" w:sz="4" w:space="0" w:color="auto"/>
            </w:tcBorders>
            <w:shd w:val="clear" w:color="auto" w:fill="auto"/>
            <w:noWrap/>
          </w:tcPr>
          <w:p>
            <w:pPr>
              <w:spacing w:before="0" w:after="0"/>
              <w:jc w:val="right"/>
              <w:rPr>
                <w:rFonts w:ascii="Arial" w:hAnsi="Arial" w:cs="Arial"/>
                <w:noProof/>
                <w:sz w:val="20"/>
                <w:szCs w:val="20"/>
              </w:rPr>
            </w:pPr>
            <w:r>
              <w:rPr>
                <w:rFonts w:ascii="Arial" w:hAnsi="Arial" w:cs="Arial"/>
                <w:noProof/>
                <w:sz w:val="20"/>
                <w:szCs w:val="20"/>
              </w:rPr>
              <w:t>0</w:t>
            </w:r>
          </w:p>
        </w:tc>
      </w:tr>
      <w:tr>
        <w:trPr>
          <w:trHeight w:val="324"/>
        </w:trPr>
        <w:tc>
          <w:tcPr>
            <w:tcW w:w="2295"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iCs/>
                <w:noProof/>
                <w:sz w:val="20"/>
                <w:szCs w:val="20"/>
              </w:rPr>
            </w:pPr>
            <w:r>
              <w:rPr>
                <w:rFonts w:ascii="Arial" w:hAnsi="Arial" w:cs="Arial"/>
                <w:b/>
                <w:bCs/>
                <w:iCs/>
                <w:noProof/>
                <w:sz w:val="20"/>
                <w:szCs w:val="20"/>
              </w:rPr>
              <w:t>Total</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noProof/>
                <w:sz w:val="20"/>
                <w:szCs w:val="20"/>
              </w:rPr>
            </w:pPr>
            <w:r>
              <w:rPr>
                <w:rFonts w:ascii="Arial" w:hAnsi="Arial" w:cs="Arial"/>
                <w:b/>
                <w:noProof/>
                <w:sz w:val="20"/>
                <w:szCs w:val="20"/>
              </w:rPr>
              <w:t>31</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noProof/>
                <w:sz w:val="20"/>
                <w:szCs w:val="20"/>
              </w:rPr>
            </w:pPr>
            <w:r>
              <w:rPr>
                <w:rFonts w:ascii="Arial" w:hAnsi="Arial" w:cs="Arial"/>
                <w:b/>
                <w:noProof/>
                <w:sz w:val="20"/>
                <w:szCs w:val="20"/>
              </w:rPr>
              <w:t>145</w:t>
            </w:r>
          </w:p>
        </w:tc>
        <w:tc>
          <w:tcPr>
            <w:tcW w:w="84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noProof/>
                <w:sz w:val="20"/>
                <w:szCs w:val="20"/>
              </w:rPr>
            </w:pPr>
            <w:r>
              <w:rPr>
                <w:rFonts w:ascii="Arial" w:hAnsi="Arial" w:cs="Arial"/>
                <w:b/>
                <w:noProof/>
                <w:sz w:val="20"/>
                <w:szCs w:val="20"/>
              </w:rPr>
              <w:t>24</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noProof/>
                <w:sz w:val="20"/>
                <w:szCs w:val="20"/>
              </w:rPr>
            </w:pPr>
            <w:r>
              <w:rPr>
                <w:rFonts w:ascii="Arial" w:hAnsi="Arial" w:cs="Arial"/>
                <w:b/>
                <w:noProof/>
                <w:sz w:val="20"/>
                <w:szCs w:val="20"/>
              </w:rPr>
              <w:t>1</w:t>
            </w:r>
          </w:p>
        </w:tc>
        <w:tc>
          <w:tcPr>
            <w:tcW w:w="108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noProof/>
                <w:sz w:val="20"/>
                <w:szCs w:val="20"/>
              </w:rPr>
            </w:pPr>
            <w:r>
              <w:rPr>
                <w:rFonts w:ascii="Arial" w:hAnsi="Arial" w:cs="Arial"/>
                <w:b/>
                <w:noProof/>
                <w:sz w:val="20"/>
                <w:szCs w:val="20"/>
              </w:rPr>
              <w:t>1</w:t>
            </w:r>
          </w:p>
        </w:tc>
        <w:tc>
          <w:tcPr>
            <w:tcW w:w="1045"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noProof/>
                <w:sz w:val="20"/>
                <w:szCs w:val="20"/>
              </w:rPr>
            </w:pPr>
            <w:r>
              <w:rPr>
                <w:rFonts w:ascii="Arial" w:hAnsi="Arial" w:cs="Arial"/>
                <w:b/>
                <w:noProof/>
                <w:sz w:val="20"/>
                <w:szCs w:val="20"/>
              </w:rPr>
              <w:t>7</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noProof/>
                <w:sz w:val="20"/>
                <w:szCs w:val="20"/>
              </w:rPr>
            </w:pPr>
            <w:r>
              <w:rPr>
                <w:rFonts w:ascii="Arial" w:hAnsi="Arial" w:cs="Arial"/>
                <w:b/>
                <w:noProof/>
                <w:sz w:val="20"/>
                <w:szCs w:val="20"/>
              </w:rPr>
              <w:t>209</w:t>
            </w:r>
          </w:p>
        </w:tc>
      </w:tr>
    </w:tbl>
    <w:p>
      <w:pPr>
        <w:rPr>
          <w:noProof/>
          <w:lang w:val="fr-BE"/>
        </w:rPr>
      </w:pPr>
    </w:p>
    <w:p>
      <w:pPr>
        <w:pStyle w:val="Heading1"/>
        <w:numPr>
          <w:ilvl w:val="0"/>
          <w:numId w:val="0"/>
        </w:numPr>
        <w:spacing w:before="0" w:after="0"/>
        <w:ind w:left="850"/>
        <w:rPr>
          <w:bCs w:val="0"/>
          <w:noProof/>
          <w:lang w:val="fr-BE"/>
        </w:rPr>
      </w:pPr>
      <w:r>
        <w:rPr>
          <w:noProof/>
          <w:lang w:val="fr-BE"/>
        </w:rPr>
        <w:t>4.</w:t>
      </w:r>
      <w:r>
        <w:rPr>
          <w:noProof/>
          <w:lang w:val="fr-BE"/>
        </w:rPr>
        <w:tab/>
        <w:t>Indemnité pour service continu ou par tours</w:t>
      </w:r>
    </w:p>
    <w:p>
      <w:pPr>
        <w:spacing w:after="0"/>
        <w:rPr>
          <w:noProof/>
          <w:lang w:val="fr-BE"/>
        </w:rPr>
      </w:pPr>
      <w:r>
        <w:rPr>
          <w:noProof/>
          <w:lang w:val="fr-BE"/>
        </w:rPr>
        <w:t>Les bases juridiques de cette indemnité sont l'article 56 </w:t>
      </w:r>
      <w:r>
        <w:rPr>
          <w:i/>
          <w:noProof/>
          <w:lang w:val="fr-BE"/>
        </w:rPr>
        <w:t>bis</w:t>
      </w:r>
      <w:r>
        <w:rPr>
          <w:noProof/>
          <w:lang w:val="fr-BE"/>
        </w:rPr>
        <w:t xml:space="preserve"> du statut ainsi que le règlement n° 300/76 du Conseil du 9 février 1976, tel qu’amendé.</w:t>
      </w:r>
    </w:p>
    <w:p>
      <w:pPr>
        <w:spacing w:after="0"/>
        <w:rPr>
          <w:noProof/>
          <w:lang w:val="fr-BE"/>
        </w:rPr>
      </w:pPr>
      <w:r>
        <w:rPr>
          <w:noProof/>
          <w:lang w:val="fr-BE"/>
        </w:rPr>
        <w:t xml:space="preserve">Le paiement de l'indemnité est limité aux fonctionnaires et autres agents rémunérés sur les </w:t>
      </w:r>
      <w:r>
        <w:rPr>
          <w:i/>
          <w:noProof/>
          <w:lang w:val="fr-BE"/>
        </w:rPr>
        <w:t>crédits de recherche</w:t>
      </w:r>
      <w:r>
        <w:rPr>
          <w:noProof/>
          <w:lang w:val="fr-BE"/>
        </w:rPr>
        <w:t xml:space="preserve"> et affectés:</w:t>
      </w:r>
    </w:p>
    <w:p>
      <w:pPr>
        <w:pStyle w:val="Tiret1"/>
        <w:numPr>
          <w:ilvl w:val="0"/>
          <w:numId w:val="25"/>
        </w:numPr>
        <w:tabs>
          <w:tab w:val="clear" w:pos="1417"/>
          <w:tab w:val="num" w:pos="720"/>
        </w:tabs>
        <w:spacing w:before="0" w:after="0"/>
        <w:ind w:left="720" w:hanging="360"/>
        <w:rPr>
          <w:noProof/>
          <w:lang w:val="fr-BE"/>
        </w:rPr>
      </w:pPr>
      <w:r>
        <w:rPr>
          <w:noProof/>
          <w:lang w:val="fr-BE"/>
        </w:rPr>
        <w:t>à un établissement du Centre commun de recherche (CCR), ou</w:t>
      </w:r>
    </w:p>
    <w:p>
      <w:pPr>
        <w:pStyle w:val="Tiret1"/>
        <w:numPr>
          <w:ilvl w:val="0"/>
          <w:numId w:val="25"/>
        </w:numPr>
        <w:tabs>
          <w:tab w:val="clear" w:pos="1417"/>
          <w:tab w:val="num" w:pos="720"/>
        </w:tabs>
        <w:spacing w:before="0" w:after="0"/>
        <w:ind w:left="720" w:hanging="360"/>
        <w:rPr>
          <w:noProof/>
          <w:lang w:val="fr-BE"/>
        </w:rPr>
      </w:pPr>
      <w:r>
        <w:rPr>
          <w:noProof/>
          <w:lang w:val="fr-BE"/>
        </w:rPr>
        <w:t xml:space="preserve">aux actions indirectes, ou </w:t>
      </w:r>
    </w:p>
    <w:p>
      <w:pPr>
        <w:spacing w:before="0" w:after="0"/>
        <w:rPr>
          <w:noProof/>
          <w:lang w:val="fr-BE"/>
        </w:rPr>
      </w:pPr>
      <w:r>
        <w:rPr>
          <w:noProof/>
          <w:lang w:val="fr-BE"/>
        </w:rPr>
        <w:t xml:space="preserve">rémunérés sur les </w:t>
      </w:r>
      <w:r>
        <w:rPr>
          <w:i/>
          <w:noProof/>
          <w:lang w:val="fr-BE"/>
        </w:rPr>
        <w:t>crédits de fonctionnement</w:t>
      </w:r>
      <w:r>
        <w:rPr>
          <w:noProof/>
          <w:lang w:val="fr-BE"/>
        </w:rPr>
        <w:t xml:space="preserve"> et affectés:</w:t>
      </w:r>
    </w:p>
    <w:p>
      <w:pPr>
        <w:pStyle w:val="Tiret1"/>
        <w:numPr>
          <w:ilvl w:val="0"/>
          <w:numId w:val="25"/>
        </w:numPr>
        <w:tabs>
          <w:tab w:val="clear" w:pos="1417"/>
          <w:tab w:val="num" w:pos="720"/>
        </w:tabs>
        <w:spacing w:before="0" w:after="0"/>
        <w:ind w:left="720" w:hanging="360"/>
        <w:rPr>
          <w:noProof/>
          <w:lang w:val="fr-BE"/>
        </w:rPr>
      </w:pPr>
      <w:r>
        <w:rPr>
          <w:noProof/>
          <w:lang w:val="fr-BE"/>
        </w:rPr>
        <w:t>auprès d'un service de technologies de l'information et de communication (TIC),</w:t>
      </w:r>
    </w:p>
    <w:p>
      <w:pPr>
        <w:pStyle w:val="Tiret1"/>
        <w:numPr>
          <w:ilvl w:val="0"/>
          <w:numId w:val="25"/>
        </w:numPr>
        <w:tabs>
          <w:tab w:val="clear" w:pos="1417"/>
          <w:tab w:val="num" w:pos="720"/>
        </w:tabs>
        <w:spacing w:before="0" w:after="0"/>
        <w:ind w:left="720" w:hanging="360"/>
        <w:rPr>
          <w:noProof/>
          <w:lang w:val="fr-BE"/>
        </w:rPr>
      </w:pPr>
      <w:r>
        <w:rPr>
          <w:noProof/>
          <w:lang w:val="fr-BE"/>
        </w:rPr>
        <w:t>auprès d'un service de sécurité,</w:t>
      </w:r>
    </w:p>
    <w:p>
      <w:pPr>
        <w:pStyle w:val="Tiret1"/>
        <w:numPr>
          <w:ilvl w:val="0"/>
          <w:numId w:val="25"/>
        </w:numPr>
        <w:tabs>
          <w:tab w:val="clear" w:pos="1417"/>
          <w:tab w:val="num" w:pos="720"/>
        </w:tabs>
        <w:spacing w:before="0" w:after="0"/>
        <w:ind w:left="720" w:hanging="360"/>
        <w:rPr>
          <w:noProof/>
          <w:lang w:val="fr-BE"/>
        </w:rPr>
      </w:pPr>
      <w:r>
        <w:rPr>
          <w:noProof/>
          <w:lang w:val="fr-BE"/>
        </w:rPr>
        <w:t>à un service de standard téléphonique/d’information ou à un bureau d’accueil,</w:t>
      </w:r>
    </w:p>
    <w:p>
      <w:pPr>
        <w:pStyle w:val="Tiret1"/>
        <w:numPr>
          <w:ilvl w:val="0"/>
          <w:numId w:val="25"/>
        </w:numPr>
        <w:tabs>
          <w:tab w:val="clear" w:pos="1417"/>
          <w:tab w:val="num" w:pos="720"/>
        </w:tabs>
        <w:spacing w:before="0" w:after="0"/>
        <w:ind w:left="720" w:hanging="360"/>
        <w:rPr>
          <w:noProof/>
          <w:lang w:val="fr-BE"/>
        </w:rPr>
      </w:pPr>
      <w:r>
        <w:rPr>
          <w:noProof/>
          <w:lang w:val="fr-BE"/>
        </w:rPr>
        <w:t>à un service de soutien à la politique étrangère et de sécurité commune (PESC)/politique européenne de sécurité et de défense (PESD) ou au dispositif pour la coordination des situations d'urgence et des crises,</w:t>
      </w:r>
    </w:p>
    <w:p>
      <w:pPr>
        <w:pStyle w:val="Tiret1"/>
        <w:numPr>
          <w:ilvl w:val="0"/>
          <w:numId w:val="25"/>
        </w:numPr>
        <w:tabs>
          <w:tab w:val="clear" w:pos="1417"/>
          <w:tab w:val="num" w:pos="720"/>
        </w:tabs>
        <w:spacing w:before="0" w:after="0"/>
        <w:ind w:left="720" w:hanging="360"/>
        <w:rPr>
          <w:noProof/>
          <w:lang w:val="fr-BE"/>
        </w:rPr>
      </w:pPr>
      <w:r>
        <w:rPr>
          <w:noProof/>
          <w:lang w:val="fr-BE"/>
        </w:rPr>
        <w:t>un service fournissant un soutien dans le cadre de la coordination en cas d'urgence ou de crise ou</w:t>
      </w:r>
    </w:p>
    <w:p>
      <w:pPr>
        <w:pStyle w:val="Tiret1"/>
        <w:numPr>
          <w:ilvl w:val="0"/>
          <w:numId w:val="25"/>
        </w:numPr>
        <w:tabs>
          <w:tab w:val="clear" w:pos="1417"/>
          <w:tab w:val="num" w:pos="720"/>
        </w:tabs>
        <w:spacing w:before="0" w:after="0"/>
        <w:ind w:left="720" w:hanging="360"/>
        <w:rPr>
          <w:noProof/>
          <w:lang w:val="fr-BE"/>
        </w:rPr>
      </w:pPr>
      <w:r>
        <w:rPr>
          <w:noProof/>
          <w:lang w:val="fr-BE"/>
        </w:rPr>
        <w:t>à la conduite ou à la surveillance des installations techniques.</w:t>
      </w:r>
    </w:p>
    <w:p>
      <w:pPr>
        <w:spacing w:after="0"/>
        <w:rPr>
          <w:noProof/>
          <w:lang w:val="fr-BE"/>
        </w:rPr>
      </w:pPr>
      <w:r>
        <w:rPr>
          <w:noProof/>
          <w:lang w:val="fr-BE"/>
        </w:rPr>
        <w:t>Les chiffres suivants indiquent le nombre d'indemnités octroyées par chaque institution pour l'année 2018.</w:t>
      </w:r>
    </w:p>
    <w:p>
      <w:pPr>
        <w:spacing w:before="0" w:after="0"/>
        <w:rPr>
          <w:noProof/>
          <w:lang w:val="fr-BE"/>
        </w:rPr>
      </w:pPr>
    </w:p>
    <w:p>
      <w:pPr>
        <w:pStyle w:val="Heading2"/>
        <w:numPr>
          <w:ilvl w:val="0"/>
          <w:numId w:val="0"/>
        </w:numPr>
        <w:spacing w:before="0" w:after="0"/>
        <w:rPr>
          <w:bCs w:val="0"/>
          <w:noProof/>
          <w:lang w:val="fr-BE"/>
        </w:rPr>
      </w:pPr>
      <w:r>
        <w:rPr>
          <w:noProof/>
          <w:lang w:val="fr-BE"/>
        </w:rPr>
        <w:t>4.1.</w:t>
      </w:r>
      <w:r>
        <w:rPr>
          <w:noProof/>
          <w:lang w:val="fr-BE"/>
        </w:rPr>
        <w:tab/>
        <w:t>Nombre de bénéficiaires (fonctionnaires/agents temporaires et agents contractuels) :</w:t>
      </w:r>
    </w:p>
    <w:tbl>
      <w:tblPr>
        <w:tblW w:w="9087" w:type="dxa"/>
        <w:tblInd w:w="93" w:type="dxa"/>
        <w:tblLook w:val="0000" w:firstRow="0" w:lastRow="0" w:firstColumn="0" w:lastColumn="0" w:noHBand="0" w:noVBand="0"/>
      </w:tblPr>
      <w:tblGrid>
        <w:gridCol w:w="2142"/>
        <w:gridCol w:w="1134"/>
        <w:gridCol w:w="1134"/>
        <w:gridCol w:w="1110"/>
        <w:gridCol w:w="954"/>
        <w:gridCol w:w="954"/>
        <w:gridCol w:w="667"/>
        <w:gridCol w:w="992"/>
      </w:tblGrid>
      <w:tr>
        <w:trPr>
          <w:trHeight w:val="255"/>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Institution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AD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SC - AST</w:t>
            </w:r>
          </w:p>
        </w:tc>
        <w:tc>
          <w:tcPr>
            <w:tcW w:w="3685" w:type="dxa"/>
            <w:gridSpan w:val="4"/>
            <w:tcBorders>
              <w:top w:val="single" w:sz="4" w:space="0" w:color="auto"/>
              <w:left w:val="nil"/>
              <w:bottom w:val="single" w:sz="4" w:space="0" w:color="auto"/>
              <w:right w:val="single" w:sz="8" w:space="0" w:color="auto"/>
            </w:tcBorders>
            <w:shd w:val="clear" w:color="auto" w:fill="auto"/>
            <w:noWrap/>
            <w:vAlign w:val="bottom"/>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AC</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 xml:space="preserve">Total </w:t>
            </w:r>
          </w:p>
        </w:tc>
      </w:tr>
      <w:tr>
        <w:trPr>
          <w:trHeight w:val="466"/>
        </w:trPr>
        <w:tc>
          <w:tcPr>
            <w:tcW w:w="2142" w:type="dxa"/>
            <w:vMerge/>
            <w:tcBorders>
              <w:top w:val="single" w:sz="4" w:space="0" w:color="auto"/>
              <w:left w:val="single" w:sz="4" w:space="0" w:color="auto"/>
              <w:bottom w:val="single" w:sz="4" w:space="0" w:color="000000"/>
              <w:right w:val="single" w:sz="4" w:space="0" w:color="auto"/>
            </w:tcBorders>
            <w:vAlign w:val="center"/>
          </w:tcPr>
          <w:p>
            <w:pPr>
              <w:spacing w:before="0" w:after="0"/>
              <w:jc w:val="left"/>
              <w:rPr>
                <w:rFonts w:ascii="Arial" w:hAnsi="Arial" w:cs="Arial"/>
                <w:b/>
                <w:bCs/>
                <w:noProof/>
                <w:sz w:val="20"/>
                <w:szCs w:val="20"/>
                <w:lang w:val="fr-BE"/>
              </w:rPr>
            </w:pPr>
          </w:p>
        </w:tc>
        <w:tc>
          <w:tcPr>
            <w:tcW w:w="1134" w:type="dxa"/>
            <w:vMerge/>
            <w:tcBorders>
              <w:top w:val="single" w:sz="4" w:space="0" w:color="auto"/>
              <w:left w:val="single" w:sz="4" w:space="0" w:color="auto"/>
              <w:bottom w:val="single" w:sz="4" w:space="0" w:color="000000"/>
              <w:right w:val="single" w:sz="4" w:space="0" w:color="auto"/>
            </w:tcBorders>
            <w:vAlign w:val="center"/>
          </w:tcPr>
          <w:p>
            <w:pPr>
              <w:spacing w:before="0" w:after="0"/>
              <w:jc w:val="left"/>
              <w:rPr>
                <w:rFonts w:ascii="Arial" w:hAnsi="Arial" w:cs="Arial"/>
                <w:b/>
                <w:bCs/>
                <w:noProof/>
                <w:sz w:val="20"/>
                <w:szCs w:val="20"/>
                <w:lang w:val="fr-BE"/>
              </w:rPr>
            </w:pPr>
          </w:p>
        </w:tc>
        <w:tc>
          <w:tcPr>
            <w:tcW w:w="1134" w:type="dxa"/>
            <w:vMerge/>
            <w:tcBorders>
              <w:top w:val="single" w:sz="4" w:space="0" w:color="auto"/>
              <w:left w:val="single" w:sz="4" w:space="0" w:color="auto"/>
              <w:bottom w:val="single" w:sz="4" w:space="0" w:color="000000"/>
              <w:right w:val="single" w:sz="4" w:space="0" w:color="auto"/>
            </w:tcBorders>
            <w:vAlign w:val="center"/>
          </w:tcPr>
          <w:p>
            <w:pPr>
              <w:spacing w:before="0" w:after="0"/>
              <w:jc w:val="left"/>
              <w:rPr>
                <w:rFonts w:ascii="Arial" w:hAnsi="Arial" w:cs="Arial"/>
                <w:b/>
                <w:bCs/>
                <w:noProof/>
                <w:sz w:val="20"/>
                <w:szCs w:val="20"/>
                <w:lang w:val="fr-BE"/>
              </w:rPr>
            </w:pPr>
          </w:p>
        </w:tc>
        <w:tc>
          <w:tcPr>
            <w:tcW w:w="1110"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GF I</w:t>
            </w:r>
          </w:p>
        </w:tc>
        <w:tc>
          <w:tcPr>
            <w:tcW w:w="954"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ascii="Arial" w:hAnsi="Arial" w:cs="Arial"/>
                <w:b/>
                <w:bCs/>
                <w:noProof/>
                <w:sz w:val="20"/>
                <w:szCs w:val="20"/>
              </w:rPr>
            </w:pPr>
            <w:r>
              <w:rPr>
                <w:rFonts w:ascii="Arial" w:hAnsi="Arial" w:cs="Arial"/>
                <w:b/>
                <w:bCs/>
                <w:noProof/>
                <w:sz w:val="20"/>
                <w:szCs w:val="20"/>
                <w:lang w:val="fr-BE"/>
              </w:rPr>
              <w:t>GF I</w:t>
            </w:r>
            <w:r>
              <w:rPr>
                <w:rFonts w:ascii="Arial" w:hAnsi="Arial" w:cs="Arial"/>
                <w:b/>
                <w:bCs/>
                <w:noProof/>
                <w:sz w:val="20"/>
                <w:szCs w:val="20"/>
              </w:rPr>
              <w:t>I</w:t>
            </w:r>
          </w:p>
        </w:tc>
        <w:tc>
          <w:tcPr>
            <w:tcW w:w="954"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ascii="Arial" w:hAnsi="Arial" w:cs="Arial"/>
                <w:b/>
                <w:bCs/>
                <w:noProof/>
                <w:sz w:val="20"/>
                <w:szCs w:val="20"/>
              </w:rPr>
            </w:pPr>
            <w:r>
              <w:rPr>
                <w:rFonts w:ascii="Arial" w:hAnsi="Arial" w:cs="Arial"/>
                <w:b/>
                <w:bCs/>
                <w:noProof/>
                <w:sz w:val="20"/>
                <w:szCs w:val="20"/>
              </w:rPr>
              <w:t>GF III</w:t>
            </w:r>
          </w:p>
        </w:tc>
        <w:tc>
          <w:tcPr>
            <w:tcW w:w="667" w:type="dxa"/>
            <w:tcBorders>
              <w:top w:val="single" w:sz="4" w:space="0" w:color="auto"/>
              <w:left w:val="nil"/>
              <w:bottom w:val="single" w:sz="4" w:space="0" w:color="auto"/>
              <w:right w:val="single" w:sz="8" w:space="0" w:color="auto"/>
            </w:tcBorders>
            <w:shd w:val="clear" w:color="auto" w:fill="auto"/>
            <w:vAlign w:val="center"/>
          </w:tcPr>
          <w:p>
            <w:pPr>
              <w:spacing w:before="0" w:after="0"/>
              <w:jc w:val="center"/>
              <w:rPr>
                <w:rFonts w:ascii="Arial" w:hAnsi="Arial" w:cs="Arial"/>
                <w:b/>
                <w:bCs/>
                <w:noProof/>
                <w:sz w:val="20"/>
                <w:szCs w:val="20"/>
              </w:rPr>
            </w:pPr>
            <w:r>
              <w:rPr>
                <w:rFonts w:ascii="Arial" w:hAnsi="Arial" w:cs="Arial"/>
                <w:b/>
                <w:bCs/>
                <w:noProof/>
                <w:sz w:val="20"/>
                <w:szCs w:val="20"/>
              </w:rPr>
              <w:t>GF IV</w:t>
            </w:r>
          </w:p>
        </w:tc>
        <w:tc>
          <w:tcPr>
            <w:tcW w:w="992" w:type="dxa"/>
            <w:vMerge/>
            <w:tcBorders>
              <w:top w:val="single" w:sz="8" w:space="0" w:color="auto"/>
              <w:left w:val="single" w:sz="8" w:space="0" w:color="auto"/>
              <w:bottom w:val="single" w:sz="8" w:space="0" w:color="auto"/>
              <w:right w:val="single" w:sz="8" w:space="0" w:color="auto"/>
            </w:tcBorders>
            <w:vAlign w:val="center"/>
          </w:tcPr>
          <w:p>
            <w:pPr>
              <w:spacing w:before="0" w:after="0"/>
              <w:jc w:val="left"/>
              <w:rPr>
                <w:rFonts w:ascii="Arial" w:hAnsi="Arial" w:cs="Arial"/>
                <w:b/>
                <w:bCs/>
                <w:noProof/>
                <w:sz w:val="20"/>
                <w:szCs w:val="20"/>
              </w:rPr>
            </w:pPr>
          </w:p>
        </w:tc>
      </w:tr>
      <w:tr>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Commission</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76</w:t>
            </w:r>
          </w:p>
        </w:tc>
        <w:tc>
          <w:tcPr>
            <w:tcW w:w="111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16</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12</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8</w:t>
            </w:r>
          </w:p>
        </w:tc>
        <w:tc>
          <w:tcPr>
            <w:tcW w:w="667" w:type="dxa"/>
            <w:tcBorders>
              <w:top w:val="nil"/>
              <w:left w:val="nil"/>
              <w:bottom w:val="single" w:sz="4" w:space="0" w:color="auto"/>
              <w:right w:val="single" w:sz="8"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112</w:t>
            </w:r>
          </w:p>
        </w:tc>
      </w:tr>
      <w:tr>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 dont CCR:</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0</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20</w:t>
            </w:r>
          </w:p>
        </w:tc>
        <w:tc>
          <w:tcPr>
            <w:tcW w:w="1110"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5</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0</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0</w:t>
            </w:r>
          </w:p>
        </w:tc>
        <w:tc>
          <w:tcPr>
            <w:tcW w:w="667" w:type="dxa"/>
            <w:tcBorders>
              <w:top w:val="nil"/>
              <w:left w:val="nil"/>
              <w:bottom w:val="single" w:sz="4" w:space="0" w:color="auto"/>
              <w:right w:val="single" w:sz="8"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left"/>
              <w:rPr>
                <w:rFonts w:ascii="Arial" w:hAnsi="Arial" w:cs="Arial"/>
                <w:b/>
                <w:i/>
                <w:iCs/>
                <w:noProof/>
                <w:color w:val="808080"/>
                <w:sz w:val="20"/>
                <w:szCs w:val="20"/>
              </w:rPr>
            </w:pPr>
            <w:r>
              <w:rPr>
                <w:rFonts w:ascii="Arial" w:hAnsi="Arial" w:cs="Arial"/>
                <w:b/>
                <w:i/>
                <w:iCs/>
                <w:noProof/>
                <w:color w:val="808080"/>
                <w:sz w:val="20"/>
                <w:szCs w:val="20"/>
              </w:rPr>
              <w:t>25</w:t>
            </w:r>
          </w:p>
        </w:tc>
      </w:tr>
      <w:tr>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Conseil</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65</w:t>
            </w:r>
          </w:p>
        </w:tc>
        <w:tc>
          <w:tcPr>
            <w:tcW w:w="111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10</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667" w:type="dxa"/>
            <w:tcBorders>
              <w:top w:val="nil"/>
              <w:left w:val="nil"/>
              <w:bottom w:val="single" w:sz="4" w:space="0" w:color="auto"/>
              <w:right w:val="single" w:sz="8"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75</w:t>
            </w:r>
          </w:p>
        </w:tc>
      </w:tr>
      <w:tr>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Parlement</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4</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57</w:t>
            </w:r>
          </w:p>
        </w:tc>
        <w:tc>
          <w:tcPr>
            <w:tcW w:w="111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527</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5</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8</w:t>
            </w:r>
          </w:p>
        </w:tc>
        <w:tc>
          <w:tcPr>
            <w:tcW w:w="667" w:type="dxa"/>
            <w:tcBorders>
              <w:top w:val="nil"/>
              <w:left w:val="nil"/>
              <w:bottom w:val="single" w:sz="4" w:space="0" w:color="auto"/>
              <w:right w:val="single" w:sz="8"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2</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603</w:t>
            </w:r>
          </w:p>
        </w:tc>
      </w:tr>
      <w:tr>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Cour de justice</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1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667" w:type="dxa"/>
            <w:tcBorders>
              <w:top w:val="nil"/>
              <w:left w:val="nil"/>
              <w:bottom w:val="single" w:sz="4" w:space="0" w:color="auto"/>
              <w:right w:val="single" w:sz="8"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0</w:t>
            </w:r>
          </w:p>
        </w:tc>
      </w:tr>
      <w:tr>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Cour des comptes</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1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19</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667" w:type="dxa"/>
            <w:tcBorders>
              <w:top w:val="nil"/>
              <w:left w:val="nil"/>
              <w:bottom w:val="single" w:sz="4" w:space="0" w:color="auto"/>
              <w:right w:val="single" w:sz="8"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19</w:t>
            </w:r>
          </w:p>
        </w:tc>
      </w:tr>
      <w:tr>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CESE</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2</w:t>
            </w:r>
          </w:p>
        </w:tc>
        <w:tc>
          <w:tcPr>
            <w:tcW w:w="111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667" w:type="dxa"/>
            <w:tcBorders>
              <w:top w:val="nil"/>
              <w:left w:val="nil"/>
              <w:bottom w:val="single" w:sz="4" w:space="0" w:color="auto"/>
              <w:right w:val="single" w:sz="8"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2</w:t>
            </w:r>
          </w:p>
        </w:tc>
      </w:tr>
      <w:tr>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CdR</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3</w:t>
            </w:r>
          </w:p>
        </w:tc>
        <w:tc>
          <w:tcPr>
            <w:tcW w:w="111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w:t>
            </w:r>
          </w:p>
        </w:tc>
        <w:tc>
          <w:tcPr>
            <w:tcW w:w="667" w:type="dxa"/>
            <w:tcBorders>
              <w:top w:val="nil"/>
              <w:left w:val="nil"/>
              <w:bottom w:val="single" w:sz="4" w:space="0" w:color="auto"/>
              <w:right w:val="single" w:sz="8"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4</w:t>
            </w:r>
          </w:p>
        </w:tc>
      </w:tr>
      <w:tr>
        <w:trPr>
          <w:trHeight w:val="26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CEPD</w:t>
            </w:r>
          </w:p>
        </w:tc>
        <w:tc>
          <w:tcPr>
            <w:tcW w:w="113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10"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667"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0</w:t>
            </w:r>
          </w:p>
        </w:tc>
      </w:tr>
      <w:tr>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Médiateur</w:t>
            </w:r>
          </w:p>
        </w:tc>
        <w:tc>
          <w:tcPr>
            <w:tcW w:w="113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10"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667"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0</w:t>
            </w:r>
          </w:p>
        </w:tc>
      </w:tr>
      <w:tr>
        <w:trPr>
          <w:trHeight w:val="270"/>
        </w:trPr>
        <w:tc>
          <w:tcPr>
            <w:tcW w:w="2142" w:type="dxa"/>
            <w:tcBorders>
              <w:top w:val="single" w:sz="4" w:space="0" w:color="auto"/>
              <w:left w:val="single" w:sz="4" w:space="0" w:color="auto"/>
              <w:bottom w:val="single" w:sz="2"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SEAE</w:t>
            </w:r>
          </w:p>
        </w:tc>
        <w:tc>
          <w:tcPr>
            <w:tcW w:w="1134" w:type="dxa"/>
            <w:tcBorders>
              <w:top w:val="single" w:sz="4" w:space="0" w:color="auto"/>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134" w:type="dxa"/>
            <w:tcBorders>
              <w:top w:val="single" w:sz="4" w:space="0" w:color="auto"/>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37</w:t>
            </w:r>
          </w:p>
        </w:tc>
        <w:tc>
          <w:tcPr>
            <w:tcW w:w="1110" w:type="dxa"/>
            <w:tcBorders>
              <w:top w:val="single" w:sz="4" w:space="0" w:color="auto"/>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single" w:sz="4" w:space="0" w:color="auto"/>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54" w:type="dxa"/>
            <w:tcBorders>
              <w:top w:val="single" w:sz="4" w:space="0" w:color="auto"/>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667" w:type="dxa"/>
            <w:tcBorders>
              <w:top w:val="single" w:sz="4" w:space="0" w:color="auto"/>
              <w:left w:val="nil"/>
              <w:bottom w:val="single" w:sz="2" w:space="0" w:color="auto"/>
              <w:right w:val="single" w:sz="8"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92" w:type="dxa"/>
            <w:tcBorders>
              <w:top w:val="single" w:sz="8" w:space="0" w:color="auto"/>
              <w:left w:val="single" w:sz="8" w:space="0" w:color="auto"/>
              <w:bottom w:val="single" w:sz="2" w:space="0" w:color="auto"/>
              <w:right w:val="single" w:sz="8" w:space="0" w:color="auto"/>
            </w:tcBorders>
            <w:shd w:val="clear" w:color="auto" w:fill="auto"/>
            <w:noWrap/>
            <w:vAlign w:val="bottom"/>
          </w:tcPr>
          <w:p>
            <w:pPr>
              <w:spacing w:before="0" w:after="0"/>
              <w:jc w:val="right"/>
              <w:rPr>
                <w:rFonts w:ascii="Arial" w:hAnsi="Arial" w:cs="Arial"/>
                <w:b/>
                <w:noProof/>
                <w:sz w:val="20"/>
                <w:szCs w:val="20"/>
              </w:rPr>
            </w:pPr>
            <w:r>
              <w:rPr>
                <w:rFonts w:ascii="Arial" w:hAnsi="Arial" w:cs="Arial"/>
                <w:b/>
                <w:noProof/>
                <w:sz w:val="20"/>
                <w:szCs w:val="20"/>
              </w:rPr>
              <w:t>37</w:t>
            </w:r>
          </w:p>
        </w:tc>
      </w:tr>
      <w:tr>
        <w:trPr>
          <w:trHeight w:val="324"/>
        </w:trPr>
        <w:tc>
          <w:tcPr>
            <w:tcW w:w="2142"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iCs/>
                <w:noProof/>
                <w:sz w:val="20"/>
                <w:szCs w:val="20"/>
              </w:rPr>
            </w:pPr>
            <w:r>
              <w:rPr>
                <w:rFonts w:ascii="Arial" w:hAnsi="Arial" w:cs="Arial"/>
                <w:b/>
                <w:bCs/>
                <w:iCs/>
                <w:noProof/>
                <w:sz w:val="20"/>
                <w:szCs w:val="20"/>
              </w:rPr>
              <w:t>Total</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240</w:t>
            </w:r>
          </w:p>
        </w:tc>
        <w:tc>
          <w:tcPr>
            <w:tcW w:w="111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572</w:t>
            </w:r>
          </w:p>
        </w:tc>
        <w:tc>
          <w:tcPr>
            <w:tcW w:w="954"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17</w:t>
            </w:r>
          </w:p>
        </w:tc>
        <w:tc>
          <w:tcPr>
            <w:tcW w:w="954"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17</w:t>
            </w:r>
          </w:p>
        </w:tc>
        <w:tc>
          <w:tcPr>
            <w:tcW w:w="667"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2</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852</w:t>
            </w:r>
          </w:p>
        </w:tc>
      </w:tr>
    </w:tbl>
    <w:p>
      <w:pPr>
        <w:spacing w:after="0"/>
        <w:rPr>
          <w:noProof/>
          <w:lang w:val="fr-BE"/>
        </w:rPr>
      </w:pPr>
      <w:r>
        <w:rPr>
          <w:noProof/>
          <w:lang w:val="fr-BE"/>
        </w:rPr>
        <w:t>Quatre taux différents sont prévus pour l'indemnité mensuelle (chiffres au titre de l'année 2018):</w:t>
      </w:r>
    </w:p>
    <w:p>
      <w:pPr>
        <w:pStyle w:val="Tiret1"/>
        <w:numPr>
          <w:ilvl w:val="0"/>
          <w:numId w:val="25"/>
        </w:numPr>
        <w:tabs>
          <w:tab w:val="clear" w:pos="1417"/>
          <w:tab w:val="num" w:pos="720"/>
        </w:tabs>
        <w:spacing w:before="0" w:after="0"/>
        <w:ind w:left="720" w:hanging="360"/>
        <w:rPr>
          <w:noProof/>
          <w:lang w:val="fr-BE"/>
        </w:rPr>
      </w:pPr>
      <w:r>
        <w:rPr>
          <w:noProof/>
          <w:lang w:val="fr-BE"/>
        </w:rPr>
        <w:t>taux 1: service en deux tours, sauf le week-end et les jours fériés: 420,64 EUR;</w:t>
      </w:r>
    </w:p>
    <w:p>
      <w:pPr>
        <w:pStyle w:val="Tiret1"/>
        <w:numPr>
          <w:ilvl w:val="0"/>
          <w:numId w:val="25"/>
        </w:numPr>
        <w:tabs>
          <w:tab w:val="clear" w:pos="1417"/>
          <w:tab w:val="num" w:pos="720"/>
        </w:tabs>
        <w:spacing w:before="0" w:after="0"/>
        <w:ind w:left="720" w:right="-287" w:hanging="360"/>
        <w:rPr>
          <w:noProof/>
          <w:lang w:val="fr-BE"/>
        </w:rPr>
      </w:pPr>
      <w:r>
        <w:rPr>
          <w:noProof/>
          <w:lang w:val="fr-BE"/>
        </w:rPr>
        <w:t>taux 2: service en deux tours, y compris la nuit, le week-end et les jours fériés: 634,89 €;</w:t>
      </w:r>
    </w:p>
    <w:p>
      <w:pPr>
        <w:pStyle w:val="Tiret1"/>
        <w:numPr>
          <w:ilvl w:val="0"/>
          <w:numId w:val="25"/>
        </w:numPr>
        <w:tabs>
          <w:tab w:val="clear" w:pos="1417"/>
          <w:tab w:val="num" w:pos="720"/>
        </w:tabs>
        <w:spacing w:before="0" w:after="0"/>
        <w:ind w:left="720" w:hanging="360"/>
        <w:rPr>
          <w:noProof/>
          <w:lang w:val="fr-BE"/>
        </w:rPr>
      </w:pPr>
      <w:r>
        <w:rPr>
          <w:noProof/>
          <w:lang w:val="fr-BE"/>
        </w:rPr>
        <w:t>taux 3: 24 heures sur 24, sauf le week-end et les jours fériés: 694,17 €;</w:t>
      </w:r>
    </w:p>
    <w:p>
      <w:pPr>
        <w:pStyle w:val="Tiret1"/>
        <w:numPr>
          <w:ilvl w:val="0"/>
          <w:numId w:val="25"/>
        </w:numPr>
        <w:tabs>
          <w:tab w:val="clear" w:pos="1417"/>
          <w:tab w:val="num" w:pos="720"/>
        </w:tabs>
        <w:spacing w:before="0" w:after="0"/>
        <w:ind w:left="720" w:hanging="360"/>
        <w:rPr>
          <w:noProof/>
          <w:lang w:val="fr-BE"/>
        </w:rPr>
      </w:pPr>
      <w:r>
        <w:rPr>
          <w:noProof/>
          <w:lang w:val="fr-BE"/>
        </w:rPr>
        <w:t>taux 4: 24 heures sur 24, 7 jours sur 7: 946,38 €.</w:t>
      </w:r>
    </w:p>
    <w:p>
      <w:pPr>
        <w:pStyle w:val="Tiret1"/>
        <w:numPr>
          <w:ilvl w:val="0"/>
          <w:numId w:val="0"/>
        </w:numPr>
        <w:spacing w:before="0" w:after="0"/>
        <w:ind w:left="720"/>
        <w:rPr>
          <w:noProof/>
          <w:lang w:val="fr-BE"/>
        </w:rPr>
      </w:pPr>
    </w:p>
    <w:p>
      <w:pPr>
        <w:pStyle w:val="Heading2"/>
        <w:numPr>
          <w:ilvl w:val="0"/>
          <w:numId w:val="0"/>
        </w:numPr>
        <w:spacing w:before="0" w:after="0"/>
        <w:rPr>
          <w:noProof/>
          <w:lang w:val="fr-BE"/>
        </w:rPr>
      </w:pPr>
      <w:r>
        <w:rPr>
          <w:noProof/>
          <w:lang w:val="fr-BE"/>
        </w:rPr>
        <w:t>4.2.</w:t>
      </w:r>
      <w:r>
        <w:rPr>
          <w:noProof/>
          <w:lang w:val="fr-BE"/>
        </w:rPr>
        <w:tab/>
        <w:t>Nombre de bénéficiaires par taux :</w:t>
      </w:r>
    </w:p>
    <w:tbl>
      <w:tblPr>
        <w:tblW w:w="9087" w:type="dxa"/>
        <w:tblInd w:w="93" w:type="dxa"/>
        <w:tblLayout w:type="fixed"/>
        <w:tblLook w:val="0000" w:firstRow="0" w:lastRow="0" w:firstColumn="0" w:lastColumn="0" w:noHBand="0" w:noVBand="0"/>
      </w:tblPr>
      <w:tblGrid>
        <w:gridCol w:w="2425"/>
        <w:gridCol w:w="1360"/>
        <w:gridCol w:w="1361"/>
        <w:gridCol w:w="1361"/>
        <w:gridCol w:w="1361"/>
        <w:gridCol w:w="1219"/>
      </w:tblGrid>
      <w:tr>
        <w:trPr>
          <w:trHeight w:val="322"/>
        </w:trPr>
        <w:tc>
          <w:tcPr>
            <w:tcW w:w="242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pPr>
              <w:spacing w:before="0" w:after="0"/>
              <w:jc w:val="center"/>
              <w:rPr>
                <w:rFonts w:ascii="Arial" w:hAnsi="Arial" w:cs="Arial"/>
                <w:b/>
                <w:noProof/>
                <w:sz w:val="20"/>
                <w:szCs w:val="20"/>
              </w:rPr>
            </w:pPr>
            <w:r>
              <w:rPr>
                <w:rFonts w:ascii="Arial" w:hAnsi="Arial" w:cs="Arial"/>
                <w:b/>
                <w:noProof/>
                <w:sz w:val="20"/>
                <w:szCs w:val="20"/>
              </w:rPr>
              <w:t>Institution</w:t>
            </w:r>
          </w:p>
        </w:tc>
        <w:tc>
          <w:tcPr>
            <w:tcW w:w="1360" w:type="dxa"/>
            <w:tcBorders>
              <w:top w:val="single" w:sz="8" w:space="0" w:color="auto"/>
              <w:left w:val="nil"/>
              <w:bottom w:val="single" w:sz="4" w:space="0" w:color="auto"/>
              <w:right w:val="single" w:sz="4" w:space="0" w:color="auto"/>
            </w:tcBorders>
            <w:shd w:val="clear" w:color="auto" w:fill="auto"/>
            <w:noWrap/>
            <w:vAlign w:val="bottom"/>
          </w:tcPr>
          <w:p>
            <w:pPr>
              <w:spacing w:before="0" w:after="0"/>
              <w:jc w:val="center"/>
              <w:rPr>
                <w:rFonts w:ascii="Arial" w:hAnsi="Arial" w:cs="Arial"/>
                <w:b/>
                <w:noProof/>
                <w:sz w:val="20"/>
                <w:szCs w:val="20"/>
              </w:rPr>
            </w:pPr>
            <w:r>
              <w:rPr>
                <w:rFonts w:ascii="Arial" w:hAnsi="Arial" w:cs="Arial"/>
                <w:b/>
                <w:noProof/>
                <w:sz w:val="20"/>
                <w:szCs w:val="20"/>
              </w:rPr>
              <w:t>Taux 1</w:t>
            </w:r>
          </w:p>
        </w:tc>
        <w:tc>
          <w:tcPr>
            <w:tcW w:w="1361" w:type="dxa"/>
            <w:tcBorders>
              <w:top w:val="single" w:sz="8" w:space="0" w:color="auto"/>
              <w:left w:val="nil"/>
              <w:bottom w:val="single" w:sz="4" w:space="0" w:color="auto"/>
              <w:right w:val="single" w:sz="4" w:space="0" w:color="auto"/>
            </w:tcBorders>
            <w:shd w:val="clear" w:color="auto" w:fill="auto"/>
            <w:noWrap/>
            <w:vAlign w:val="bottom"/>
          </w:tcPr>
          <w:p>
            <w:pPr>
              <w:spacing w:before="0" w:after="0"/>
              <w:jc w:val="center"/>
              <w:rPr>
                <w:rFonts w:ascii="Arial" w:hAnsi="Arial" w:cs="Arial"/>
                <w:b/>
                <w:noProof/>
                <w:sz w:val="20"/>
                <w:szCs w:val="20"/>
              </w:rPr>
            </w:pPr>
            <w:r>
              <w:rPr>
                <w:rFonts w:ascii="Arial" w:hAnsi="Arial" w:cs="Arial"/>
                <w:b/>
                <w:noProof/>
                <w:sz w:val="20"/>
                <w:szCs w:val="20"/>
              </w:rPr>
              <w:t>Taux 2</w:t>
            </w:r>
          </w:p>
        </w:tc>
        <w:tc>
          <w:tcPr>
            <w:tcW w:w="1361" w:type="dxa"/>
            <w:tcBorders>
              <w:top w:val="single" w:sz="8" w:space="0" w:color="auto"/>
              <w:left w:val="nil"/>
              <w:bottom w:val="single" w:sz="4" w:space="0" w:color="auto"/>
              <w:right w:val="single" w:sz="4" w:space="0" w:color="auto"/>
            </w:tcBorders>
            <w:shd w:val="clear" w:color="auto" w:fill="auto"/>
            <w:noWrap/>
            <w:vAlign w:val="bottom"/>
          </w:tcPr>
          <w:p>
            <w:pPr>
              <w:spacing w:before="0" w:after="0"/>
              <w:jc w:val="center"/>
              <w:rPr>
                <w:rFonts w:ascii="Arial" w:hAnsi="Arial" w:cs="Arial"/>
                <w:b/>
                <w:noProof/>
                <w:sz w:val="20"/>
                <w:szCs w:val="20"/>
              </w:rPr>
            </w:pPr>
            <w:r>
              <w:rPr>
                <w:rFonts w:ascii="Arial" w:hAnsi="Arial" w:cs="Arial"/>
                <w:b/>
                <w:noProof/>
                <w:sz w:val="20"/>
                <w:szCs w:val="20"/>
              </w:rPr>
              <w:t>Taux 3</w:t>
            </w:r>
          </w:p>
        </w:tc>
        <w:tc>
          <w:tcPr>
            <w:tcW w:w="1361" w:type="dxa"/>
            <w:tcBorders>
              <w:top w:val="single" w:sz="8" w:space="0" w:color="auto"/>
              <w:left w:val="nil"/>
              <w:bottom w:val="single" w:sz="4" w:space="0" w:color="auto"/>
              <w:right w:val="nil"/>
            </w:tcBorders>
            <w:shd w:val="clear" w:color="auto" w:fill="auto"/>
            <w:noWrap/>
            <w:vAlign w:val="bottom"/>
          </w:tcPr>
          <w:p>
            <w:pPr>
              <w:spacing w:before="0" w:after="0"/>
              <w:jc w:val="center"/>
              <w:rPr>
                <w:rFonts w:ascii="Arial" w:hAnsi="Arial" w:cs="Arial"/>
                <w:b/>
                <w:noProof/>
                <w:sz w:val="20"/>
                <w:szCs w:val="20"/>
              </w:rPr>
            </w:pPr>
            <w:r>
              <w:rPr>
                <w:rFonts w:ascii="Arial" w:hAnsi="Arial" w:cs="Arial"/>
                <w:b/>
                <w:noProof/>
                <w:sz w:val="20"/>
                <w:szCs w:val="20"/>
              </w:rPr>
              <w:t>Taux 4</w:t>
            </w:r>
          </w:p>
        </w:tc>
        <w:tc>
          <w:tcPr>
            <w:tcW w:w="1219"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center"/>
              <w:rPr>
                <w:rFonts w:ascii="Arial" w:hAnsi="Arial" w:cs="Arial"/>
                <w:b/>
                <w:bCs/>
                <w:noProof/>
                <w:sz w:val="20"/>
                <w:szCs w:val="20"/>
              </w:rPr>
            </w:pPr>
            <w:r>
              <w:rPr>
                <w:rFonts w:ascii="Arial" w:hAnsi="Arial" w:cs="Arial"/>
                <w:b/>
                <w:bCs/>
                <w:noProof/>
                <w:sz w:val="20"/>
                <w:szCs w:val="20"/>
              </w:rPr>
              <w:t>Total</w:t>
            </w:r>
          </w:p>
        </w:tc>
      </w:tr>
      <w:tr>
        <w:trPr>
          <w:trHeight w:val="526"/>
        </w:trPr>
        <w:tc>
          <w:tcPr>
            <w:tcW w:w="2425" w:type="dxa"/>
            <w:vMerge/>
            <w:tcBorders>
              <w:top w:val="single" w:sz="8" w:space="0" w:color="auto"/>
              <w:left w:val="single" w:sz="8" w:space="0" w:color="auto"/>
              <w:bottom w:val="single" w:sz="8" w:space="0" w:color="000000"/>
              <w:right w:val="single" w:sz="4" w:space="0" w:color="auto"/>
            </w:tcBorders>
            <w:vAlign w:val="center"/>
          </w:tcPr>
          <w:p>
            <w:pPr>
              <w:spacing w:before="0" w:after="0"/>
              <w:jc w:val="left"/>
              <w:rPr>
                <w:rFonts w:ascii="Arial" w:hAnsi="Arial" w:cs="Arial"/>
                <w:noProof/>
                <w:sz w:val="20"/>
                <w:szCs w:val="20"/>
              </w:rPr>
            </w:pPr>
          </w:p>
        </w:tc>
        <w:tc>
          <w:tcPr>
            <w:tcW w:w="1360" w:type="dxa"/>
            <w:tcBorders>
              <w:top w:val="nil"/>
              <w:left w:val="nil"/>
              <w:bottom w:val="single" w:sz="8" w:space="0" w:color="auto"/>
              <w:right w:val="single" w:sz="4" w:space="0" w:color="auto"/>
            </w:tcBorders>
            <w:shd w:val="clear" w:color="auto" w:fill="auto"/>
            <w:noWrap/>
            <w:vAlign w:val="center"/>
          </w:tcPr>
          <w:p>
            <w:pPr>
              <w:spacing w:before="0" w:after="0"/>
              <w:jc w:val="center"/>
              <w:rPr>
                <w:rFonts w:ascii="Arial" w:hAnsi="Arial" w:cs="Arial"/>
                <w:noProof/>
                <w:sz w:val="20"/>
                <w:szCs w:val="20"/>
              </w:rPr>
            </w:pPr>
            <w:r>
              <w:rPr>
                <w:noProof/>
                <w:sz w:val="22"/>
                <w:lang w:val="fr-BE"/>
              </w:rPr>
              <w:t>€ 420,64 </w:t>
            </w:r>
          </w:p>
        </w:tc>
        <w:tc>
          <w:tcPr>
            <w:tcW w:w="1361" w:type="dxa"/>
            <w:tcBorders>
              <w:top w:val="nil"/>
              <w:left w:val="nil"/>
              <w:bottom w:val="single" w:sz="8" w:space="0" w:color="auto"/>
              <w:right w:val="single" w:sz="4" w:space="0" w:color="auto"/>
            </w:tcBorders>
            <w:shd w:val="clear" w:color="auto" w:fill="auto"/>
            <w:noWrap/>
            <w:vAlign w:val="center"/>
          </w:tcPr>
          <w:p>
            <w:pPr>
              <w:spacing w:before="0" w:after="0"/>
              <w:jc w:val="center"/>
              <w:rPr>
                <w:rFonts w:ascii="Arial" w:hAnsi="Arial" w:cs="Arial"/>
                <w:noProof/>
                <w:sz w:val="20"/>
                <w:szCs w:val="20"/>
              </w:rPr>
            </w:pPr>
            <w:r>
              <w:rPr>
                <w:noProof/>
                <w:sz w:val="22"/>
                <w:lang w:val="fr-BE"/>
              </w:rPr>
              <w:t>€ 634,89</w:t>
            </w:r>
          </w:p>
        </w:tc>
        <w:tc>
          <w:tcPr>
            <w:tcW w:w="1361" w:type="dxa"/>
            <w:tcBorders>
              <w:top w:val="nil"/>
              <w:left w:val="nil"/>
              <w:bottom w:val="single" w:sz="8" w:space="0" w:color="auto"/>
              <w:right w:val="single" w:sz="4" w:space="0" w:color="auto"/>
            </w:tcBorders>
            <w:shd w:val="clear" w:color="auto" w:fill="auto"/>
            <w:noWrap/>
            <w:vAlign w:val="center"/>
          </w:tcPr>
          <w:p>
            <w:pPr>
              <w:spacing w:before="0" w:after="0"/>
              <w:jc w:val="center"/>
              <w:rPr>
                <w:rFonts w:ascii="Arial" w:hAnsi="Arial" w:cs="Arial"/>
                <w:noProof/>
                <w:sz w:val="20"/>
                <w:szCs w:val="20"/>
              </w:rPr>
            </w:pPr>
            <w:r>
              <w:rPr>
                <w:noProof/>
                <w:sz w:val="22"/>
                <w:lang w:val="fr-BE"/>
              </w:rPr>
              <w:t>€ 694,17 </w:t>
            </w:r>
          </w:p>
        </w:tc>
        <w:tc>
          <w:tcPr>
            <w:tcW w:w="1361" w:type="dxa"/>
            <w:tcBorders>
              <w:top w:val="nil"/>
              <w:left w:val="nil"/>
              <w:bottom w:val="single" w:sz="8" w:space="0" w:color="auto"/>
              <w:right w:val="nil"/>
            </w:tcBorders>
            <w:shd w:val="clear" w:color="auto" w:fill="auto"/>
            <w:noWrap/>
            <w:vAlign w:val="center"/>
          </w:tcPr>
          <w:p>
            <w:pPr>
              <w:spacing w:before="0" w:after="0"/>
              <w:jc w:val="center"/>
              <w:rPr>
                <w:rFonts w:ascii="Arial" w:hAnsi="Arial" w:cs="Arial"/>
                <w:noProof/>
                <w:sz w:val="20"/>
                <w:szCs w:val="20"/>
              </w:rPr>
            </w:pPr>
            <w:r>
              <w:rPr>
                <w:noProof/>
                <w:sz w:val="22"/>
                <w:lang w:val="fr-BE"/>
              </w:rPr>
              <w:t>€ 946,38 </w:t>
            </w:r>
          </w:p>
        </w:tc>
        <w:tc>
          <w:tcPr>
            <w:tcW w:w="1219" w:type="dxa"/>
            <w:vMerge/>
            <w:tcBorders>
              <w:top w:val="single" w:sz="8" w:space="0" w:color="auto"/>
              <w:left w:val="single" w:sz="8" w:space="0" w:color="auto"/>
              <w:bottom w:val="single" w:sz="8" w:space="0" w:color="auto"/>
              <w:right w:val="single" w:sz="8" w:space="0" w:color="auto"/>
            </w:tcBorders>
            <w:vAlign w:val="center"/>
          </w:tcPr>
          <w:p>
            <w:pPr>
              <w:spacing w:before="0" w:after="0"/>
              <w:jc w:val="left"/>
              <w:rPr>
                <w:rFonts w:ascii="Arial" w:hAnsi="Arial" w:cs="Arial"/>
                <w:b/>
                <w:bCs/>
                <w:noProof/>
                <w:sz w:val="20"/>
                <w:szCs w:val="20"/>
              </w:rPr>
            </w:pPr>
          </w:p>
        </w:tc>
      </w:tr>
      <w:tr>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Commission</w:t>
            </w:r>
          </w:p>
        </w:tc>
        <w:tc>
          <w:tcPr>
            <w:tcW w:w="13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14</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8</w:t>
            </w:r>
          </w:p>
        </w:tc>
        <w:tc>
          <w:tcPr>
            <w:tcW w:w="1361" w:type="dxa"/>
            <w:tcBorders>
              <w:top w:val="nil"/>
              <w:left w:val="nil"/>
              <w:bottom w:val="single" w:sz="4" w:space="0" w:color="auto"/>
              <w:right w:val="nil"/>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90</w:t>
            </w:r>
          </w:p>
        </w:tc>
        <w:tc>
          <w:tcPr>
            <w:tcW w:w="1219"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bCs/>
                <w:noProof/>
                <w:sz w:val="20"/>
                <w:szCs w:val="20"/>
              </w:rPr>
            </w:pPr>
            <w:r>
              <w:rPr>
                <w:rFonts w:ascii="Arial" w:hAnsi="Arial" w:cs="Arial"/>
                <w:b/>
                <w:bCs/>
                <w:noProof/>
                <w:sz w:val="20"/>
                <w:szCs w:val="20"/>
              </w:rPr>
              <w:t>112</w:t>
            </w:r>
          </w:p>
        </w:tc>
      </w:tr>
      <w:tr>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 dont CCR:</w:t>
            </w:r>
          </w:p>
        </w:tc>
        <w:tc>
          <w:tcPr>
            <w:tcW w:w="1360"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8</w:t>
            </w:r>
          </w:p>
        </w:tc>
        <w:tc>
          <w:tcPr>
            <w:tcW w:w="1361" w:type="dxa"/>
            <w:tcBorders>
              <w:top w:val="nil"/>
              <w:left w:val="nil"/>
              <w:bottom w:val="single" w:sz="4" w:space="0" w:color="auto"/>
              <w:right w:val="nil"/>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17</w:t>
            </w:r>
          </w:p>
        </w:tc>
        <w:tc>
          <w:tcPr>
            <w:tcW w:w="1219"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left"/>
              <w:rPr>
                <w:rFonts w:ascii="Arial" w:hAnsi="Arial" w:cs="Arial"/>
                <w:i/>
                <w:iCs/>
                <w:noProof/>
                <w:color w:val="808080"/>
                <w:sz w:val="20"/>
                <w:szCs w:val="20"/>
              </w:rPr>
            </w:pPr>
            <w:r>
              <w:rPr>
                <w:rFonts w:ascii="Arial" w:hAnsi="Arial" w:cs="Arial"/>
                <w:i/>
                <w:iCs/>
                <w:noProof/>
                <w:color w:val="808080"/>
                <w:sz w:val="20"/>
                <w:szCs w:val="20"/>
              </w:rPr>
              <w:t>25</w:t>
            </w:r>
          </w:p>
        </w:tc>
      </w:tr>
      <w:tr>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Conseil</w:t>
            </w:r>
          </w:p>
        </w:tc>
        <w:tc>
          <w:tcPr>
            <w:tcW w:w="13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25</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361" w:type="dxa"/>
            <w:tcBorders>
              <w:top w:val="nil"/>
              <w:left w:val="nil"/>
              <w:bottom w:val="single" w:sz="4" w:space="0" w:color="auto"/>
              <w:right w:val="nil"/>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50</w:t>
            </w:r>
          </w:p>
        </w:tc>
        <w:tc>
          <w:tcPr>
            <w:tcW w:w="1219"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bCs/>
                <w:noProof/>
                <w:sz w:val="20"/>
                <w:szCs w:val="20"/>
                <w:lang w:val="fr-BE"/>
              </w:rPr>
            </w:pPr>
            <w:r>
              <w:rPr>
                <w:rFonts w:ascii="Arial" w:hAnsi="Arial" w:cs="Arial"/>
                <w:b/>
                <w:bCs/>
                <w:noProof/>
                <w:sz w:val="20"/>
                <w:szCs w:val="20"/>
                <w:lang w:val="fr-BE"/>
              </w:rPr>
              <w:t>75</w:t>
            </w:r>
          </w:p>
        </w:tc>
      </w:tr>
      <w:tr>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Parlement</w:t>
            </w:r>
          </w:p>
        </w:tc>
        <w:tc>
          <w:tcPr>
            <w:tcW w:w="13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48</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500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361" w:type="dxa"/>
            <w:tcBorders>
              <w:top w:val="nil"/>
              <w:left w:val="nil"/>
              <w:bottom w:val="single" w:sz="4" w:space="0" w:color="auto"/>
              <w:right w:val="nil"/>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55</w:t>
            </w:r>
          </w:p>
        </w:tc>
        <w:tc>
          <w:tcPr>
            <w:tcW w:w="1219"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bCs/>
                <w:noProof/>
                <w:sz w:val="20"/>
                <w:szCs w:val="20"/>
                <w:lang w:val="fr-BE"/>
              </w:rPr>
            </w:pPr>
            <w:r>
              <w:rPr>
                <w:rFonts w:ascii="Arial" w:hAnsi="Arial" w:cs="Arial"/>
                <w:b/>
                <w:bCs/>
                <w:noProof/>
                <w:sz w:val="20"/>
                <w:szCs w:val="20"/>
                <w:lang w:val="fr-BE"/>
              </w:rPr>
              <w:t>603</w:t>
            </w:r>
          </w:p>
        </w:tc>
      </w:tr>
      <w:tr>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Cour de justice</w:t>
            </w:r>
          </w:p>
        </w:tc>
        <w:tc>
          <w:tcPr>
            <w:tcW w:w="13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361" w:type="dxa"/>
            <w:tcBorders>
              <w:top w:val="nil"/>
              <w:left w:val="nil"/>
              <w:bottom w:val="single" w:sz="4" w:space="0" w:color="auto"/>
              <w:right w:val="nil"/>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219"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bCs/>
                <w:noProof/>
                <w:sz w:val="20"/>
                <w:szCs w:val="20"/>
                <w:lang w:val="fr-BE"/>
              </w:rPr>
            </w:pPr>
            <w:r>
              <w:rPr>
                <w:rFonts w:ascii="Arial" w:hAnsi="Arial" w:cs="Arial"/>
                <w:b/>
                <w:bCs/>
                <w:noProof/>
                <w:sz w:val="20"/>
                <w:szCs w:val="20"/>
                <w:lang w:val="fr-BE"/>
              </w:rPr>
              <w:t>0</w:t>
            </w:r>
          </w:p>
        </w:tc>
      </w:tr>
      <w:tr>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Cour des comptes</w:t>
            </w:r>
          </w:p>
        </w:tc>
        <w:tc>
          <w:tcPr>
            <w:tcW w:w="13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2</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361" w:type="dxa"/>
            <w:tcBorders>
              <w:top w:val="nil"/>
              <w:left w:val="nil"/>
              <w:bottom w:val="single" w:sz="4" w:space="0" w:color="auto"/>
              <w:right w:val="nil"/>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17</w:t>
            </w:r>
          </w:p>
        </w:tc>
        <w:tc>
          <w:tcPr>
            <w:tcW w:w="1219"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bCs/>
                <w:noProof/>
                <w:sz w:val="20"/>
                <w:szCs w:val="20"/>
                <w:lang w:val="fr-BE"/>
              </w:rPr>
            </w:pPr>
            <w:r>
              <w:rPr>
                <w:rFonts w:ascii="Arial" w:hAnsi="Arial" w:cs="Arial"/>
                <w:b/>
                <w:bCs/>
                <w:noProof/>
                <w:sz w:val="20"/>
                <w:szCs w:val="20"/>
                <w:lang w:val="fr-BE"/>
              </w:rPr>
              <w:t>19</w:t>
            </w:r>
          </w:p>
        </w:tc>
      </w:tr>
      <w:tr>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CESE</w:t>
            </w:r>
          </w:p>
        </w:tc>
        <w:tc>
          <w:tcPr>
            <w:tcW w:w="13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2</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nil"/>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219"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bCs/>
                <w:noProof/>
                <w:sz w:val="20"/>
                <w:szCs w:val="20"/>
              </w:rPr>
            </w:pPr>
            <w:r>
              <w:rPr>
                <w:rFonts w:ascii="Arial" w:hAnsi="Arial" w:cs="Arial"/>
                <w:b/>
                <w:bCs/>
                <w:noProof/>
                <w:sz w:val="20"/>
                <w:szCs w:val="20"/>
              </w:rPr>
              <w:t>2</w:t>
            </w:r>
          </w:p>
        </w:tc>
      </w:tr>
      <w:tr>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CdR</w:t>
            </w:r>
          </w:p>
        </w:tc>
        <w:tc>
          <w:tcPr>
            <w:tcW w:w="13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4</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nil"/>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219"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bCs/>
                <w:noProof/>
                <w:sz w:val="20"/>
                <w:szCs w:val="20"/>
              </w:rPr>
            </w:pPr>
            <w:r>
              <w:rPr>
                <w:rFonts w:ascii="Arial" w:hAnsi="Arial" w:cs="Arial"/>
                <w:b/>
                <w:bCs/>
                <w:noProof/>
                <w:sz w:val="20"/>
                <w:szCs w:val="20"/>
              </w:rPr>
              <w:t>4</w:t>
            </w:r>
          </w:p>
        </w:tc>
      </w:tr>
      <w:tr>
        <w:trPr>
          <w:trHeight w:val="262"/>
        </w:trPr>
        <w:tc>
          <w:tcPr>
            <w:tcW w:w="2425" w:type="dxa"/>
            <w:tcBorders>
              <w:top w:val="nil"/>
              <w:left w:val="single" w:sz="4" w:space="0" w:color="auto"/>
              <w:bottom w:val="single" w:sz="4" w:space="0" w:color="auto"/>
              <w:right w:val="single" w:sz="4" w:space="0" w:color="auto"/>
            </w:tcBorders>
            <w:shd w:val="clear" w:color="auto" w:fill="auto"/>
            <w:vAlign w:val="bottom"/>
          </w:tcPr>
          <w:p>
            <w:pPr>
              <w:spacing w:before="0" w:after="0"/>
              <w:jc w:val="left"/>
              <w:rPr>
                <w:rFonts w:ascii="Arial" w:hAnsi="Arial" w:cs="Arial"/>
                <w:noProof/>
                <w:sz w:val="20"/>
                <w:szCs w:val="20"/>
              </w:rPr>
            </w:pPr>
            <w:r>
              <w:rPr>
                <w:rFonts w:ascii="Arial" w:hAnsi="Arial" w:cs="Arial"/>
                <w:noProof/>
                <w:sz w:val="20"/>
                <w:szCs w:val="20"/>
              </w:rPr>
              <w:t>CEPD</w:t>
            </w:r>
          </w:p>
        </w:tc>
        <w:tc>
          <w:tcPr>
            <w:tcW w:w="136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nil"/>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219" w:type="dxa"/>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0</w:t>
            </w:r>
          </w:p>
        </w:tc>
      </w:tr>
      <w:tr>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Médiateur</w:t>
            </w:r>
          </w:p>
        </w:tc>
        <w:tc>
          <w:tcPr>
            <w:tcW w:w="13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4" w:space="0" w:color="auto"/>
              <w:right w:val="nil"/>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219" w:type="dxa"/>
            <w:tcBorders>
              <w:top w:val="single" w:sz="8" w:space="0" w:color="auto"/>
              <w:left w:val="single" w:sz="8" w:space="0" w:color="auto"/>
              <w:bottom w:val="single" w:sz="8" w:space="0" w:color="auto"/>
              <w:right w:val="single" w:sz="8" w:space="0" w:color="auto"/>
            </w:tcBorders>
            <w:shd w:val="clear" w:color="auto" w:fill="auto"/>
            <w:noWrap/>
            <w:vAlign w:val="bottom"/>
          </w:tcPr>
          <w:p>
            <w:pPr>
              <w:spacing w:before="0" w:after="0"/>
              <w:jc w:val="right"/>
              <w:rPr>
                <w:rFonts w:ascii="Arial" w:hAnsi="Arial" w:cs="Arial"/>
                <w:b/>
                <w:bCs/>
                <w:noProof/>
                <w:sz w:val="20"/>
                <w:szCs w:val="20"/>
              </w:rPr>
            </w:pPr>
            <w:r>
              <w:rPr>
                <w:rFonts w:ascii="Arial" w:hAnsi="Arial" w:cs="Arial"/>
                <w:b/>
                <w:bCs/>
                <w:noProof/>
                <w:sz w:val="20"/>
                <w:szCs w:val="20"/>
              </w:rPr>
              <w:t>0</w:t>
            </w:r>
          </w:p>
        </w:tc>
      </w:tr>
      <w:tr>
        <w:trPr>
          <w:trHeight w:val="270"/>
        </w:trPr>
        <w:tc>
          <w:tcPr>
            <w:tcW w:w="2425" w:type="dxa"/>
            <w:tcBorders>
              <w:top w:val="single" w:sz="4" w:space="0" w:color="auto"/>
              <w:left w:val="single" w:sz="4" w:space="0" w:color="auto"/>
              <w:bottom w:val="single" w:sz="2"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SEAE</w:t>
            </w:r>
          </w:p>
        </w:tc>
        <w:tc>
          <w:tcPr>
            <w:tcW w:w="1360" w:type="dxa"/>
            <w:tcBorders>
              <w:top w:val="nil"/>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25</w:t>
            </w:r>
          </w:p>
        </w:tc>
        <w:tc>
          <w:tcPr>
            <w:tcW w:w="1361" w:type="dxa"/>
            <w:tcBorders>
              <w:top w:val="nil"/>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61" w:type="dxa"/>
            <w:tcBorders>
              <w:top w:val="nil"/>
              <w:left w:val="nil"/>
              <w:bottom w:val="single" w:sz="2" w:space="0" w:color="auto"/>
              <w:right w:val="nil"/>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12</w:t>
            </w:r>
          </w:p>
        </w:tc>
        <w:tc>
          <w:tcPr>
            <w:tcW w:w="1219" w:type="dxa"/>
            <w:tcBorders>
              <w:top w:val="single" w:sz="8" w:space="0" w:color="auto"/>
              <w:left w:val="single" w:sz="8" w:space="0" w:color="auto"/>
              <w:bottom w:val="single" w:sz="2" w:space="0" w:color="auto"/>
              <w:right w:val="single" w:sz="8" w:space="0" w:color="auto"/>
            </w:tcBorders>
            <w:shd w:val="clear" w:color="auto" w:fill="auto"/>
            <w:noWrap/>
            <w:vAlign w:val="bottom"/>
          </w:tcPr>
          <w:p>
            <w:pPr>
              <w:spacing w:before="0" w:after="0"/>
              <w:jc w:val="right"/>
              <w:rPr>
                <w:rFonts w:ascii="Arial" w:hAnsi="Arial" w:cs="Arial"/>
                <w:b/>
                <w:bCs/>
                <w:noProof/>
                <w:sz w:val="20"/>
                <w:szCs w:val="20"/>
              </w:rPr>
            </w:pPr>
            <w:r>
              <w:rPr>
                <w:rFonts w:ascii="Arial" w:hAnsi="Arial" w:cs="Arial"/>
                <w:b/>
                <w:bCs/>
                <w:noProof/>
                <w:sz w:val="20"/>
                <w:szCs w:val="20"/>
              </w:rPr>
              <w:t>37</w:t>
            </w:r>
          </w:p>
        </w:tc>
      </w:tr>
      <w:tr>
        <w:trPr>
          <w:trHeight w:val="372"/>
        </w:trPr>
        <w:tc>
          <w:tcPr>
            <w:tcW w:w="2425"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i/>
                <w:iCs/>
                <w:noProof/>
                <w:sz w:val="20"/>
                <w:szCs w:val="20"/>
              </w:rPr>
            </w:pPr>
            <w:r>
              <w:rPr>
                <w:rFonts w:ascii="Arial" w:hAnsi="Arial" w:cs="Arial"/>
                <w:b/>
                <w:bCs/>
                <w:iCs/>
                <w:noProof/>
                <w:sz w:val="20"/>
                <w:szCs w:val="20"/>
              </w:rPr>
              <w:t>Total</w:t>
            </w:r>
          </w:p>
        </w:tc>
        <w:tc>
          <w:tcPr>
            <w:tcW w:w="136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120</w:t>
            </w:r>
          </w:p>
        </w:tc>
        <w:tc>
          <w:tcPr>
            <w:tcW w:w="1361"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500</w:t>
            </w:r>
          </w:p>
        </w:tc>
        <w:tc>
          <w:tcPr>
            <w:tcW w:w="1361"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8</w:t>
            </w:r>
          </w:p>
        </w:tc>
        <w:tc>
          <w:tcPr>
            <w:tcW w:w="1361"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224</w:t>
            </w:r>
          </w:p>
        </w:tc>
        <w:tc>
          <w:tcPr>
            <w:tcW w:w="1219"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lang w:val="fr-BE"/>
              </w:rPr>
            </w:pPr>
            <w:r>
              <w:rPr>
                <w:rFonts w:ascii="Arial" w:hAnsi="Arial" w:cs="Arial"/>
                <w:b/>
                <w:bCs/>
                <w:noProof/>
                <w:sz w:val="20"/>
                <w:szCs w:val="20"/>
                <w:lang w:val="fr-BE"/>
              </w:rPr>
              <w:t>852</w:t>
            </w:r>
          </w:p>
        </w:tc>
      </w:tr>
    </w:tbl>
    <w:p>
      <w:pPr>
        <w:rPr>
          <w:noProof/>
          <w:lang w:val="fr-BE"/>
        </w:rPr>
      </w:pPr>
      <w:r>
        <w:rPr>
          <w:noProof/>
          <w:lang w:val="fr-BE"/>
        </w:rPr>
        <w:br w:type="page"/>
      </w:r>
    </w:p>
    <w:p>
      <w:pPr>
        <w:pStyle w:val="Heading2"/>
        <w:numPr>
          <w:ilvl w:val="0"/>
          <w:numId w:val="0"/>
        </w:numPr>
        <w:spacing w:before="0" w:after="0"/>
        <w:rPr>
          <w:noProof/>
          <w:lang w:val="fr-BE"/>
        </w:rPr>
      </w:pPr>
      <w:r>
        <w:rPr>
          <w:noProof/>
          <w:lang w:val="fr-BE"/>
        </w:rPr>
        <w:t>4.3.</w:t>
      </w:r>
      <w:r>
        <w:rPr>
          <w:noProof/>
          <w:lang w:val="fr-BE"/>
        </w:rPr>
        <w:tab/>
        <w:t>Nombre de bénéficiaires par affectation :</w:t>
      </w:r>
    </w:p>
    <w:p>
      <w:pPr>
        <w:rPr>
          <w:noProof/>
          <w:lang w:val="fr-BE"/>
        </w:rPr>
      </w:pPr>
    </w:p>
    <w:tbl>
      <w:tblPr>
        <w:tblW w:w="10920" w:type="dxa"/>
        <w:tblInd w:w="-852" w:type="dxa"/>
        <w:tblLayout w:type="fixed"/>
        <w:tblLook w:val="0000" w:firstRow="0" w:lastRow="0" w:firstColumn="0" w:lastColumn="0" w:noHBand="0" w:noVBand="0"/>
      </w:tblPr>
      <w:tblGrid>
        <w:gridCol w:w="1920"/>
        <w:gridCol w:w="720"/>
        <w:gridCol w:w="1200"/>
        <w:gridCol w:w="720"/>
        <w:gridCol w:w="1080"/>
        <w:gridCol w:w="1303"/>
        <w:gridCol w:w="960"/>
        <w:gridCol w:w="977"/>
        <w:gridCol w:w="1080"/>
        <w:gridCol w:w="960"/>
      </w:tblGrid>
      <w:tr>
        <w:trPr>
          <w:trHeight w:val="838"/>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w:hAnsi="Arial" w:cs="Arial"/>
                <w:b/>
                <w:bCs/>
                <w:noProof/>
                <w:sz w:val="20"/>
                <w:szCs w:val="20"/>
              </w:rPr>
            </w:pPr>
            <w:r>
              <w:rPr>
                <w:rFonts w:ascii="Arial" w:hAnsi="Arial" w:cs="Arial"/>
                <w:b/>
                <w:bCs/>
                <w:noProof/>
                <w:sz w:val="20"/>
                <w:szCs w:val="20"/>
              </w:rPr>
              <w:t>Institution</w:t>
            </w:r>
          </w:p>
        </w:tc>
        <w:tc>
          <w:tcPr>
            <w:tcW w:w="720" w:type="dxa"/>
            <w:tcBorders>
              <w:top w:val="single" w:sz="4" w:space="0" w:color="auto"/>
              <w:left w:val="nil"/>
              <w:bottom w:val="single" w:sz="4" w:space="0" w:color="auto"/>
              <w:right w:val="single" w:sz="4" w:space="0" w:color="auto"/>
            </w:tcBorders>
            <w:shd w:val="clear" w:color="auto" w:fill="auto"/>
          </w:tcPr>
          <w:p>
            <w:pPr>
              <w:spacing w:before="0" w:after="0"/>
              <w:jc w:val="center"/>
              <w:rPr>
                <w:rFonts w:ascii="Arial" w:hAnsi="Arial" w:cs="Arial"/>
                <w:b/>
                <w:bCs/>
                <w:noProof/>
                <w:sz w:val="20"/>
                <w:szCs w:val="20"/>
              </w:rPr>
            </w:pPr>
            <w:r>
              <w:rPr>
                <w:rFonts w:ascii="Arial" w:hAnsi="Arial" w:cs="Arial"/>
                <w:b/>
                <w:bCs/>
                <w:noProof/>
                <w:sz w:val="20"/>
                <w:szCs w:val="20"/>
              </w:rPr>
              <w:t>CCR</w:t>
            </w:r>
          </w:p>
        </w:tc>
        <w:tc>
          <w:tcPr>
            <w:tcW w:w="1200" w:type="dxa"/>
            <w:tcBorders>
              <w:top w:val="single" w:sz="4" w:space="0" w:color="auto"/>
              <w:left w:val="nil"/>
              <w:bottom w:val="single" w:sz="4" w:space="0" w:color="auto"/>
              <w:right w:val="single" w:sz="4" w:space="0" w:color="auto"/>
            </w:tcBorders>
            <w:shd w:val="clear" w:color="auto" w:fill="auto"/>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Coord.</w:t>
            </w:r>
          </w:p>
          <w:p>
            <w:pPr>
              <w:spacing w:before="0" w:after="0"/>
              <w:jc w:val="center"/>
              <w:rPr>
                <w:rFonts w:ascii="Arial" w:hAnsi="Arial" w:cs="Arial"/>
                <w:b/>
                <w:bCs/>
                <w:noProof/>
                <w:sz w:val="20"/>
                <w:szCs w:val="20"/>
                <w:lang w:val="fr-BE"/>
              </w:rPr>
            </w:pPr>
            <w:r>
              <w:rPr>
                <w:rFonts w:ascii="Arial" w:hAnsi="Arial" w:cs="Arial"/>
                <w:b/>
                <w:bCs/>
                <w:noProof/>
                <w:sz w:val="20"/>
                <w:szCs w:val="20"/>
                <w:lang w:val="fr-BE"/>
              </w:rPr>
              <w:t>Crise/</w:t>
            </w:r>
            <w:r>
              <w:rPr>
                <w:rFonts w:ascii="Arial" w:hAnsi="Arial" w:cs="Arial"/>
                <w:b/>
                <w:bCs/>
                <w:noProof/>
                <w:sz w:val="20"/>
                <w:szCs w:val="20"/>
                <w:lang w:val="fr-BE"/>
              </w:rPr>
              <w:br/>
              <w:t>urgence</w:t>
            </w:r>
          </w:p>
        </w:tc>
        <w:tc>
          <w:tcPr>
            <w:tcW w:w="720" w:type="dxa"/>
            <w:tcBorders>
              <w:top w:val="single" w:sz="4" w:space="0" w:color="auto"/>
              <w:left w:val="nil"/>
              <w:bottom w:val="single" w:sz="4" w:space="0" w:color="auto"/>
              <w:right w:val="single" w:sz="4" w:space="0" w:color="auto"/>
            </w:tcBorders>
            <w:shd w:val="clear" w:color="auto" w:fill="auto"/>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TIC</w:t>
            </w:r>
          </w:p>
        </w:tc>
        <w:tc>
          <w:tcPr>
            <w:tcW w:w="1080" w:type="dxa"/>
            <w:tcBorders>
              <w:top w:val="single" w:sz="4" w:space="0" w:color="auto"/>
              <w:left w:val="nil"/>
              <w:bottom w:val="single" w:sz="4" w:space="0" w:color="auto"/>
              <w:right w:val="single" w:sz="4" w:space="0" w:color="auto"/>
            </w:tcBorders>
            <w:shd w:val="clear" w:color="auto" w:fill="auto"/>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Sécurité</w:t>
            </w:r>
          </w:p>
        </w:tc>
        <w:tc>
          <w:tcPr>
            <w:tcW w:w="1303" w:type="dxa"/>
            <w:tcBorders>
              <w:top w:val="single" w:sz="4" w:space="0" w:color="auto"/>
              <w:left w:val="nil"/>
              <w:bottom w:val="single" w:sz="4" w:space="0" w:color="auto"/>
              <w:right w:val="single" w:sz="4" w:space="0" w:color="auto"/>
            </w:tcBorders>
            <w:shd w:val="clear" w:color="auto" w:fill="auto"/>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Stand./</w:t>
            </w:r>
            <w:r>
              <w:rPr>
                <w:rFonts w:ascii="Arial" w:hAnsi="Arial" w:cs="Arial"/>
                <w:b/>
                <w:bCs/>
                <w:noProof/>
                <w:sz w:val="20"/>
                <w:szCs w:val="20"/>
                <w:lang w:val="fr-BE"/>
              </w:rPr>
              <w:br/>
              <w:t>réception</w:t>
            </w:r>
          </w:p>
        </w:tc>
        <w:tc>
          <w:tcPr>
            <w:tcW w:w="960" w:type="dxa"/>
            <w:tcBorders>
              <w:top w:val="single" w:sz="4" w:space="0" w:color="auto"/>
              <w:left w:val="nil"/>
              <w:bottom w:val="single" w:sz="4" w:space="0" w:color="auto"/>
              <w:right w:val="single" w:sz="4" w:space="0" w:color="auto"/>
            </w:tcBorders>
            <w:shd w:val="clear" w:color="auto" w:fill="auto"/>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PESC/</w:t>
            </w:r>
            <w:r>
              <w:rPr>
                <w:rFonts w:ascii="Arial" w:hAnsi="Arial" w:cs="Arial"/>
                <w:b/>
                <w:bCs/>
                <w:noProof/>
                <w:sz w:val="20"/>
                <w:szCs w:val="20"/>
                <w:lang w:val="fr-BE"/>
              </w:rPr>
              <w:br/>
              <w:t>PESD</w:t>
            </w:r>
          </w:p>
        </w:tc>
        <w:tc>
          <w:tcPr>
            <w:tcW w:w="977" w:type="dxa"/>
            <w:tcBorders>
              <w:top w:val="single" w:sz="4" w:space="0" w:color="auto"/>
              <w:left w:val="single" w:sz="4" w:space="0" w:color="auto"/>
              <w:bottom w:val="single" w:sz="4" w:space="0" w:color="auto"/>
              <w:right w:val="single" w:sz="8" w:space="0" w:color="auto"/>
            </w:tcBorders>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Inst. techn.</w:t>
            </w:r>
          </w:p>
        </w:tc>
        <w:tc>
          <w:tcPr>
            <w:tcW w:w="1080" w:type="dxa"/>
            <w:tcBorders>
              <w:top w:val="single" w:sz="8" w:space="0" w:color="auto"/>
              <w:left w:val="single" w:sz="8" w:space="0" w:color="auto"/>
              <w:bottom w:val="single" w:sz="8" w:space="0" w:color="auto"/>
              <w:right w:val="single" w:sz="8" w:space="0" w:color="auto"/>
            </w:tcBorders>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Actions Ind.</w:t>
            </w:r>
          </w:p>
        </w:tc>
        <w:tc>
          <w:tcPr>
            <w:tcW w:w="960" w:type="dxa"/>
            <w:tcBorders>
              <w:top w:val="single" w:sz="8" w:space="0" w:color="auto"/>
              <w:left w:val="single" w:sz="8" w:space="0" w:color="auto"/>
              <w:bottom w:val="single" w:sz="8" w:space="0" w:color="auto"/>
              <w:right w:val="single" w:sz="8" w:space="0" w:color="auto"/>
            </w:tcBorders>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Total</w:t>
            </w:r>
          </w:p>
        </w:tc>
      </w:tr>
      <w:tr>
        <w:trPr>
          <w:trHeight w:val="255"/>
        </w:trPr>
        <w:tc>
          <w:tcPr>
            <w:tcW w:w="1920"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lang w:val="fr-BE"/>
              </w:rPr>
            </w:pPr>
            <w:r>
              <w:rPr>
                <w:rFonts w:ascii="Arial" w:hAnsi="Arial" w:cs="Arial"/>
                <w:noProof/>
                <w:sz w:val="20"/>
                <w:szCs w:val="20"/>
                <w:lang w:val="fr-BE"/>
              </w:rPr>
              <w:t>Commission</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25</w:t>
            </w:r>
          </w:p>
        </w:tc>
        <w:tc>
          <w:tcPr>
            <w:tcW w:w="120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9</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14</w:t>
            </w:r>
          </w:p>
        </w:tc>
        <w:tc>
          <w:tcPr>
            <w:tcW w:w="108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64</w:t>
            </w:r>
          </w:p>
        </w:tc>
        <w:tc>
          <w:tcPr>
            <w:tcW w:w="1303"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977" w:type="dxa"/>
            <w:tcBorders>
              <w:top w:val="single" w:sz="4" w:space="0" w:color="auto"/>
              <w:left w:val="single" w:sz="4" w:space="0" w:color="auto"/>
              <w:bottom w:val="single" w:sz="4" w:space="0" w:color="auto"/>
              <w:right w:val="single" w:sz="8" w:space="0" w:color="auto"/>
            </w:tcBorders>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08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96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lang w:val="fr-BE"/>
              </w:rPr>
            </w:pPr>
            <w:r>
              <w:rPr>
                <w:rFonts w:ascii="Arial" w:hAnsi="Arial" w:cs="Arial"/>
                <w:b/>
                <w:noProof/>
                <w:sz w:val="20"/>
                <w:szCs w:val="20"/>
                <w:lang w:val="fr-BE"/>
              </w:rPr>
              <w:t>112</w:t>
            </w:r>
          </w:p>
        </w:tc>
      </w:tr>
      <w:tr>
        <w:trPr>
          <w:trHeight w:val="255"/>
        </w:trPr>
        <w:tc>
          <w:tcPr>
            <w:tcW w:w="1920"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 dont CCR.</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25</w:t>
            </w:r>
          </w:p>
        </w:tc>
        <w:tc>
          <w:tcPr>
            <w:tcW w:w="1200"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1080"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1303"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977" w:type="dxa"/>
            <w:tcBorders>
              <w:top w:val="single" w:sz="4" w:space="0" w:color="auto"/>
              <w:left w:val="single" w:sz="4" w:space="0" w:color="auto"/>
              <w:bottom w:val="single" w:sz="4" w:space="0" w:color="auto"/>
              <w:right w:val="single" w:sz="8" w:space="0" w:color="auto"/>
            </w:tcBorders>
            <w:vAlign w:val="bottom"/>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1080" w:type="dxa"/>
            <w:tcBorders>
              <w:top w:val="single" w:sz="8" w:space="0" w:color="auto"/>
              <w:left w:val="single" w:sz="8" w:space="0" w:color="auto"/>
              <w:bottom w:val="single" w:sz="8" w:space="0" w:color="auto"/>
              <w:right w:val="single" w:sz="8" w:space="0" w:color="auto"/>
            </w:tcBorders>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0</w:t>
            </w:r>
          </w:p>
        </w:tc>
        <w:tc>
          <w:tcPr>
            <w:tcW w:w="960" w:type="dxa"/>
            <w:tcBorders>
              <w:top w:val="single" w:sz="8" w:space="0" w:color="auto"/>
              <w:left w:val="single" w:sz="8" w:space="0" w:color="auto"/>
              <w:bottom w:val="single" w:sz="8" w:space="0" w:color="auto"/>
              <w:right w:val="single" w:sz="8" w:space="0" w:color="auto"/>
            </w:tcBorders>
          </w:tcPr>
          <w:p>
            <w:pPr>
              <w:spacing w:before="0" w:after="0"/>
              <w:jc w:val="left"/>
              <w:rPr>
                <w:rFonts w:ascii="Arial" w:hAnsi="Arial" w:cs="Arial"/>
                <w:b/>
                <w:i/>
                <w:iCs/>
                <w:noProof/>
                <w:color w:val="808080"/>
                <w:sz w:val="20"/>
                <w:szCs w:val="20"/>
                <w:lang w:val="fr-BE"/>
              </w:rPr>
            </w:pPr>
            <w:r>
              <w:rPr>
                <w:rFonts w:ascii="Arial" w:hAnsi="Arial" w:cs="Arial"/>
                <w:b/>
                <w:i/>
                <w:iCs/>
                <w:noProof/>
                <w:color w:val="808080"/>
                <w:sz w:val="20"/>
                <w:szCs w:val="20"/>
                <w:lang w:val="fr-BE"/>
              </w:rPr>
              <w:t>25</w:t>
            </w:r>
          </w:p>
        </w:tc>
      </w:tr>
      <w:tr>
        <w:trPr>
          <w:trHeight w:val="255"/>
        </w:trPr>
        <w:tc>
          <w:tcPr>
            <w:tcW w:w="1920"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lang w:val="fr-BE"/>
              </w:rPr>
            </w:pPr>
            <w:r>
              <w:rPr>
                <w:rFonts w:ascii="Arial" w:hAnsi="Arial" w:cs="Arial"/>
                <w:noProof/>
                <w:sz w:val="20"/>
                <w:szCs w:val="20"/>
                <w:lang w:val="fr-BE"/>
              </w:rPr>
              <w:t>Conseil</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20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08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75</w:t>
            </w:r>
          </w:p>
        </w:tc>
        <w:tc>
          <w:tcPr>
            <w:tcW w:w="1303"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977" w:type="dxa"/>
            <w:tcBorders>
              <w:top w:val="single" w:sz="4" w:space="0" w:color="auto"/>
              <w:left w:val="single" w:sz="4" w:space="0" w:color="auto"/>
              <w:bottom w:val="single" w:sz="4" w:space="0" w:color="auto"/>
              <w:right w:val="single" w:sz="8" w:space="0" w:color="auto"/>
            </w:tcBorders>
            <w:vAlign w:val="bottom"/>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08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96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lang w:val="fr-BE"/>
              </w:rPr>
            </w:pPr>
            <w:r>
              <w:rPr>
                <w:rFonts w:ascii="Arial" w:hAnsi="Arial" w:cs="Arial"/>
                <w:b/>
                <w:noProof/>
                <w:sz w:val="20"/>
                <w:szCs w:val="20"/>
                <w:lang w:val="fr-BE"/>
              </w:rPr>
              <w:t>75</w:t>
            </w:r>
          </w:p>
        </w:tc>
      </w:tr>
      <w:tr>
        <w:trPr>
          <w:trHeight w:val="255"/>
        </w:trPr>
        <w:tc>
          <w:tcPr>
            <w:tcW w:w="1920"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Parlement</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20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545</w:t>
            </w:r>
          </w:p>
        </w:tc>
        <w:tc>
          <w:tcPr>
            <w:tcW w:w="1303"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58</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77" w:type="dxa"/>
            <w:tcBorders>
              <w:top w:val="single" w:sz="4" w:space="0" w:color="auto"/>
              <w:left w:val="single" w:sz="4" w:space="0" w:color="auto"/>
              <w:bottom w:val="single" w:sz="4" w:space="0" w:color="auto"/>
              <w:right w:val="single" w:sz="8" w:space="0" w:color="auto"/>
            </w:tcBorders>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603</w:t>
            </w:r>
          </w:p>
        </w:tc>
      </w:tr>
      <w:tr>
        <w:trPr>
          <w:trHeight w:val="255"/>
        </w:trPr>
        <w:tc>
          <w:tcPr>
            <w:tcW w:w="1920"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Cour de justice</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20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03"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77" w:type="dxa"/>
            <w:tcBorders>
              <w:top w:val="single" w:sz="4" w:space="0" w:color="auto"/>
              <w:left w:val="single" w:sz="4" w:space="0" w:color="auto"/>
              <w:bottom w:val="single" w:sz="4" w:space="0" w:color="auto"/>
              <w:right w:val="single" w:sz="8" w:space="0" w:color="auto"/>
            </w:tcBorders>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0</w:t>
            </w:r>
          </w:p>
        </w:tc>
      </w:tr>
      <w:tr>
        <w:trPr>
          <w:trHeight w:val="255"/>
        </w:trPr>
        <w:tc>
          <w:tcPr>
            <w:tcW w:w="1920"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Cour des comptes</w:t>
            </w:r>
          </w:p>
        </w:tc>
        <w:tc>
          <w:tcPr>
            <w:tcW w:w="72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20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72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17</w:t>
            </w:r>
          </w:p>
        </w:tc>
        <w:tc>
          <w:tcPr>
            <w:tcW w:w="1303"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2</w:t>
            </w:r>
          </w:p>
        </w:tc>
        <w:tc>
          <w:tcPr>
            <w:tcW w:w="96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977" w:type="dxa"/>
            <w:tcBorders>
              <w:top w:val="single" w:sz="4" w:space="0" w:color="auto"/>
              <w:left w:val="single" w:sz="4" w:space="0" w:color="auto"/>
              <w:bottom w:val="single" w:sz="4" w:space="0" w:color="auto"/>
              <w:right w:val="single" w:sz="8" w:space="0" w:color="auto"/>
            </w:tcBorders>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single" w:sz="8" w:space="0" w:color="auto"/>
              <w:left w:val="single" w:sz="8" w:space="0" w:color="auto"/>
              <w:bottom w:val="single" w:sz="8" w:space="0" w:color="auto"/>
              <w:right w:val="single" w:sz="8" w:space="0" w:color="auto"/>
            </w:tcBorders>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vAlign w:val="center"/>
          </w:tcPr>
          <w:p>
            <w:pPr>
              <w:spacing w:before="0" w:after="0"/>
              <w:jc w:val="right"/>
              <w:rPr>
                <w:rFonts w:ascii="Arial" w:hAnsi="Arial" w:cs="Arial"/>
                <w:b/>
                <w:noProof/>
                <w:sz w:val="20"/>
                <w:szCs w:val="20"/>
              </w:rPr>
            </w:pPr>
            <w:r>
              <w:rPr>
                <w:rFonts w:ascii="Arial" w:hAnsi="Arial" w:cs="Arial"/>
                <w:b/>
                <w:noProof/>
                <w:sz w:val="20"/>
                <w:szCs w:val="20"/>
              </w:rPr>
              <w:t>19</w:t>
            </w:r>
          </w:p>
        </w:tc>
      </w:tr>
      <w:tr>
        <w:trPr>
          <w:trHeight w:val="255"/>
        </w:trPr>
        <w:tc>
          <w:tcPr>
            <w:tcW w:w="1920"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CESE</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20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2</w:t>
            </w:r>
          </w:p>
        </w:tc>
        <w:tc>
          <w:tcPr>
            <w:tcW w:w="1303"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77" w:type="dxa"/>
            <w:tcBorders>
              <w:top w:val="single" w:sz="4" w:space="0" w:color="auto"/>
              <w:left w:val="single" w:sz="4" w:space="0" w:color="auto"/>
              <w:bottom w:val="single" w:sz="4" w:space="0" w:color="auto"/>
              <w:right w:val="single" w:sz="8" w:space="0" w:color="auto"/>
            </w:tcBorders>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2</w:t>
            </w:r>
          </w:p>
        </w:tc>
      </w:tr>
      <w:tr>
        <w:trPr>
          <w:trHeight w:val="255"/>
        </w:trPr>
        <w:tc>
          <w:tcPr>
            <w:tcW w:w="1920"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CdR</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20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4</w:t>
            </w:r>
          </w:p>
        </w:tc>
        <w:tc>
          <w:tcPr>
            <w:tcW w:w="1303"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77" w:type="dxa"/>
            <w:tcBorders>
              <w:top w:val="single" w:sz="4" w:space="0" w:color="auto"/>
              <w:left w:val="single" w:sz="4" w:space="0" w:color="auto"/>
              <w:bottom w:val="single" w:sz="4" w:space="0" w:color="auto"/>
              <w:right w:val="single" w:sz="8" w:space="0" w:color="auto"/>
            </w:tcBorders>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4</w:t>
            </w:r>
          </w:p>
        </w:tc>
      </w:tr>
      <w:tr>
        <w:trPr>
          <w:trHeight w:val="283"/>
        </w:trPr>
        <w:tc>
          <w:tcPr>
            <w:tcW w:w="1920"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left"/>
              <w:rPr>
                <w:rFonts w:ascii="Arial" w:hAnsi="Arial" w:cs="Arial"/>
                <w:noProof/>
                <w:sz w:val="20"/>
                <w:szCs w:val="20"/>
              </w:rPr>
            </w:pPr>
            <w:r>
              <w:rPr>
                <w:rFonts w:ascii="Arial" w:hAnsi="Arial" w:cs="Arial"/>
                <w:noProof/>
                <w:sz w:val="20"/>
                <w:szCs w:val="20"/>
              </w:rPr>
              <w:t>CEPD</w:t>
            </w:r>
          </w:p>
        </w:tc>
        <w:tc>
          <w:tcPr>
            <w:tcW w:w="72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20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72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303"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977" w:type="dxa"/>
            <w:tcBorders>
              <w:top w:val="single" w:sz="4" w:space="0" w:color="auto"/>
              <w:left w:val="single" w:sz="4" w:space="0" w:color="auto"/>
              <w:bottom w:val="single" w:sz="4" w:space="0" w:color="auto"/>
              <w:right w:val="single" w:sz="8" w:space="0" w:color="auto"/>
            </w:tcBorders>
            <w:vAlign w:val="center"/>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vAlign w:val="center"/>
          </w:tcPr>
          <w:p>
            <w:pPr>
              <w:spacing w:before="0" w:after="0"/>
              <w:jc w:val="right"/>
              <w:rPr>
                <w:rFonts w:ascii="Arial" w:hAnsi="Arial" w:cs="Arial"/>
                <w:b/>
                <w:noProof/>
                <w:sz w:val="20"/>
                <w:szCs w:val="20"/>
              </w:rPr>
            </w:pPr>
            <w:r>
              <w:rPr>
                <w:rFonts w:ascii="Arial" w:hAnsi="Arial" w:cs="Arial"/>
                <w:b/>
                <w:noProof/>
                <w:sz w:val="20"/>
                <w:szCs w:val="20"/>
              </w:rPr>
              <w:t>0</w:t>
            </w:r>
          </w:p>
        </w:tc>
      </w:tr>
      <w:tr>
        <w:trPr>
          <w:trHeight w:val="270"/>
        </w:trPr>
        <w:tc>
          <w:tcPr>
            <w:tcW w:w="1920" w:type="dxa"/>
            <w:tcBorders>
              <w:top w:val="single" w:sz="4" w:space="0" w:color="auto"/>
              <w:left w:val="single" w:sz="4" w:space="0" w:color="auto"/>
              <w:bottom w:val="nil"/>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Médiateur</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20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303" w:type="dxa"/>
            <w:tcBorders>
              <w:top w:val="single" w:sz="4" w:space="0" w:color="auto"/>
              <w:left w:val="nil"/>
              <w:bottom w:val="nil"/>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77" w:type="dxa"/>
            <w:tcBorders>
              <w:top w:val="single" w:sz="4" w:space="0" w:color="auto"/>
              <w:left w:val="single" w:sz="4" w:space="0" w:color="auto"/>
              <w:bottom w:val="single" w:sz="4" w:space="0" w:color="auto"/>
              <w:right w:val="single" w:sz="8" w:space="0" w:color="auto"/>
            </w:tcBorders>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8"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0</w:t>
            </w:r>
          </w:p>
        </w:tc>
      </w:tr>
      <w:tr>
        <w:trPr>
          <w:trHeight w:val="270"/>
        </w:trPr>
        <w:tc>
          <w:tcPr>
            <w:tcW w:w="1920" w:type="dxa"/>
            <w:tcBorders>
              <w:top w:val="single" w:sz="4" w:space="0" w:color="auto"/>
              <w:left w:val="single" w:sz="4" w:space="0" w:color="auto"/>
              <w:bottom w:val="single" w:sz="2" w:space="0" w:color="auto"/>
              <w:right w:val="single" w:sz="4" w:space="0" w:color="auto"/>
            </w:tcBorders>
            <w:shd w:val="clear" w:color="auto" w:fill="auto"/>
            <w:noWrap/>
            <w:vAlign w:val="bottom"/>
          </w:tcPr>
          <w:p>
            <w:pPr>
              <w:spacing w:before="0" w:after="0"/>
              <w:jc w:val="left"/>
              <w:rPr>
                <w:rFonts w:ascii="Arial" w:hAnsi="Arial" w:cs="Arial"/>
                <w:noProof/>
                <w:sz w:val="20"/>
                <w:szCs w:val="20"/>
              </w:rPr>
            </w:pPr>
            <w:r>
              <w:rPr>
                <w:rFonts w:ascii="Arial" w:hAnsi="Arial" w:cs="Arial"/>
                <w:noProof/>
                <w:sz w:val="20"/>
                <w:szCs w:val="20"/>
              </w:rPr>
              <w:t>SEAE</w:t>
            </w:r>
          </w:p>
        </w:tc>
        <w:tc>
          <w:tcPr>
            <w:tcW w:w="720" w:type="dxa"/>
            <w:tcBorders>
              <w:top w:val="nil"/>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200" w:type="dxa"/>
            <w:tcBorders>
              <w:top w:val="nil"/>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720" w:type="dxa"/>
            <w:tcBorders>
              <w:top w:val="nil"/>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13</w:t>
            </w:r>
          </w:p>
        </w:tc>
        <w:tc>
          <w:tcPr>
            <w:tcW w:w="1080" w:type="dxa"/>
            <w:tcBorders>
              <w:top w:val="nil"/>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12</w:t>
            </w:r>
          </w:p>
        </w:tc>
        <w:tc>
          <w:tcPr>
            <w:tcW w:w="1303" w:type="dxa"/>
            <w:tcBorders>
              <w:top w:val="single" w:sz="4" w:space="0" w:color="auto"/>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nil"/>
              <w:left w:val="nil"/>
              <w:bottom w:val="single" w:sz="2" w:space="0" w:color="auto"/>
              <w:right w:val="single" w:sz="4" w:space="0" w:color="auto"/>
            </w:tcBorders>
            <w:shd w:val="clear" w:color="auto" w:fill="auto"/>
            <w:noWrap/>
            <w:vAlign w:val="bottom"/>
          </w:tcPr>
          <w:p>
            <w:pPr>
              <w:spacing w:before="0" w:after="0"/>
              <w:jc w:val="right"/>
              <w:rPr>
                <w:rFonts w:ascii="Arial" w:hAnsi="Arial" w:cs="Arial"/>
                <w:noProof/>
                <w:sz w:val="20"/>
                <w:szCs w:val="20"/>
              </w:rPr>
            </w:pPr>
            <w:r>
              <w:rPr>
                <w:rFonts w:ascii="Arial" w:hAnsi="Arial" w:cs="Arial"/>
                <w:noProof/>
                <w:sz w:val="20"/>
                <w:szCs w:val="20"/>
              </w:rPr>
              <w:t>12</w:t>
            </w:r>
          </w:p>
        </w:tc>
        <w:tc>
          <w:tcPr>
            <w:tcW w:w="977" w:type="dxa"/>
            <w:tcBorders>
              <w:top w:val="single" w:sz="4" w:space="0" w:color="auto"/>
              <w:left w:val="single" w:sz="4" w:space="0" w:color="auto"/>
              <w:bottom w:val="single" w:sz="2" w:space="0" w:color="auto"/>
              <w:right w:val="single" w:sz="8" w:space="0" w:color="auto"/>
            </w:tcBorders>
            <w:vAlign w:val="bottom"/>
          </w:tcPr>
          <w:p>
            <w:pPr>
              <w:spacing w:before="0" w:after="0"/>
              <w:jc w:val="right"/>
              <w:rPr>
                <w:rFonts w:ascii="Arial" w:hAnsi="Arial" w:cs="Arial"/>
                <w:noProof/>
                <w:sz w:val="20"/>
                <w:szCs w:val="20"/>
              </w:rPr>
            </w:pPr>
            <w:r>
              <w:rPr>
                <w:rFonts w:ascii="Arial" w:hAnsi="Arial" w:cs="Arial"/>
                <w:noProof/>
                <w:sz w:val="20"/>
                <w:szCs w:val="20"/>
              </w:rPr>
              <w:t>0</w:t>
            </w:r>
          </w:p>
        </w:tc>
        <w:tc>
          <w:tcPr>
            <w:tcW w:w="1080" w:type="dxa"/>
            <w:tcBorders>
              <w:top w:val="single" w:sz="8" w:space="0" w:color="auto"/>
              <w:left w:val="single" w:sz="8" w:space="0" w:color="auto"/>
              <w:bottom w:val="single" w:sz="2" w:space="0" w:color="auto"/>
              <w:right w:val="single" w:sz="8" w:space="0" w:color="auto"/>
            </w:tcBorders>
          </w:tcPr>
          <w:p>
            <w:pPr>
              <w:spacing w:before="0" w:after="0"/>
              <w:jc w:val="right"/>
              <w:rPr>
                <w:rFonts w:ascii="Arial" w:hAnsi="Arial" w:cs="Arial"/>
                <w:noProof/>
                <w:sz w:val="20"/>
                <w:szCs w:val="20"/>
              </w:rPr>
            </w:pPr>
            <w:r>
              <w:rPr>
                <w:rFonts w:ascii="Arial" w:hAnsi="Arial" w:cs="Arial"/>
                <w:noProof/>
                <w:sz w:val="20"/>
                <w:szCs w:val="20"/>
              </w:rPr>
              <w:t>0</w:t>
            </w:r>
          </w:p>
        </w:tc>
        <w:tc>
          <w:tcPr>
            <w:tcW w:w="960" w:type="dxa"/>
            <w:tcBorders>
              <w:top w:val="single" w:sz="8" w:space="0" w:color="auto"/>
              <w:left w:val="single" w:sz="8" w:space="0" w:color="auto"/>
              <w:bottom w:val="single" w:sz="2" w:space="0" w:color="auto"/>
              <w:right w:val="single" w:sz="8" w:space="0" w:color="auto"/>
            </w:tcBorders>
          </w:tcPr>
          <w:p>
            <w:pPr>
              <w:spacing w:before="0" w:after="0"/>
              <w:jc w:val="right"/>
              <w:rPr>
                <w:rFonts w:ascii="Arial" w:hAnsi="Arial" w:cs="Arial"/>
                <w:b/>
                <w:noProof/>
                <w:sz w:val="20"/>
                <w:szCs w:val="20"/>
              </w:rPr>
            </w:pPr>
            <w:r>
              <w:rPr>
                <w:rFonts w:ascii="Arial" w:hAnsi="Arial" w:cs="Arial"/>
                <w:b/>
                <w:noProof/>
                <w:sz w:val="20"/>
                <w:szCs w:val="20"/>
              </w:rPr>
              <w:t>37</w:t>
            </w:r>
          </w:p>
        </w:tc>
      </w:tr>
      <w:tr>
        <w:trPr>
          <w:trHeight w:val="396"/>
        </w:trPr>
        <w:tc>
          <w:tcPr>
            <w:tcW w:w="192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Total</w:t>
            </w:r>
          </w:p>
        </w:tc>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25</w:t>
            </w:r>
          </w:p>
        </w:tc>
        <w:tc>
          <w:tcPr>
            <w:tcW w:w="120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9</w:t>
            </w:r>
          </w:p>
        </w:tc>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27</w:t>
            </w:r>
          </w:p>
        </w:tc>
        <w:tc>
          <w:tcPr>
            <w:tcW w:w="108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719</w:t>
            </w:r>
          </w:p>
        </w:tc>
        <w:tc>
          <w:tcPr>
            <w:tcW w:w="1303"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60</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center"/>
          </w:tcPr>
          <w:p>
            <w:pPr>
              <w:spacing w:before="0" w:after="0"/>
              <w:jc w:val="right"/>
              <w:rPr>
                <w:rFonts w:ascii="Arial" w:hAnsi="Arial" w:cs="Arial"/>
                <w:b/>
                <w:bCs/>
                <w:noProof/>
                <w:sz w:val="20"/>
                <w:szCs w:val="20"/>
              </w:rPr>
            </w:pPr>
            <w:r>
              <w:rPr>
                <w:rFonts w:ascii="Arial" w:hAnsi="Arial" w:cs="Arial"/>
                <w:b/>
                <w:bCs/>
                <w:noProof/>
                <w:sz w:val="20"/>
                <w:szCs w:val="20"/>
              </w:rPr>
              <w:t>12</w:t>
            </w:r>
          </w:p>
        </w:tc>
        <w:tc>
          <w:tcPr>
            <w:tcW w:w="977" w:type="dxa"/>
            <w:tcBorders>
              <w:top w:val="single" w:sz="2" w:space="0" w:color="auto"/>
              <w:left w:val="single" w:sz="2" w:space="0" w:color="auto"/>
              <w:bottom w:val="single" w:sz="2" w:space="0" w:color="auto"/>
              <w:right w:val="single" w:sz="2" w:space="0" w:color="auto"/>
            </w:tcBorders>
            <w:vAlign w:val="center"/>
          </w:tcPr>
          <w:p>
            <w:pPr>
              <w:spacing w:before="0" w:after="0"/>
              <w:jc w:val="right"/>
              <w:rPr>
                <w:rFonts w:ascii="Arial" w:hAnsi="Arial" w:cs="Arial"/>
                <w:b/>
                <w:bCs/>
                <w:noProof/>
                <w:sz w:val="20"/>
                <w:szCs w:val="20"/>
              </w:rPr>
            </w:pPr>
            <w:r>
              <w:rPr>
                <w:rFonts w:ascii="Arial" w:hAnsi="Arial" w:cs="Arial"/>
                <w:b/>
                <w:bCs/>
                <w:noProof/>
                <w:sz w:val="20"/>
                <w:szCs w:val="20"/>
              </w:rPr>
              <w:t>0</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0" w:after="0"/>
              <w:jc w:val="right"/>
              <w:rPr>
                <w:rFonts w:ascii="Arial" w:hAnsi="Arial" w:cs="Arial"/>
                <w:b/>
                <w:bCs/>
                <w:noProof/>
                <w:sz w:val="20"/>
                <w:szCs w:val="20"/>
              </w:rPr>
            </w:pPr>
            <w:r>
              <w:rPr>
                <w:rFonts w:ascii="Arial" w:hAnsi="Arial" w:cs="Arial"/>
                <w:b/>
                <w:bCs/>
                <w:noProof/>
                <w:sz w:val="20"/>
                <w:szCs w:val="20"/>
              </w:rPr>
              <w:t>0</w:t>
            </w:r>
          </w:p>
        </w:tc>
        <w:tc>
          <w:tcPr>
            <w:tcW w:w="960" w:type="dxa"/>
            <w:tcBorders>
              <w:top w:val="single" w:sz="2" w:space="0" w:color="auto"/>
              <w:left w:val="single" w:sz="2" w:space="0" w:color="auto"/>
              <w:bottom w:val="single" w:sz="2" w:space="0" w:color="auto"/>
              <w:right w:val="single" w:sz="2" w:space="0" w:color="auto"/>
            </w:tcBorders>
            <w:vAlign w:val="center"/>
          </w:tcPr>
          <w:p>
            <w:pPr>
              <w:spacing w:before="0" w:after="0"/>
              <w:jc w:val="right"/>
              <w:rPr>
                <w:rFonts w:ascii="Arial" w:hAnsi="Arial" w:cs="Arial"/>
                <w:b/>
                <w:bCs/>
                <w:noProof/>
                <w:sz w:val="20"/>
                <w:szCs w:val="20"/>
              </w:rPr>
            </w:pPr>
            <w:r>
              <w:rPr>
                <w:rFonts w:ascii="Arial" w:hAnsi="Arial" w:cs="Arial"/>
                <w:b/>
                <w:bCs/>
                <w:noProof/>
                <w:sz w:val="20"/>
                <w:szCs w:val="20"/>
              </w:rPr>
              <w:t>852</w:t>
            </w:r>
          </w:p>
        </w:tc>
      </w:tr>
    </w:tbl>
    <w:p>
      <w:pPr>
        <w:rPr>
          <w:noProof/>
          <w:lang w:val="fr-BE"/>
        </w:rPr>
      </w:pPr>
    </w:p>
    <w:p>
      <w:pPr>
        <w:pStyle w:val="Heading1"/>
        <w:numPr>
          <w:ilvl w:val="0"/>
          <w:numId w:val="0"/>
        </w:numPr>
        <w:spacing w:before="0" w:after="0"/>
        <w:rPr>
          <w:bCs w:val="0"/>
          <w:noProof/>
          <w:lang w:val="fr-BE"/>
        </w:rPr>
      </w:pPr>
      <w:r>
        <w:rPr>
          <w:noProof/>
        </w:rPr>
        <w:t>5.</w:t>
      </w:r>
      <w:r>
        <w:rPr>
          <w:noProof/>
        </w:rPr>
        <w:tab/>
      </w:r>
      <w:r>
        <w:rPr>
          <w:noProof/>
          <w:lang w:val="fr-BE"/>
        </w:rPr>
        <w:t>Services concernés et motifs</w:t>
      </w:r>
    </w:p>
    <w:p>
      <w:pPr>
        <w:rPr>
          <w:noProof/>
          <w:lang w:val="fr-BE"/>
        </w:rPr>
      </w:pPr>
      <w:r>
        <w:rPr>
          <w:noProof/>
          <w:lang w:val="fr-BE"/>
        </w:rPr>
        <w:t xml:space="preserve">Le Conseil, la Commission, le SEAE, le Parlement européen, la Cour de justice et la Cour des comptes recourent </w:t>
      </w:r>
      <w:r>
        <w:rPr>
          <w:bCs/>
          <w:noProof/>
          <w:lang w:val="fr-BE"/>
        </w:rPr>
        <w:t>au travail sous astreintes</w:t>
      </w:r>
      <w:r>
        <w:rPr>
          <w:noProof/>
          <w:lang w:val="fr-BE"/>
        </w:rPr>
        <w:t xml:space="preserve"> et/ou au service continu ou par tours et procèdent au paiement des indemnités prévues par la législation. </w:t>
      </w:r>
    </w:p>
    <w:p>
      <w:pPr>
        <w:rPr>
          <w:noProof/>
          <w:lang w:val="fr-BE"/>
        </w:rPr>
      </w:pPr>
      <w:r>
        <w:rPr>
          <w:noProof/>
          <w:lang w:val="fr-BE"/>
        </w:rPr>
        <w:t>A partir de 2017, le Comité des régions et le Comité économique et social ont mis en place un service commun d'astreintes et de service continu/par tours.</w:t>
      </w:r>
    </w:p>
    <w:p>
      <w:pPr>
        <w:rPr>
          <w:noProof/>
          <w:lang w:val="fr-BE"/>
        </w:rPr>
      </w:pPr>
      <w:r>
        <w:rPr>
          <w:noProof/>
          <w:lang w:val="fr-BE"/>
        </w:rPr>
        <w:t>La Commission reste la seule institution à verser des indemnités pour conditions de travail pénibles, au sein du CCR, de l'Office pour les infrastructures et la logistique à Bruxelles (OIB) et pour les inspecteurs nucléaires de la DG ENER (création d’un nouveau service en 2018).</w:t>
      </w:r>
    </w:p>
    <w:p>
      <w:pPr>
        <w:spacing w:before="0" w:after="0"/>
        <w:ind w:left="851"/>
        <w:jc w:val="left"/>
        <w:rPr>
          <w:noProof/>
          <w:lang w:val="fr-BE"/>
        </w:rPr>
      </w:pPr>
    </w:p>
    <w:p>
      <w:pPr>
        <w:pStyle w:val="Heading2"/>
        <w:numPr>
          <w:ilvl w:val="0"/>
          <w:numId w:val="0"/>
        </w:numPr>
        <w:spacing w:before="0" w:after="0"/>
        <w:rPr>
          <w:bCs w:val="0"/>
          <w:noProof/>
          <w:lang w:val="fr-BE"/>
        </w:rPr>
      </w:pPr>
      <w:r>
        <w:rPr>
          <w:noProof/>
          <w:lang w:val="fr-BE"/>
        </w:rPr>
        <w:t>5.1.</w:t>
      </w:r>
      <w:r>
        <w:rPr>
          <w:noProof/>
          <w:lang w:val="fr-BE"/>
        </w:rPr>
        <w:tab/>
        <w:t>Motifs du recours au travail sous astreintes</w:t>
      </w:r>
    </w:p>
    <w:p>
      <w:pPr>
        <w:rPr>
          <w:noProof/>
          <w:lang w:val="fr-BE"/>
        </w:rPr>
      </w:pPr>
      <w:r>
        <w:rPr>
          <w:b/>
          <w:i/>
          <w:noProof/>
          <w:lang w:val="fr-BE"/>
        </w:rPr>
        <w:t>Commission :</w:t>
      </w:r>
      <w:r>
        <w:rPr>
          <w:b/>
          <w:i/>
          <w:noProof/>
          <w:lang w:val="fr-BE"/>
        </w:rPr>
        <w:tab/>
      </w:r>
      <w:r>
        <w:rPr>
          <w:b/>
          <w:i/>
          <w:noProof/>
          <w:lang w:val="fr-BE"/>
        </w:rPr>
        <w:tab/>
      </w:r>
      <w:r>
        <w:rPr>
          <w:b/>
          <w:i/>
          <w:noProof/>
          <w:lang w:val="fr-BE"/>
        </w:rPr>
        <w:br/>
      </w:r>
      <w:r>
        <w:rPr>
          <w:noProof/>
          <w:lang w:val="fr-BE"/>
        </w:rPr>
        <w:t>En 2018, la Commission a versé des indemnités d'astreintes à 416 membres de son personnel (394 en 2017). Environ 36% (150) sont affectés à l'un des Centres de recherche. Les raisons de l'astreinte restent, comme les années précédentes, généralement liées à la sécurité et à la protection (service incendie, surveillance des rayonnements, radioprotection, etc). La plupart des cas d’astreintes relevant du CCR sont accomplis à domicile, à l’exception d’Ispra où les prestations sont acquittées sur le lieu de travail ou à domicile en raison de la spécificité des tâches.</w:t>
      </w:r>
    </w:p>
    <w:p>
      <w:pPr>
        <w:spacing w:after="0"/>
        <w:rPr>
          <w:noProof/>
          <w:lang w:val="fr-BE"/>
        </w:rPr>
      </w:pPr>
      <w:r>
        <w:rPr>
          <w:noProof/>
          <w:lang w:val="fr-BE"/>
        </w:rPr>
        <w:t>Dans les autres directions générales de la Commission, une augmentation importante du nombre de bénéficiaires au niveau des services informatiques (103 comparé à 83 bénéficiaires en 2017) est à mentionner. Cette tendance s’est présentée en particulier au sein de la DIGIT suite à la création de 3 nouveaux services, à savoir (1) DISS (gestion centrale des identités digitales et des droits d’accès (2) TESTA (communication sécurisée avec les Etats membres, les institutions/agences européennes) et (3) EU SEND (communication électronique sécurisée entre les institutions européennes). Pour les autres services, la situation est quasiment stable par rapport à 2017.</w:t>
      </w:r>
      <w:r>
        <w:rPr>
          <w:i/>
          <w:noProof/>
          <w:lang w:val="fr-BE"/>
        </w:rPr>
        <w:t xml:space="preserve"> </w:t>
      </w:r>
      <w:r>
        <w:rPr>
          <w:noProof/>
          <w:lang w:val="fr-BE"/>
        </w:rPr>
        <w:t xml:space="preserve">Une légère augmentation du nombre de bénéficiaires (50 en 2018 contre 45 en 2017) est observée au sein de la DG ECHO dans le cadre de l’assistance aux Etats Membres 24/7 assurant une surveillance en temps réel et une réponse immédiate aux catastrophes partout dans le monde. </w:t>
      </w:r>
    </w:p>
    <w:p>
      <w:pPr>
        <w:rPr>
          <w:noProof/>
          <w:lang w:val="fr-BE"/>
        </w:rPr>
      </w:pPr>
      <w:r>
        <w:rPr>
          <w:b/>
          <w:i/>
          <w:noProof/>
          <w:lang w:val="fr-BE"/>
        </w:rPr>
        <w:t>Conseil :</w:t>
      </w:r>
      <w:r>
        <w:rPr>
          <w:noProof/>
          <w:lang w:val="fr-BE"/>
        </w:rPr>
        <w:t xml:space="preserve"> Le Conseil a versé des indemnités d'astreintes à 77 membres de son personnel en 2018 (71 en 2017). Trois services sont en place pour couvrir les domaines suivants: (1) technologies de l'information et de la communication (TIC), interventions garanties pour la protection et le fonctionnement correct des réseaux informatiques et de communication, (2) Sûreté/Sécurité pour répondre immédiatement à toutes sortes d'incidents pouvant affecter le personnel du Secrétariat général du Conseil ainsi que les activités du Conseil et du Conseil européen et pour servir de support 24/7 aux officiers de sécurité en mission, (3) intervention rapide pour la rédaction, publication sur internet et diffusion des déclarations immédiates et urgentes de la Présidence tournante et du Président du Conseil européen dans le cadre de la PESC/PESD. En 2018, les astreintes ont été exclusivement assurées à domicile. </w:t>
      </w:r>
    </w:p>
    <w:p>
      <w:pPr>
        <w:rPr>
          <w:noProof/>
          <w:lang w:val="fr-BE"/>
        </w:rPr>
      </w:pPr>
      <w:r>
        <w:rPr>
          <w:b/>
          <w:i/>
          <w:noProof/>
          <w:lang w:val="fr-BE"/>
        </w:rPr>
        <w:t>Cour des comptes :</w:t>
      </w:r>
      <w:r>
        <w:rPr>
          <w:noProof/>
          <w:lang w:val="fr-BE"/>
        </w:rPr>
        <w:t xml:space="preserve"> </w:t>
      </w:r>
      <w:r>
        <w:rPr>
          <w:noProof/>
          <w:color w:val="222222"/>
          <w:lang w:val="fr-FR"/>
        </w:rPr>
        <w:t>La planification mensuelle du service de sécurité et de sûreté mise en place en 2011 inclut en 2018 les tâches d'astreintes à domicile pour 17 agents (14 en 2017). Ils assurent la sécurité des bâtiments et de ses occupants, sans interruption et tout au long de l'année</w:t>
      </w:r>
      <w:r>
        <w:rPr>
          <w:noProof/>
          <w:lang w:val="fr-BE"/>
        </w:rPr>
        <w:t>.</w:t>
      </w:r>
    </w:p>
    <w:p>
      <w:pPr>
        <w:rPr>
          <w:noProof/>
          <w:color w:val="222222"/>
          <w:lang w:val="fr-FR"/>
        </w:rPr>
      </w:pPr>
      <w:r>
        <w:rPr>
          <w:b/>
          <w:i/>
          <w:noProof/>
          <w:lang w:val="fr-BE"/>
        </w:rPr>
        <w:t>SEAE</w:t>
      </w:r>
      <w:r>
        <w:rPr>
          <w:noProof/>
          <w:lang w:val="fr-BE"/>
        </w:rPr>
        <w:t xml:space="preserve"> : En 2018, le SEAE a versé des indemnités d'astreintes à domicile à 29 membres de son personnel (15 en 2017). Ces services d’astreintes couvraient 3 domaines de travail : (1) les services de securité, </w:t>
      </w:r>
      <w:r>
        <w:rPr>
          <w:noProof/>
          <w:color w:val="222222"/>
          <w:lang w:val="fr-FR"/>
        </w:rPr>
        <w:t xml:space="preserve">pour protéger en permanence le personnel du SEAE, les visiteurs, les locaux et les biens matériels à Bruxelles, les informations classifiées (au siège et dans les délégations); (2) </w:t>
      </w:r>
      <w:r>
        <w:rPr>
          <w:noProof/>
          <w:lang w:val="fr-BE"/>
        </w:rPr>
        <w:t xml:space="preserve">le soutien à la PESC/PESD pour </w:t>
      </w:r>
      <w:r>
        <w:rPr>
          <w:noProof/>
          <w:color w:val="222222"/>
          <w:lang w:val="fr-FR"/>
        </w:rPr>
        <w:t xml:space="preserve">surveiller les événements dans le monde entier 24/7, répondre aux crises, incidents, événements critiques, situations spécifiques ou urgences, fournir un soutien au Haut Représentant et aux acteurs de l'UE, faciliter la tenue des réunions de la plate-forme de crise du SEAE en-dehors des heures de travail normales; (3) </w:t>
      </w:r>
      <w:r>
        <w:rPr>
          <w:noProof/>
          <w:lang w:val="fr-BE"/>
        </w:rPr>
        <w:t xml:space="preserve">le service de technologies de l'information et de communication via </w:t>
      </w:r>
      <w:r>
        <w:rPr>
          <w:noProof/>
          <w:color w:val="222222"/>
          <w:lang w:val="fr-FR"/>
        </w:rPr>
        <w:t xml:space="preserve">le COMCEN (Centre de communication) qui fournit des services de communication d'informations classifiées à tous les membres du personnel du SEAE, assurant également des services au Secrétariat général du Conseil afin de garantir un traitement rapide des informations classifiées urgentes. </w:t>
      </w:r>
    </w:p>
    <w:p>
      <w:pPr>
        <w:rPr>
          <w:noProof/>
          <w:lang w:val="fr-BE"/>
        </w:rPr>
      </w:pPr>
      <w:r>
        <w:rPr>
          <w:b/>
          <w:i/>
          <w:noProof/>
          <w:lang w:val="fr-BE"/>
        </w:rPr>
        <w:t xml:space="preserve">Cour de justice : </w:t>
      </w:r>
      <w:r>
        <w:rPr>
          <w:noProof/>
          <w:lang w:val="fr-BE"/>
        </w:rPr>
        <w:t xml:space="preserve">En 2018, la Cour de justice a versé des indemnités d'astreintes à domicile à 27 membres de son personnel. Ce service a été instauré en novembre 2014 dans la Direction générale des infrastructures. La direction des bâtiments </w:t>
      </w:r>
      <w:r>
        <w:rPr>
          <w:noProof/>
          <w:color w:val="222222"/>
          <w:lang w:val="fr-FR"/>
        </w:rPr>
        <w:t xml:space="preserve">est responsable de la protection de l'institution, de la prévention des incendies et de la santé et la sécurité au travail. Elle comprend trois unités chargées des nouveaux travaux, de la gestion des bâtiments et de la sécurité. </w:t>
      </w:r>
    </w:p>
    <w:p>
      <w:pPr>
        <w:rPr>
          <w:noProof/>
          <w:lang w:val="fr-BE"/>
        </w:rPr>
      </w:pPr>
      <w:r>
        <w:rPr>
          <w:b/>
          <w:i/>
          <w:noProof/>
          <w:lang w:val="fr-BE"/>
        </w:rPr>
        <w:t>CdR-CESE :</w:t>
      </w:r>
      <w:r>
        <w:rPr>
          <w:noProof/>
          <w:lang w:val="fr-BE"/>
        </w:rPr>
        <w:t xml:space="preserve"> </w:t>
      </w:r>
      <w:r>
        <w:rPr>
          <w:noProof/>
          <w:color w:val="222222"/>
          <w:lang w:val="fr-FR"/>
        </w:rPr>
        <w:t>Un service commun d'astreintes a été mis en place au CdR et au CESE depuis le 1</w:t>
      </w:r>
      <w:r>
        <w:rPr>
          <w:noProof/>
          <w:color w:val="222222"/>
          <w:vertAlign w:val="superscript"/>
          <w:lang w:val="fr-FR"/>
        </w:rPr>
        <w:t>er</w:t>
      </w:r>
      <w:r>
        <w:rPr>
          <w:noProof/>
          <w:color w:val="222222"/>
          <w:lang w:val="fr-FR"/>
        </w:rPr>
        <w:t xml:space="preserve"> mars 2017 au sein du service de sécurité pour garantir que le personnel de sécurité soit accessible et capable de réagir à tout moment en cas d’incidents nécessitant une intervention lorsque l’institution est fermée. En 2018, le service d'astreintes à domicile a impliqué 4 membres du personnel du CdR et 2 membres du personnel du CESE.</w:t>
      </w:r>
    </w:p>
    <w:p>
      <w:pPr>
        <w:spacing w:before="0" w:after="0"/>
        <w:ind w:left="851"/>
        <w:jc w:val="left"/>
        <w:rPr>
          <w:noProof/>
          <w:lang w:val="fr-BE"/>
        </w:rPr>
      </w:pPr>
    </w:p>
    <w:p>
      <w:pPr>
        <w:pStyle w:val="Heading2"/>
        <w:numPr>
          <w:ilvl w:val="0"/>
          <w:numId w:val="0"/>
        </w:numPr>
        <w:spacing w:before="0" w:after="0"/>
        <w:rPr>
          <w:bCs w:val="0"/>
          <w:noProof/>
          <w:lang w:val="fr-BE"/>
        </w:rPr>
      </w:pPr>
      <w:r>
        <w:rPr>
          <w:noProof/>
          <w:lang w:val="fr-BE"/>
        </w:rPr>
        <w:t>5.2.</w:t>
      </w:r>
      <w:r>
        <w:rPr>
          <w:noProof/>
          <w:lang w:val="fr-BE"/>
        </w:rPr>
        <w:tab/>
        <w:t>Motifs du recours à l'indemnité pour conditions de travail pénibles</w:t>
      </w:r>
    </w:p>
    <w:p>
      <w:pPr>
        <w:rPr>
          <w:noProof/>
          <w:lang w:val="fr-BE"/>
        </w:rPr>
      </w:pPr>
      <w:r>
        <w:rPr>
          <w:b/>
          <w:i/>
          <w:noProof/>
          <w:lang w:val="fr-BE"/>
        </w:rPr>
        <w:t xml:space="preserve">Commission </w:t>
      </w:r>
      <w:r>
        <w:rPr>
          <w:i/>
          <w:noProof/>
          <w:lang w:val="fr-BE"/>
        </w:rPr>
        <w:t xml:space="preserve">: </w:t>
      </w:r>
      <w:r>
        <w:rPr>
          <w:noProof/>
          <w:lang w:val="fr-BE"/>
        </w:rPr>
        <w:t xml:space="preserve">La Commission est la seule institution à avoir eu recours à cette possibilité en 2018. L'Office pour les infrastructures et la logistique à Bruxelles (OIB) a introduit cette possibilité en 2008 dans l'un de ses services (service de reproduction) en plus du Centre Commun de Recherche qui l'utilisait déjà. En 2018, la DG ENER a également introduit cette possibilité dans le cadre des inspections des installations dans les sites nucléaires (19 bénéficiaires avec un total de 986,5 heures). </w:t>
      </w:r>
    </w:p>
    <w:p>
      <w:pPr>
        <w:spacing w:after="0"/>
        <w:rPr>
          <w:noProof/>
          <w:lang w:val="fr-BE"/>
        </w:rPr>
      </w:pPr>
      <w:r>
        <w:rPr>
          <w:noProof/>
          <w:lang w:val="fr-BE"/>
        </w:rPr>
        <w:t>En 2018, le nombre total d'heures effectuées dans des conditions pénibles s'est réparti comme suit:</w:t>
      </w:r>
    </w:p>
    <w:p>
      <w:pPr>
        <w:pStyle w:val="Text1"/>
        <w:numPr>
          <w:ilvl w:val="0"/>
          <w:numId w:val="29"/>
        </w:numPr>
        <w:spacing w:before="0" w:after="0"/>
        <w:ind w:left="360"/>
        <w:rPr>
          <w:noProof/>
          <w:lang w:val="fr-BE"/>
        </w:rPr>
      </w:pPr>
      <w:r>
        <w:rPr>
          <w:noProof/>
          <w:lang w:val="fr-BE"/>
        </w:rPr>
        <w:t>65.808,19 heures en rapport avec la protection individuelle (par exemple, le port de vêtements spéciaux incommodes nécessaires pour la protection) ;</w:t>
      </w:r>
    </w:p>
    <w:p>
      <w:pPr>
        <w:pStyle w:val="Text1"/>
        <w:numPr>
          <w:ilvl w:val="0"/>
          <w:numId w:val="29"/>
        </w:numPr>
        <w:spacing w:before="0" w:after="0"/>
        <w:ind w:left="360"/>
        <w:rPr>
          <w:noProof/>
          <w:lang w:val="fr-BE"/>
        </w:rPr>
      </w:pPr>
      <w:r>
        <w:rPr>
          <w:noProof/>
          <w:lang w:val="fr-BE"/>
        </w:rPr>
        <w:t>117.127,13 heures en rapport avec le lieu de travail (par exemple, le niveau élevé de bruit, les lieux dangereux) ;</w:t>
      </w:r>
    </w:p>
    <w:p>
      <w:pPr>
        <w:pStyle w:val="Text1"/>
        <w:numPr>
          <w:ilvl w:val="0"/>
          <w:numId w:val="29"/>
        </w:numPr>
        <w:spacing w:before="0" w:after="0"/>
        <w:ind w:left="360"/>
        <w:jc w:val="left"/>
        <w:rPr>
          <w:noProof/>
          <w:lang w:val="fr-BE"/>
        </w:rPr>
      </w:pPr>
      <w:r>
        <w:rPr>
          <w:noProof/>
          <w:lang w:val="fr-BE"/>
        </w:rPr>
        <w:t>11.539,68 heures en rapport avec la nature du travail (par exemple, la manipulation de produits corrosifs) ;</w:t>
      </w:r>
    </w:p>
    <w:p>
      <w:pPr>
        <w:pStyle w:val="Text1"/>
        <w:numPr>
          <w:ilvl w:val="0"/>
          <w:numId w:val="29"/>
        </w:numPr>
        <w:spacing w:before="0"/>
        <w:ind w:left="360"/>
        <w:jc w:val="left"/>
        <w:rPr>
          <w:noProof/>
          <w:lang w:val="fr-BE"/>
        </w:rPr>
      </w:pPr>
      <w:r>
        <w:rPr>
          <w:noProof/>
          <w:lang w:val="fr-BE"/>
        </w:rPr>
        <w:t>26,20 heures en rapport avec la combinaison de la protection individuelle et les lieux de travail (inspecteurs nucléaires : niveau élevé de bruit, tenues de protection avec appareil respiratoire autonome).</w:t>
      </w:r>
    </w:p>
    <w:p>
      <w:pPr>
        <w:pStyle w:val="Text1"/>
        <w:spacing w:before="0" w:after="0"/>
        <w:ind w:left="851"/>
        <w:jc w:val="left"/>
        <w:rPr>
          <w:noProof/>
          <w:lang w:val="fr-BE"/>
        </w:rPr>
      </w:pPr>
    </w:p>
    <w:p>
      <w:pPr>
        <w:pStyle w:val="Heading2"/>
        <w:numPr>
          <w:ilvl w:val="0"/>
          <w:numId w:val="0"/>
        </w:numPr>
        <w:spacing w:before="0" w:after="0"/>
        <w:rPr>
          <w:noProof/>
          <w:lang w:val="fr-BE"/>
        </w:rPr>
      </w:pPr>
      <w:r>
        <w:rPr>
          <w:noProof/>
          <w:lang w:val="fr-BE"/>
        </w:rPr>
        <w:t>5.3.</w:t>
      </w:r>
      <w:r>
        <w:rPr>
          <w:noProof/>
          <w:lang w:val="fr-BE"/>
        </w:rPr>
        <w:tab/>
        <w:t>Motifs du recours au service continu ou par tours</w:t>
      </w:r>
    </w:p>
    <w:p>
      <w:pPr>
        <w:rPr>
          <w:noProof/>
          <w:lang w:val="fr-BE"/>
        </w:rPr>
      </w:pPr>
      <w:r>
        <w:rPr>
          <w:b/>
          <w:i/>
          <w:noProof/>
          <w:lang w:val="fr-BE"/>
        </w:rPr>
        <w:t>Commission :</w:t>
      </w:r>
      <w:r>
        <w:rPr>
          <w:noProof/>
          <w:lang w:val="fr-BE"/>
        </w:rPr>
        <w:t xml:space="preserve"> Au sein de la Commission, le CCR (pour des raisons d'ordre inhérent aux tâches) et la DG HR (service de sécurité et prévention) ont eu recours à ce type d'organisation du travail (respectivement 25 et 56 personnes en 2018). </w:t>
      </w:r>
    </w:p>
    <w:p>
      <w:pPr>
        <w:spacing w:after="0"/>
        <w:rPr>
          <w:noProof/>
          <w:lang w:val="fr-BE"/>
        </w:rPr>
      </w:pPr>
      <w:r>
        <w:rPr>
          <w:noProof/>
          <w:lang w:val="fr-BE"/>
        </w:rPr>
        <w:t>Dans les autres Directions générales (budget de fonctionnement), le service par tours a été effectué par 31 personnes dans les domaines suivants en 2018 :</w:t>
      </w:r>
    </w:p>
    <w:p>
      <w:pPr>
        <w:pStyle w:val="Tiret1"/>
        <w:numPr>
          <w:ilvl w:val="0"/>
          <w:numId w:val="25"/>
        </w:numPr>
        <w:spacing w:before="0" w:after="0"/>
        <w:ind w:left="1418"/>
        <w:rPr>
          <w:noProof/>
          <w:lang w:val="fr-BE"/>
        </w:rPr>
      </w:pPr>
      <w:r>
        <w:rPr>
          <w:noProof/>
          <w:lang w:val="fr-BE"/>
        </w:rPr>
        <w:t>Sécurité et prévention: 8 (OIL)</w:t>
      </w:r>
    </w:p>
    <w:p>
      <w:pPr>
        <w:pStyle w:val="Tiret1"/>
        <w:numPr>
          <w:ilvl w:val="0"/>
          <w:numId w:val="25"/>
        </w:numPr>
        <w:spacing w:before="0" w:after="0"/>
        <w:ind w:left="1418"/>
        <w:rPr>
          <w:noProof/>
          <w:lang w:val="fr-BE"/>
        </w:rPr>
      </w:pPr>
      <w:r>
        <w:rPr>
          <w:noProof/>
          <w:lang w:val="fr-BE"/>
        </w:rPr>
        <w:t>Technologies de l'information et de communication: 14 (DG COMM)</w:t>
      </w:r>
    </w:p>
    <w:p>
      <w:pPr>
        <w:pStyle w:val="Tiret1"/>
        <w:numPr>
          <w:ilvl w:val="0"/>
          <w:numId w:val="25"/>
        </w:numPr>
        <w:spacing w:before="0" w:after="0"/>
        <w:ind w:left="1418"/>
        <w:rPr>
          <w:noProof/>
          <w:lang w:val="fr-BE"/>
        </w:rPr>
      </w:pPr>
      <w:r>
        <w:rPr>
          <w:noProof/>
          <w:lang w:val="fr-BE"/>
        </w:rPr>
        <w:t>Assistance aux Etats membres: 9 (DG ECHO)</w:t>
      </w:r>
    </w:p>
    <w:p>
      <w:pPr>
        <w:rPr>
          <w:noProof/>
          <w:lang w:val="fr-BE"/>
        </w:rPr>
      </w:pPr>
      <w:r>
        <w:rPr>
          <w:noProof/>
          <w:lang w:val="fr-BE"/>
        </w:rPr>
        <w:t>Le service par tours à la DG COMM a été créé en 2015 pour assurer la revue de presse pour le Président, le Collège et le service du Porte-Parole.</w:t>
      </w:r>
    </w:p>
    <w:p>
      <w:pPr>
        <w:rPr>
          <w:noProof/>
          <w:lang w:val="fr-BE"/>
        </w:rPr>
      </w:pPr>
      <w:r>
        <w:rPr>
          <w:noProof/>
          <w:lang w:val="fr-BE"/>
        </w:rPr>
        <w:t>Le service continu à la DG ECHO est opérationnel depuis 2013 suite à la création d'un Centre de monitoring et d'information pour assister les Etats membres et la Commission en cas de désastres.</w:t>
      </w:r>
    </w:p>
    <w:p>
      <w:pPr>
        <w:spacing w:before="0"/>
        <w:rPr>
          <w:noProof/>
          <w:lang w:val="fr-BE"/>
        </w:rPr>
      </w:pPr>
      <w:r>
        <w:rPr>
          <w:noProof/>
          <w:lang w:val="fr-BE"/>
        </w:rPr>
        <w:t>Les taux (types d'indemnités) 1, 3 et 4 sont appliqués à la Commission, le taux 4 (service continu) étant essentiellement utilisé au sein des services de sécurité.</w:t>
      </w:r>
    </w:p>
    <w:p>
      <w:pPr>
        <w:shd w:val="clear" w:color="auto" w:fill="FFFFFF"/>
        <w:rPr>
          <w:noProof/>
          <w:lang w:val="fr-BE"/>
        </w:rPr>
      </w:pPr>
      <w:r>
        <w:rPr>
          <w:b/>
          <w:i/>
          <w:noProof/>
          <w:lang w:val="fr-BE"/>
        </w:rPr>
        <w:t>Conseil :</w:t>
      </w:r>
      <w:r>
        <w:rPr>
          <w:noProof/>
          <w:lang w:val="fr-BE"/>
        </w:rPr>
        <w:t xml:space="preserve"> Le Conseil dispose d'un système de service par tours indispensable pour assurer la continuité des services chargés de la prévention et de la sécurité en matière de sûreté des bâtiments et des personnes dans les deux bâtiments de l'insitution.</w:t>
      </w:r>
    </w:p>
    <w:p>
      <w:pPr>
        <w:shd w:val="clear" w:color="auto" w:fill="FFFFFF"/>
        <w:rPr>
          <w:noProof/>
          <w:lang w:val="fr-BE"/>
        </w:rPr>
      </w:pPr>
      <w:r>
        <w:rPr>
          <w:noProof/>
          <w:lang w:val="fr-BE"/>
        </w:rPr>
        <w:t>Nous notons une légère diminution du nombre de bénéficiaires en 2018 (75 au lieu de 85 en 2017) et du coût (637.506,99€ au lieu de 672.443,72€ en 2017). Cette évolution est due, d’une part, à la suppression du service en deux tours au sein de la Direction Sûreté et Sécurité et, d’autre part, au fait que plusieurs postes dans les services organisés par tours ou en continu n’ont pas été occupés pour des raisons diverses.</w:t>
      </w:r>
    </w:p>
    <w:p>
      <w:pPr>
        <w:shd w:val="clear" w:color="auto" w:fill="FFFFFF"/>
        <w:rPr>
          <w:noProof/>
          <w:color w:val="222222"/>
          <w:lang w:val="fr-FR"/>
        </w:rPr>
      </w:pPr>
      <w:r>
        <w:rPr>
          <w:b/>
          <w:i/>
          <w:noProof/>
          <w:lang w:val="fr-BE"/>
        </w:rPr>
        <w:t>Parlement européen :</w:t>
      </w:r>
      <w:r>
        <w:rPr>
          <w:rFonts w:cs="Arial"/>
          <w:noProof/>
          <w:lang w:val="fr-FR" w:eastAsia="en-GB"/>
        </w:rPr>
        <w:t xml:space="preserve"> En 2018, le Parlement européen a versé des indemnités </w:t>
      </w:r>
      <w:r>
        <w:rPr>
          <w:noProof/>
          <w:lang w:val="fr-BE"/>
        </w:rPr>
        <w:t xml:space="preserve">de service continu ou par tours pour couvrir (1) des services chargés de la sûreté et sécurité </w:t>
      </w:r>
      <w:r>
        <w:rPr>
          <w:noProof/>
          <w:color w:val="222222"/>
          <w:lang w:val="fr-FR"/>
        </w:rPr>
        <w:t xml:space="preserve">dans les 3 lieux de travail: Bruxelles, Strasbourg et Luxembourg, </w:t>
      </w:r>
      <w:r>
        <w:rPr>
          <w:noProof/>
          <w:lang w:val="fr-BE"/>
        </w:rPr>
        <w:t xml:space="preserve">(2) des services liés à l'accueil, à la sécurité et au contrôle des visiteurs (Parlementarium, Maison de l'Histoire européenne (depuis 2017), Centre sportif (depuis 2017)) et à la communication via le </w:t>
      </w:r>
      <w:r>
        <w:rPr>
          <w:noProof/>
          <w:color w:val="222222"/>
          <w:lang w:val="fr-FR"/>
        </w:rPr>
        <w:t xml:space="preserve">standard qui offre en plusieurs langues une variété de services tels que le transfert d'appels entrants et sortants, la fourniture d'informations de contact (numéros de téléphone et de fax, adresses électroniques et de bureau), des informations sur les réunions et les bâtiments du Parlement européen. </w:t>
      </w:r>
    </w:p>
    <w:p>
      <w:pPr>
        <w:shd w:val="clear" w:color="auto" w:fill="FFFFFF"/>
        <w:rPr>
          <w:noProof/>
          <w:lang w:val="fr-BE"/>
        </w:rPr>
      </w:pPr>
      <w:r>
        <w:rPr>
          <w:noProof/>
          <w:lang w:val="fr-BE"/>
        </w:rPr>
        <w:t xml:space="preserve">Les services mis en place sont un système en deux tours (taux 1), un service en deux tours, y compris la nuit, le week-end et les jours fériés (taux 2), ou encore un service ininterrompu 24 heures sur 24 (taux 4). Le nombre de bénéficiaires en 2018 s'élève à 603 (581 en 2017). Cette augmentation est due au renfort des services de la DG COMM pour le Parlementarium et la Maison de l’Europe (+ 10 personnes) et du centre sportif à la disposition des députés et du personnel à Bruxelles (+ 5 personnes). Les effectifs concernés par les missions de sécurité ont également augmenté de 7 personnes. </w:t>
      </w:r>
    </w:p>
    <w:p>
      <w:pPr>
        <w:shd w:val="clear" w:color="auto" w:fill="FFFFFF"/>
        <w:rPr>
          <w:noProof/>
          <w:lang w:val="fr-BE"/>
        </w:rPr>
      </w:pPr>
      <w:r>
        <w:rPr>
          <w:noProof/>
          <w:lang w:val="fr-BE"/>
        </w:rPr>
        <w:t>La nouvelle organisation de travail qui a été mise en place en 2018 pour les missions de surveillance et de prévention a généré une augmentation importante du nombre de personnes  bénéficiant du taux 2. Le nombre de bénéficiaires en 2018 s’élève à 500 (205 en 2017).</w:t>
      </w:r>
      <w:r>
        <w:rPr>
          <w:noProof/>
          <w:lang w:val="fr-BE"/>
        </w:rPr>
        <w:tab/>
      </w:r>
      <w:r>
        <w:rPr>
          <w:noProof/>
          <w:lang w:val="fr-BE"/>
        </w:rPr>
        <w:br/>
        <w:t>Durant cette année, en moyenne 140 personnes sont passées du taux 2 au taux 4 pendant 4 à 5 mois.</w:t>
      </w:r>
    </w:p>
    <w:p>
      <w:pPr>
        <w:rPr>
          <w:noProof/>
          <w:lang w:val="fr-BE"/>
        </w:rPr>
      </w:pPr>
      <w:r>
        <w:rPr>
          <w:b/>
          <w:i/>
          <w:noProof/>
          <w:lang w:val="fr-BE"/>
        </w:rPr>
        <w:t>Cour des comptes :</w:t>
      </w:r>
      <w:r>
        <w:rPr>
          <w:noProof/>
          <w:lang w:val="fr-BE"/>
        </w:rPr>
        <w:t xml:space="preserve"> Depuis 2011, la Cour des comptes dispose de services continus ou par tours liés aux domaines de la sécurité et de la téléphonie/accueil. Les types de service continu ou par tours mis en place sont un système en deux tours (taux 1) et un service ininterrompu 24 heures sur 24 (taux 4). Le nombre de bénéficiaires en 2018 s'élève à 19 (16 en 2017).</w:t>
      </w:r>
    </w:p>
    <w:p>
      <w:pPr>
        <w:rPr>
          <w:noProof/>
          <w:lang w:val="fr-BE"/>
        </w:rPr>
      </w:pPr>
      <w:r>
        <w:rPr>
          <w:b/>
          <w:i/>
          <w:noProof/>
          <w:lang w:val="fr-BE"/>
        </w:rPr>
        <w:t>SEAE</w:t>
      </w:r>
      <w:r>
        <w:rPr>
          <w:noProof/>
          <w:lang w:val="fr-BE"/>
        </w:rPr>
        <w:t xml:space="preserve"> : En 2018, le SEAE a versé 37 indemnités pour service continu/par tours pour </w:t>
      </w:r>
      <w:r>
        <w:rPr>
          <w:noProof/>
          <w:color w:val="222222"/>
          <w:lang w:val="fr-FR" w:eastAsia="en-GB"/>
        </w:rPr>
        <w:t xml:space="preserve">assurer </w:t>
      </w:r>
      <w:r>
        <w:rPr>
          <w:noProof/>
          <w:color w:val="222222"/>
          <w:lang w:val="fr-FR"/>
        </w:rPr>
        <w:t xml:space="preserve">quotidiennement la surveillance, l’évaluation et l’alerte en cas d’événements ou de situations politiquement significatifs sur une base 24/7 </w:t>
      </w:r>
      <w:r>
        <w:rPr>
          <w:noProof/>
          <w:color w:val="222222"/>
          <w:lang w:val="fr-FR" w:eastAsia="en-GB"/>
        </w:rPr>
        <w:t xml:space="preserve">et fournir des services de communication pour les informations classifiées à tout le personnel du SEAE ainsi qu'au Haut Représentant et autres acteurs de l'UE </w:t>
      </w:r>
      <w:r>
        <w:rPr>
          <w:noProof/>
          <w:color w:val="222222"/>
          <w:lang w:val="fr-FR"/>
        </w:rPr>
        <w:t>(Commission européenne, Secrétariat général du Conseil, agences de l'UE, États membres de l'UE)</w:t>
      </w:r>
      <w:r>
        <w:rPr>
          <w:noProof/>
          <w:color w:val="222222"/>
          <w:lang w:val="fr-FR" w:eastAsia="en-GB"/>
        </w:rPr>
        <w:t>.</w:t>
      </w:r>
    </w:p>
    <w:p>
      <w:pPr>
        <w:rPr>
          <w:noProof/>
          <w:lang w:val="fr-BE"/>
        </w:rPr>
      </w:pPr>
      <w:r>
        <w:rPr>
          <w:noProof/>
          <w:color w:val="222222"/>
          <w:lang w:val="fr-FR"/>
        </w:rPr>
        <w:t>Deux types d'allocations sont appliqués au SEAE, principalement le taux 1 et le taux 4. Le nombre de bénéficiaires est resté stable</w:t>
      </w:r>
      <w:r>
        <w:rPr>
          <w:noProof/>
          <w:lang w:val="fr-BE"/>
        </w:rPr>
        <w:t xml:space="preserve">. </w:t>
      </w:r>
    </w:p>
    <w:p>
      <w:pPr>
        <w:rPr>
          <w:noProof/>
          <w:lang w:val="fr-BE"/>
        </w:rPr>
      </w:pPr>
      <w:r>
        <w:rPr>
          <w:b/>
          <w:i/>
          <w:noProof/>
          <w:lang w:val="fr-BE"/>
        </w:rPr>
        <w:t>CdR-CESE</w:t>
      </w:r>
      <w:r>
        <w:rPr>
          <w:noProof/>
          <w:lang w:val="fr-BE"/>
        </w:rPr>
        <w:t xml:space="preserve"> : Le service commun par tours a été établi au CdR et au CESE depuis le 1/3/2017 pour couvrir la nécessité d'une présence continue dans le service de sécurité. Le CdR verse des indemnités à 4 bénéficiaires (taux 1), le CESE à 2 bénéficiares (taux 1).</w:t>
      </w:r>
    </w:p>
    <w:p>
      <w:pPr>
        <w:keepNext/>
        <w:spacing w:before="360" w:after="240"/>
        <w:ind w:left="851" w:hanging="851"/>
        <w:outlineLvl w:val="0"/>
        <w:rPr>
          <w:b/>
          <w:smallCaps/>
          <w:noProof/>
          <w:lang w:val="fr-BE"/>
        </w:rPr>
      </w:pPr>
      <w:r>
        <w:rPr>
          <w:b/>
          <w:smallCaps/>
          <w:noProof/>
          <w:lang w:val="fr-BE"/>
        </w:rPr>
        <w:t>6.</w:t>
      </w:r>
      <w:r>
        <w:rPr>
          <w:b/>
          <w:smallCaps/>
          <w:noProof/>
          <w:lang w:val="fr-BE"/>
        </w:rPr>
        <w:tab/>
        <w:t>Dépenses budgétaires, par institution et par indemnité (en EUR)</w:t>
      </w:r>
    </w:p>
    <w:tbl>
      <w:tblPr>
        <w:tblW w:w="8946" w:type="dxa"/>
        <w:tblInd w:w="93" w:type="dxa"/>
        <w:tblLook w:val="0000" w:firstRow="0" w:lastRow="0" w:firstColumn="0" w:lastColumn="0" w:noHBand="0" w:noVBand="0"/>
      </w:tblPr>
      <w:tblGrid>
        <w:gridCol w:w="1980"/>
        <w:gridCol w:w="1865"/>
        <w:gridCol w:w="1757"/>
        <w:gridCol w:w="1960"/>
        <w:gridCol w:w="1384"/>
      </w:tblGrid>
      <w:tr>
        <w:trPr>
          <w:trHeight w:val="645"/>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Institution</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Service continu ou par tours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Astreintes</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Conditions de travail pénibles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w:hAnsi="Arial" w:cs="Arial"/>
                <w:b/>
                <w:bCs/>
                <w:noProof/>
                <w:sz w:val="20"/>
                <w:szCs w:val="20"/>
                <w:lang w:val="fr-BE"/>
              </w:rPr>
            </w:pPr>
            <w:r>
              <w:rPr>
                <w:rFonts w:ascii="Arial" w:hAnsi="Arial" w:cs="Arial"/>
                <w:b/>
                <w:bCs/>
                <w:noProof/>
                <w:sz w:val="20"/>
                <w:szCs w:val="20"/>
                <w:lang w:val="fr-BE"/>
              </w:rPr>
              <w:t>Total</w:t>
            </w:r>
          </w:p>
        </w:tc>
      </w:tr>
      <w:tr>
        <w:trPr>
          <w:trHeight w:val="330"/>
        </w:trPr>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0" w:after="0"/>
              <w:jc w:val="left"/>
              <w:rPr>
                <w:rFonts w:ascii="Arial" w:hAnsi="Arial" w:cs="Arial"/>
                <w:noProof/>
                <w:sz w:val="20"/>
                <w:szCs w:val="20"/>
                <w:lang w:val="fr-BE"/>
              </w:rPr>
            </w:pPr>
            <w:r>
              <w:rPr>
                <w:rFonts w:ascii="Arial" w:hAnsi="Arial" w:cs="Arial"/>
                <w:noProof/>
                <w:sz w:val="20"/>
                <w:szCs w:val="20"/>
                <w:lang w:val="fr-BE"/>
              </w:rPr>
              <w:t>Commission</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1.048.653,70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1.448.792,37</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587.286,38</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right"/>
              <w:rPr>
                <w:rFonts w:ascii="Arial" w:hAnsi="Arial" w:cs="Arial"/>
                <w:b/>
                <w:noProof/>
                <w:sz w:val="20"/>
                <w:szCs w:val="20"/>
                <w:lang w:val="fr-BE"/>
              </w:rPr>
            </w:pPr>
            <w:r>
              <w:rPr>
                <w:rFonts w:ascii="Arial" w:hAnsi="Arial" w:cs="Arial"/>
                <w:b/>
                <w:noProof/>
                <w:sz w:val="20"/>
                <w:szCs w:val="20"/>
                <w:lang w:val="fr-BE"/>
              </w:rPr>
              <w:t>3.084.732,45</w:t>
            </w:r>
          </w:p>
        </w:tc>
      </w:tr>
      <w:tr>
        <w:trPr>
          <w:trHeight w:val="330"/>
        </w:trPr>
        <w:tc>
          <w:tcPr>
            <w:tcW w:w="2055" w:type="dxa"/>
            <w:tcBorders>
              <w:top w:val="single" w:sz="4" w:space="0" w:color="auto"/>
              <w:left w:val="single" w:sz="8" w:space="0" w:color="auto"/>
              <w:bottom w:val="single" w:sz="8" w:space="0" w:color="auto"/>
              <w:right w:val="single" w:sz="8" w:space="0" w:color="auto"/>
            </w:tcBorders>
            <w:shd w:val="clear" w:color="auto" w:fill="FFFFFF"/>
            <w:vAlign w:val="center"/>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 dont CCR:</w:t>
            </w:r>
          </w:p>
        </w:tc>
        <w:tc>
          <w:tcPr>
            <w:tcW w:w="1920" w:type="dxa"/>
            <w:tcBorders>
              <w:top w:val="single" w:sz="4" w:space="0" w:color="auto"/>
              <w:left w:val="nil"/>
              <w:bottom w:val="single" w:sz="8" w:space="0" w:color="auto"/>
              <w:right w:val="single" w:sz="8" w:space="0" w:color="auto"/>
            </w:tcBorders>
            <w:shd w:val="clear" w:color="auto" w:fill="FFFFFF"/>
            <w:vAlign w:val="center"/>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238.496,39</w:t>
            </w:r>
          </w:p>
        </w:tc>
        <w:tc>
          <w:tcPr>
            <w:tcW w:w="1800" w:type="dxa"/>
            <w:tcBorders>
              <w:top w:val="single" w:sz="4" w:space="0" w:color="auto"/>
              <w:left w:val="nil"/>
              <w:bottom w:val="single" w:sz="8" w:space="0" w:color="auto"/>
              <w:right w:val="single" w:sz="8" w:space="0" w:color="auto"/>
            </w:tcBorders>
            <w:shd w:val="clear" w:color="auto" w:fill="FFFFFF"/>
            <w:vAlign w:val="center"/>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570.567,92</w:t>
            </w:r>
          </w:p>
        </w:tc>
        <w:tc>
          <w:tcPr>
            <w:tcW w:w="2040" w:type="dxa"/>
            <w:tcBorders>
              <w:top w:val="single" w:sz="4" w:space="0" w:color="auto"/>
              <w:left w:val="nil"/>
              <w:bottom w:val="single" w:sz="8" w:space="0" w:color="auto"/>
              <w:right w:val="single" w:sz="8" w:space="0" w:color="auto"/>
            </w:tcBorders>
            <w:shd w:val="clear" w:color="auto" w:fill="FFFFFF"/>
            <w:vAlign w:val="center"/>
          </w:tcPr>
          <w:p>
            <w:pPr>
              <w:spacing w:before="0" w:after="0"/>
              <w:jc w:val="left"/>
              <w:rPr>
                <w:rFonts w:ascii="Arial" w:hAnsi="Arial" w:cs="Arial"/>
                <w:i/>
                <w:iCs/>
                <w:noProof/>
                <w:color w:val="808080"/>
                <w:sz w:val="20"/>
                <w:szCs w:val="20"/>
                <w:lang w:val="fr-BE"/>
              </w:rPr>
            </w:pPr>
            <w:r>
              <w:rPr>
                <w:rFonts w:ascii="Arial" w:hAnsi="Arial" w:cs="Arial"/>
                <w:i/>
                <w:iCs/>
                <w:noProof/>
                <w:color w:val="808080"/>
                <w:sz w:val="20"/>
                <w:szCs w:val="20"/>
                <w:lang w:val="fr-BE"/>
              </w:rPr>
              <w:t>562.839,26</w:t>
            </w:r>
          </w:p>
        </w:tc>
        <w:tc>
          <w:tcPr>
            <w:tcW w:w="1131" w:type="dxa"/>
            <w:tcBorders>
              <w:top w:val="single" w:sz="4" w:space="0" w:color="auto"/>
              <w:left w:val="nil"/>
              <w:bottom w:val="single" w:sz="8" w:space="0" w:color="auto"/>
              <w:right w:val="single" w:sz="8" w:space="0" w:color="auto"/>
            </w:tcBorders>
            <w:shd w:val="clear" w:color="auto" w:fill="FFFFFF"/>
            <w:vAlign w:val="center"/>
          </w:tcPr>
          <w:p>
            <w:pPr>
              <w:spacing w:before="0" w:after="0"/>
              <w:jc w:val="left"/>
              <w:rPr>
                <w:rFonts w:ascii="Arial" w:hAnsi="Arial" w:cs="Arial"/>
                <w:b/>
                <w:i/>
                <w:iCs/>
                <w:noProof/>
                <w:color w:val="808080"/>
                <w:sz w:val="20"/>
                <w:szCs w:val="20"/>
                <w:lang w:val="fr-BE"/>
              </w:rPr>
            </w:pPr>
            <w:r>
              <w:rPr>
                <w:rFonts w:ascii="Arial" w:hAnsi="Arial" w:cs="Arial"/>
                <w:b/>
                <w:i/>
                <w:iCs/>
                <w:noProof/>
                <w:color w:val="808080"/>
                <w:sz w:val="20"/>
                <w:szCs w:val="20"/>
                <w:lang w:val="fr-BE"/>
              </w:rPr>
              <w:t>1.371.903,57</w:t>
            </w:r>
          </w:p>
        </w:tc>
      </w:tr>
      <w:tr>
        <w:trPr>
          <w:trHeight w:val="330"/>
        </w:trPr>
        <w:tc>
          <w:tcPr>
            <w:tcW w:w="2055" w:type="dxa"/>
            <w:tcBorders>
              <w:top w:val="nil"/>
              <w:left w:val="single" w:sz="8" w:space="0" w:color="auto"/>
              <w:bottom w:val="single" w:sz="8" w:space="0" w:color="auto"/>
              <w:right w:val="single" w:sz="8" w:space="0" w:color="auto"/>
            </w:tcBorders>
            <w:shd w:val="clear" w:color="auto" w:fill="auto"/>
            <w:vAlign w:val="center"/>
          </w:tcPr>
          <w:p>
            <w:pPr>
              <w:spacing w:before="0" w:after="0"/>
              <w:jc w:val="left"/>
              <w:rPr>
                <w:rFonts w:ascii="Arial" w:hAnsi="Arial" w:cs="Arial"/>
                <w:noProof/>
                <w:sz w:val="20"/>
                <w:szCs w:val="20"/>
                <w:lang w:val="fr-BE"/>
              </w:rPr>
            </w:pPr>
            <w:r>
              <w:rPr>
                <w:rFonts w:ascii="Arial" w:hAnsi="Arial" w:cs="Arial"/>
                <w:noProof/>
                <w:sz w:val="20"/>
                <w:szCs w:val="20"/>
                <w:lang w:val="fr-BE"/>
              </w:rPr>
              <w:t>Conseil</w:t>
            </w:r>
          </w:p>
        </w:tc>
        <w:tc>
          <w:tcPr>
            <w:tcW w:w="192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637.506,99</w:t>
            </w:r>
          </w:p>
        </w:tc>
        <w:tc>
          <w:tcPr>
            <w:tcW w:w="180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242.336,00</w:t>
            </w:r>
          </w:p>
        </w:tc>
        <w:tc>
          <w:tcPr>
            <w:tcW w:w="204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131"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b/>
                <w:noProof/>
                <w:sz w:val="20"/>
                <w:szCs w:val="20"/>
                <w:lang w:val="fr-BE"/>
              </w:rPr>
            </w:pPr>
            <w:r>
              <w:rPr>
                <w:rFonts w:ascii="Arial" w:hAnsi="Arial" w:cs="Arial"/>
                <w:b/>
                <w:noProof/>
                <w:sz w:val="20"/>
                <w:szCs w:val="20"/>
                <w:lang w:val="fr-BE"/>
              </w:rPr>
              <w:t>879.842,99</w:t>
            </w:r>
          </w:p>
        </w:tc>
      </w:tr>
      <w:tr>
        <w:trPr>
          <w:trHeight w:val="330"/>
        </w:trPr>
        <w:tc>
          <w:tcPr>
            <w:tcW w:w="2055" w:type="dxa"/>
            <w:tcBorders>
              <w:top w:val="nil"/>
              <w:left w:val="single" w:sz="8" w:space="0" w:color="auto"/>
              <w:bottom w:val="single" w:sz="8" w:space="0" w:color="auto"/>
              <w:right w:val="single" w:sz="8" w:space="0" w:color="auto"/>
            </w:tcBorders>
            <w:shd w:val="clear" w:color="auto" w:fill="auto"/>
            <w:vAlign w:val="center"/>
          </w:tcPr>
          <w:p>
            <w:pPr>
              <w:spacing w:before="0" w:after="0"/>
              <w:jc w:val="left"/>
              <w:rPr>
                <w:rFonts w:ascii="Arial" w:hAnsi="Arial" w:cs="Arial"/>
                <w:noProof/>
                <w:sz w:val="20"/>
                <w:szCs w:val="20"/>
                <w:lang w:val="fr-BE"/>
              </w:rPr>
            </w:pPr>
            <w:r>
              <w:rPr>
                <w:rFonts w:ascii="Arial" w:hAnsi="Arial" w:cs="Arial"/>
                <w:noProof/>
                <w:sz w:val="20"/>
                <w:szCs w:val="20"/>
                <w:lang w:val="fr-BE"/>
              </w:rPr>
              <w:t>Parlement</w:t>
            </w:r>
          </w:p>
        </w:tc>
        <w:tc>
          <w:tcPr>
            <w:tcW w:w="192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4.861.738,73</w:t>
            </w:r>
          </w:p>
        </w:tc>
        <w:tc>
          <w:tcPr>
            <w:tcW w:w="180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204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131"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b/>
                <w:noProof/>
                <w:sz w:val="20"/>
                <w:szCs w:val="20"/>
                <w:lang w:val="fr-BE"/>
              </w:rPr>
            </w:pPr>
            <w:r>
              <w:rPr>
                <w:rFonts w:ascii="Arial" w:hAnsi="Arial" w:cs="Arial"/>
                <w:b/>
                <w:noProof/>
                <w:sz w:val="20"/>
                <w:szCs w:val="20"/>
                <w:lang w:val="fr-BE"/>
              </w:rPr>
              <w:t>4.861.738,73</w:t>
            </w:r>
          </w:p>
        </w:tc>
      </w:tr>
      <w:tr>
        <w:trPr>
          <w:trHeight w:val="330"/>
        </w:trPr>
        <w:tc>
          <w:tcPr>
            <w:tcW w:w="2055" w:type="dxa"/>
            <w:tcBorders>
              <w:top w:val="nil"/>
              <w:left w:val="single" w:sz="8" w:space="0" w:color="auto"/>
              <w:bottom w:val="single" w:sz="8" w:space="0" w:color="auto"/>
              <w:right w:val="single" w:sz="8" w:space="0" w:color="auto"/>
            </w:tcBorders>
            <w:shd w:val="clear" w:color="auto" w:fill="auto"/>
            <w:vAlign w:val="center"/>
          </w:tcPr>
          <w:p>
            <w:pPr>
              <w:spacing w:before="0" w:after="0"/>
              <w:jc w:val="left"/>
              <w:rPr>
                <w:rFonts w:ascii="Arial" w:hAnsi="Arial" w:cs="Arial"/>
                <w:noProof/>
                <w:sz w:val="20"/>
                <w:szCs w:val="20"/>
                <w:lang w:val="fr-BE"/>
              </w:rPr>
            </w:pPr>
            <w:r>
              <w:rPr>
                <w:rFonts w:ascii="Arial" w:hAnsi="Arial" w:cs="Arial"/>
                <w:noProof/>
                <w:sz w:val="20"/>
                <w:szCs w:val="20"/>
                <w:lang w:val="fr-BE"/>
              </w:rPr>
              <w:t>Cour de justice</w:t>
            </w:r>
          </w:p>
        </w:tc>
        <w:tc>
          <w:tcPr>
            <w:tcW w:w="192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80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60.065,09</w:t>
            </w:r>
          </w:p>
        </w:tc>
        <w:tc>
          <w:tcPr>
            <w:tcW w:w="204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131"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b/>
                <w:noProof/>
                <w:sz w:val="20"/>
                <w:szCs w:val="20"/>
                <w:lang w:val="fr-BE"/>
              </w:rPr>
            </w:pPr>
            <w:r>
              <w:rPr>
                <w:rFonts w:ascii="Arial" w:hAnsi="Arial" w:cs="Arial"/>
                <w:b/>
                <w:noProof/>
                <w:sz w:val="20"/>
                <w:szCs w:val="20"/>
                <w:lang w:val="fr-BE"/>
              </w:rPr>
              <w:t>60.065,09</w:t>
            </w:r>
          </w:p>
        </w:tc>
      </w:tr>
      <w:tr>
        <w:trPr>
          <w:trHeight w:val="330"/>
        </w:trPr>
        <w:tc>
          <w:tcPr>
            <w:tcW w:w="2055" w:type="dxa"/>
            <w:tcBorders>
              <w:top w:val="nil"/>
              <w:left w:val="single" w:sz="8" w:space="0" w:color="auto"/>
              <w:bottom w:val="single" w:sz="8" w:space="0" w:color="auto"/>
              <w:right w:val="single" w:sz="8" w:space="0" w:color="auto"/>
            </w:tcBorders>
            <w:shd w:val="clear" w:color="auto" w:fill="auto"/>
            <w:vAlign w:val="center"/>
          </w:tcPr>
          <w:p>
            <w:pPr>
              <w:spacing w:before="0" w:after="0"/>
              <w:jc w:val="left"/>
              <w:rPr>
                <w:rFonts w:ascii="Arial" w:hAnsi="Arial" w:cs="Arial"/>
                <w:noProof/>
                <w:sz w:val="20"/>
                <w:szCs w:val="20"/>
                <w:lang w:val="fr-BE"/>
              </w:rPr>
            </w:pPr>
            <w:r>
              <w:rPr>
                <w:rFonts w:ascii="Arial" w:hAnsi="Arial" w:cs="Arial"/>
                <w:noProof/>
                <w:sz w:val="20"/>
                <w:szCs w:val="20"/>
                <w:lang w:val="fr-BE"/>
              </w:rPr>
              <w:t>Cour des comptes</w:t>
            </w:r>
          </w:p>
        </w:tc>
        <w:tc>
          <w:tcPr>
            <w:tcW w:w="192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164.473,07</w:t>
            </w:r>
          </w:p>
        </w:tc>
        <w:tc>
          <w:tcPr>
            <w:tcW w:w="180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13.829,08</w:t>
            </w:r>
          </w:p>
        </w:tc>
        <w:tc>
          <w:tcPr>
            <w:tcW w:w="204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131"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b/>
                <w:noProof/>
                <w:sz w:val="20"/>
                <w:szCs w:val="20"/>
                <w:lang w:val="fr-BE"/>
              </w:rPr>
            </w:pPr>
            <w:r>
              <w:rPr>
                <w:rFonts w:ascii="Arial" w:hAnsi="Arial" w:cs="Arial"/>
                <w:b/>
                <w:noProof/>
                <w:sz w:val="20"/>
                <w:szCs w:val="20"/>
                <w:lang w:val="fr-BE"/>
              </w:rPr>
              <w:t>178.302,15</w:t>
            </w:r>
          </w:p>
        </w:tc>
      </w:tr>
      <w:tr>
        <w:trPr>
          <w:trHeight w:val="330"/>
        </w:trPr>
        <w:tc>
          <w:tcPr>
            <w:tcW w:w="2055" w:type="dxa"/>
            <w:tcBorders>
              <w:top w:val="nil"/>
              <w:left w:val="single" w:sz="8" w:space="0" w:color="auto"/>
              <w:bottom w:val="single" w:sz="8" w:space="0" w:color="auto"/>
              <w:right w:val="single" w:sz="8" w:space="0" w:color="auto"/>
            </w:tcBorders>
            <w:shd w:val="clear" w:color="auto" w:fill="auto"/>
            <w:vAlign w:val="center"/>
          </w:tcPr>
          <w:p>
            <w:pPr>
              <w:spacing w:before="0" w:after="0"/>
              <w:jc w:val="left"/>
              <w:rPr>
                <w:rFonts w:ascii="Arial" w:hAnsi="Arial" w:cs="Arial"/>
                <w:noProof/>
                <w:sz w:val="20"/>
                <w:szCs w:val="20"/>
                <w:lang w:val="fr-BE"/>
              </w:rPr>
            </w:pPr>
            <w:r>
              <w:rPr>
                <w:rFonts w:ascii="Arial" w:hAnsi="Arial" w:cs="Arial"/>
                <w:noProof/>
                <w:sz w:val="20"/>
                <w:szCs w:val="20"/>
                <w:lang w:val="fr-BE"/>
              </w:rPr>
              <w:t>CESE</w:t>
            </w:r>
          </w:p>
        </w:tc>
        <w:tc>
          <w:tcPr>
            <w:tcW w:w="192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10.011,00</w:t>
            </w:r>
          </w:p>
        </w:tc>
        <w:tc>
          <w:tcPr>
            <w:tcW w:w="180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204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131"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b/>
                <w:noProof/>
                <w:sz w:val="20"/>
                <w:szCs w:val="20"/>
                <w:lang w:val="fr-BE"/>
              </w:rPr>
            </w:pPr>
            <w:r>
              <w:rPr>
                <w:rFonts w:ascii="Arial" w:hAnsi="Arial" w:cs="Arial"/>
                <w:b/>
                <w:noProof/>
                <w:sz w:val="20"/>
                <w:szCs w:val="20"/>
                <w:lang w:val="fr-BE"/>
              </w:rPr>
              <w:t>10.011,00</w:t>
            </w:r>
          </w:p>
        </w:tc>
      </w:tr>
      <w:tr>
        <w:trPr>
          <w:trHeight w:val="330"/>
        </w:trPr>
        <w:tc>
          <w:tcPr>
            <w:tcW w:w="2055" w:type="dxa"/>
            <w:tcBorders>
              <w:top w:val="nil"/>
              <w:left w:val="single" w:sz="8" w:space="0" w:color="auto"/>
              <w:bottom w:val="single" w:sz="8" w:space="0" w:color="auto"/>
              <w:right w:val="single" w:sz="8" w:space="0" w:color="auto"/>
            </w:tcBorders>
            <w:shd w:val="clear" w:color="auto" w:fill="auto"/>
            <w:vAlign w:val="center"/>
          </w:tcPr>
          <w:p>
            <w:pPr>
              <w:spacing w:before="0" w:after="0"/>
              <w:jc w:val="left"/>
              <w:rPr>
                <w:rFonts w:ascii="Arial" w:hAnsi="Arial" w:cs="Arial"/>
                <w:noProof/>
                <w:sz w:val="20"/>
                <w:szCs w:val="20"/>
                <w:lang w:val="fr-BE"/>
              </w:rPr>
            </w:pPr>
            <w:r>
              <w:rPr>
                <w:rFonts w:ascii="Arial" w:hAnsi="Arial" w:cs="Arial"/>
                <w:noProof/>
                <w:sz w:val="20"/>
                <w:szCs w:val="20"/>
                <w:lang w:val="fr-BE"/>
              </w:rPr>
              <w:t>CdR</w:t>
            </w:r>
          </w:p>
        </w:tc>
        <w:tc>
          <w:tcPr>
            <w:tcW w:w="192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20.022,00</w:t>
            </w:r>
          </w:p>
        </w:tc>
        <w:tc>
          <w:tcPr>
            <w:tcW w:w="180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13.159,26</w:t>
            </w:r>
          </w:p>
        </w:tc>
        <w:tc>
          <w:tcPr>
            <w:tcW w:w="204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131"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b/>
                <w:noProof/>
                <w:sz w:val="20"/>
                <w:szCs w:val="20"/>
                <w:lang w:val="fr-BE"/>
              </w:rPr>
            </w:pPr>
            <w:r>
              <w:rPr>
                <w:rFonts w:ascii="Arial" w:hAnsi="Arial" w:cs="Arial"/>
                <w:b/>
                <w:noProof/>
                <w:sz w:val="20"/>
                <w:szCs w:val="20"/>
                <w:lang w:val="fr-BE"/>
              </w:rPr>
              <w:t>33.181,26</w:t>
            </w:r>
          </w:p>
        </w:tc>
      </w:tr>
      <w:tr>
        <w:trPr>
          <w:trHeight w:val="330"/>
        </w:trPr>
        <w:tc>
          <w:tcPr>
            <w:tcW w:w="2055" w:type="dxa"/>
            <w:tcBorders>
              <w:top w:val="nil"/>
              <w:left w:val="single" w:sz="8" w:space="0" w:color="auto"/>
              <w:bottom w:val="single" w:sz="8" w:space="0" w:color="auto"/>
              <w:right w:val="single" w:sz="8" w:space="0" w:color="auto"/>
            </w:tcBorders>
            <w:shd w:val="clear" w:color="auto" w:fill="auto"/>
            <w:vAlign w:val="center"/>
          </w:tcPr>
          <w:p>
            <w:pPr>
              <w:spacing w:before="0" w:after="0"/>
              <w:jc w:val="left"/>
              <w:rPr>
                <w:rFonts w:ascii="Arial" w:hAnsi="Arial" w:cs="Arial"/>
                <w:noProof/>
                <w:sz w:val="20"/>
                <w:szCs w:val="20"/>
                <w:lang w:val="fr-BE"/>
              </w:rPr>
            </w:pPr>
            <w:r>
              <w:rPr>
                <w:rFonts w:ascii="Arial" w:hAnsi="Arial" w:cs="Arial"/>
                <w:noProof/>
                <w:sz w:val="20"/>
                <w:szCs w:val="20"/>
                <w:lang w:val="fr-BE"/>
              </w:rPr>
              <w:t>CEPD</w:t>
            </w:r>
          </w:p>
        </w:tc>
        <w:tc>
          <w:tcPr>
            <w:tcW w:w="192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80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204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131"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b/>
                <w:noProof/>
                <w:sz w:val="20"/>
                <w:szCs w:val="20"/>
                <w:lang w:val="fr-BE"/>
              </w:rPr>
            </w:pPr>
            <w:r>
              <w:rPr>
                <w:rFonts w:ascii="Arial" w:hAnsi="Arial" w:cs="Arial"/>
                <w:b/>
                <w:noProof/>
                <w:sz w:val="20"/>
                <w:szCs w:val="20"/>
                <w:lang w:val="fr-BE"/>
              </w:rPr>
              <w:t>0</w:t>
            </w:r>
          </w:p>
        </w:tc>
      </w:tr>
      <w:tr>
        <w:trPr>
          <w:trHeight w:val="330"/>
        </w:trPr>
        <w:tc>
          <w:tcPr>
            <w:tcW w:w="2055" w:type="dxa"/>
            <w:tcBorders>
              <w:top w:val="nil"/>
              <w:left w:val="single" w:sz="8" w:space="0" w:color="auto"/>
              <w:bottom w:val="single" w:sz="8" w:space="0" w:color="auto"/>
              <w:right w:val="single" w:sz="8" w:space="0" w:color="auto"/>
            </w:tcBorders>
            <w:shd w:val="clear" w:color="auto" w:fill="auto"/>
            <w:vAlign w:val="center"/>
          </w:tcPr>
          <w:p>
            <w:pPr>
              <w:spacing w:before="0" w:after="0"/>
              <w:jc w:val="left"/>
              <w:rPr>
                <w:rFonts w:ascii="Arial" w:hAnsi="Arial" w:cs="Arial"/>
                <w:noProof/>
                <w:sz w:val="20"/>
                <w:szCs w:val="20"/>
                <w:lang w:val="fr-BE"/>
              </w:rPr>
            </w:pPr>
            <w:r>
              <w:rPr>
                <w:rFonts w:ascii="Arial" w:hAnsi="Arial" w:cs="Arial"/>
                <w:noProof/>
                <w:sz w:val="20"/>
                <w:szCs w:val="20"/>
                <w:lang w:val="fr-BE"/>
              </w:rPr>
              <w:t>Médiateur</w:t>
            </w:r>
          </w:p>
        </w:tc>
        <w:tc>
          <w:tcPr>
            <w:tcW w:w="192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80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2040"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131" w:type="dxa"/>
            <w:tcBorders>
              <w:top w:val="nil"/>
              <w:left w:val="nil"/>
              <w:bottom w:val="single" w:sz="8" w:space="0" w:color="auto"/>
              <w:right w:val="single" w:sz="8" w:space="0" w:color="auto"/>
            </w:tcBorders>
            <w:shd w:val="clear" w:color="auto" w:fill="auto"/>
            <w:vAlign w:val="center"/>
          </w:tcPr>
          <w:p>
            <w:pPr>
              <w:spacing w:before="0" w:after="0"/>
              <w:jc w:val="right"/>
              <w:rPr>
                <w:rFonts w:ascii="Arial" w:hAnsi="Arial" w:cs="Arial"/>
                <w:b/>
                <w:noProof/>
                <w:sz w:val="20"/>
                <w:szCs w:val="20"/>
                <w:lang w:val="fr-BE"/>
              </w:rPr>
            </w:pPr>
            <w:r>
              <w:rPr>
                <w:rFonts w:ascii="Arial" w:hAnsi="Arial" w:cs="Arial"/>
                <w:b/>
                <w:noProof/>
                <w:sz w:val="20"/>
                <w:szCs w:val="20"/>
                <w:lang w:val="fr-BE"/>
              </w:rPr>
              <w:t>0</w:t>
            </w:r>
          </w:p>
        </w:tc>
      </w:tr>
      <w:tr>
        <w:trPr>
          <w:trHeight w:val="330"/>
        </w:trPr>
        <w:tc>
          <w:tcPr>
            <w:tcW w:w="2055" w:type="dxa"/>
            <w:tcBorders>
              <w:top w:val="nil"/>
              <w:left w:val="single" w:sz="8" w:space="0" w:color="auto"/>
              <w:bottom w:val="single" w:sz="2" w:space="0" w:color="auto"/>
              <w:right w:val="single" w:sz="8" w:space="0" w:color="auto"/>
            </w:tcBorders>
            <w:shd w:val="clear" w:color="auto" w:fill="auto"/>
            <w:vAlign w:val="center"/>
          </w:tcPr>
          <w:p>
            <w:pPr>
              <w:spacing w:before="0" w:after="0"/>
              <w:jc w:val="left"/>
              <w:rPr>
                <w:rFonts w:ascii="Arial" w:hAnsi="Arial" w:cs="Arial"/>
                <w:noProof/>
                <w:sz w:val="20"/>
                <w:szCs w:val="20"/>
                <w:lang w:val="fr-BE"/>
              </w:rPr>
            </w:pPr>
            <w:r>
              <w:rPr>
                <w:rFonts w:ascii="Arial" w:hAnsi="Arial" w:cs="Arial"/>
                <w:noProof/>
                <w:sz w:val="20"/>
                <w:szCs w:val="20"/>
                <w:lang w:val="fr-BE"/>
              </w:rPr>
              <w:t>SEAE</w:t>
            </w:r>
          </w:p>
        </w:tc>
        <w:tc>
          <w:tcPr>
            <w:tcW w:w="1920" w:type="dxa"/>
            <w:tcBorders>
              <w:top w:val="nil"/>
              <w:left w:val="nil"/>
              <w:bottom w:val="single" w:sz="2"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217.847,34</w:t>
            </w:r>
          </w:p>
        </w:tc>
        <w:tc>
          <w:tcPr>
            <w:tcW w:w="1800" w:type="dxa"/>
            <w:tcBorders>
              <w:top w:val="nil"/>
              <w:left w:val="nil"/>
              <w:bottom w:val="single" w:sz="2"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52.616,36</w:t>
            </w:r>
          </w:p>
        </w:tc>
        <w:tc>
          <w:tcPr>
            <w:tcW w:w="2040" w:type="dxa"/>
            <w:tcBorders>
              <w:top w:val="nil"/>
              <w:left w:val="nil"/>
              <w:bottom w:val="single" w:sz="2" w:space="0" w:color="auto"/>
              <w:right w:val="single" w:sz="8" w:space="0" w:color="auto"/>
            </w:tcBorders>
            <w:shd w:val="clear" w:color="auto" w:fill="auto"/>
            <w:vAlign w:val="center"/>
          </w:tcPr>
          <w:p>
            <w:pPr>
              <w:spacing w:before="0" w:after="0"/>
              <w:jc w:val="right"/>
              <w:rPr>
                <w:rFonts w:ascii="Arial" w:hAnsi="Arial" w:cs="Arial"/>
                <w:noProof/>
                <w:sz w:val="20"/>
                <w:szCs w:val="20"/>
                <w:lang w:val="fr-BE"/>
              </w:rPr>
            </w:pPr>
            <w:r>
              <w:rPr>
                <w:rFonts w:ascii="Arial" w:hAnsi="Arial" w:cs="Arial"/>
                <w:noProof/>
                <w:sz w:val="20"/>
                <w:szCs w:val="20"/>
                <w:lang w:val="fr-BE"/>
              </w:rPr>
              <w:t>0</w:t>
            </w:r>
          </w:p>
        </w:tc>
        <w:tc>
          <w:tcPr>
            <w:tcW w:w="1131" w:type="dxa"/>
            <w:tcBorders>
              <w:top w:val="nil"/>
              <w:left w:val="nil"/>
              <w:bottom w:val="single" w:sz="2" w:space="0" w:color="auto"/>
              <w:right w:val="single" w:sz="8" w:space="0" w:color="auto"/>
            </w:tcBorders>
            <w:shd w:val="clear" w:color="auto" w:fill="auto"/>
            <w:vAlign w:val="center"/>
          </w:tcPr>
          <w:p>
            <w:pPr>
              <w:spacing w:before="0" w:after="0"/>
              <w:jc w:val="right"/>
              <w:rPr>
                <w:rFonts w:ascii="Arial" w:hAnsi="Arial" w:cs="Arial"/>
                <w:b/>
                <w:noProof/>
                <w:sz w:val="20"/>
                <w:szCs w:val="20"/>
                <w:lang w:val="fr-BE"/>
              </w:rPr>
            </w:pPr>
            <w:r>
              <w:rPr>
                <w:rFonts w:ascii="Arial" w:hAnsi="Arial" w:cs="Arial"/>
                <w:b/>
                <w:noProof/>
                <w:sz w:val="20"/>
                <w:szCs w:val="20"/>
                <w:lang w:val="fr-BE"/>
              </w:rPr>
              <w:t>270.463,70</w:t>
            </w:r>
          </w:p>
        </w:tc>
      </w:tr>
      <w:tr>
        <w:trPr>
          <w:trHeight w:val="492"/>
        </w:trPr>
        <w:tc>
          <w:tcPr>
            <w:tcW w:w="2055"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lang w:val="fr-BE"/>
              </w:rPr>
            </w:pPr>
            <w:r>
              <w:rPr>
                <w:rFonts w:ascii="Arial" w:hAnsi="Arial" w:cs="Arial"/>
                <w:b/>
                <w:bCs/>
                <w:noProof/>
                <w:sz w:val="20"/>
                <w:szCs w:val="20"/>
                <w:lang w:val="fr-BE"/>
              </w:rPr>
              <w:t>Total</w:t>
            </w:r>
          </w:p>
        </w:tc>
        <w:tc>
          <w:tcPr>
            <w:tcW w:w="1920"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lang w:val="fr-BE"/>
              </w:rPr>
            </w:pPr>
            <w:r>
              <w:rPr>
                <w:rFonts w:ascii="Arial" w:hAnsi="Arial" w:cs="Arial"/>
                <w:b/>
                <w:bCs/>
                <w:noProof/>
                <w:sz w:val="20"/>
                <w:szCs w:val="20"/>
                <w:lang w:val="fr-BE"/>
              </w:rPr>
              <w:t>6.960.252.83</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lang w:val="fr-BE"/>
              </w:rPr>
            </w:pPr>
            <w:r>
              <w:rPr>
                <w:rFonts w:ascii="Arial" w:hAnsi="Arial" w:cs="Arial"/>
                <w:b/>
                <w:bCs/>
                <w:noProof/>
                <w:sz w:val="20"/>
                <w:szCs w:val="20"/>
                <w:lang w:val="fr-BE"/>
              </w:rPr>
              <w:t>1.830.798.16</w:t>
            </w:r>
          </w:p>
        </w:tc>
        <w:tc>
          <w:tcPr>
            <w:tcW w:w="2040"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lang w:val="fr-BE"/>
              </w:rPr>
            </w:pPr>
            <w:r>
              <w:rPr>
                <w:rFonts w:ascii="Arial" w:hAnsi="Arial" w:cs="Arial"/>
                <w:b/>
                <w:bCs/>
                <w:noProof/>
                <w:sz w:val="20"/>
                <w:szCs w:val="20"/>
                <w:lang w:val="fr-BE"/>
              </w:rPr>
              <w:t>587.286.38</w:t>
            </w:r>
          </w:p>
        </w:tc>
        <w:tc>
          <w:tcPr>
            <w:tcW w:w="1131" w:type="dxa"/>
            <w:tcBorders>
              <w:top w:val="single" w:sz="2" w:space="0" w:color="auto"/>
              <w:left w:val="single" w:sz="2" w:space="0" w:color="auto"/>
              <w:bottom w:val="single" w:sz="2" w:space="0" w:color="auto"/>
              <w:right w:val="single" w:sz="2" w:space="0" w:color="auto"/>
            </w:tcBorders>
            <w:shd w:val="clear" w:color="auto" w:fill="auto"/>
            <w:vAlign w:val="center"/>
          </w:tcPr>
          <w:p>
            <w:pPr>
              <w:spacing w:before="0" w:after="0"/>
              <w:jc w:val="right"/>
              <w:rPr>
                <w:rFonts w:ascii="Arial" w:hAnsi="Arial" w:cs="Arial"/>
                <w:b/>
                <w:bCs/>
                <w:noProof/>
                <w:sz w:val="20"/>
                <w:szCs w:val="20"/>
                <w:lang w:val="fr-BE"/>
              </w:rPr>
            </w:pPr>
            <w:r>
              <w:rPr>
                <w:rFonts w:ascii="Arial" w:hAnsi="Arial" w:cs="Arial"/>
                <w:b/>
                <w:bCs/>
                <w:noProof/>
                <w:sz w:val="20"/>
                <w:szCs w:val="20"/>
                <w:lang w:val="fr-BE"/>
              </w:rPr>
              <w:t>9.378.337.37</w:t>
            </w:r>
          </w:p>
        </w:tc>
      </w:tr>
    </w:tbl>
    <w:p>
      <w:pPr>
        <w:spacing w:before="240"/>
        <w:rPr>
          <w:noProof/>
          <w:lang w:val="fr-BE"/>
        </w:rPr>
      </w:pPr>
      <w:r>
        <w:rPr>
          <w:noProof/>
          <w:lang w:val="fr-BE"/>
        </w:rPr>
        <w:t>Le montant dépensé pour les trois indemnités, toutes institutions européennes confondues s'est élevé à 9.378.337,37 € pour l'année 2018 (8.118.966,55 € pour l'année 2017</w:t>
      </w:r>
      <w:bookmarkStart w:id="2" w:name="_CopyToNewDocument_"/>
      <w:bookmarkEnd w:id="2"/>
      <w:r>
        <w:rPr>
          <w:noProof/>
          <w:lang w:val="fr-BE"/>
        </w:rPr>
        <w:t xml:space="preserve">). </w:t>
      </w:r>
    </w:p>
    <w:p>
      <w:pPr>
        <w:rPr>
          <w:noProof/>
          <w:lang w:val="fr-BE"/>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10</w:t>
    </w:r>
    <w:r>
      <w:rPr>
        <w:noProof/>
      </w:rPr>
      <w:fldChar w:fldCharType="end"/>
    </w:r>
  </w:p>
  <w:p>
    <w:pPr>
      <w:pStyle w:val="Footer"/>
      <w:rPr>
        <w:lang w:val="fr-B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ListParagraph"/>
        <w:ind w:left="0"/>
        <w:rPr>
          <w:lang w:val="fr-BE"/>
        </w:rPr>
      </w:pPr>
      <w:r>
        <w:rPr>
          <w:rStyle w:val="FootnoteReference"/>
          <w:sz w:val="20"/>
          <w:szCs w:val="20"/>
        </w:rPr>
        <w:footnoteRef/>
      </w:r>
      <w:r>
        <w:rPr>
          <w:sz w:val="20"/>
          <w:szCs w:val="20"/>
          <w:lang w:val="fr-BE"/>
        </w:rPr>
        <w:t xml:space="preserve"> A l'OLAF, le service d'astreinte est assuré 24h/24h et 7jrs/7jrs par 0,33 AD/ 0,33 SC-AST/ 0,33 GFI (total = 1 bénéficiaire) de l'équipe de sécurité de permanence. </w:t>
      </w:r>
      <w:r>
        <w:rPr>
          <w:sz w:val="20"/>
          <w:szCs w:val="20"/>
          <w:lang w:val="fr-BE"/>
        </w:rPr>
        <w:br/>
      </w:r>
    </w:p>
  </w:footnote>
  <w:footnote w:id="2">
    <w:p>
      <w:pPr>
        <w:pStyle w:val="FootnoteText"/>
        <w:rPr>
          <w:lang w:val="fr-BE"/>
        </w:rPr>
      </w:pPr>
      <w:r>
        <w:rPr>
          <w:rStyle w:val="FootnoteReference"/>
        </w:rPr>
        <w:footnoteRef/>
      </w:r>
      <w:r>
        <w:rPr>
          <w:lang w:val="fr-BE"/>
        </w:rPr>
        <w:t xml:space="preserve"> Article 3 du Règlement du Conseil N° 858/2004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11664A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130D81A"/>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807A88"/>
    <w:lvl w:ilvl="0">
      <w:start w:val="1"/>
      <w:numFmt w:val="decimal"/>
      <w:pStyle w:val="ListNumber2"/>
      <w:lvlText w:val="%1."/>
      <w:lvlJc w:val="left"/>
      <w:pPr>
        <w:tabs>
          <w:tab w:val="num" w:pos="643"/>
        </w:tabs>
        <w:ind w:left="643" w:hanging="360"/>
      </w:pPr>
    </w:lvl>
  </w:abstractNum>
  <w:abstractNum w:abstractNumId="3">
    <w:nsid w:val="FFFFFF81"/>
    <w:multiLevelType w:val="singleLevel"/>
    <w:tmpl w:val="57FCEA9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DCA3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982E70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F04D12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0EAEC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8D241E"/>
    <w:multiLevelType w:val="hybridMultilevel"/>
    <w:tmpl w:val="074EA930"/>
    <w:lvl w:ilvl="0" w:tplc="0809000B">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5">
    <w:nsid w:val="42713452"/>
    <w:multiLevelType w:val="singleLevel"/>
    <w:tmpl w:val="3B8CC7EA"/>
    <w:lvl w:ilvl="0">
      <w:start w:val="1"/>
      <w:numFmt w:val="bullet"/>
      <w:lvlRestart w:val="0"/>
      <w:lvlText w:val="–"/>
      <w:lvlJc w:val="left"/>
      <w:pPr>
        <w:tabs>
          <w:tab w:val="num" w:pos="1417"/>
        </w:tabs>
        <w:ind w:left="1417" w:hanging="567"/>
      </w:pPr>
    </w:lvl>
  </w:abstractNum>
  <w:abstractNum w:abstractNumId="1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9">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2">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4">
    <w:nsid w:val="6CFA7791"/>
    <w:multiLevelType w:val="hybridMultilevel"/>
    <w:tmpl w:val="159690E8"/>
    <w:lvl w:ilvl="0" w:tplc="2544F14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5C26F71"/>
    <w:multiLevelType w:val="multilevel"/>
    <w:tmpl w:val="E01E770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7"/>
  </w:num>
  <w:num w:numId="2">
    <w:abstractNumId w:val="11"/>
  </w:num>
  <w:num w:numId="3">
    <w:abstractNumId w:val="20"/>
  </w:num>
  <w:num w:numId="4">
    <w:abstractNumId w:val="19"/>
  </w:num>
  <w:num w:numId="5">
    <w:abstractNumId w:val="16"/>
  </w:num>
  <w:num w:numId="6">
    <w:abstractNumId w:val="23"/>
  </w:num>
  <w:num w:numId="7">
    <w:abstractNumId w:val="26"/>
  </w:num>
  <w:num w:numId="8">
    <w:abstractNumId w:val="25"/>
  </w:num>
  <w:num w:numId="9">
    <w:abstractNumId w:val="27"/>
  </w:num>
  <w:num w:numId="10">
    <w:abstractNumId w:val="13"/>
  </w:num>
  <w:num w:numId="11">
    <w:abstractNumId w:val="12"/>
  </w:num>
  <w:num w:numId="12">
    <w:abstractNumId w:val="21"/>
  </w:num>
  <w:num w:numId="13">
    <w:abstractNumId w:val="14"/>
  </w:num>
  <w:num w:numId="14">
    <w:abstractNumId w:val="18"/>
  </w:num>
  <w:num w:numId="15">
    <w:abstractNumId w:val="6"/>
  </w:num>
  <w:num w:numId="16">
    <w:abstractNumId w:val="2"/>
  </w:num>
  <w:num w:numId="17">
    <w:abstractNumId w:val="1"/>
  </w:num>
  <w:num w:numId="18">
    <w:abstractNumId w:val="0"/>
  </w:num>
  <w:num w:numId="19">
    <w:abstractNumId w:val="7"/>
  </w:num>
  <w:num w:numId="20">
    <w:abstractNumId w:val="5"/>
  </w:num>
  <w:num w:numId="21">
    <w:abstractNumId w:val="4"/>
  </w:num>
  <w:num w:numId="22">
    <w:abstractNumId w:val="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num>
  <w:num w:numId="25">
    <w:abstractNumId w:val="15"/>
  </w:num>
  <w:num w:numId="26">
    <w:abstractNumId w:val="22"/>
  </w:num>
  <w:num w:numId="27">
    <w:abstractNumId w:val="24"/>
  </w:num>
  <w:num w:numId="28">
    <w:abstractNumId w:val="24"/>
  </w:num>
  <w:num w:numId="29">
    <w:abstractNumId w:val="10"/>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characterSpacingControl w:val="doNotCompress"/>
  <w:hdrShapeDefaults>
    <o:shapedefaults v:ext="edit" spidmax="26625"/>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45AA8132-A808-4627-A452-934734FED08D"/>
    <w:docVar w:name="LW_COVERPAGE_TYPE" w:val="1"/>
    <w:docVar w:name="LW_CROSSREFERENCE" w:val="&lt;UNUSED&gt;"/>
    <w:docVar w:name="LW_DocType" w:val="NORMAL"/>
    <w:docVar w:name="LW_EMISSION" w:val="8.10.2020"/>
    <w:docVar w:name="LW_EMISSION_ISODATE" w:val="2020-10-08"/>
    <w:docVar w:name="LW_EMISSION_LOCATION" w:val="BRX"/>
    <w:docVar w:name="LW_EMISSION_PREFIX" w:val="Bruxelles, le "/>
    <w:docVar w:name="LW_EMISSION_SUFFIX" w:val=" "/>
    <w:docVar w:name="LW_ID_DOCTYPE_NONLW" w:val="CP-005"/>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6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sur l'utilisation faite en 2018 par les institutions des règlements du Conseil n° 495/77, modifié en dernier lieu par le règlement n° 1945/2006 (sur les astreintes), n° 858/2004 (sur les conditions de travail pénibles) et n° 300/76, modifié en dernier lieu par le règlement n° 1873/2006 (sur le service continu ou par tours)"/>
    <w:docVar w:name="LW_TYPE.DOC.CP" w:val="RAPPORT DE LA COMMISSION AU CONSEIL ET AU PARLEMENT EUROPÉEN"/>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val="en-GB" w:eastAsia="en-US"/>
    </w:rPr>
  </w:style>
  <w:style w:type="paragraph" w:styleId="Heading1">
    <w:name w:val="heading 1"/>
    <w:basedOn w:val="Normal"/>
    <w:next w:val="Normal"/>
    <w:link w:val="Heading1Char"/>
    <w:uiPriority w:val="9"/>
    <w:qFormat/>
    <w:pPr>
      <w:keepNext/>
      <w:numPr>
        <w:numId w:val="7"/>
      </w:numPr>
      <w:spacing w:before="360"/>
      <w:outlineLvl w:val="0"/>
    </w:pPr>
    <w:rPr>
      <w:b/>
      <w:bCs/>
      <w:smallCaps/>
      <w:szCs w:val="32"/>
    </w:rPr>
  </w:style>
  <w:style w:type="paragraph" w:styleId="Heading2">
    <w:name w:val="heading 2"/>
    <w:basedOn w:val="Normal"/>
    <w:next w:val="Normal"/>
    <w:link w:val="Heading2Char"/>
    <w:uiPriority w:val="9"/>
    <w:qFormat/>
    <w:pPr>
      <w:keepNext/>
      <w:numPr>
        <w:ilvl w:val="1"/>
        <w:numId w:val="7"/>
      </w:numPr>
      <w:outlineLvl w:val="1"/>
    </w:pPr>
    <w:rPr>
      <w:b/>
      <w:bCs/>
      <w:iCs/>
      <w:szCs w:val="28"/>
    </w:rPr>
  </w:style>
  <w:style w:type="paragraph" w:styleId="Heading3">
    <w:name w:val="heading 3"/>
    <w:basedOn w:val="Normal"/>
    <w:next w:val="Normal"/>
    <w:link w:val="Heading3Char"/>
    <w:uiPriority w:val="9"/>
    <w:qFormat/>
    <w:pPr>
      <w:keepNext/>
      <w:numPr>
        <w:ilvl w:val="2"/>
        <w:numId w:val="7"/>
      </w:numPr>
      <w:outlineLvl w:val="2"/>
    </w:pPr>
    <w:rPr>
      <w:bCs/>
      <w:i/>
      <w:szCs w:val="26"/>
    </w:rPr>
  </w:style>
  <w:style w:type="paragraph" w:styleId="Heading4">
    <w:name w:val="heading 4"/>
    <w:basedOn w:val="Normal"/>
    <w:next w:val="Normal"/>
    <w:link w:val="Heading4Char"/>
    <w:uiPriority w:val="9"/>
    <w:qFormat/>
    <w:pPr>
      <w:keepNext/>
      <w:numPr>
        <w:ilvl w:val="3"/>
        <w:numId w:val="7"/>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Calibri"/>
      <w:szCs w:val="22"/>
    </w:r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spacing w:before="0"/>
    </w:pPr>
    <w:rPr>
      <w:rFonts w:eastAsia="Calibri"/>
      <w:szCs w:val="22"/>
    </w:rPr>
  </w:style>
  <w:style w:type="paragraph" w:customStyle="1" w:styleId="HeaderLandscape">
    <w:name w:val="HeaderLandscape"/>
    <w:basedOn w:val="Normal"/>
    <w:pPr>
      <w:tabs>
        <w:tab w:val="center" w:pos="7285"/>
        <w:tab w:val="right" w:pos="14003"/>
      </w:tabs>
      <w:spacing w:before="0"/>
    </w:pPr>
    <w:rPr>
      <w:rFonts w:eastAsia="Calibri"/>
      <w:szCs w:val="22"/>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8"/>
      </w:numPr>
    </w:pPr>
  </w:style>
  <w:style w:type="paragraph" w:customStyle="1" w:styleId="NumPar2">
    <w:name w:val="NumPar 2"/>
    <w:basedOn w:val="Normal"/>
    <w:next w:val="Normal"/>
    <w:pPr>
      <w:numPr>
        <w:ilvl w:val="1"/>
        <w:numId w:val="8"/>
      </w:numPr>
    </w:pPr>
  </w:style>
  <w:style w:type="paragraph" w:customStyle="1" w:styleId="NumPar3">
    <w:name w:val="NumPar 3"/>
    <w:basedOn w:val="Normal"/>
    <w:next w:val="Normal"/>
    <w:pPr>
      <w:numPr>
        <w:ilvl w:val="2"/>
        <w:numId w:val="8"/>
      </w:numPr>
    </w:pPr>
  </w:style>
  <w:style w:type="paragraph" w:customStyle="1" w:styleId="NumPar4">
    <w:name w:val="NumPar 4"/>
    <w:basedOn w:val="Normal"/>
    <w:next w:val="Normal"/>
    <w:pPr>
      <w:numPr>
        <w:ilvl w:val="3"/>
        <w:numId w:val="8"/>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9"/>
      </w:numPr>
    </w:pPr>
  </w:style>
  <w:style w:type="paragraph" w:customStyle="1" w:styleId="Point0number">
    <w:name w:val="Point 0 (number)"/>
    <w:basedOn w:val="Normal"/>
    <w:pPr>
      <w:numPr>
        <w:numId w:val="9"/>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9"/>
      </w:numPr>
    </w:pPr>
  </w:style>
  <w:style w:type="paragraph" w:customStyle="1" w:styleId="Point1number">
    <w:name w:val="Point 1 (number)"/>
    <w:basedOn w:val="Normal"/>
    <w:pPr>
      <w:numPr>
        <w:ilvl w:val="2"/>
        <w:numId w:val="9"/>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9"/>
      </w:numPr>
    </w:pPr>
  </w:style>
  <w:style w:type="paragraph" w:customStyle="1" w:styleId="Point2number">
    <w:name w:val="Point 2 (number)"/>
    <w:basedOn w:val="Normal"/>
    <w:pPr>
      <w:numPr>
        <w:ilvl w:val="4"/>
        <w:numId w:val="9"/>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9"/>
      </w:numPr>
    </w:pPr>
  </w:style>
  <w:style w:type="paragraph" w:customStyle="1" w:styleId="Point3number">
    <w:name w:val="Point 3 (number)"/>
    <w:basedOn w:val="Normal"/>
    <w:pPr>
      <w:numPr>
        <w:ilvl w:val="6"/>
        <w:numId w:val="9"/>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semiHidden/>
    <w:pPr>
      <w:tabs>
        <w:tab w:val="right" w:leader="dot" w:pos="9071"/>
      </w:tabs>
      <w:spacing w:before="60"/>
      <w:ind w:left="850" w:hanging="850"/>
      <w:jc w:val="left"/>
    </w:pPr>
  </w:style>
  <w:style w:type="paragraph" w:styleId="TOC2">
    <w:name w:val="toc 2"/>
    <w:basedOn w:val="Normal"/>
    <w:next w:val="Normal"/>
    <w:uiPriority w:val="39"/>
    <w:semiHidden/>
    <w:pPr>
      <w:tabs>
        <w:tab w:val="right" w:leader="dot" w:pos="9071"/>
      </w:tabs>
      <w:spacing w:before="60"/>
      <w:ind w:left="850" w:hanging="850"/>
      <w:jc w:val="left"/>
    </w:pPr>
  </w:style>
  <w:style w:type="paragraph" w:styleId="TOC3">
    <w:name w:val="toc 3"/>
    <w:basedOn w:val="Normal"/>
    <w:next w:val="Normal"/>
    <w:uiPriority w:val="39"/>
    <w:semiHidden/>
    <w:pPr>
      <w:tabs>
        <w:tab w:val="right" w:leader="dot" w:pos="9071"/>
      </w:tabs>
      <w:spacing w:before="60"/>
      <w:ind w:left="850" w:hanging="850"/>
      <w:jc w:val="left"/>
    </w:pPr>
  </w:style>
  <w:style w:type="paragraph" w:styleId="TOC4">
    <w:name w:val="toc 4"/>
    <w:basedOn w:val="Normal"/>
    <w:next w:val="Normal"/>
    <w:uiPriority w:val="39"/>
    <w:semiHidden/>
    <w:pPr>
      <w:tabs>
        <w:tab w:val="right" w:leader="dot" w:pos="9071"/>
      </w:tabs>
      <w:spacing w:before="60"/>
      <w:ind w:left="850" w:hanging="850"/>
      <w:jc w:val="left"/>
    </w:pPr>
  </w:style>
  <w:style w:type="paragraph" w:styleId="TOC5">
    <w:name w:val="toc 5"/>
    <w:basedOn w:val="Normal"/>
    <w:next w:val="Normal"/>
    <w:uiPriority w:val="39"/>
    <w:semiHidden/>
    <w:pPr>
      <w:tabs>
        <w:tab w:val="right" w:leader="dot" w:pos="9071"/>
      </w:tabs>
      <w:spacing w:before="300"/>
      <w:jc w:val="left"/>
    </w:pPr>
  </w:style>
  <w:style w:type="paragraph" w:styleId="TOC6">
    <w:name w:val="toc 6"/>
    <w:basedOn w:val="Normal"/>
    <w:next w:val="Normal"/>
    <w:uiPriority w:val="39"/>
    <w:semiHidden/>
    <w:pPr>
      <w:tabs>
        <w:tab w:val="right" w:leader="dot" w:pos="9071"/>
      </w:tabs>
      <w:spacing w:before="240"/>
      <w:jc w:val="left"/>
    </w:pPr>
  </w:style>
  <w:style w:type="paragraph" w:styleId="TOC7">
    <w:name w:val="toc 7"/>
    <w:basedOn w:val="Normal"/>
    <w:next w:val="Normal"/>
    <w:uiPriority w:val="39"/>
    <w:semiHidden/>
    <w:pPr>
      <w:tabs>
        <w:tab w:val="right" w:leader="dot" w:pos="9071"/>
      </w:tabs>
      <w:spacing w:before="180"/>
      <w:jc w:val="left"/>
    </w:pPr>
  </w:style>
  <w:style w:type="paragraph" w:styleId="TOC8">
    <w:name w:val="toc 8"/>
    <w:basedOn w:val="Normal"/>
    <w:next w:val="Normal"/>
    <w:uiPriority w:val="39"/>
    <w:semiHidden/>
    <w:pPr>
      <w:tabs>
        <w:tab w:val="right" w:leader="dot" w:pos="9071"/>
      </w:tabs>
      <w:jc w:val="left"/>
    </w:pPr>
  </w:style>
  <w:style w:type="paragraph" w:styleId="TOC9">
    <w:name w:val="toc 9"/>
    <w:basedOn w:val="Normal"/>
    <w:next w:val="Normal"/>
    <w:uiPriority w:val="39"/>
    <w:semiHidden/>
    <w:pPr>
      <w:tabs>
        <w:tab w:val="right" w:leader="dot" w:pos="9071"/>
      </w:tabs>
    </w:pPr>
  </w:style>
  <w:style w:type="paragraph" w:styleId="TOCHeading">
    <w:name w:val="TOC Heading"/>
    <w:basedOn w:val="Normal"/>
    <w:next w:val="Normal"/>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link w:val="TypedudocumentChar"/>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styleId="Caption">
    <w:name w:val="caption"/>
    <w:basedOn w:val="Normal"/>
    <w:next w:val="Normal"/>
    <w:qFormat/>
    <w:rPr>
      <w:b/>
      <w:bCs/>
      <w:sz w:val="20"/>
      <w:szCs w:val="20"/>
      <w:lang w:val="fr-FR" w:eastAsia="en-GB"/>
    </w:rPr>
  </w:style>
  <w:style w:type="paragraph" w:styleId="TableofFigures">
    <w:name w:val="table of figures"/>
    <w:basedOn w:val="Normal"/>
    <w:next w:val="Normal"/>
    <w:rPr>
      <w:szCs w:val="22"/>
      <w:lang w:val="fr-FR" w:eastAsia="en-GB"/>
    </w:rPr>
  </w:style>
  <w:style w:type="character" w:styleId="CommentReference">
    <w:name w:val="annotation reference"/>
    <w:rPr>
      <w:sz w:val="16"/>
      <w:szCs w:val="16"/>
      <w:shd w:val="clear" w:color="auto" w:fill="auto"/>
    </w:rPr>
  </w:style>
  <w:style w:type="paragraph" w:styleId="ListNumber">
    <w:name w:val="List Number"/>
    <w:basedOn w:val="Normal"/>
    <w:pPr>
      <w:numPr>
        <w:numId w:val="15"/>
      </w:numPr>
    </w:pPr>
    <w:rPr>
      <w:szCs w:val="22"/>
      <w:lang w:val="fr-FR" w:eastAsia="en-GB"/>
    </w:rPr>
  </w:style>
  <w:style w:type="paragraph" w:styleId="ListNumber2">
    <w:name w:val="List Number 2"/>
    <w:basedOn w:val="Normal"/>
    <w:pPr>
      <w:numPr>
        <w:numId w:val="16"/>
      </w:numPr>
    </w:pPr>
    <w:rPr>
      <w:szCs w:val="22"/>
      <w:lang w:val="fr-FR" w:eastAsia="en-GB"/>
    </w:rPr>
  </w:style>
  <w:style w:type="paragraph" w:styleId="ListNumber3">
    <w:name w:val="List Number 3"/>
    <w:basedOn w:val="Normal"/>
    <w:pPr>
      <w:numPr>
        <w:numId w:val="17"/>
      </w:numPr>
    </w:pPr>
    <w:rPr>
      <w:szCs w:val="22"/>
      <w:lang w:val="fr-FR" w:eastAsia="en-GB"/>
    </w:rPr>
  </w:style>
  <w:style w:type="paragraph" w:styleId="ListNumber4">
    <w:name w:val="List Number 4"/>
    <w:basedOn w:val="Normal"/>
    <w:pPr>
      <w:numPr>
        <w:numId w:val="18"/>
      </w:numPr>
    </w:pPr>
    <w:rPr>
      <w:szCs w:val="22"/>
      <w:lang w:val="fr-FR" w:eastAsia="en-GB"/>
    </w:rPr>
  </w:style>
  <w:style w:type="paragraph" w:styleId="ListBullet">
    <w:name w:val="List Bullet"/>
    <w:basedOn w:val="Normal"/>
    <w:pPr>
      <w:numPr>
        <w:numId w:val="19"/>
      </w:numPr>
    </w:pPr>
    <w:rPr>
      <w:szCs w:val="22"/>
      <w:lang w:val="fr-FR" w:eastAsia="en-GB"/>
    </w:rPr>
  </w:style>
  <w:style w:type="paragraph" w:styleId="ListBullet2">
    <w:name w:val="List Bullet 2"/>
    <w:basedOn w:val="Normal"/>
    <w:pPr>
      <w:numPr>
        <w:numId w:val="20"/>
      </w:numPr>
    </w:pPr>
    <w:rPr>
      <w:szCs w:val="22"/>
      <w:lang w:val="fr-FR" w:eastAsia="en-GB"/>
    </w:rPr>
  </w:style>
  <w:style w:type="paragraph" w:styleId="ListBullet3">
    <w:name w:val="List Bullet 3"/>
    <w:basedOn w:val="Normal"/>
    <w:pPr>
      <w:numPr>
        <w:numId w:val="21"/>
      </w:numPr>
    </w:pPr>
    <w:rPr>
      <w:szCs w:val="22"/>
      <w:lang w:val="fr-FR" w:eastAsia="en-GB"/>
    </w:rPr>
  </w:style>
  <w:style w:type="paragraph" w:styleId="ListBullet4">
    <w:name w:val="List Bullet 4"/>
    <w:basedOn w:val="Normal"/>
    <w:pPr>
      <w:numPr>
        <w:numId w:val="22"/>
      </w:numPr>
    </w:pPr>
    <w:rPr>
      <w:szCs w:val="22"/>
      <w:lang w:val="fr-FR" w:eastAsia="en-GB"/>
    </w:rPr>
  </w:style>
  <w:style w:type="paragraph" w:styleId="CommentText">
    <w:name w:val="annotation text"/>
    <w:basedOn w:val="Normal"/>
    <w:link w:val="CommentTextChar"/>
    <w:rPr>
      <w:sz w:val="20"/>
      <w:szCs w:val="20"/>
      <w:lang w:val="fr-FR" w:eastAsia="en-GB"/>
    </w:rPr>
  </w:style>
  <w:style w:type="character" w:customStyle="1" w:styleId="CommentTextChar">
    <w:name w:val="Comment Text Char"/>
    <w:link w:val="CommentText"/>
    <w:rPr>
      <w:shd w:val="clear" w:color="auto" w:fill="auto"/>
      <w:lang w:val="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val="fr-FR"/>
    </w:rPr>
  </w:style>
  <w:style w:type="character" w:styleId="Hyperlink">
    <w:name w:val="Hyperlink"/>
    <w:rPr>
      <w:color w:val="0000FF"/>
      <w:u w:val="single"/>
      <w:shd w:val="clear" w:color="auto" w:fill="auto"/>
    </w:rPr>
  </w:style>
  <w:style w:type="paragraph" w:styleId="BalloonText">
    <w:name w:val="Balloon Text"/>
    <w:basedOn w:val="Normal"/>
    <w:link w:val="BalloonTextChar"/>
    <w:rPr>
      <w:rFonts w:ascii="Tahoma" w:hAnsi="Tahoma" w:cs="Tahoma"/>
      <w:sz w:val="16"/>
      <w:szCs w:val="16"/>
      <w:lang w:val="fr-FR" w:eastAsia="en-GB"/>
    </w:rPr>
  </w:style>
  <w:style w:type="character" w:customStyle="1" w:styleId="BalloonTextChar">
    <w:name w:val="Balloon Text Char"/>
    <w:link w:val="BalloonText"/>
    <w:rPr>
      <w:rFonts w:ascii="Tahoma" w:hAnsi="Tahoma" w:cs="Tahoma"/>
      <w:sz w:val="16"/>
      <w:szCs w:val="16"/>
      <w:shd w:val="clear" w:color="auto" w:fill="auto"/>
      <w:lang w:val="fr-FR"/>
    </w:rPr>
  </w:style>
  <w:style w:type="character" w:styleId="FollowedHyperlink">
    <w:name w:val="FollowedHyperlink"/>
    <w:rPr>
      <w:color w:val="800080"/>
      <w:u w:val="single"/>
      <w:shd w:val="clear" w:color="auto" w:fill="auto"/>
    </w:rPr>
  </w:style>
  <w:style w:type="character" w:styleId="PageNumber">
    <w:name w:val="page number"/>
    <w:rPr>
      <w:shd w:val="clear" w:color="auto" w:fill="auto"/>
    </w:rPr>
  </w:style>
  <w:style w:type="paragraph" w:styleId="Revision">
    <w:name w:val="Revision"/>
    <w:hidden/>
    <w:uiPriority w:val="99"/>
    <w:semiHidden/>
    <w:pPr>
      <w:spacing w:after="200" w:line="276" w:lineRule="auto"/>
    </w:pPr>
    <w:rPr>
      <w:sz w:val="24"/>
      <w:szCs w:val="24"/>
      <w:lang w:val="fr-FR" w:eastAsia="en-US"/>
    </w:rPr>
  </w:style>
  <w:style w:type="character" w:customStyle="1" w:styleId="HeaderChar">
    <w:name w:val="Header Char"/>
    <w:link w:val="Header"/>
    <w:uiPriority w:val="99"/>
    <w:rPr>
      <w:rFonts w:eastAsia="Calibri"/>
      <w:sz w:val="24"/>
      <w:szCs w:val="22"/>
      <w:lang w:eastAsia="en-US"/>
    </w:rPr>
  </w:style>
  <w:style w:type="character" w:customStyle="1" w:styleId="FooterChar">
    <w:name w:val="Footer Char"/>
    <w:link w:val="Footer"/>
    <w:uiPriority w:val="99"/>
    <w:rPr>
      <w:rFonts w:eastAsia="Calibri"/>
      <w:sz w:val="24"/>
      <w:szCs w:val="22"/>
      <w:lang w:eastAsia="en-US"/>
    </w:rPr>
  </w:style>
  <w:style w:type="character" w:customStyle="1" w:styleId="FootnoteTextChar">
    <w:name w:val="Footnote Text Char"/>
    <w:link w:val="FootnoteText"/>
    <w:uiPriority w:val="99"/>
    <w:semiHidden/>
    <w:rPr>
      <w:lang w:eastAsia="en-US"/>
    </w:rPr>
  </w:style>
  <w:style w:type="character" w:customStyle="1" w:styleId="Heading1Char">
    <w:name w:val="Heading 1 Char"/>
    <w:link w:val="Heading1"/>
    <w:uiPriority w:val="9"/>
    <w:rPr>
      <w:b/>
      <w:bCs/>
      <w:smallCaps/>
      <w:sz w:val="24"/>
      <w:szCs w:val="32"/>
      <w:lang w:eastAsia="en-US"/>
    </w:rPr>
  </w:style>
  <w:style w:type="character" w:customStyle="1" w:styleId="Heading2Char">
    <w:name w:val="Heading 2 Char"/>
    <w:link w:val="Heading2"/>
    <w:uiPriority w:val="9"/>
    <w:rPr>
      <w:b/>
      <w:bCs/>
      <w:iCs/>
      <w:sz w:val="24"/>
      <w:szCs w:val="28"/>
      <w:lang w:eastAsia="en-US"/>
    </w:rPr>
  </w:style>
  <w:style w:type="character" w:customStyle="1" w:styleId="Heading3Char">
    <w:name w:val="Heading 3 Char"/>
    <w:link w:val="Heading3"/>
    <w:uiPriority w:val="9"/>
    <w:rPr>
      <w:bCs/>
      <w:i/>
      <w:sz w:val="24"/>
      <w:szCs w:val="26"/>
      <w:lang w:eastAsia="en-US"/>
    </w:rPr>
  </w:style>
  <w:style w:type="character" w:customStyle="1" w:styleId="Heading4Char">
    <w:name w:val="Heading 4 Char"/>
    <w:link w:val="Heading4"/>
    <w:uiPriority w:val="9"/>
    <w:rPr>
      <w:bCs/>
      <w:sz w:val="24"/>
      <w:szCs w:val="28"/>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link w:val="Typedudocument"/>
    <w:rPr>
      <w:b/>
      <w:sz w:val="24"/>
      <w:szCs w:val="24"/>
      <w:shd w:val="clear" w:color="auto" w:fill="auto"/>
      <w:lang w:eastAsia="en-US"/>
    </w:rPr>
  </w:style>
  <w:style w:type="character" w:customStyle="1" w:styleId="FooterCoverPageChar">
    <w:name w:val="Footer Cover Page Char"/>
    <w:link w:val="FooterCoverPage"/>
    <w:rPr>
      <w:sz w:val="24"/>
      <w:szCs w:val="24"/>
      <w:lang w:val="en-GB"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val="en-GB" w:eastAsia="en-US"/>
    </w:rPr>
  </w:style>
  <w:style w:type="paragraph" w:styleId="ListParagraph">
    <w:name w:val="List Paragraph"/>
    <w:basedOn w:val="Normal"/>
    <w:uiPriority w:val="34"/>
    <w:qFormat/>
    <w:pPr>
      <w:spacing w:before="0" w:after="0"/>
      <w:ind w:left="720"/>
      <w:jc w:val="left"/>
    </w:pPr>
    <w:rPr>
      <w:rFonts w:ascii="Calibri" w:eastAsia="Calibri" w:hAnsi="Calibri" w:cs="Calibri"/>
      <w:sz w:val="22"/>
      <w:szCs w:val="22"/>
    </w:rPr>
  </w:style>
  <w:style w:type="paragraph" w:customStyle="1" w:styleId="Declassification">
    <w:name w:val="Declassification"/>
    <w:basedOn w:val="Normal"/>
    <w:next w:val="Normal"/>
    <w:pPr>
      <w:spacing w:before="0" w:after="0"/>
    </w:pPr>
    <w:rPr>
      <w:rFonts w:eastAsia="Calibr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SecurityMarking">
    <w:name w:val="SecurityMarking"/>
    <w:basedOn w:val="Normal"/>
    <w:pPr>
      <w:spacing w:before="0" w:after="0" w:line="276" w:lineRule="auto"/>
      <w:ind w:left="5103"/>
      <w:jc w:val="left"/>
    </w:pPr>
    <w:rPr>
      <w:rFonts w:eastAsia="Calibri"/>
      <w:sz w:val="28"/>
      <w:szCs w:val="22"/>
    </w:rPr>
  </w:style>
  <w:style w:type="paragraph" w:customStyle="1" w:styleId="DateMarking">
    <w:name w:val="DateMarking"/>
    <w:basedOn w:val="Normal"/>
    <w:pPr>
      <w:spacing w:before="0" w:after="0" w:line="276" w:lineRule="auto"/>
      <w:ind w:left="5103"/>
      <w:jc w:val="left"/>
    </w:pPr>
    <w:rPr>
      <w:rFonts w:eastAsia="Calibri"/>
      <w:i/>
      <w:sz w:val="28"/>
      <w:szCs w:val="22"/>
    </w:rPr>
  </w:style>
  <w:style w:type="paragraph" w:customStyle="1" w:styleId="ReleasableTo">
    <w:name w:val="ReleasableTo"/>
    <w:basedOn w:val="Normal"/>
    <w:pPr>
      <w:spacing w:before="0" w:after="0" w:line="276" w:lineRule="auto"/>
      <w:ind w:left="5103"/>
      <w:jc w:val="left"/>
    </w:pPr>
    <w:rPr>
      <w:rFonts w:eastAsia="Calibri"/>
      <w:i/>
      <w:sz w:val="28"/>
      <w:szCs w:val="22"/>
    </w:rPr>
  </w:style>
  <w:style w:type="paragraph" w:customStyle="1" w:styleId="HeaderSensitivityRight">
    <w:name w:val="Header Sensitivity Right"/>
    <w:basedOn w:val="Normal"/>
    <w:pPr>
      <w:spacing w:before="0"/>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90357">
      <w:bodyDiv w:val="1"/>
      <w:marLeft w:val="0"/>
      <w:marRight w:val="0"/>
      <w:marTop w:val="0"/>
      <w:marBottom w:val="0"/>
      <w:divBdr>
        <w:top w:val="none" w:sz="0" w:space="0" w:color="auto"/>
        <w:left w:val="none" w:sz="0" w:space="0" w:color="auto"/>
        <w:bottom w:val="none" w:sz="0" w:space="0" w:color="auto"/>
        <w:right w:val="none" w:sz="0" w:space="0" w:color="auto"/>
      </w:divBdr>
    </w:div>
    <w:div w:id="604657675">
      <w:bodyDiv w:val="1"/>
      <w:marLeft w:val="0"/>
      <w:marRight w:val="0"/>
      <w:marTop w:val="0"/>
      <w:marBottom w:val="0"/>
      <w:divBdr>
        <w:top w:val="none" w:sz="0" w:space="0" w:color="auto"/>
        <w:left w:val="none" w:sz="0" w:space="0" w:color="auto"/>
        <w:bottom w:val="none" w:sz="0" w:space="0" w:color="auto"/>
        <w:right w:val="none" w:sz="0" w:space="0" w:color="auto"/>
      </w:divBdr>
    </w:div>
    <w:div w:id="741832189">
      <w:bodyDiv w:val="1"/>
      <w:marLeft w:val="0"/>
      <w:marRight w:val="0"/>
      <w:marTop w:val="0"/>
      <w:marBottom w:val="0"/>
      <w:divBdr>
        <w:top w:val="none" w:sz="0" w:space="0" w:color="auto"/>
        <w:left w:val="none" w:sz="0" w:space="0" w:color="auto"/>
        <w:bottom w:val="none" w:sz="0" w:space="0" w:color="auto"/>
        <w:right w:val="none" w:sz="0" w:space="0" w:color="auto"/>
      </w:divBdr>
    </w:div>
    <w:div w:id="941911499">
      <w:bodyDiv w:val="1"/>
      <w:marLeft w:val="0"/>
      <w:marRight w:val="0"/>
      <w:marTop w:val="0"/>
      <w:marBottom w:val="0"/>
      <w:divBdr>
        <w:top w:val="none" w:sz="0" w:space="0" w:color="auto"/>
        <w:left w:val="none" w:sz="0" w:space="0" w:color="auto"/>
        <w:bottom w:val="none" w:sz="0" w:space="0" w:color="auto"/>
        <w:right w:val="none" w:sz="0" w:space="0" w:color="auto"/>
      </w:divBdr>
    </w:div>
    <w:div w:id="1666660806">
      <w:bodyDiv w:val="1"/>
      <w:marLeft w:val="0"/>
      <w:marRight w:val="0"/>
      <w:marTop w:val="0"/>
      <w:marBottom w:val="0"/>
      <w:divBdr>
        <w:top w:val="none" w:sz="0" w:space="0" w:color="auto"/>
        <w:left w:val="none" w:sz="0" w:space="0" w:color="auto"/>
        <w:bottom w:val="none" w:sz="0" w:space="0" w:color="auto"/>
        <w:right w:val="none" w:sz="0" w:space="0" w:color="auto"/>
      </w:divBdr>
      <w:divsChild>
        <w:div w:id="117720648">
          <w:marLeft w:val="0"/>
          <w:marRight w:val="0"/>
          <w:marTop w:val="0"/>
          <w:marBottom w:val="0"/>
          <w:divBdr>
            <w:top w:val="none" w:sz="0" w:space="0" w:color="auto"/>
            <w:left w:val="none" w:sz="0" w:space="0" w:color="auto"/>
            <w:bottom w:val="none" w:sz="0" w:space="0" w:color="auto"/>
            <w:right w:val="none" w:sz="0" w:space="0" w:color="auto"/>
          </w:divBdr>
          <w:divsChild>
            <w:div w:id="1264916332">
              <w:marLeft w:val="0"/>
              <w:marRight w:val="0"/>
              <w:marTop w:val="0"/>
              <w:marBottom w:val="0"/>
              <w:divBdr>
                <w:top w:val="none" w:sz="0" w:space="0" w:color="auto"/>
                <w:left w:val="none" w:sz="0" w:space="0" w:color="auto"/>
                <w:bottom w:val="none" w:sz="0" w:space="0" w:color="auto"/>
                <w:right w:val="none" w:sz="0" w:space="0" w:color="auto"/>
              </w:divBdr>
              <w:divsChild>
                <w:div w:id="1444567839">
                  <w:marLeft w:val="0"/>
                  <w:marRight w:val="0"/>
                  <w:marTop w:val="0"/>
                  <w:marBottom w:val="0"/>
                  <w:divBdr>
                    <w:top w:val="none" w:sz="0" w:space="0" w:color="auto"/>
                    <w:left w:val="none" w:sz="0" w:space="0" w:color="auto"/>
                    <w:bottom w:val="none" w:sz="0" w:space="0" w:color="auto"/>
                    <w:right w:val="none" w:sz="0" w:space="0" w:color="auto"/>
                  </w:divBdr>
                  <w:divsChild>
                    <w:div w:id="1741975158">
                      <w:marLeft w:val="0"/>
                      <w:marRight w:val="0"/>
                      <w:marTop w:val="0"/>
                      <w:marBottom w:val="0"/>
                      <w:divBdr>
                        <w:top w:val="none" w:sz="0" w:space="0" w:color="auto"/>
                        <w:left w:val="none" w:sz="0" w:space="0" w:color="auto"/>
                        <w:bottom w:val="none" w:sz="0" w:space="0" w:color="auto"/>
                        <w:right w:val="none" w:sz="0" w:space="0" w:color="auto"/>
                      </w:divBdr>
                      <w:divsChild>
                        <w:div w:id="1530727975">
                          <w:marLeft w:val="0"/>
                          <w:marRight w:val="0"/>
                          <w:marTop w:val="0"/>
                          <w:marBottom w:val="0"/>
                          <w:divBdr>
                            <w:top w:val="none" w:sz="0" w:space="0" w:color="auto"/>
                            <w:left w:val="none" w:sz="0" w:space="0" w:color="auto"/>
                            <w:bottom w:val="none" w:sz="0" w:space="0" w:color="auto"/>
                            <w:right w:val="none" w:sz="0" w:space="0" w:color="auto"/>
                          </w:divBdr>
                          <w:divsChild>
                            <w:div w:id="1939678887">
                              <w:marLeft w:val="0"/>
                              <w:marRight w:val="0"/>
                              <w:marTop w:val="0"/>
                              <w:marBottom w:val="0"/>
                              <w:divBdr>
                                <w:top w:val="none" w:sz="0" w:space="0" w:color="auto"/>
                                <w:left w:val="none" w:sz="0" w:space="0" w:color="auto"/>
                                <w:bottom w:val="none" w:sz="0" w:space="0" w:color="auto"/>
                                <w:right w:val="none" w:sz="0" w:space="0" w:color="auto"/>
                              </w:divBdr>
                              <w:divsChild>
                                <w:div w:id="1345520029">
                                  <w:marLeft w:val="0"/>
                                  <w:marRight w:val="0"/>
                                  <w:marTop w:val="0"/>
                                  <w:marBottom w:val="0"/>
                                  <w:divBdr>
                                    <w:top w:val="none" w:sz="0" w:space="0" w:color="auto"/>
                                    <w:left w:val="none" w:sz="0" w:space="0" w:color="auto"/>
                                    <w:bottom w:val="none" w:sz="0" w:space="0" w:color="auto"/>
                                    <w:right w:val="none" w:sz="0" w:space="0" w:color="auto"/>
                                  </w:divBdr>
                                  <w:divsChild>
                                    <w:div w:id="1189224712">
                                      <w:marLeft w:val="60"/>
                                      <w:marRight w:val="0"/>
                                      <w:marTop w:val="0"/>
                                      <w:marBottom w:val="0"/>
                                      <w:divBdr>
                                        <w:top w:val="none" w:sz="0" w:space="0" w:color="auto"/>
                                        <w:left w:val="none" w:sz="0" w:space="0" w:color="auto"/>
                                        <w:bottom w:val="none" w:sz="0" w:space="0" w:color="auto"/>
                                        <w:right w:val="none" w:sz="0" w:space="0" w:color="auto"/>
                                      </w:divBdr>
                                      <w:divsChild>
                                        <w:div w:id="135879281">
                                          <w:marLeft w:val="0"/>
                                          <w:marRight w:val="0"/>
                                          <w:marTop w:val="0"/>
                                          <w:marBottom w:val="0"/>
                                          <w:divBdr>
                                            <w:top w:val="none" w:sz="0" w:space="0" w:color="auto"/>
                                            <w:left w:val="none" w:sz="0" w:space="0" w:color="auto"/>
                                            <w:bottom w:val="none" w:sz="0" w:space="0" w:color="auto"/>
                                            <w:right w:val="none" w:sz="0" w:space="0" w:color="auto"/>
                                          </w:divBdr>
                                          <w:divsChild>
                                            <w:div w:id="2034265776">
                                              <w:marLeft w:val="0"/>
                                              <w:marRight w:val="0"/>
                                              <w:marTop w:val="0"/>
                                              <w:marBottom w:val="120"/>
                                              <w:divBdr>
                                                <w:top w:val="single" w:sz="6" w:space="0" w:color="F5F5F5"/>
                                                <w:left w:val="single" w:sz="6" w:space="0" w:color="F5F5F5"/>
                                                <w:bottom w:val="single" w:sz="6" w:space="0" w:color="F5F5F5"/>
                                                <w:right w:val="single" w:sz="6" w:space="0" w:color="F5F5F5"/>
                                              </w:divBdr>
                                              <w:divsChild>
                                                <w:div w:id="811672421">
                                                  <w:marLeft w:val="0"/>
                                                  <w:marRight w:val="0"/>
                                                  <w:marTop w:val="0"/>
                                                  <w:marBottom w:val="0"/>
                                                  <w:divBdr>
                                                    <w:top w:val="none" w:sz="0" w:space="0" w:color="auto"/>
                                                    <w:left w:val="none" w:sz="0" w:space="0" w:color="auto"/>
                                                    <w:bottom w:val="none" w:sz="0" w:space="0" w:color="auto"/>
                                                    <w:right w:val="none" w:sz="0" w:space="0" w:color="auto"/>
                                                  </w:divBdr>
                                                  <w:divsChild>
                                                    <w:div w:id="1792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8694354">
      <w:bodyDiv w:val="1"/>
      <w:marLeft w:val="0"/>
      <w:marRight w:val="0"/>
      <w:marTop w:val="0"/>
      <w:marBottom w:val="0"/>
      <w:divBdr>
        <w:top w:val="none" w:sz="0" w:space="0" w:color="auto"/>
        <w:left w:val="none" w:sz="0" w:space="0" w:color="auto"/>
        <w:bottom w:val="none" w:sz="0" w:space="0" w:color="auto"/>
        <w:right w:val="none" w:sz="0" w:space="0" w:color="auto"/>
      </w:divBdr>
    </w:div>
    <w:div w:id="2116706898">
      <w:bodyDiv w:val="1"/>
      <w:marLeft w:val="0"/>
      <w:marRight w:val="0"/>
      <w:marTop w:val="0"/>
      <w:marBottom w:val="0"/>
      <w:divBdr>
        <w:top w:val="none" w:sz="0" w:space="0" w:color="auto"/>
        <w:left w:val="none" w:sz="0" w:space="0" w:color="auto"/>
        <w:bottom w:val="none" w:sz="0" w:space="0" w:color="auto"/>
        <w:right w:val="none" w:sz="0" w:space="0" w:color="auto"/>
      </w:divBdr>
      <w:divsChild>
        <w:div w:id="1083449593">
          <w:marLeft w:val="0"/>
          <w:marRight w:val="0"/>
          <w:marTop w:val="0"/>
          <w:marBottom w:val="0"/>
          <w:divBdr>
            <w:top w:val="none" w:sz="0" w:space="0" w:color="auto"/>
            <w:left w:val="none" w:sz="0" w:space="0" w:color="auto"/>
            <w:bottom w:val="none" w:sz="0" w:space="0" w:color="auto"/>
            <w:right w:val="none" w:sz="0" w:space="0" w:color="auto"/>
          </w:divBdr>
          <w:divsChild>
            <w:div w:id="458914890">
              <w:marLeft w:val="0"/>
              <w:marRight w:val="0"/>
              <w:marTop w:val="0"/>
              <w:marBottom w:val="0"/>
              <w:divBdr>
                <w:top w:val="none" w:sz="0" w:space="0" w:color="auto"/>
                <w:left w:val="none" w:sz="0" w:space="0" w:color="auto"/>
                <w:bottom w:val="none" w:sz="0" w:space="0" w:color="auto"/>
                <w:right w:val="none" w:sz="0" w:space="0" w:color="auto"/>
              </w:divBdr>
              <w:divsChild>
                <w:div w:id="697121770">
                  <w:marLeft w:val="0"/>
                  <w:marRight w:val="0"/>
                  <w:marTop w:val="0"/>
                  <w:marBottom w:val="0"/>
                  <w:divBdr>
                    <w:top w:val="none" w:sz="0" w:space="0" w:color="auto"/>
                    <w:left w:val="none" w:sz="0" w:space="0" w:color="auto"/>
                    <w:bottom w:val="none" w:sz="0" w:space="0" w:color="auto"/>
                    <w:right w:val="none" w:sz="0" w:space="0" w:color="auto"/>
                  </w:divBdr>
                  <w:divsChild>
                    <w:div w:id="321348569">
                      <w:marLeft w:val="0"/>
                      <w:marRight w:val="0"/>
                      <w:marTop w:val="0"/>
                      <w:marBottom w:val="0"/>
                      <w:divBdr>
                        <w:top w:val="none" w:sz="0" w:space="0" w:color="auto"/>
                        <w:left w:val="none" w:sz="0" w:space="0" w:color="auto"/>
                        <w:bottom w:val="none" w:sz="0" w:space="0" w:color="auto"/>
                        <w:right w:val="none" w:sz="0" w:space="0" w:color="auto"/>
                      </w:divBdr>
                      <w:divsChild>
                        <w:div w:id="363483849">
                          <w:marLeft w:val="0"/>
                          <w:marRight w:val="0"/>
                          <w:marTop w:val="0"/>
                          <w:marBottom w:val="0"/>
                          <w:divBdr>
                            <w:top w:val="none" w:sz="0" w:space="0" w:color="auto"/>
                            <w:left w:val="none" w:sz="0" w:space="0" w:color="auto"/>
                            <w:bottom w:val="none" w:sz="0" w:space="0" w:color="auto"/>
                            <w:right w:val="none" w:sz="0" w:space="0" w:color="auto"/>
                          </w:divBdr>
                          <w:divsChild>
                            <w:div w:id="240023557">
                              <w:marLeft w:val="0"/>
                              <w:marRight w:val="0"/>
                              <w:marTop w:val="0"/>
                              <w:marBottom w:val="0"/>
                              <w:divBdr>
                                <w:top w:val="none" w:sz="0" w:space="0" w:color="auto"/>
                                <w:left w:val="none" w:sz="0" w:space="0" w:color="auto"/>
                                <w:bottom w:val="none" w:sz="0" w:space="0" w:color="auto"/>
                                <w:right w:val="none" w:sz="0" w:space="0" w:color="auto"/>
                              </w:divBdr>
                              <w:divsChild>
                                <w:div w:id="847405046">
                                  <w:marLeft w:val="0"/>
                                  <w:marRight w:val="0"/>
                                  <w:marTop w:val="0"/>
                                  <w:marBottom w:val="0"/>
                                  <w:divBdr>
                                    <w:top w:val="none" w:sz="0" w:space="0" w:color="auto"/>
                                    <w:left w:val="none" w:sz="0" w:space="0" w:color="auto"/>
                                    <w:bottom w:val="none" w:sz="0" w:space="0" w:color="auto"/>
                                    <w:right w:val="none" w:sz="0" w:space="0" w:color="auto"/>
                                  </w:divBdr>
                                  <w:divsChild>
                                    <w:div w:id="2076313999">
                                      <w:marLeft w:val="60"/>
                                      <w:marRight w:val="0"/>
                                      <w:marTop w:val="0"/>
                                      <w:marBottom w:val="0"/>
                                      <w:divBdr>
                                        <w:top w:val="none" w:sz="0" w:space="0" w:color="auto"/>
                                        <w:left w:val="none" w:sz="0" w:space="0" w:color="auto"/>
                                        <w:bottom w:val="none" w:sz="0" w:space="0" w:color="auto"/>
                                        <w:right w:val="none" w:sz="0" w:space="0" w:color="auto"/>
                                      </w:divBdr>
                                      <w:divsChild>
                                        <w:div w:id="82847149">
                                          <w:marLeft w:val="0"/>
                                          <w:marRight w:val="0"/>
                                          <w:marTop w:val="0"/>
                                          <w:marBottom w:val="0"/>
                                          <w:divBdr>
                                            <w:top w:val="none" w:sz="0" w:space="0" w:color="auto"/>
                                            <w:left w:val="none" w:sz="0" w:space="0" w:color="auto"/>
                                            <w:bottom w:val="none" w:sz="0" w:space="0" w:color="auto"/>
                                            <w:right w:val="none" w:sz="0" w:space="0" w:color="auto"/>
                                          </w:divBdr>
                                          <w:divsChild>
                                            <w:div w:id="1102411194">
                                              <w:marLeft w:val="0"/>
                                              <w:marRight w:val="0"/>
                                              <w:marTop w:val="0"/>
                                              <w:marBottom w:val="120"/>
                                              <w:divBdr>
                                                <w:top w:val="single" w:sz="6" w:space="0" w:color="F5F5F5"/>
                                                <w:left w:val="single" w:sz="6" w:space="0" w:color="F5F5F5"/>
                                                <w:bottom w:val="single" w:sz="6" w:space="0" w:color="F5F5F5"/>
                                                <w:right w:val="single" w:sz="6" w:space="0" w:color="F5F5F5"/>
                                              </w:divBdr>
                                              <w:divsChild>
                                                <w:div w:id="1321226304">
                                                  <w:marLeft w:val="0"/>
                                                  <w:marRight w:val="0"/>
                                                  <w:marTop w:val="0"/>
                                                  <w:marBottom w:val="0"/>
                                                  <w:divBdr>
                                                    <w:top w:val="none" w:sz="0" w:space="0" w:color="auto"/>
                                                    <w:left w:val="none" w:sz="0" w:space="0" w:color="auto"/>
                                                    <w:bottom w:val="none" w:sz="0" w:space="0" w:color="auto"/>
                                                    <w:right w:val="none" w:sz="0" w:space="0" w:color="auto"/>
                                                  </w:divBdr>
                                                  <w:divsChild>
                                                    <w:div w:id="40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DA16-73A6-4683-B650-581135FB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3743</Words>
  <Characters>17297</Characters>
  <Application>Microsoft Office Word</Application>
  <DocSecurity>0</DocSecurity>
  <Lines>1081</Lines>
  <Paragraphs>1051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WES PDFC Administrator</cp:lastModifiedBy>
  <cp:revision>24</cp:revision>
  <cp:lastPrinted>2019-10-14T09:19:00Z</cp:lastPrinted>
  <dcterms:created xsi:type="dcterms:W3CDTF">2020-08-21T09:13:00Z</dcterms:created>
  <dcterms:modified xsi:type="dcterms:W3CDTF">2020-10-01T11:42:00Z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CP-005</vt:lpwstr>
  </property>
</Properties>
</file>