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AFDD6BF-E71A-44FC-BE43-CFD9B78E462E"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REPORT FROM THE COMMISSION TO THE COUNCIL AND THE EUROPEAN PARLIAMENT</w:t>
      </w:r>
    </w:p>
    <w:p>
      <w:pPr>
        <w:jc w:val="center"/>
        <w:rPr>
          <w:b/>
          <w:noProof/>
        </w:rPr>
      </w:pPr>
      <w:r>
        <w:rPr>
          <w:b/>
          <w:noProof/>
        </w:rPr>
        <w:t>on the use made in 2018 by the institutions of Council Regulations No 495/77, last amended by Regulation No 1945/2006 (on standby duty), No 858/2004 (on particularly arduous working conditions), and No 300/76, last amended by Regulation No 1873/2006 (on shift work)</w:t>
      </w:r>
    </w:p>
    <w:p>
      <w:pPr>
        <w:jc w:val="center"/>
        <w:rPr>
          <w:b/>
          <w:noProof/>
        </w:rPr>
      </w:pPr>
    </w:p>
    <w:p>
      <w:pPr>
        <w:pStyle w:val="ManualHeading1"/>
        <w:rPr>
          <w:noProof/>
        </w:rPr>
      </w:pPr>
      <w:r>
        <w:t>1.</w:t>
      </w:r>
      <w:r>
        <w:tab/>
      </w:r>
      <w:r>
        <w:rPr>
          <w:noProof/>
        </w:rPr>
        <w:t>Introduction</w:t>
      </w:r>
    </w:p>
    <w:p>
      <w:pPr>
        <w:rPr>
          <w:noProof/>
        </w:rPr>
      </w:pPr>
      <w:r>
        <w:rPr>
          <w:noProof/>
        </w:rPr>
        <w:t>The Council Regulations on standby duty (No 495/77) and on particularly arduous working conditions (No 858/2004) require the Commission to report annually to the Council on the number of officials and other servants in each category receiving the allowances referred to in the respective Regulations and the total related expenditure.</w:t>
      </w:r>
    </w:p>
    <w:p>
      <w:pPr>
        <w:rPr>
          <w:noProof/>
        </w:rPr>
      </w:pPr>
      <w:r>
        <w:rPr>
          <w:noProof/>
        </w:rPr>
        <w:t>This report is based on the latest full-year figures available at the time of its preparation and thus refers to 2018. It covers all the Institutions, and for the sake of completeness also contains the same type of information on the use of shift work (Council Regulation No 300/76).</w:t>
      </w:r>
    </w:p>
    <w:p>
      <w:pPr>
        <w:pStyle w:val="ManualHeading1"/>
        <w:rPr>
          <w:noProof/>
        </w:rPr>
      </w:pPr>
      <w:r>
        <w:t>2.</w:t>
      </w:r>
      <w:r>
        <w:tab/>
      </w:r>
      <w:r>
        <w:rPr>
          <w:noProof/>
        </w:rPr>
        <w:t>Standby duty allowance</w:t>
      </w:r>
    </w:p>
    <w:p>
      <w:pPr>
        <w:rPr>
          <w:noProof/>
        </w:rPr>
      </w:pPr>
      <w:r>
        <w:rPr>
          <w:noProof/>
        </w:rPr>
        <w:t>The legal bases for this allowance are Articles 55 and 56b of the Staff Regulations and Council Regulation No 495/77 of 8 March 1977, as amended.</w:t>
      </w:r>
    </w:p>
    <w:p>
      <w:pPr>
        <w:spacing w:after="0"/>
        <w:rPr>
          <w:noProof/>
        </w:rPr>
      </w:pPr>
      <w:r>
        <w:rPr>
          <w:noProof/>
        </w:rPr>
        <w:t xml:space="preserve">Payment of the allowance is limited to officials and other servants paid from </w:t>
      </w:r>
      <w:r>
        <w:rPr>
          <w:i/>
          <w:iCs/>
          <w:noProof/>
        </w:rPr>
        <w:t>research appropriations</w:t>
      </w:r>
      <w:r>
        <w:rPr>
          <w:noProof/>
        </w:rPr>
        <w:t xml:space="preserve"> and employed in:</w:t>
      </w:r>
    </w:p>
    <w:p>
      <w:pPr>
        <w:pStyle w:val="Tiret1"/>
        <w:numPr>
          <w:ilvl w:val="0"/>
          <w:numId w:val="24"/>
        </w:numPr>
        <w:spacing w:before="0" w:after="0"/>
        <w:ind w:left="1418"/>
        <w:rPr>
          <w:noProof/>
        </w:rPr>
      </w:pPr>
      <w:r>
        <w:rPr>
          <w:noProof/>
        </w:rPr>
        <w:t xml:space="preserve">an establishment of the Joint Research Centre (JRC), or </w:t>
      </w:r>
    </w:p>
    <w:p>
      <w:pPr>
        <w:pStyle w:val="Tiret1"/>
        <w:numPr>
          <w:ilvl w:val="0"/>
          <w:numId w:val="25"/>
        </w:numPr>
        <w:spacing w:before="0" w:after="0"/>
        <w:ind w:left="1418"/>
        <w:rPr>
          <w:noProof/>
        </w:rPr>
      </w:pPr>
      <w:r>
        <w:rPr>
          <w:noProof/>
        </w:rPr>
        <w:t>indirect action, or</w:t>
      </w:r>
    </w:p>
    <w:p>
      <w:pPr>
        <w:spacing w:after="0"/>
        <w:rPr>
          <w:noProof/>
        </w:rPr>
      </w:pPr>
      <w:r>
        <w:rPr>
          <w:noProof/>
        </w:rPr>
        <w:t xml:space="preserve">paid from </w:t>
      </w:r>
      <w:r>
        <w:rPr>
          <w:i/>
          <w:iCs/>
          <w:noProof/>
        </w:rPr>
        <w:t>operating appropriations</w:t>
      </w:r>
      <w:r>
        <w:rPr>
          <w:noProof/>
        </w:rPr>
        <w:t xml:space="preserve"> and employed in:</w:t>
      </w:r>
    </w:p>
    <w:p>
      <w:pPr>
        <w:pStyle w:val="Tiret1"/>
        <w:numPr>
          <w:ilvl w:val="0"/>
          <w:numId w:val="25"/>
        </w:numPr>
        <w:spacing w:before="0" w:after="0"/>
        <w:ind w:left="1418"/>
        <w:rPr>
          <w:noProof/>
        </w:rPr>
      </w:pPr>
      <w:r>
        <w:rPr>
          <w:noProof/>
        </w:rPr>
        <w:t>the running or supervision of technical installations,</w:t>
      </w:r>
    </w:p>
    <w:p>
      <w:pPr>
        <w:pStyle w:val="Tiret1"/>
        <w:numPr>
          <w:ilvl w:val="0"/>
          <w:numId w:val="25"/>
        </w:numPr>
        <w:spacing w:before="0" w:after="0"/>
        <w:ind w:left="1418"/>
        <w:rPr>
          <w:noProof/>
        </w:rPr>
      </w:pPr>
      <w:r>
        <w:rPr>
          <w:noProof/>
        </w:rPr>
        <w:t>a safety and security department,</w:t>
      </w:r>
    </w:p>
    <w:p>
      <w:pPr>
        <w:pStyle w:val="Tiret1"/>
        <w:numPr>
          <w:ilvl w:val="0"/>
          <w:numId w:val="25"/>
        </w:numPr>
        <w:spacing w:before="0" w:after="0"/>
        <w:ind w:left="1418"/>
        <w:rPr>
          <w:noProof/>
        </w:rPr>
      </w:pPr>
      <w:r>
        <w:rPr>
          <w:noProof/>
        </w:rPr>
        <w:t>an information and communication technology (ICT) services department,</w:t>
      </w:r>
    </w:p>
    <w:p>
      <w:pPr>
        <w:pStyle w:val="Tiret1"/>
        <w:numPr>
          <w:ilvl w:val="0"/>
          <w:numId w:val="25"/>
        </w:numPr>
        <w:spacing w:before="0" w:after="0"/>
        <w:ind w:left="1418"/>
        <w:rPr>
          <w:noProof/>
        </w:rPr>
      </w:pPr>
      <w:r>
        <w:rPr>
          <w:noProof/>
        </w:rPr>
        <w:t>a department providing support for the Common Foreign and Security Policy (CFSP)/European Security and Defence Policy (ESDP) or for emergency and crisis coordination arrangements, or</w:t>
      </w:r>
    </w:p>
    <w:p>
      <w:pPr>
        <w:pStyle w:val="Tiret1"/>
        <w:numPr>
          <w:ilvl w:val="0"/>
          <w:numId w:val="25"/>
        </w:numPr>
        <w:spacing w:before="0"/>
        <w:rPr>
          <w:noProof/>
        </w:rPr>
      </w:pPr>
      <w:r>
        <w:rPr>
          <w:noProof/>
        </w:rPr>
        <w:t>a mechanism established to provide assistance to Member States 24 hours a day, 7 days a week (MS 24/7), for emergency and crisis coordination arrangements or services where there is a confirmed necessity for the execution of tasks in order to guarantee a mechanism for providing assistance to Member States.</w:t>
      </w:r>
    </w:p>
    <w:p>
      <w:pPr>
        <w:rPr>
          <w:noProof/>
        </w:rPr>
      </w:pPr>
      <w:r>
        <w:rPr>
          <w:noProof/>
        </w:rPr>
        <w:t>The standby duty allowance is expressed in points. The number of points granted for each hour of actual standby duty is fixed as follows:</w:t>
      </w:r>
    </w:p>
    <w:p>
      <w:pPr>
        <w:pStyle w:val="Tiret1"/>
        <w:numPr>
          <w:ilvl w:val="0"/>
          <w:numId w:val="25"/>
        </w:numPr>
        <w:spacing w:before="0" w:after="0"/>
        <w:ind w:left="1418"/>
        <w:rPr>
          <w:noProof/>
        </w:rPr>
      </w:pPr>
      <w:r>
        <w:rPr>
          <w:noProof/>
        </w:rPr>
        <w:t>standby duty at home, working day: 2.15 points;</w:t>
      </w:r>
    </w:p>
    <w:p>
      <w:pPr>
        <w:pStyle w:val="Tiret1"/>
        <w:numPr>
          <w:ilvl w:val="0"/>
          <w:numId w:val="25"/>
        </w:numPr>
        <w:spacing w:before="0" w:after="0"/>
        <w:ind w:left="1418"/>
        <w:rPr>
          <w:noProof/>
        </w:rPr>
      </w:pPr>
      <w:r>
        <w:rPr>
          <w:noProof/>
        </w:rPr>
        <w:lastRenderedPageBreak/>
        <w:t>standby duty at home, weekend and public holidays: 4.3 points;</w:t>
      </w:r>
    </w:p>
    <w:p>
      <w:pPr>
        <w:pStyle w:val="Tiret1"/>
        <w:numPr>
          <w:ilvl w:val="0"/>
          <w:numId w:val="25"/>
        </w:numPr>
        <w:spacing w:before="0" w:after="0"/>
        <w:ind w:left="1418"/>
        <w:rPr>
          <w:noProof/>
        </w:rPr>
      </w:pPr>
      <w:r>
        <w:rPr>
          <w:noProof/>
        </w:rPr>
        <w:t>standby duty at the place of work, working day: 11 points;</w:t>
      </w:r>
    </w:p>
    <w:p>
      <w:pPr>
        <w:pStyle w:val="Tiret1"/>
        <w:numPr>
          <w:ilvl w:val="0"/>
          <w:numId w:val="25"/>
        </w:numPr>
        <w:spacing w:before="0" w:after="0"/>
        <w:ind w:left="1418"/>
        <w:rPr>
          <w:noProof/>
        </w:rPr>
      </w:pPr>
      <w:r>
        <w:rPr>
          <w:noProof/>
        </w:rPr>
        <w:t>standby duty at the place of work, weekend and public holidays: 22 points.</w:t>
      </w:r>
    </w:p>
    <w:p>
      <w:pPr>
        <w:rPr>
          <w:noProof/>
        </w:rPr>
      </w:pPr>
      <w:r>
        <w:rPr>
          <w:noProof/>
        </w:rPr>
        <w:t>Each point is equal to 0.032% of the basic salary of an official in grade 1, step 1 (= EUR 0.93 in 2018).</w:t>
      </w:r>
    </w:p>
    <w:p>
      <w:pPr>
        <w:spacing w:after="0"/>
        <w:rPr>
          <w:noProof/>
        </w:rPr>
      </w:pPr>
      <w:r>
        <w:rPr>
          <w:noProof/>
        </w:rPr>
        <w:t>The following figures indicate the number of allowances granted by each institution for 2018.</w:t>
      </w:r>
    </w:p>
    <w:p>
      <w:pPr>
        <w:spacing w:before="0" w:after="0"/>
        <w:rPr>
          <w:noProof/>
        </w:rPr>
      </w:pPr>
    </w:p>
    <w:p>
      <w:pPr>
        <w:pStyle w:val="ManualHeading2"/>
        <w:rPr>
          <w:noProof/>
        </w:rPr>
      </w:pPr>
      <w:r>
        <w:t>2.1.</w:t>
      </w:r>
      <w:r>
        <w:tab/>
      </w:r>
      <w:r>
        <w:rPr>
          <w:noProof/>
        </w:rPr>
        <w:t>Number of beneficiaries (officials/temporary staff and contract staff)</w:t>
      </w:r>
      <w:r>
        <w:rPr>
          <w:rStyle w:val="FootnoteReference"/>
          <w:noProof/>
        </w:rPr>
        <w:footnoteReference w:id="1"/>
      </w:r>
      <w:r>
        <w:rPr>
          <w:noProof/>
        </w:rPr>
        <w:t>:</w:t>
      </w:r>
    </w:p>
    <w:tbl>
      <w:tblPr>
        <w:tblW w:w="9560" w:type="dxa"/>
        <w:tblInd w:w="113" w:type="dxa"/>
        <w:tblLook w:val="04A0" w:firstRow="1" w:lastRow="0" w:firstColumn="1" w:lastColumn="0" w:noHBand="0" w:noVBand="1"/>
      </w:tblPr>
      <w:tblGrid>
        <w:gridCol w:w="2760"/>
        <w:gridCol w:w="820"/>
        <w:gridCol w:w="1180"/>
        <w:gridCol w:w="960"/>
        <w:gridCol w:w="960"/>
        <w:gridCol w:w="960"/>
        <w:gridCol w:w="960"/>
        <w:gridCol w:w="960"/>
      </w:tblGrid>
      <w:tr>
        <w:trPr>
          <w:trHeight w:val="313"/>
        </w:trPr>
        <w:tc>
          <w:tcPr>
            <w:tcW w:w="2760"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AD</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SC/AST</w:t>
            </w:r>
          </w:p>
        </w:tc>
        <w:tc>
          <w:tcPr>
            <w:tcW w:w="3840" w:type="dxa"/>
            <w:gridSpan w:val="4"/>
            <w:tcBorders>
              <w:top w:val="single" w:sz="4" w:space="0" w:color="auto"/>
              <w:left w:val="nil"/>
              <w:bottom w:val="single" w:sz="4" w:space="0" w:color="auto"/>
              <w:right w:val="single" w:sz="4" w:space="0" w:color="auto"/>
            </w:tcBorders>
            <w:shd w:val="clear" w:color="auto" w:fill="auto"/>
            <w:hideMark/>
          </w:tcPr>
          <w:p>
            <w:pPr>
              <w:spacing w:before="0" w:after="0"/>
              <w:jc w:val="center"/>
              <w:rPr>
                <w:rFonts w:ascii="Arial" w:hAnsi="Arial" w:cs="Arial"/>
                <w:b/>
                <w:bCs/>
                <w:noProof/>
                <w:sz w:val="20"/>
                <w:szCs w:val="20"/>
              </w:rPr>
            </w:pPr>
            <w:r>
              <w:rPr>
                <w:rFonts w:ascii="Arial" w:hAnsi="Arial"/>
                <w:b/>
                <w:bCs/>
                <w:noProof/>
                <w:sz w:val="20"/>
                <w:szCs w:val="20"/>
              </w:rPr>
              <w:t>CA</w:t>
            </w:r>
          </w:p>
        </w:tc>
        <w:tc>
          <w:tcPr>
            <w:tcW w:w="960" w:type="dxa"/>
            <w:vMerge w:val="restart"/>
            <w:tcBorders>
              <w:top w:val="single" w:sz="8" w:space="0" w:color="auto"/>
              <w:left w:val="single" w:sz="8" w:space="0" w:color="auto"/>
              <w:bottom w:val="single" w:sz="4" w:space="0" w:color="auto"/>
              <w:right w:val="single" w:sz="8" w:space="0" w:color="auto"/>
            </w:tcBorders>
            <w:shd w:val="clear" w:color="auto" w:fill="auto"/>
            <w:hideMark/>
          </w:tcPr>
          <w:p>
            <w:pPr>
              <w:spacing w:before="0" w:after="0"/>
              <w:jc w:val="center"/>
              <w:rPr>
                <w:rFonts w:ascii="Arial" w:hAnsi="Arial" w:cs="Arial"/>
                <w:b/>
                <w:bCs/>
                <w:noProof/>
                <w:color w:val="000000"/>
                <w:sz w:val="20"/>
                <w:szCs w:val="20"/>
              </w:rPr>
            </w:pPr>
            <w:r>
              <w:rPr>
                <w:rFonts w:ascii="Arial" w:hAnsi="Arial"/>
                <w:b/>
                <w:bCs/>
                <w:noProof/>
                <w:color w:val="000000"/>
                <w:sz w:val="20"/>
                <w:szCs w:val="20"/>
              </w:rPr>
              <w:t xml:space="preserve">Total </w:t>
            </w:r>
          </w:p>
        </w:tc>
      </w:tr>
      <w:tr>
        <w:trPr>
          <w:trHeight w:val="335"/>
        </w:trPr>
        <w:tc>
          <w:tcPr>
            <w:tcW w:w="276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FG I</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FG II</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 xml:space="preserve">FG III </w:t>
            </w:r>
          </w:p>
        </w:tc>
        <w:tc>
          <w:tcPr>
            <w:tcW w:w="960" w:type="dxa"/>
            <w:tcBorders>
              <w:top w:val="nil"/>
              <w:left w:val="nil"/>
              <w:bottom w:val="single" w:sz="4" w:space="0" w:color="auto"/>
              <w:right w:val="single" w:sz="4" w:space="0" w:color="auto"/>
            </w:tcBorders>
            <w:shd w:val="clear" w:color="auto" w:fill="auto"/>
            <w:hideMark/>
          </w:tcPr>
          <w:p>
            <w:pPr>
              <w:spacing w:before="0" w:after="0"/>
              <w:rPr>
                <w:rFonts w:ascii="Arial" w:hAnsi="Arial" w:cs="Arial"/>
                <w:b/>
                <w:bCs/>
                <w:noProof/>
                <w:sz w:val="20"/>
                <w:szCs w:val="20"/>
              </w:rPr>
            </w:pPr>
            <w:r>
              <w:rPr>
                <w:rFonts w:ascii="Arial" w:hAnsi="Arial"/>
                <w:b/>
                <w:bCs/>
                <w:noProof/>
                <w:sz w:val="20"/>
                <w:szCs w:val="20"/>
              </w:rPr>
              <w:t>FG IV</w:t>
            </w:r>
          </w:p>
        </w:tc>
        <w:tc>
          <w:tcPr>
            <w:tcW w:w="960" w:type="dxa"/>
            <w:vMerge/>
            <w:tcBorders>
              <w:top w:val="single" w:sz="8" w:space="0" w:color="auto"/>
              <w:left w:val="single" w:sz="8" w:space="0" w:color="auto"/>
              <w:bottom w:val="single" w:sz="4" w:space="0" w:color="auto"/>
              <w:right w:val="single" w:sz="8" w:space="0" w:color="auto"/>
            </w:tcBorders>
            <w:vAlign w:val="center"/>
            <w:hideMark/>
          </w:tcPr>
          <w:p>
            <w:pPr>
              <w:spacing w:before="0" w:after="0"/>
              <w:jc w:val="left"/>
              <w:rPr>
                <w:rFonts w:ascii="Arial" w:hAnsi="Arial" w:cs="Arial"/>
                <w:b/>
                <w:bCs/>
                <w:noProof/>
                <w:color w:val="000000"/>
                <w:sz w:val="20"/>
                <w:szCs w:val="20"/>
                <w:lang w:eastAsia="en-GB"/>
              </w:rPr>
            </w:pPr>
          </w:p>
        </w:tc>
      </w:tr>
      <w:tr>
        <w:trPr>
          <w:trHeight w:val="195"/>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Commission</w:t>
            </w:r>
          </w:p>
        </w:tc>
        <w:tc>
          <w:tcPr>
            <w:tcW w:w="82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120</w:t>
            </w:r>
          </w:p>
        </w:tc>
        <w:tc>
          <w:tcPr>
            <w:tcW w:w="118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210.33</w:t>
            </w:r>
          </w:p>
        </w:tc>
        <w:tc>
          <w:tcPr>
            <w:tcW w:w="960" w:type="dxa"/>
            <w:tcBorders>
              <w:top w:val="nil"/>
              <w:left w:val="nil"/>
              <w:bottom w:val="single" w:sz="4" w:space="0" w:color="auto"/>
              <w:right w:val="nil"/>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51.67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10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16</w:t>
            </w:r>
          </w:p>
        </w:tc>
        <w:tc>
          <w:tcPr>
            <w:tcW w:w="960" w:type="dxa"/>
            <w:tcBorders>
              <w:top w:val="nil"/>
              <w:left w:val="nil"/>
              <w:bottom w:val="single" w:sz="4" w:space="0" w:color="auto"/>
              <w:right w:val="nil"/>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8</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416</w:t>
            </w:r>
          </w:p>
        </w:tc>
      </w:tr>
      <w:tr>
        <w:trPr>
          <w:trHeight w:val="154"/>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i/>
                <w:iCs/>
                <w:noProof/>
                <w:color w:val="A5A5A5"/>
                <w:sz w:val="20"/>
                <w:szCs w:val="20"/>
              </w:rPr>
            </w:pPr>
            <w:r>
              <w:rPr>
                <w:rFonts w:ascii="Arial" w:hAnsi="Arial"/>
                <w:i/>
                <w:iCs/>
                <w:noProof/>
                <w:color w:val="A5A5A5"/>
                <w:sz w:val="20"/>
                <w:szCs w:val="20"/>
              </w:rPr>
              <w:t>- of which JRC:</w:t>
            </w:r>
          </w:p>
        </w:tc>
        <w:tc>
          <w:tcPr>
            <w:tcW w:w="82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46</w:t>
            </w:r>
          </w:p>
        </w:tc>
        <w:tc>
          <w:tcPr>
            <w:tcW w:w="118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81</w:t>
            </w:r>
          </w:p>
        </w:tc>
        <w:tc>
          <w:tcPr>
            <w:tcW w:w="960" w:type="dxa"/>
            <w:tcBorders>
              <w:top w:val="nil"/>
              <w:left w:val="nil"/>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19</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0</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w:t>
            </w:r>
          </w:p>
        </w:tc>
        <w:tc>
          <w:tcPr>
            <w:tcW w:w="960" w:type="dxa"/>
            <w:tcBorders>
              <w:top w:val="nil"/>
              <w:left w:val="single" w:sz="4" w:space="0" w:color="auto"/>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3</w:t>
            </w:r>
          </w:p>
        </w:tc>
        <w:tc>
          <w:tcPr>
            <w:tcW w:w="960" w:type="dxa"/>
            <w:tcBorders>
              <w:top w:val="nil"/>
              <w:left w:val="single" w:sz="8" w:space="0" w:color="auto"/>
              <w:bottom w:val="single" w:sz="4" w:space="0" w:color="auto"/>
              <w:right w:val="single" w:sz="8" w:space="0" w:color="auto"/>
            </w:tcBorders>
            <w:shd w:val="clear" w:color="000000" w:fill="FFFFFF"/>
            <w:hideMark/>
          </w:tcPr>
          <w:p>
            <w:pPr>
              <w:spacing w:before="0" w:after="0"/>
              <w:rPr>
                <w:rFonts w:ascii="Arial" w:hAnsi="Arial" w:cs="Arial"/>
                <w:b/>
                <w:i/>
                <w:iCs/>
                <w:noProof/>
                <w:color w:val="A5A5A5"/>
                <w:sz w:val="20"/>
                <w:szCs w:val="20"/>
              </w:rPr>
            </w:pPr>
            <w:r>
              <w:rPr>
                <w:rFonts w:ascii="Arial" w:hAnsi="Arial"/>
                <w:b/>
                <w:i/>
                <w:iCs/>
                <w:noProof/>
                <w:color w:val="A5A5A5"/>
                <w:sz w:val="20"/>
                <w:szCs w:val="20"/>
              </w:rPr>
              <w:t>150</w:t>
            </w:r>
          </w:p>
        </w:tc>
      </w:tr>
      <w:tr>
        <w:trPr>
          <w:trHeight w:val="324"/>
        </w:trPr>
        <w:tc>
          <w:tcPr>
            <w:tcW w:w="276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Council</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14</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59</w:t>
            </w:r>
          </w:p>
        </w:tc>
        <w:tc>
          <w:tcPr>
            <w:tcW w:w="96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77</w:t>
            </w:r>
          </w:p>
        </w:tc>
      </w:tr>
      <w:tr>
        <w:trPr>
          <w:trHeight w:val="324"/>
        </w:trPr>
        <w:tc>
          <w:tcPr>
            <w:tcW w:w="276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Parliament</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76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Court of Justice</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16</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27</w:t>
            </w:r>
          </w:p>
        </w:tc>
      </w:tr>
      <w:tr>
        <w:trPr>
          <w:trHeight w:val="324"/>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Court of Auditors</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17</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single" w:sz="4" w:space="0" w:color="auto"/>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17</w:t>
            </w:r>
          </w:p>
        </w:tc>
      </w:tr>
      <w:tr>
        <w:trPr>
          <w:trHeight w:val="324"/>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EESC</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2</w:t>
            </w:r>
          </w:p>
        </w:tc>
      </w:tr>
      <w:tr>
        <w:trPr>
          <w:trHeight w:val="324"/>
        </w:trPr>
        <w:tc>
          <w:tcPr>
            <w:tcW w:w="2760" w:type="dxa"/>
            <w:tcBorders>
              <w:top w:val="nil"/>
              <w:left w:val="single" w:sz="4" w:space="0" w:color="auto"/>
              <w:bottom w:val="single" w:sz="4" w:space="0" w:color="auto"/>
              <w:right w:val="single" w:sz="4" w:space="0" w:color="auto"/>
            </w:tcBorders>
            <w:shd w:val="clear" w:color="auto" w:fill="auto"/>
            <w:hideMark/>
          </w:tcPr>
          <w:p>
            <w:pPr>
              <w:spacing w:before="0" w:after="0"/>
              <w:jc w:val="left"/>
              <w:rPr>
                <w:rFonts w:ascii="Arial" w:hAnsi="Arial" w:cs="Arial"/>
                <w:noProof/>
                <w:sz w:val="20"/>
                <w:szCs w:val="20"/>
              </w:rPr>
            </w:pPr>
            <w:r>
              <w:rPr>
                <w:rFonts w:ascii="Arial" w:hAnsi="Arial"/>
                <w:noProof/>
                <w:sz w:val="20"/>
                <w:szCs w:val="20"/>
              </w:rPr>
              <w:t>CoR</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3</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4</w:t>
            </w:r>
          </w:p>
        </w:tc>
      </w:tr>
      <w:tr>
        <w:trPr>
          <w:trHeight w:val="324"/>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EDPS</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76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Ombudsman</w:t>
            </w:r>
          </w:p>
        </w:tc>
        <w:tc>
          <w:tcPr>
            <w:tcW w:w="8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8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000000" w:fill="FFFFFF"/>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760" w:type="dxa"/>
            <w:tcBorders>
              <w:top w:val="nil"/>
              <w:left w:val="single" w:sz="4" w:space="0" w:color="auto"/>
              <w:bottom w:val="single" w:sz="4" w:space="0" w:color="auto"/>
              <w:right w:val="single" w:sz="4" w:space="0" w:color="auto"/>
            </w:tcBorders>
            <w:shd w:val="clear" w:color="000000" w:fill="FFFFFF"/>
          </w:tcPr>
          <w:p>
            <w:pPr>
              <w:spacing w:before="0" w:after="0"/>
              <w:jc w:val="left"/>
              <w:rPr>
                <w:rFonts w:ascii="Arial" w:hAnsi="Arial" w:cs="Arial"/>
                <w:noProof/>
                <w:sz w:val="20"/>
                <w:szCs w:val="20"/>
              </w:rPr>
            </w:pPr>
            <w:r>
              <w:rPr>
                <w:rFonts w:ascii="Arial" w:hAnsi="Arial"/>
                <w:noProof/>
                <w:sz w:val="20"/>
                <w:szCs w:val="20"/>
              </w:rPr>
              <w:t>EEAS</w:t>
            </w:r>
          </w:p>
        </w:tc>
        <w:tc>
          <w:tcPr>
            <w:tcW w:w="82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14</w:t>
            </w:r>
          </w:p>
        </w:tc>
        <w:tc>
          <w:tcPr>
            <w:tcW w:w="118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9</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5</w:t>
            </w:r>
          </w:p>
        </w:tc>
        <w:tc>
          <w:tcPr>
            <w:tcW w:w="960"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000000" w:fill="FFFFFF"/>
          </w:tcPr>
          <w:p>
            <w:pPr>
              <w:spacing w:before="0" w:after="0"/>
              <w:jc w:val="right"/>
              <w:rPr>
                <w:rFonts w:ascii="Arial" w:hAnsi="Arial" w:cs="Arial"/>
                <w:b/>
                <w:noProof/>
                <w:color w:val="000000"/>
                <w:sz w:val="20"/>
                <w:szCs w:val="20"/>
              </w:rPr>
            </w:pPr>
            <w:r>
              <w:rPr>
                <w:rFonts w:ascii="Arial" w:hAnsi="Arial"/>
                <w:b/>
                <w:noProof/>
                <w:color w:val="000000"/>
                <w:sz w:val="20"/>
                <w:szCs w:val="20"/>
              </w:rPr>
              <w:t>29</w:t>
            </w:r>
          </w:p>
        </w:tc>
      </w:tr>
      <w:tr>
        <w:trPr>
          <w:trHeight w:val="175"/>
        </w:trPr>
        <w:tc>
          <w:tcPr>
            <w:tcW w:w="276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Total</w:t>
            </w:r>
          </w:p>
        </w:tc>
        <w:tc>
          <w:tcPr>
            <w:tcW w:w="82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158</w:t>
            </w:r>
          </w:p>
        </w:tc>
        <w:tc>
          <w:tcPr>
            <w:tcW w:w="118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299.33</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73.67</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11</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22</w:t>
            </w:r>
          </w:p>
        </w:tc>
        <w:tc>
          <w:tcPr>
            <w:tcW w:w="96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8</w:t>
            </w:r>
          </w:p>
        </w:tc>
        <w:tc>
          <w:tcPr>
            <w:tcW w:w="960" w:type="dxa"/>
            <w:tcBorders>
              <w:top w:val="nil"/>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572</w:t>
            </w:r>
          </w:p>
        </w:tc>
      </w:tr>
    </w:tbl>
    <w:p>
      <w:pPr>
        <w:pStyle w:val="Heading2"/>
        <w:numPr>
          <w:ilvl w:val="0"/>
          <w:numId w:val="0"/>
        </w:numPr>
        <w:spacing w:before="0" w:after="0"/>
        <w:rPr>
          <w:noProof/>
        </w:rPr>
      </w:pPr>
    </w:p>
    <w:p>
      <w:pPr>
        <w:rPr>
          <w:noProof/>
        </w:rPr>
      </w:pPr>
      <w:r>
        <w:rPr>
          <w:noProof/>
        </w:rPr>
        <w:br w:type="page"/>
      </w:r>
    </w:p>
    <w:p>
      <w:pPr>
        <w:pStyle w:val="ManualHeading2"/>
        <w:rPr>
          <w:noProof/>
        </w:rPr>
      </w:pPr>
      <w:r>
        <w:t>2.2.</w:t>
      </w:r>
      <w:r>
        <w:tab/>
      </w:r>
      <w:r>
        <w:rPr>
          <w:noProof/>
        </w:rPr>
        <w:t>Number of beneficiaries per type of standby duty:</w:t>
      </w:r>
    </w:p>
    <w:tbl>
      <w:tblPr>
        <w:tblW w:w="8880" w:type="dxa"/>
        <w:tblInd w:w="113" w:type="dxa"/>
        <w:tblLook w:val="04A0" w:firstRow="1" w:lastRow="0" w:firstColumn="1" w:lastColumn="0" w:noHBand="0" w:noVBand="1"/>
      </w:tblPr>
      <w:tblGrid>
        <w:gridCol w:w="2840"/>
        <w:gridCol w:w="1120"/>
        <w:gridCol w:w="1720"/>
        <w:gridCol w:w="2080"/>
        <w:gridCol w:w="1120"/>
      </w:tblGrid>
      <w:tr>
        <w:trPr>
          <w:trHeight w:val="540"/>
        </w:trPr>
        <w:tc>
          <w:tcPr>
            <w:tcW w:w="2840" w:type="dxa"/>
            <w:tcBorders>
              <w:top w:val="single" w:sz="4" w:space="0" w:color="auto"/>
              <w:left w:val="single" w:sz="4" w:space="0" w:color="auto"/>
              <w:bottom w:val="single" w:sz="4" w:space="0" w:color="auto"/>
              <w:right w:val="single" w:sz="4" w:space="0" w:color="auto"/>
            </w:tcBorders>
            <w:shd w:val="clear" w:color="auto" w:fill="auto"/>
            <w:vAlign w:val="bottom"/>
            <w:hideMark/>
          </w:tcPr>
          <w:p>
            <w:pPr>
              <w:spacing w:before="0" w:after="0"/>
              <w:jc w:val="left"/>
              <w:rPr>
                <w:rFonts w:ascii="Arial" w:hAnsi="Arial" w:cs="Arial"/>
                <w:b/>
                <w:bCs/>
                <w:noProof/>
                <w:sz w:val="20"/>
                <w:szCs w:val="20"/>
              </w:rPr>
            </w:pPr>
            <w:r>
              <w:rPr>
                <w:rFonts w:ascii="Arial" w:hAnsi="Arial"/>
                <w:b/>
                <w:bCs/>
                <w:noProof/>
                <w:sz w:val="20"/>
                <w:szCs w:val="20"/>
              </w:rPr>
              <w:t xml:space="preserve">1- Number of beneficiaries </w:t>
            </w:r>
            <w:r>
              <w:rPr>
                <w:noProof/>
              </w:rPr>
              <w:br/>
            </w:r>
            <w:r>
              <w:rPr>
                <w:rFonts w:ascii="Arial" w:hAnsi="Arial"/>
                <w:b/>
                <w:bCs/>
                <w:noProof/>
                <w:sz w:val="20"/>
                <w:szCs w:val="20"/>
              </w:rPr>
              <w:t>per type of standby duty</w:t>
            </w:r>
          </w:p>
        </w:tc>
        <w:tc>
          <w:tcPr>
            <w:tcW w:w="6040" w:type="dxa"/>
            <w:gridSpan w:val="4"/>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2018</w:t>
            </w:r>
          </w:p>
        </w:tc>
      </w:tr>
      <w:tr>
        <w:trPr>
          <w:trHeight w:val="528"/>
        </w:trPr>
        <w:tc>
          <w:tcPr>
            <w:tcW w:w="2840" w:type="dxa"/>
            <w:vMerge w:val="restart"/>
            <w:tcBorders>
              <w:top w:val="nil"/>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At home</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pPr>
              <w:spacing w:before="0" w:after="0"/>
              <w:jc w:val="center"/>
              <w:rPr>
                <w:rFonts w:ascii="Arial" w:hAnsi="Arial" w:cs="Arial"/>
                <w:b/>
                <w:bCs/>
                <w:noProof/>
                <w:sz w:val="20"/>
                <w:szCs w:val="20"/>
              </w:rPr>
            </w:pPr>
            <w:r>
              <w:rPr>
                <w:rFonts w:ascii="Arial" w:hAnsi="Arial"/>
                <w:b/>
                <w:bCs/>
                <w:noProof/>
                <w:sz w:val="20"/>
                <w:szCs w:val="20"/>
              </w:rPr>
              <w:t>At home and at the place of work</w:t>
            </w:r>
          </w:p>
        </w:tc>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At the place of work</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center"/>
              <w:rPr>
                <w:rFonts w:ascii="Arial" w:hAnsi="Arial" w:cs="Arial"/>
                <w:b/>
                <w:bCs/>
                <w:noProof/>
                <w:sz w:val="20"/>
                <w:szCs w:val="20"/>
              </w:rPr>
            </w:pPr>
            <w:r>
              <w:rPr>
                <w:rFonts w:ascii="Arial" w:hAnsi="Arial"/>
                <w:b/>
                <w:bCs/>
                <w:noProof/>
                <w:sz w:val="20"/>
                <w:szCs w:val="20"/>
              </w:rPr>
              <w:t xml:space="preserve">Total </w:t>
            </w:r>
          </w:p>
        </w:tc>
      </w:tr>
      <w:tr>
        <w:trPr>
          <w:trHeight w:val="230"/>
        </w:trPr>
        <w:tc>
          <w:tcPr>
            <w:tcW w:w="2840" w:type="dxa"/>
            <w:vMerge/>
            <w:tcBorders>
              <w:top w:val="nil"/>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2080" w:type="dxa"/>
            <w:vMerge/>
            <w:tcBorders>
              <w:top w:val="single" w:sz="4" w:space="0" w:color="auto"/>
              <w:left w:val="single" w:sz="4" w:space="0" w:color="auto"/>
              <w:bottom w:val="single" w:sz="4" w:space="0" w:color="000000"/>
              <w:right w:val="single" w:sz="4" w:space="0" w:color="auto"/>
            </w:tcBorders>
            <w:vAlign w:val="center"/>
            <w:hideMark/>
          </w:tcPr>
          <w:p>
            <w:pPr>
              <w:spacing w:before="0" w:after="0"/>
              <w:jc w:val="left"/>
              <w:rPr>
                <w:rFonts w:ascii="Arial" w:hAnsi="Arial" w:cs="Arial"/>
                <w:b/>
                <w:bCs/>
                <w:noProof/>
                <w:sz w:val="20"/>
                <w:szCs w:val="20"/>
                <w:lang w:eastAsia="en-GB"/>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rFonts w:ascii="Arial" w:hAnsi="Arial" w:cs="Arial"/>
                <w:b/>
                <w:bCs/>
                <w:noProof/>
                <w:sz w:val="20"/>
                <w:szCs w:val="20"/>
                <w:lang w:eastAsia="en-GB"/>
              </w:rPr>
            </w:pP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Commission</w:t>
            </w:r>
          </w:p>
        </w:tc>
        <w:tc>
          <w:tcPr>
            <w:tcW w:w="112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399</w:t>
            </w:r>
          </w:p>
        </w:tc>
        <w:tc>
          <w:tcPr>
            <w:tcW w:w="1720" w:type="dxa"/>
            <w:tcBorders>
              <w:top w:val="nil"/>
              <w:left w:val="nil"/>
              <w:bottom w:val="single" w:sz="4" w:space="0" w:color="auto"/>
              <w:right w:val="single" w:sz="4" w:space="0" w:color="auto"/>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6</w:t>
            </w:r>
          </w:p>
        </w:tc>
        <w:tc>
          <w:tcPr>
            <w:tcW w:w="2080" w:type="dxa"/>
            <w:tcBorders>
              <w:top w:val="nil"/>
              <w:left w:val="nil"/>
              <w:bottom w:val="single" w:sz="4" w:space="0" w:color="auto"/>
              <w:right w:val="nil"/>
            </w:tcBorders>
            <w:shd w:val="clear" w:color="000000" w:fill="FFFFFF"/>
            <w:hideMark/>
          </w:tcPr>
          <w:p>
            <w:pPr>
              <w:spacing w:before="0" w:after="0"/>
              <w:jc w:val="right"/>
              <w:rPr>
                <w:rFonts w:ascii="Arial" w:hAnsi="Arial" w:cs="Arial"/>
                <w:noProof/>
                <w:sz w:val="20"/>
                <w:szCs w:val="20"/>
              </w:rPr>
            </w:pPr>
            <w:r>
              <w:rPr>
                <w:rFonts w:ascii="Arial" w:hAnsi="Arial"/>
                <w:noProof/>
                <w:sz w:val="20"/>
                <w:szCs w:val="20"/>
              </w:rPr>
              <w:t>11</w:t>
            </w:r>
          </w:p>
        </w:tc>
        <w:tc>
          <w:tcPr>
            <w:tcW w:w="1120" w:type="dxa"/>
            <w:tcBorders>
              <w:top w:val="single" w:sz="8" w:space="0" w:color="auto"/>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416</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 of which JRC:</w:t>
            </w:r>
          </w:p>
        </w:tc>
        <w:tc>
          <w:tcPr>
            <w:tcW w:w="112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134</w:t>
            </w:r>
          </w:p>
        </w:tc>
        <w:tc>
          <w:tcPr>
            <w:tcW w:w="1720" w:type="dxa"/>
            <w:tcBorders>
              <w:top w:val="nil"/>
              <w:left w:val="nil"/>
              <w:bottom w:val="single" w:sz="4" w:space="0" w:color="auto"/>
              <w:right w:val="single" w:sz="4" w:space="0" w:color="auto"/>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6</w:t>
            </w:r>
          </w:p>
        </w:tc>
        <w:tc>
          <w:tcPr>
            <w:tcW w:w="2080" w:type="dxa"/>
            <w:tcBorders>
              <w:top w:val="nil"/>
              <w:left w:val="nil"/>
              <w:bottom w:val="single" w:sz="4" w:space="0" w:color="auto"/>
              <w:right w:val="nil"/>
            </w:tcBorders>
            <w:shd w:val="clear" w:color="000000" w:fill="FFFFFF"/>
            <w:hideMark/>
          </w:tcPr>
          <w:p>
            <w:pPr>
              <w:spacing w:before="0" w:after="0"/>
              <w:rPr>
                <w:rFonts w:ascii="Arial" w:hAnsi="Arial" w:cs="Arial"/>
                <w:i/>
                <w:iCs/>
                <w:noProof/>
                <w:color w:val="A5A5A5"/>
                <w:sz w:val="20"/>
                <w:szCs w:val="20"/>
              </w:rPr>
            </w:pPr>
            <w:r>
              <w:rPr>
                <w:rFonts w:ascii="Arial" w:hAnsi="Arial"/>
                <w:i/>
                <w:iCs/>
                <w:noProof/>
                <w:color w:val="A5A5A5"/>
                <w:sz w:val="20"/>
                <w:szCs w:val="20"/>
              </w:rPr>
              <w:t>10</w:t>
            </w:r>
          </w:p>
        </w:tc>
        <w:tc>
          <w:tcPr>
            <w:tcW w:w="1120" w:type="dxa"/>
            <w:tcBorders>
              <w:top w:val="single" w:sz="4" w:space="0" w:color="auto"/>
              <w:left w:val="single" w:sz="8" w:space="0" w:color="auto"/>
              <w:bottom w:val="single" w:sz="4" w:space="0" w:color="auto"/>
              <w:right w:val="single" w:sz="8" w:space="0" w:color="auto"/>
            </w:tcBorders>
            <w:shd w:val="clear" w:color="000000" w:fill="FFFFFF"/>
            <w:hideMark/>
          </w:tcPr>
          <w:p>
            <w:pPr>
              <w:spacing w:before="0" w:after="0"/>
              <w:rPr>
                <w:rFonts w:ascii="Arial" w:hAnsi="Arial" w:cs="Arial"/>
                <w:i/>
                <w:iCs/>
                <w:noProof/>
                <w:sz w:val="20"/>
                <w:szCs w:val="20"/>
              </w:rPr>
            </w:pPr>
            <w:r>
              <w:rPr>
                <w:rFonts w:ascii="Arial" w:hAnsi="Arial"/>
                <w:i/>
                <w:iCs/>
                <w:noProof/>
                <w:sz w:val="20"/>
                <w:szCs w:val="20"/>
              </w:rPr>
              <w:t>150</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Council</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77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77</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Parliament</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Court of Justice</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27</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jc w:val="left"/>
              <w:rPr>
                <w:rFonts w:ascii="Arial" w:hAnsi="Arial" w:cs="Arial"/>
                <w:noProof/>
                <w:sz w:val="20"/>
                <w:szCs w:val="20"/>
              </w:rPr>
            </w:pPr>
            <w:r>
              <w:rPr>
                <w:rFonts w:ascii="Arial" w:hAnsi="Arial"/>
                <w:noProof/>
                <w:sz w:val="20"/>
                <w:szCs w:val="20"/>
              </w:rPr>
              <w:t>Court of Auditors</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17</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17</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EESC</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2</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2</w:t>
            </w:r>
          </w:p>
        </w:tc>
      </w:tr>
      <w:tr>
        <w:trPr>
          <w:trHeight w:val="324"/>
        </w:trPr>
        <w:tc>
          <w:tcPr>
            <w:tcW w:w="2840" w:type="dxa"/>
            <w:tcBorders>
              <w:top w:val="nil"/>
              <w:left w:val="single" w:sz="4" w:space="0" w:color="auto"/>
              <w:bottom w:val="single" w:sz="4" w:space="0" w:color="auto"/>
              <w:right w:val="single" w:sz="4" w:space="0" w:color="auto"/>
            </w:tcBorders>
            <w:shd w:val="clear" w:color="auto" w:fill="auto"/>
            <w:hideMark/>
          </w:tcPr>
          <w:p>
            <w:pPr>
              <w:spacing w:before="0" w:after="0"/>
              <w:rPr>
                <w:rFonts w:ascii="Arial" w:hAnsi="Arial" w:cs="Arial"/>
                <w:noProof/>
                <w:sz w:val="20"/>
                <w:szCs w:val="20"/>
              </w:rPr>
            </w:pPr>
            <w:r>
              <w:rPr>
                <w:rFonts w:ascii="Arial" w:hAnsi="Arial"/>
                <w:noProof/>
                <w:sz w:val="20"/>
                <w:szCs w:val="20"/>
              </w:rPr>
              <w:t>CoR</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4</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4</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EDPS</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hideMark/>
          </w:tcPr>
          <w:p>
            <w:pPr>
              <w:spacing w:before="0" w:after="0"/>
              <w:rPr>
                <w:rFonts w:ascii="Arial" w:hAnsi="Arial" w:cs="Arial"/>
                <w:noProof/>
                <w:sz w:val="20"/>
                <w:szCs w:val="20"/>
              </w:rPr>
            </w:pPr>
            <w:r>
              <w:rPr>
                <w:rFonts w:ascii="Arial" w:hAnsi="Arial"/>
                <w:noProof/>
                <w:sz w:val="20"/>
                <w:szCs w:val="20"/>
              </w:rPr>
              <w:t>Ombudsman</w:t>
            </w:r>
          </w:p>
        </w:tc>
        <w:tc>
          <w:tcPr>
            <w:tcW w:w="11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720" w:type="dxa"/>
            <w:tcBorders>
              <w:top w:val="nil"/>
              <w:left w:val="nil"/>
              <w:bottom w:val="single" w:sz="4" w:space="0" w:color="auto"/>
              <w:right w:val="single" w:sz="4" w:space="0" w:color="auto"/>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nil"/>
              <w:left w:val="nil"/>
              <w:bottom w:val="single" w:sz="4" w:space="0" w:color="auto"/>
              <w:right w:val="nil"/>
            </w:tcBorders>
            <w:shd w:val="clear" w:color="auto" w:fill="auto"/>
            <w:hideMark/>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hideMark/>
          </w:tcPr>
          <w:p>
            <w:pPr>
              <w:spacing w:before="0" w:after="0"/>
              <w:jc w:val="right"/>
              <w:rPr>
                <w:rFonts w:ascii="Arial" w:hAnsi="Arial" w:cs="Arial"/>
                <w:b/>
                <w:noProof/>
                <w:color w:val="000000"/>
                <w:sz w:val="20"/>
                <w:szCs w:val="20"/>
              </w:rPr>
            </w:pPr>
            <w:r>
              <w:rPr>
                <w:rFonts w:ascii="Arial" w:hAnsi="Arial"/>
                <w:b/>
                <w:noProof/>
                <w:color w:val="000000"/>
                <w:sz w:val="20"/>
                <w:szCs w:val="20"/>
              </w:rPr>
              <w:t>0</w:t>
            </w:r>
          </w:p>
        </w:tc>
      </w:tr>
      <w:tr>
        <w:trPr>
          <w:trHeight w:val="324"/>
        </w:trPr>
        <w:tc>
          <w:tcPr>
            <w:tcW w:w="2840" w:type="dxa"/>
            <w:tcBorders>
              <w:top w:val="nil"/>
              <w:left w:val="single" w:sz="4" w:space="0" w:color="auto"/>
              <w:bottom w:val="single" w:sz="4" w:space="0" w:color="auto"/>
              <w:right w:val="single" w:sz="4" w:space="0" w:color="auto"/>
            </w:tcBorders>
            <w:shd w:val="clear" w:color="000000" w:fill="FFFFFF"/>
          </w:tcPr>
          <w:p>
            <w:pPr>
              <w:spacing w:before="0" w:after="0"/>
              <w:rPr>
                <w:rFonts w:ascii="Arial" w:hAnsi="Arial" w:cs="Arial"/>
                <w:noProof/>
                <w:sz w:val="20"/>
                <w:szCs w:val="20"/>
              </w:rPr>
            </w:pPr>
            <w:r>
              <w:rPr>
                <w:rFonts w:ascii="Arial" w:hAnsi="Arial"/>
                <w:noProof/>
                <w:sz w:val="20"/>
                <w:szCs w:val="20"/>
              </w:rPr>
              <w:t>EEAS</w:t>
            </w:r>
          </w:p>
        </w:tc>
        <w:tc>
          <w:tcPr>
            <w:tcW w:w="1120" w:type="dxa"/>
            <w:tcBorders>
              <w:top w:val="single" w:sz="4" w:space="0" w:color="auto"/>
              <w:left w:val="nil"/>
              <w:bottom w:val="single" w:sz="8"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29</w:t>
            </w:r>
          </w:p>
        </w:tc>
        <w:tc>
          <w:tcPr>
            <w:tcW w:w="1720" w:type="dxa"/>
            <w:tcBorders>
              <w:top w:val="single" w:sz="4" w:space="0" w:color="auto"/>
              <w:left w:val="nil"/>
              <w:bottom w:val="single" w:sz="8"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2080" w:type="dxa"/>
            <w:tcBorders>
              <w:top w:val="single" w:sz="4" w:space="0" w:color="auto"/>
              <w:left w:val="nil"/>
              <w:bottom w:val="single" w:sz="8" w:space="0" w:color="auto"/>
              <w:right w:val="nil"/>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120" w:type="dxa"/>
            <w:tcBorders>
              <w:top w:val="nil"/>
              <w:left w:val="single" w:sz="8" w:space="0" w:color="auto"/>
              <w:bottom w:val="single" w:sz="8" w:space="0" w:color="auto"/>
              <w:right w:val="single" w:sz="8" w:space="0" w:color="auto"/>
            </w:tcBorders>
            <w:shd w:val="clear" w:color="auto" w:fill="auto"/>
          </w:tcPr>
          <w:p>
            <w:pPr>
              <w:spacing w:before="0" w:after="0"/>
              <w:jc w:val="right"/>
              <w:rPr>
                <w:rFonts w:ascii="Arial" w:hAnsi="Arial" w:cs="Arial"/>
                <w:b/>
                <w:noProof/>
                <w:color w:val="000000"/>
                <w:sz w:val="20"/>
                <w:szCs w:val="20"/>
              </w:rPr>
            </w:pPr>
            <w:r>
              <w:rPr>
                <w:rFonts w:ascii="Arial" w:hAnsi="Arial"/>
                <w:b/>
                <w:noProof/>
                <w:color w:val="000000"/>
                <w:sz w:val="20"/>
                <w:szCs w:val="20"/>
              </w:rPr>
              <w:t>29</w:t>
            </w:r>
          </w:p>
        </w:tc>
      </w:tr>
      <w:tr>
        <w:trPr>
          <w:trHeight w:val="336"/>
        </w:trPr>
        <w:tc>
          <w:tcPr>
            <w:tcW w:w="2840" w:type="dxa"/>
            <w:tcBorders>
              <w:top w:val="nil"/>
              <w:left w:val="single" w:sz="8" w:space="0" w:color="auto"/>
              <w:bottom w:val="single" w:sz="8" w:space="0" w:color="auto"/>
              <w:right w:val="single" w:sz="8" w:space="0" w:color="auto"/>
            </w:tcBorders>
            <w:shd w:val="clear" w:color="auto" w:fill="auto"/>
            <w:hideMark/>
          </w:tcPr>
          <w:p>
            <w:pPr>
              <w:spacing w:before="0" w:after="0"/>
              <w:rPr>
                <w:rFonts w:ascii="Arial" w:hAnsi="Arial" w:cs="Arial"/>
                <w:b/>
                <w:bCs/>
                <w:noProof/>
                <w:color w:val="000000"/>
                <w:sz w:val="20"/>
                <w:szCs w:val="20"/>
              </w:rPr>
            </w:pPr>
            <w:r>
              <w:rPr>
                <w:rFonts w:ascii="Arial" w:hAnsi="Arial"/>
                <w:b/>
                <w:bCs/>
                <w:noProof/>
                <w:color w:val="000000"/>
                <w:sz w:val="20"/>
                <w:szCs w:val="20"/>
              </w:rPr>
              <w:t>Total</w:t>
            </w:r>
          </w:p>
        </w:tc>
        <w:tc>
          <w:tcPr>
            <w:tcW w:w="112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555</w:t>
            </w:r>
          </w:p>
        </w:tc>
        <w:tc>
          <w:tcPr>
            <w:tcW w:w="172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6</w:t>
            </w:r>
          </w:p>
        </w:tc>
        <w:tc>
          <w:tcPr>
            <w:tcW w:w="2080" w:type="dxa"/>
            <w:tcBorders>
              <w:top w:val="single" w:sz="8" w:space="0" w:color="auto"/>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11</w:t>
            </w:r>
          </w:p>
        </w:tc>
        <w:tc>
          <w:tcPr>
            <w:tcW w:w="1120" w:type="dxa"/>
            <w:tcBorders>
              <w:top w:val="nil"/>
              <w:left w:val="nil"/>
              <w:bottom w:val="single" w:sz="8" w:space="0" w:color="auto"/>
              <w:right w:val="single" w:sz="8" w:space="0" w:color="auto"/>
            </w:tcBorders>
            <w:shd w:val="clear" w:color="auto" w:fill="auto"/>
            <w:hideMark/>
          </w:tcPr>
          <w:p>
            <w:pPr>
              <w:spacing w:before="0" w:after="0"/>
              <w:jc w:val="right"/>
              <w:rPr>
                <w:rFonts w:ascii="Arial" w:hAnsi="Arial" w:cs="Arial"/>
                <w:b/>
                <w:bCs/>
                <w:noProof/>
                <w:color w:val="000000"/>
                <w:sz w:val="20"/>
                <w:szCs w:val="20"/>
              </w:rPr>
            </w:pPr>
            <w:r>
              <w:rPr>
                <w:rFonts w:ascii="Arial" w:hAnsi="Arial"/>
                <w:b/>
                <w:bCs/>
                <w:noProof/>
                <w:color w:val="000000"/>
                <w:sz w:val="20"/>
                <w:szCs w:val="20"/>
              </w:rPr>
              <w:t>572</w:t>
            </w:r>
          </w:p>
        </w:tc>
      </w:tr>
    </w:tbl>
    <w:p>
      <w:pPr>
        <w:pStyle w:val="ManualHeading2"/>
        <w:rPr>
          <w:noProof/>
        </w:rPr>
      </w:pPr>
      <w:r>
        <w:t>2.3.</w:t>
      </w:r>
      <w:r>
        <w:tab/>
      </w:r>
      <w:r>
        <w:rPr>
          <w:noProof/>
        </w:rPr>
        <w:t>Number of beneficiaries per type of employment:</w:t>
      </w:r>
    </w:p>
    <w:tbl>
      <w:tblPr>
        <w:tblW w:w="9975" w:type="dxa"/>
        <w:tblInd w:w="93" w:type="dxa"/>
        <w:tblLayout w:type="fixed"/>
        <w:tblLook w:val="0000" w:firstRow="0" w:lastRow="0" w:firstColumn="0" w:lastColumn="0" w:noHBand="0" w:noVBand="0"/>
      </w:tblPr>
      <w:tblGrid>
        <w:gridCol w:w="2036"/>
        <w:gridCol w:w="824"/>
        <w:gridCol w:w="1216"/>
        <w:gridCol w:w="1484"/>
        <w:gridCol w:w="1056"/>
        <w:gridCol w:w="718"/>
        <w:gridCol w:w="961"/>
        <w:gridCol w:w="840"/>
        <w:gridCol w:w="840"/>
      </w:tblGrid>
      <w:tr>
        <w:trPr>
          <w:trHeight w:val="645"/>
        </w:trPr>
        <w:tc>
          <w:tcPr>
            <w:tcW w:w="2036" w:type="dxa"/>
            <w:tcBorders>
              <w:top w:val="single" w:sz="4" w:space="0" w:color="auto"/>
              <w:left w:val="single" w:sz="4" w:space="0" w:color="auto"/>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82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JRC</w:t>
            </w:r>
          </w:p>
        </w:tc>
        <w:tc>
          <w:tcPr>
            <w:tcW w:w="121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Indirect action</w:t>
            </w:r>
          </w:p>
        </w:tc>
        <w:tc>
          <w:tcPr>
            <w:tcW w:w="1484"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Technical installations</w:t>
            </w:r>
          </w:p>
        </w:tc>
        <w:tc>
          <w:tcPr>
            <w:tcW w:w="1056"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Security</w:t>
            </w:r>
          </w:p>
        </w:tc>
        <w:tc>
          <w:tcPr>
            <w:tcW w:w="718"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ICT</w:t>
            </w:r>
          </w:p>
        </w:tc>
        <w:tc>
          <w:tcPr>
            <w:tcW w:w="961"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CFSP/</w:t>
            </w:r>
            <w:r>
              <w:rPr>
                <w:noProof/>
              </w:rPr>
              <w:t xml:space="preserve"> </w:t>
            </w:r>
            <w:r>
              <w:rPr>
                <w:noProof/>
              </w:rPr>
              <w:br/>
            </w:r>
            <w:r>
              <w:rPr>
                <w:rFonts w:ascii="Arial" w:hAnsi="Arial"/>
                <w:b/>
                <w:bCs/>
                <w:noProof/>
                <w:sz w:val="20"/>
                <w:szCs w:val="20"/>
              </w:rPr>
              <w:t>ESDP</w:t>
            </w:r>
          </w:p>
        </w:tc>
        <w:tc>
          <w:tcPr>
            <w:tcW w:w="840" w:type="dxa"/>
            <w:tcBorders>
              <w:top w:val="single" w:sz="8" w:space="0" w:color="auto"/>
              <w:left w:val="nil"/>
              <w:bottom w:val="single" w:sz="4"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MS 24/7</w:t>
            </w:r>
          </w:p>
        </w:tc>
        <w:tc>
          <w:tcPr>
            <w:tcW w:w="84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Total</w:t>
            </w:r>
          </w:p>
        </w:tc>
      </w:tr>
      <w:tr>
        <w:trPr>
          <w:trHeight w:val="274"/>
        </w:trPr>
        <w:tc>
          <w:tcPr>
            <w:tcW w:w="2036" w:type="dxa"/>
            <w:tcBorders>
              <w:top w:val="single" w:sz="4" w:space="0" w:color="auto"/>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Commission</w:t>
            </w:r>
          </w:p>
        </w:tc>
        <w:tc>
          <w:tcPr>
            <w:tcW w:w="82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150</w:t>
            </w:r>
          </w:p>
        </w:tc>
        <w:tc>
          <w:tcPr>
            <w:tcW w:w="121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2</w:t>
            </w:r>
          </w:p>
        </w:tc>
        <w:tc>
          <w:tcPr>
            <w:tcW w:w="1484"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70</w:t>
            </w:r>
          </w:p>
        </w:tc>
        <w:tc>
          <w:tcPr>
            <w:tcW w:w="1056"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41</w:t>
            </w:r>
          </w:p>
        </w:tc>
        <w:tc>
          <w:tcPr>
            <w:tcW w:w="718"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103</w:t>
            </w:r>
          </w:p>
        </w:tc>
        <w:tc>
          <w:tcPr>
            <w:tcW w:w="961" w:type="dxa"/>
            <w:tcBorders>
              <w:top w:val="single" w:sz="4" w:space="0" w:color="auto"/>
              <w:left w:val="nil"/>
              <w:bottom w:val="single" w:sz="4" w:space="0" w:color="auto"/>
              <w:right w:val="single" w:sz="4"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jc w:val="right"/>
              <w:rPr>
                <w:rFonts w:ascii="Arial" w:hAnsi="Arial" w:cs="Arial"/>
                <w:noProof/>
                <w:sz w:val="20"/>
                <w:szCs w:val="20"/>
              </w:rPr>
            </w:pPr>
            <w:r>
              <w:rPr>
                <w:rFonts w:ascii="Arial" w:hAnsi="Arial"/>
                <w:noProof/>
                <w:sz w:val="20"/>
                <w:szCs w:val="20"/>
              </w:rPr>
              <w:t>50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jc w:val="right"/>
              <w:rPr>
                <w:rFonts w:ascii="Arial" w:hAnsi="Arial" w:cs="Arial"/>
                <w:b/>
                <w:noProof/>
                <w:sz w:val="20"/>
                <w:szCs w:val="20"/>
              </w:rPr>
            </w:pPr>
            <w:r>
              <w:rPr>
                <w:rFonts w:ascii="Arial" w:hAnsi="Arial"/>
                <w:b/>
                <w:noProof/>
                <w:sz w:val="20"/>
                <w:szCs w:val="20"/>
              </w:rPr>
              <w:t>416</w:t>
            </w:r>
          </w:p>
        </w:tc>
      </w:tr>
      <w:tr>
        <w:trPr>
          <w:trHeight w:val="214"/>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82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150</w:t>
            </w:r>
          </w:p>
        </w:tc>
        <w:tc>
          <w:tcPr>
            <w:tcW w:w="121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484"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1056"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718"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961" w:type="dxa"/>
            <w:tcBorders>
              <w:top w:val="nil"/>
              <w:left w:val="nil"/>
              <w:bottom w:val="single" w:sz="4" w:space="0" w:color="auto"/>
              <w:right w:val="single" w:sz="4"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4" w:space="0" w:color="auto"/>
              <w:left w:val="single" w:sz="4" w:space="0" w:color="auto"/>
              <w:bottom w:val="single" w:sz="4" w:space="0" w:color="auto"/>
              <w:right w:val="single" w:sz="8" w:space="0" w:color="auto"/>
            </w:tcBorders>
            <w:shd w:val="clear" w:color="auto" w:fill="FFFFFF"/>
          </w:tcPr>
          <w:p>
            <w:pPr>
              <w:spacing w:before="0" w:after="0"/>
              <w:rPr>
                <w:rFonts w:ascii="Arial" w:hAnsi="Arial" w:cs="Arial"/>
                <w:i/>
                <w:iCs/>
                <w:noProof/>
                <w:color w:val="808080"/>
                <w:sz w:val="20"/>
                <w:szCs w:val="20"/>
              </w:rPr>
            </w:pPr>
            <w:r>
              <w:rPr>
                <w:rFonts w:ascii="Arial" w:hAnsi="Arial"/>
                <w:i/>
                <w:iCs/>
                <w:noProof/>
                <w:color w:val="808080"/>
                <w:sz w:val="20"/>
                <w:szCs w:val="20"/>
              </w:rPr>
              <w:t>0</w:t>
            </w:r>
          </w:p>
        </w:tc>
        <w:tc>
          <w:tcPr>
            <w:tcW w:w="840" w:type="dxa"/>
            <w:tcBorders>
              <w:top w:val="single" w:sz="8" w:space="0" w:color="auto"/>
              <w:left w:val="single" w:sz="8" w:space="0" w:color="auto"/>
              <w:bottom w:val="single" w:sz="8" w:space="0" w:color="auto"/>
              <w:right w:val="single" w:sz="8" w:space="0" w:color="auto"/>
            </w:tcBorders>
            <w:shd w:val="clear" w:color="auto" w:fill="FFFFFF"/>
          </w:tcPr>
          <w:p>
            <w:pPr>
              <w:spacing w:before="0" w:after="0"/>
              <w:rPr>
                <w:rFonts w:ascii="Arial" w:hAnsi="Arial" w:cs="Arial"/>
                <w:b/>
                <w:i/>
                <w:iCs/>
                <w:noProof/>
                <w:color w:val="808080"/>
                <w:sz w:val="20"/>
                <w:szCs w:val="20"/>
              </w:rPr>
            </w:pPr>
            <w:r>
              <w:rPr>
                <w:rFonts w:ascii="Arial" w:hAnsi="Arial"/>
                <w:b/>
                <w:i/>
                <w:iCs/>
                <w:noProof/>
                <w:color w:val="808080"/>
                <w:sz w:val="20"/>
                <w:szCs w:val="20"/>
              </w:rPr>
              <w:t>150</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Council</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21</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44</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12</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77</w:t>
            </w:r>
          </w:p>
        </w:tc>
      </w:tr>
      <w:tr>
        <w:trPr>
          <w:trHeight w:val="202"/>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Parliament</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78"/>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Court of Justice</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15</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27</w:t>
            </w:r>
          </w:p>
        </w:tc>
      </w:tr>
      <w:tr>
        <w:trPr>
          <w:trHeight w:val="166"/>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Court of Auditors</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17</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17</w:t>
            </w:r>
          </w:p>
        </w:tc>
      </w:tr>
      <w:tr>
        <w:trPr>
          <w:trHeight w:val="166"/>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EESC</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2</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154"/>
        </w:trPr>
        <w:tc>
          <w:tcPr>
            <w:tcW w:w="2036" w:type="dxa"/>
            <w:tcBorders>
              <w:top w:val="nil"/>
              <w:left w:val="single" w:sz="4" w:space="0" w:color="auto"/>
              <w:bottom w:val="single" w:sz="4" w:space="0" w:color="auto"/>
              <w:right w:val="single" w:sz="4" w:space="0" w:color="auto"/>
            </w:tcBorders>
            <w:shd w:val="clear" w:color="auto" w:fill="auto"/>
          </w:tcPr>
          <w:p>
            <w:pPr>
              <w:spacing w:before="0" w:after="0"/>
              <w:jc w:val="left"/>
              <w:rPr>
                <w:rFonts w:ascii="Arial" w:hAnsi="Arial" w:cs="Arial"/>
                <w:noProof/>
                <w:sz w:val="20"/>
                <w:szCs w:val="20"/>
              </w:rPr>
            </w:pPr>
            <w:r>
              <w:rPr>
                <w:rFonts w:ascii="Arial" w:hAnsi="Arial"/>
                <w:noProof/>
                <w:sz w:val="20"/>
                <w:szCs w:val="20"/>
              </w:rPr>
              <w:t>CoR</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142"/>
        </w:trPr>
        <w:tc>
          <w:tcPr>
            <w:tcW w:w="2036" w:type="dxa"/>
            <w:tcBorders>
              <w:top w:val="nil"/>
              <w:left w:val="single" w:sz="4" w:space="0" w:color="auto"/>
              <w:bottom w:val="single" w:sz="4"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EDPS</w:t>
            </w:r>
          </w:p>
        </w:tc>
        <w:tc>
          <w:tcPr>
            <w:tcW w:w="82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nil"/>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42"/>
        </w:trPr>
        <w:tc>
          <w:tcPr>
            <w:tcW w:w="2036" w:type="dxa"/>
            <w:tcBorders>
              <w:top w:val="single" w:sz="4" w:space="0" w:color="auto"/>
              <w:left w:val="single" w:sz="4" w:space="0" w:color="auto"/>
              <w:bottom w:val="nil"/>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Ombudsman</w:t>
            </w:r>
          </w:p>
        </w:tc>
        <w:tc>
          <w:tcPr>
            <w:tcW w:w="82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718"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961" w:type="dxa"/>
            <w:tcBorders>
              <w:top w:val="single" w:sz="4" w:space="0" w:color="auto"/>
              <w:left w:val="nil"/>
              <w:bottom w:val="single" w:sz="4"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4"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118"/>
        </w:trPr>
        <w:tc>
          <w:tcPr>
            <w:tcW w:w="2036" w:type="dxa"/>
            <w:tcBorders>
              <w:top w:val="single" w:sz="4" w:space="0" w:color="auto"/>
              <w:left w:val="single" w:sz="4" w:space="0" w:color="auto"/>
              <w:bottom w:val="single" w:sz="2" w:space="0" w:color="auto"/>
              <w:right w:val="single" w:sz="4" w:space="0" w:color="auto"/>
            </w:tcBorders>
            <w:shd w:val="clear" w:color="auto" w:fill="FFFFFF"/>
          </w:tcPr>
          <w:p>
            <w:pPr>
              <w:spacing w:before="0" w:after="0"/>
              <w:jc w:val="left"/>
              <w:rPr>
                <w:rFonts w:ascii="Arial" w:hAnsi="Arial" w:cs="Arial"/>
                <w:noProof/>
                <w:sz w:val="20"/>
                <w:szCs w:val="20"/>
              </w:rPr>
            </w:pPr>
            <w:r>
              <w:rPr>
                <w:rFonts w:ascii="Arial" w:hAnsi="Arial"/>
                <w:noProof/>
                <w:sz w:val="20"/>
                <w:szCs w:val="20"/>
              </w:rPr>
              <w:t>EEAS</w:t>
            </w:r>
          </w:p>
        </w:tc>
        <w:tc>
          <w:tcPr>
            <w:tcW w:w="82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21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484"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0</w:t>
            </w:r>
          </w:p>
        </w:tc>
        <w:tc>
          <w:tcPr>
            <w:tcW w:w="1056"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4</w:t>
            </w:r>
          </w:p>
        </w:tc>
        <w:tc>
          <w:tcPr>
            <w:tcW w:w="718"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9</w:t>
            </w:r>
          </w:p>
        </w:tc>
        <w:tc>
          <w:tcPr>
            <w:tcW w:w="961" w:type="dxa"/>
            <w:tcBorders>
              <w:top w:val="single" w:sz="4" w:space="0" w:color="auto"/>
              <w:left w:val="nil"/>
              <w:bottom w:val="single" w:sz="2" w:space="0" w:color="auto"/>
              <w:right w:val="single" w:sz="4" w:space="0" w:color="auto"/>
            </w:tcBorders>
            <w:shd w:val="clear" w:color="auto" w:fill="auto"/>
          </w:tcPr>
          <w:p>
            <w:pPr>
              <w:spacing w:before="0" w:after="0"/>
              <w:jc w:val="right"/>
              <w:rPr>
                <w:rFonts w:ascii="Arial" w:hAnsi="Arial" w:cs="Arial"/>
                <w:noProof/>
                <w:sz w:val="20"/>
                <w:szCs w:val="20"/>
              </w:rPr>
            </w:pPr>
            <w:r>
              <w:rPr>
                <w:rFonts w:ascii="Arial" w:hAnsi="Arial"/>
                <w:noProof/>
                <w:sz w:val="20"/>
                <w:szCs w:val="20"/>
              </w:rPr>
              <w:t>16</w:t>
            </w:r>
          </w:p>
        </w:tc>
        <w:tc>
          <w:tcPr>
            <w:tcW w:w="840" w:type="dxa"/>
            <w:tcBorders>
              <w:top w:val="single" w:sz="4" w:space="0" w:color="auto"/>
              <w:left w:val="single" w:sz="4"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29</w:t>
            </w:r>
          </w:p>
        </w:tc>
      </w:tr>
      <w:tr>
        <w:trPr>
          <w:trHeight w:val="330"/>
        </w:trPr>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iCs/>
                <w:noProof/>
                <w:sz w:val="20"/>
                <w:szCs w:val="20"/>
              </w:rPr>
            </w:pPr>
            <w:r>
              <w:rPr>
                <w:rFonts w:ascii="Arial" w:hAnsi="Arial"/>
                <w:b/>
                <w:bCs/>
                <w:iCs/>
                <w:noProof/>
                <w:sz w:val="20"/>
                <w:szCs w:val="20"/>
              </w:rPr>
              <w:t>Total</w:t>
            </w:r>
          </w:p>
        </w:tc>
        <w:tc>
          <w:tcPr>
            <w:tcW w:w="82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150</w:t>
            </w:r>
          </w:p>
        </w:tc>
        <w:tc>
          <w:tcPr>
            <w:tcW w:w="121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2</w:t>
            </w:r>
          </w:p>
        </w:tc>
        <w:tc>
          <w:tcPr>
            <w:tcW w:w="1484"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85</w:t>
            </w:r>
          </w:p>
        </w:tc>
        <w:tc>
          <w:tcPr>
            <w:tcW w:w="1056"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101</w:t>
            </w:r>
          </w:p>
        </w:tc>
        <w:tc>
          <w:tcPr>
            <w:tcW w:w="718"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156</w:t>
            </w:r>
          </w:p>
        </w:tc>
        <w:tc>
          <w:tcPr>
            <w:tcW w:w="961"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28</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50</w:t>
            </w:r>
          </w:p>
        </w:tc>
        <w:tc>
          <w:tcPr>
            <w:tcW w:w="84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572</w:t>
            </w:r>
          </w:p>
        </w:tc>
      </w:tr>
    </w:tbl>
    <w:p>
      <w:pPr>
        <w:pStyle w:val="Heading1"/>
        <w:numPr>
          <w:ilvl w:val="0"/>
          <w:numId w:val="0"/>
        </w:numPr>
        <w:spacing w:before="0" w:after="0"/>
        <w:ind w:left="850"/>
        <w:rPr>
          <w:bCs w:val="0"/>
          <w:smallCaps w:val="0"/>
          <w:noProof/>
          <w:szCs w:val="24"/>
        </w:rPr>
      </w:pPr>
    </w:p>
    <w:p>
      <w:pPr>
        <w:pStyle w:val="ManualHeading1"/>
        <w:rPr>
          <w:noProof/>
        </w:rPr>
      </w:pPr>
      <w:r>
        <w:t>3.</w:t>
      </w:r>
      <w:r>
        <w:tab/>
      </w:r>
      <w:r>
        <w:rPr>
          <w:noProof/>
        </w:rPr>
        <w:t>Allowance for particularly arduous working conditions</w:t>
      </w:r>
    </w:p>
    <w:p>
      <w:pPr>
        <w:rPr>
          <w:noProof/>
        </w:rPr>
      </w:pPr>
      <w:r>
        <w:rPr>
          <w:noProof/>
        </w:rPr>
        <w:t>The legal bases for this allowance are Article 56c of the Staff Regulations and Council Regulation No 858/2004 of 29 April 2004, as amended.</w:t>
      </w:r>
      <w:r>
        <w:rPr>
          <w:noProof/>
        </w:rPr>
        <w:tab/>
        <w:t>The allowance is granted to compensate for particularly arduous working conditions relating to (1) ‘personal protection’ (wearing of uncomfortable special clothing, partial protection), (2) ‘place of work’ (confined, noisy and dangerous places) and (3) ‘nature of work’ (for example, handling of corrosive substances, work with explosives)</w:t>
      </w:r>
      <w:r>
        <w:rPr>
          <w:rStyle w:val="FootnoteReference"/>
          <w:noProof/>
        </w:rPr>
        <w:footnoteReference w:id="2"/>
      </w:r>
      <w:r>
        <w:rPr>
          <w:noProof/>
        </w:rPr>
        <w:t xml:space="preserve">. </w:t>
      </w:r>
    </w:p>
    <w:p>
      <w:pPr>
        <w:rPr>
          <w:noProof/>
        </w:rPr>
      </w:pPr>
      <w:r>
        <w:rPr>
          <w:noProof/>
        </w:rPr>
        <w:t>The allowance is expressed in terms of points granted for each hour of actual work. The number of points varies between 2, e.g. for an average sound level exceeding 85 decibels, and an upper limit of 50 in the case of an official wearing a self-contained fire protection suit. Each point is equal to 0.032% of the basic salary of an official in grade 1, step 1 (= EUR 0.93 in 2018).</w:t>
      </w:r>
    </w:p>
    <w:p>
      <w:pPr>
        <w:spacing w:before="0" w:after="0"/>
        <w:rPr>
          <w:noProof/>
        </w:rPr>
      </w:pPr>
    </w:p>
    <w:p>
      <w:pPr>
        <w:pStyle w:val="ManualHeading2"/>
        <w:rPr>
          <w:noProof/>
        </w:rPr>
      </w:pPr>
      <w:r>
        <w:t>3.1.</w:t>
      </w:r>
      <w:r>
        <w:tab/>
      </w:r>
      <w:r>
        <w:rPr>
          <w:noProof/>
        </w:rPr>
        <w:t>Number of beneficiaries (officials/temporary staff and contract staff):</w:t>
      </w:r>
    </w:p>
    <w:tbl>
      <w:tblPr>
        <w:tblW w:w="9100" w:type="dxa"/>
        <w:tblInd w:w="93" w:type="dxa"/>
        <w:tblLook w:val="0000" w:firstRow="0" w:lastRow="0" w:firstColumn="0" w:lastColumn="0" w:noHBand="0" w:noVBand="0"/>
      </w:tblPr>
      <w:tblGrid>
        <w:gridCol w:w="2295"/>
        <w:gridCol w:w="960"/>
        <w:gridCol w:w="960"/>
        <w:gridCol w:w="840"/>
        <w:gridCol w:w="960"/>
        <w:gridCol w:w="1080"/>
        <w:gridCol w:w="1045"/>
        <w:gridCol w:w="960"/>
      </w:tblGrid>
      <w:tr>
        <w:trPr>
          <w:trHeight w:val="330"/>
        </w:trPr>
        <w:tc>
          <w:tcPr>
            <w:tcW w:w="229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SC/AST</w:t>
            </w:r>
          </w:p>
        </w:tc>
        <w:tc>
          <w:tcPr>
            <w:tcW w:w="3925" w:type="dxa"/>
            <w:gridSpan w:val="4"/>
            <w:tcBorders>
              <w:top w:val="single" w:sz="8" w:space="0" w:color="auto"/>
              <w:left w:val="nil"/>
              <w:bottom w:val="single" w:sz="4"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Contract staff</w:t>
            </w:r>
          </w:p>
        </w:tc>
        <w:tc>
          <w:tcPr>
            <w:tcW w:w="9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Total</w:t>
            </w:r>
          </w:p>
        </w:tc>
      </w:tr>
      <w:tr>
        <w:trPr>
          <w:trHeight w:val="330"/>
        </w:trPr>
        <w:tc>
          <w:tcPr>
            <w:tcW w:w="2295"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960" w:type="dxa"/>
            <w:vMerge/>
            <w:tcBorders>
              <w:top w:val="single" w:sz="8" w:space="0" w:color="auto"/>
              <w:left w:val="single" w:sz="4" w:space="0" w:color="auto"/>
              <w:bottom w:val="single" w:sz="8" w:space="0" w:color="000000"/>
              <w:right w:val="single" w:sz="4" w:space="0" w:color="auto"/>
            </w:tcBorders>
            <w:vAlign w:val="center"/>
          </w:tcPr>
          <w:p>
            <w:pPr>
              <w:spacing w:before="0" w:after="0"/>
              <w:jc w:val="left"/>
              <w:rPr>
                <w:rFonts w:ascii="Arial" w:hAnsi="Arial" w:cs="Arial"/>
                <w:b/>
                <w:bCs/>
                <w:noProof/>
                <w:sz w:val="20"/>
                <w:szCs w:val="20"/>
              </w:rPr>
            </w:pPr>
          </w:p>
        </w:tc>
        <w:tc>
          <w:tcPr>
            <w:tcW w:w="84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FG I</w:t>
            </w:r>
          </w:p>
        </w:tc>
        <w:tc>
          <w:tcPr>
            <w:tcW w:w="96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FG II</w:t>
            </w:r>
          </w:p>
        </w:tc>
        <w:tc>
          <w:tcPr>
            <w:tcW w:w="1080"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FG III</w:t>
            </w:r>
          </w:p>
        </w:tc>
        <w:tc>
          <w:tcPr>
            <w:tcW w:w="1045" w:type="dxa"/>
            <w:tcBorders>
              <w:top w:val="nil"/>
              <w:left w:val="nil"/>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FG IV</w:t>
            </w:r>
          </w:p>
        </w:tc>
        <w:tc>
          <w:tcPr>
            <w:tcW w:w="960"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Commission</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31</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145</w:t>
            </w:r>
          </w:p>
        </w:tc>
        <w:tc>
          <w:tcPr>
            <w:tcW w:w="84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24</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104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209</w:t>
            </w:r>
          </w:p>
        </w:tc>
      </w:tr>
      <w:tr>
        <w:trPr>
          <w:trHeight w:val="315"/>
        </w:trPr>
        <w:tc>
          <w:tcPr>
            <w:tcW w:w="2295" w:type="dxa"/>
            <w:tcBorders>
              <w:top w:val="nil"/>
              <w:left w:val="single" w:sz="8" w:space="0" w:color="auto"/>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31</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139</w:t>
            </w:r>
          </w:p>
        </w:tc>
        <w:tc>
          <w:tcPr>
            <w:tcW w:w="84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16</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45" w:type="dxa"/>
            <w:tcBorders>
              <w:top w:val="nil"/>
              <w:left w:val="nil"/>
              <w:bottom w:val="single" w:sz="4" w:space="0" w:color="auto"/>
              <w:right w:val="single" w:sz="8" w:space="0" w:color="auto"/>
            </w:tcBorders>
            <w:shd w:val="clear" w:color="auto" w:fill="auto"/>
            <w:noWrap/>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195</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Council</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6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Parliament</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5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Justice</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Auditors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42"/>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EESC</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214"/>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CoR</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EDPS</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106"/>
        </w:trPr>
        <w:tc>
          <w:tcPr>
            <w:tcW w:w="2295" w:type="dxa"/>
            <w:tcBorders>
              <w:top w:val="nil"/>
              <w:left w:val="single" w:sz="8"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Ombudsman</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nil"/>
              <w:left w:val="nil"/>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4" w:space="0" w:color="auto"/>
              <w:right w:val="single" w:sz="8"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94"/>
        </w:trPr>
        <w:tc>
          <w:tcPr>
            <w:tcW w:w="2295"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EEAS</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84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1045"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4" w:space="0" w:color="auto"/>
              <w:left w:val="single" w:sz="4" w:space="0" w:color="auto"/>
              <w:bottom w:val="single" w:sz="2" w:space="0" w:color="auto"/>
              <w:right w:val="single" w:sz="4" w:space="0" w:color="auto"/>
            </w:tcBorders>
            <w:shd w:val="clear" w:color="auto" w:fill="auto"/>
            <w:noWrap/>
          </w:tcPr>
          <w:p>
            <w:pPr>
              <w:spacing w:before="0" w:after="0"/>
              <w:jc w:val="right"/>
              <w:rPr>
                <w:rFonts w:ascii="Arial" w:hAnsi="Arial" w:cs="Arial"/>
                <w:noProof/>
                <w:sz w:val="20"/>
                <w:szCs w:val="20"/>
              </w:rPr>
            </w:pPr>
            <w:r>
              <w:rPr>
                <w:rFonts w:ascii="Arial" w:hAnsi="Arial"/>
                <w:noProof/>
                <w:sz w:val="20"/>
                <w:szCs w:val="20"/>
              </w:rPr>
              <w:t>0</w:t>
            </w:r>
          </w:p>
        </w:tc>
      </w:tr>
      <w:tr>
        <w:trPr>
          <w:trHeight w:val="324"/>
        </w:trPr>
        <w:tc>
          <w:tcPr>
            <w:tcW w:w="229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Total</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31</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145</w:t>
            </w:r>
          </w:p>
        </w:tc>
        <w:tc>
          <w:tcPr>
            <w:tcW w:w="84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24</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1</w:t>
            </w:r>
          </w:p>
        </w:tc>
        <w:tc>
          <w:tcPr>
            <w:tcW w:w="104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7</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noProof/>
                <w:sz w:val="20"/>
                <w:szCs w:val="20"/>
              </w:rPr>
            </w:pPr>
            <w:r>
              <w:rPr>
                <w:rFonts w:ascii="Arial" w:hAnsi="Arial"/>
                <w:b/>
                <w:noProof/>
                <w:sz w:val="20"/>
                <w:szCs w:val="20"/>
              </w:rPr>
              <w:t>209</w:t>
            </w:r>
          </w:p>
        </w:tc>
      </w:tr>
    </w:tbl>
    <w:p>
      <w:pPr>
        <w:pStyle w:val="ManualHeading1"/>
        <w:rPr>
          <w:noProof/>
        </w:rPr>
      </w:pPr>
      <w:r>
        <w:t>4.</w:t>
      </w:r>
      <w:r>
        <w:tab/>
      </w:r>
      <w:r>
        <w:rPr>
          <w:noProof/>
        </w:rPr>
        <w:t>Shift work allowance</w:t>
      </w:r>
    </w:p>
    <w:p>
      <w:pPr>
        <w:spacing w:after="0"/>
        <w:rPr>
          <w:noProof/>
        </w:rPr>
      </w:pPr>
      <w:r>
        <w:rPr>
          <w:noProof/>
        </w:rPr>
        <w:t>The legal bases for this allowance are Article 56a of the Staff Regulations and Council Regulation No 300/76 of 9 February 1976, as amended.</w:t>
      </w:r>
    </w:p>
    <w:p>
      <w:pPr>
        <w:spacing w:after="0"/>
        <w:rPr>
          <w:noProof/>
        </w:rPr>
      </w:pPr>
      <w:r>
        <w:rPr>
          <w:noProof/>
        </w:rPr>
        <w:t xml:space="preserve">Payment of the allowance is limited to officials and other servants paid from </w:t>
      </w:r>
      <w:r>
        <w:rPr>
          <w:i/>
          <w:iCs/>
          <w:noProof/>
        </w:rPr>
        <w:t>research appropriations</w:t>
      </w:r>
      <w:r>
        <w:rPr>
          <w:noProof/>
        </w:rPr>
        <w:t xml:space="preserve"> and employed in:</w:t>
      </w:r>
    </w:p>
    <w:p>
      <w:pPr>
        <w:pStyle w:val="Tiret1"/>
        <w:numPr>
          <w:ilvl w:val="0"/>
          <w:numId w:val="25"/>
        </w:numPr>
        <w:tabs>
          <w:tab w:val="clear" w:pos="1417"/>
          <w:tab w:val="num" w:pos="720"/>
        </w:tabs>
        <w:spacing w:before="0" w:after="0"/>
        <w:ind w:left="720" w:hanging="360"/>
        <w:rPr>
          <w:noProof/>
        </w:rPr>
      </w:pPr>
      <w:r>
        <w:rPr>
          <w:noProof/>
        </w:rPr>
        <w:t>an establishment of the Joint Research Centre (JRC), or</w:t>
      </w:r>
    </w:p>
    <w:p>
      <w:pPr>
        <w:pStyle w:val="Tiret1"/>
        <w:numPr>
          <w:ilvl w:val="0"/>
          <w:numId w:val="25"/>
        </w:numPr>
        <w:tabs>
          <w:tab w:val="clear" w:pos="1417"/>
          <w:tab w:val="num" w:pos="720"/>
        </w:tabs>
        <w:spacing w:before="0" w:after="0"/>
        <w:ind w:left="720" w:hanging="360"/>
        <w:rPr>
          <w:noProof/>
        </w:rPr>
      </w:pPr>
      <w:r>
        <w:rPr>
          <w:noProof/>
        </w:rPr>
        <w:t xml:space="preserve">indirect action, or </w:t>
      </w:r>
    </w:p>
    <w:p>
      <w:pPr>
        <w:spacing w:before="0" w:after="0"/>
        <w:rPr>
          <w:noProof/>
        </w:rPr>
      </w:pPr>
      <w:r>
        <w:rPr>
          <w:noProof/>
        </w:rPr>
        <w:t xml:space="preserve">paid from </w:t>
      </w:r>
      <w:r>
        <w:rPr>
          <w:i/>
          <w:iCs/>
          <w:noProof/>
        </w:rPr>
        <w:t>operating appropriations</w:t>
      </w:r>
      <w:r>
        <w:rPr>
          <w:noProof/>
        </w:rPr>
        <w:t xml:space="preserve"> and employed in:</w:t>
      </w:r>
    </w:p>
    <w:p>
      <w:pPr>
        <w:pStyle w:val="Tiret1"/>
        <w:numPr>
          <w:ilvl w:val="0"/>
          <w:numId w:val="25"/>
        </w:numPr>
        <w:tabs>
          <w:tab w:val="clear" w:pos="1417"/>
          <w:tab w:val="num" w:pos="720"/>
        </w:tabs>
        <w:spacing w:before="0" w:after="0"/>
        <w:ind w:left="720" w:hanging="360"/>
        <w:rPr>
          <w:noProof/>
        </w:rPr>
      </w:pPr>
      <w:r>
        <w:rPr>
          <w:noProof/>
        </w:rPr>
        <w:t>an information and communication technology (ICT) services department,</w:t>
      </w:r>
    </w:p>
    <w:p>
      <w:pPr>
        <w:pStyle w:val="Tiret1"/>
        <w:numPr>
          <w:ilvl w:val="0"/>
          <w:numId w:val="25"/>
        </w:numPr>
        <w:tabs>
          <w:tab w:val="clear" w:pos="1417"/>
          <w:tab w:val="num" w:pos="720"/>
        </w:tabs>
        <w:spacing w:before="0" w:after="0"/>
        <w:ind w:left="720" w:hanging="360"/>
        <w:rPr>
          <w:noProof/>
        </w:rPr>
      </w:pPr>
      <w:r>
        <w:rPr>
          <w:noProof/>
        </w:rPr>
        <w:t>a safety and security department,</w:t>
      </w:r>
    </w:p>
    <w:p>
      <w:pPr>
        <w:pStyle w:val="Tiret1"/>
        <w:numPr>
          <w:ilvl w:val="0"/>
          <w:numId w:val="25"/>
        </w:numPr>
        <w:tabs>
          <w:tab w:val="clear" w:pos="1417"/>
          <w:tab w:val="num" w:pos="720"/>
        </w:tabs>
        <w:spacing w:before="0" w:after="0"/>
        <w:ind w:left="720" w:hanging="360"/>
        <w:rPr>
          <w:noProof/>
        </w:rPr>
      </w:pPr>
      <w:r>
        <w:rPr>
          <w:noProof/>
        </w:rPr>
        <w:t>a telephone switchboard/information service or on a reception desk,</w:t>
      </w:r>
    </w:p>
    <w:p>
      <w:pPr>
        <w:pStyle w:val="Tiret1"/>
        <w:numPr>
          <w:ilvl w:val="0"/>
          <w:numId w:val="25"/>
        </w:numPr>
        <w:tabs>
          <w:tab w:val="clear" w:pos="1417"/>
          <w:tab w:val="num" w:pos="720"/>
        </w:tabs>
        <w:spacing w:before="0" w:after="0"/>
        <w:ind w:left="720" w:hanging="360"/>
        <w:rPr>
          <w:noProof/>
        </w:rPr>
      </w:pPr>
      <w:r>
        <w:rPr>
          <w:noProof/>
        </w:rPr>
        <w:t>a department providing support for the Common Foreign and Security Policy (CFSP)/European Security and Defence Policy (ESDP) or for emergency and crisis coordination arrangements,</w:t>
      </w:r>
    </w:p>
    <w:p>
      <w:pPr>
        <w:pStyle w:val="Tiret1"/>
        <w:numPr>
          <w:ilvl w:val="0"/>
          <w:numId w:val="25"/>
        </w:numPr>
        <w:tabs>
          <w:tab w:val="clear" w:pos="1417"/>
          <w:tab w:val="num" w:pos="720"/>
        </w:tabs>
        <w:spacing w:before="0" w:after="0"/>
        <w:ind w:left="720" w:hanging="360"/>
        <w:rPr>
          <w:noProof/>
        </w:rPr>
      </w:pPr>
      <w:r>
        <w:rPr>
          <w:noProof/>
        </w:rPr>
        <w:t>a service providing support for emergency or crisis coordination arrangements, or</w:t>
      </w:r>
    </w:p>
    <w:p>
      <w:pPr>
        <w:pStyle w:val="Tiret1"/>
        <w:numPr>
          <w:ilvl w:val="0"/>
          <w:numId w:val="25"/>
        </w:numPr>
        <w:tabs>
          <w:tab w:val="clear" w:pos="1417"/>
          <w:tab w:val="num" w:pos="720"/>
        </w:tabs>
        <w:spacing w:before="0" w:after="0"/>
        <w:ind w:left="720" w:hanging="360"/>
        <w:rPr>
          <w:noProof/>
        </w:rPr>
      </w:pPr>
      <w:r>
        <w:rPr>
          <w:noProof/>
        </w:rPr>
        <w:t>the running or supervision of technical installations.</w:t>
      </w:r>
    </w:p>
    <w:p>
      <w:pPr>
        <w:spacing w:after="0"/>
        <w:rPr>
          <w:noProof/>
        </w:rPr>
      </w:pPr>
      <w:r>
        <w:rPr>
          <w:noProof/>
        </w:rPr>
        <w:t>The following figures indicate the number of allowances granted by each institution for 2018.</w:t>
      </w:r>
    </w:p>
    <w:p>
      <w:pPr>
        <w:spacing w:before="0" w:after="0"/>
        <w:rPr>
          <w:noProof/>
        </w:rPr>
      </w:pPr>
      <w:r>
        <w:rPr>
          <w:noProof/>
        </w:rPr>
        <w:br w:type="page"/>
      </w:r>
    </w:p>
    <w:p>
      <w:pPr>
        <w:pStyle w:val="ManualHeading2"/>
        <w:rPr>
          <w:noProof/>
        </w:rPr>
      </w:pPr>
      <w:r>
        <w:t>4.1.</w:t>
      </w:r>
      <w:r>
        <w:tab/>
      </w:r>
      <w:r>
        <w:rPr>
          <w:noProof/>
        </w:rPr>
        <w:t>Number of beneficiaries (officials/temporary staff and contract staff):</w:t>
      </w:r>
    </w:p>
    <w:tbl>
      <w:tblPr>
        <w:tblW w:w="9314" w:type="dxa"/>
        <w:tblInd w:w="93" w:type="dxa"/>
        <w:tblLook w:val="0000" w:firstRow="0" w:lastRow="0" w:firstColumn="0" w:lastColumn="0" w:noHBand="0" w:noVBand="0"/>
      </w:tblPr>
      <w:tblGrid>
        <w:gridCol w:w="2658"/>
        <w:gridCol w:w="954"/>
        <w:gridCol w:w="954"/>
        <w:gridCol w:w="954"/>
        <w:gridCol w:w="954"/>
        <w:gridCol w:w="954"/>
        <w:gridCol w:w="835"/>
        <w:gridCol w:w="1051"/>
      </w:tblGrid>
      <w:tr>
        <w:trPr>
          <w:trHeight w:val="255"/>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AD</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SC/AST</w:t>
            </w:r>
          </w:p>
        </w:tc>
        <w:tc>
          <w:tcPr>
            <w:tcW w:w="3697" w:type="dxa"/>
            <w:gridSpan w:val="4"/>
            <w:tcBorders>
              <w:top w:val="single" w:sz="4" w:space="0" w:color="auto"/>
              <w:left w:val="nil"/>
              <w:bottom w:val="single" w:sz="4" w:space="0" w:color="auto"/>
              <w:right w:val="single" w:sz="8" w:space="0" w:color="auto"/>
            </w:tcBorders>
            <w:shd w:val="clear" w:color="auto" w:fill="auto"/>
            <w:noWrap/>
            <w:vAlign w:val="bottom"/>
          </w:tcPr>
          <w:p>
            <w:pPr>
              <w:spacing w:before="0" w:after="0"/>
              <w:jc w:val="center"/>
              <w:rPr>
                <w:rFonts w:ascii="Arial" w:hAnsi="Arial" w:cs="Arial"/>
                <w:b/>
                <w:bCs/>
                <w:noProof/>
                <w:sz w:val="20"/>
                <w:szCs w:val="20"/>
              </w:rPr>
            </w:pPr>
            <w:r>
              <w:rPr>
                <w:rFonts w:ascii="Arial" w:hAnsi="Arial"/>
                <w:b/>
                <w:bCs/>
                <w:noProof/>
                <w:sz w:val="20"/>
                <w:szCs w:val="20"/>
              </w:rPr>
              <w:t>CA</w:t>
            </w:r>
          </w:p>
        </w:tc>
        <w:tc>
          <w:tcPr>
            <w:tcW w:w="105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 xml:space="preserve">Total </w:t>
            </w:r>
          </w:p>
        </w:tc>
      </w:tr>
      <w:tr>
        <w:trPr>
          <w:trHeight w:val="466"/>
        </w:trPr>
        <w:tc>
          <w:tcPr>
            <w:tcW w:w="2658"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vMerge/>
            <w:tcBorders>
              <w:top w:val="single" w:sz="4" w:space="0" w:color="auto"/>
              <w:left w:val="single" w:sz="4" w:space="0" w:color="auto"/>
              <w:bottom w:val="single" w:sz="4" w:space="0" w:color="000000"/>
              <w:right w:val="single" w:sz="4" w:space="0" w:color="auto"/>
            </w:tcBorders>
            <w:vAlign w:val="center"/>
          </w:tcPr>
          <w:p>
            <w:pPr>
              <w:spacing w:before="0" w:after="0"/>
              <w:jc w:val="left"/>
              <w:rPr>
                <w:rFonts w:ascii="Arial" w:hAnsi="Arial" w:cs="Arial"/>
                <w:b/>
                <w:bCs/>
                <w:noProof/>
                <w:sz w:val="20"/>
                <w:szCs w:val="20"/>
              </w:rPr>
            </w:pP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FG 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FG II</w:t>
            </w:r>
          </w:p>
        </w:tc>
        <w:tc>
          <w:tcPr>
            <w:tcW w:w="954" w:type="dxa"/>
            <w:tcBorders>
              <w:top w:val="single" w:sz="4" w:space="0" w:color="auto"/>
              <w:left w:val="nil"/>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FG III</w:t>
            </w:r>
          </w:p>
        </w:tc>
        <w:tc>
          <w:tcPr>
            <w:tcW w:w="835" w:type="dxa"/>
            <w:tcBorders>
              <w:top w:val="single" w:sz="4" w:space="0" w:color="auto"/>
              <w:left w:val="nil"/>
              <w:bottom w:val="single" w:sz="4" w:space="0" w:color="auto"/>
              <w:right w:val="single" w:sz="8"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FG IV</w:t>
            </w:r>
          </w:p>
        </w:tc>
        <w:tc>
          <w:tcPr>
            <w:tcW w:w="1051"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Commission</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16</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112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1</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Council</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65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75</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Parliament</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57</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527</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051" w:type="dxa"/>
            <w:tcBorders>
              <w:top w:val="single" w:sz="8" w:space="0" w:color="auto"/>
              <w:left w:val="single" w:sz="8" w:space="0" w:color="auto"/>
              <w:bottom w:val="single" w:sz="4"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603</w:t>
            </w:r>
          </w:p>
        </w:tc>
      </w:tr>
      <w:tr>
        <w:trPr>
          <w:trHeight w:val="255"/>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Justice</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4"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Auditors</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19</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19</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EESC</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2658"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CoR</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w:t>
            </w:r>
          </w:p>
        </w:tc>
        <w:tc>
          <w:tcPr>
            <w:tcW w:w="835" w:type="dxa"/>
            <w:tcBorders>
              <w:top w:val="nil"/>
              <w:left w:val="nil"/>
              <w:bottom w:val="single" w:sz="4"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4</w:t>
            </w:r>
          </w:p>
        </w:tc>
      </w:tr>
      <w:tr>
        <w:trPr>
          <w:trHeight w:val="262"/>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EDPS</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Ombudsman</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4"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2658"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EEAS</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37</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54"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835" w:type="dxa"/>
            <w:tcBorders>
              <w:top w:val="single" w:sz="4" w:space="0" w:color="auto"/>
              <w:left w:val="nil"/>
              <w:bottom w:val="single" w:sz="2" w:space="0" w:color="auto"/>
              <w:right w:val="single" w:sz="8"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51"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noProof/>
                <w:sz w:val="20"/>
                <w:szCs w:val="20"/>
              </w:rPr>
            </w:pPr>
            <w:r>
              <w:rPr>
                <w:rFonts w:ascii="Arial" w:hAnsi="Arial"/>
                <w:b/>
                <w:noProof/>
                <w:sz w:val="20"/>
                <w:szCs w:val="20"/>
              </w:rPr>
              <w:t>37</w:t>
            </w:r>
          </w:p>
        </w:tc>
      </w:tr>
      <w:tr>
        <w:trPr>
          <w:trHeight w:val="324"/>
        </w:trPr>
        <w:tc>
          <w:tcPr>
            <w:tcW w:w="2658"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Cs/>
                <w:noProof/>
                <w:sz w:val="20"/>
                <w:szCs w:val="20"/>
              </w:rPr>
            </w:pPr>
            <w:r>
              <w:rPr>
                <w:rFonts w:ascii="Arial" w:hAnsi="Arial"/>
                <w:b/>
                <w:bCs/>
                <w:iCs/>
                <w:noProof/>
                <w:sz w:val="20"/>
                <w:szCs w:val="20"/>
              </w:rPr>
              <w:t>Total</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4</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240</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572</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17</w:t>
            </w:r>
          </w:p>
        </w:tc>
        <w:tc>
          <w:tcPr>
            <w:tcW w:w="95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17</w:t>
            </w:r>
          </w:p>
        </w:tc>
        <w:tc>
          <w:tcPr>
            <w:tcW w:w="83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w:t>
            </w:r>
          </w:p>
        </w:tc>
        <w:tc>
          <w:tcPr>
            <w:tcW w:w="1051"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spacing w:after="0"/>
        <w:rPr>
          <w:noProof/>
        </w:rPr>
      </w:pPr>
      <w:r>
        <w:rPr>
          <w:noProof/>
        </w:rPr>
        <w:t>Four different rates of the monthly allowance are provided for (2018 figures):</w:t>
      </w:r>
    </w:p>
    <w:p>
      <w:pPr>
        <w:pStyle w:val="Tiret1"/>
        <w:numPr>
          <w:ilvl w:val="0"/>
          <w:numId w:val="25"/>
        </w:numPr>
        <w:tabs>
          <w:tab w:val="clear" w:pos="1417"/>
          <w:tab w:val="num" w:pos="720"/>
        </w:tabs>
        <w:spacing w:before="0" w:after="0"/>
        <w:ind w:left="720" w:hanging="360"/>
        <w:rPr>
          <w:noProof/>
        </w:rPr>
      </w:pPr>
      <w:r>
        <w:rPr>
          <w:noProof/>
        </w:rPr>
        <w:t>rate 1: work involving two shifts, excluding weekends and public holidays: EUR 420.64;</w:t>
      </w:r>
    </w:p>
    <w:p>
      <w:pPr>
        <w:pStyle w:val="Tiret1"/>
        <w:numPr>
          <w:ilvl w:val="0"/>
          <w:numId w:val="25"/>
        </w:numPr>
        <w:tabs>
          <w:tab w:val="clear" w:pos="1417"/>
          <w:tab w:val="num" w:pos="720"/>
        </w:tabs>
        <w:spacing w:before="0" w:after="0"/>
        <w:ind w:left="720" w:right="-287" w:hanging="360"/>
        <w:rPr>
          <w:noProof/>
        </w:rPr>
      </w:pPr>
      <w:r>
        <w:rPr>
          <w:noProof/>
        </w:rPr>
        <w:t>rate 2: work involving two shifts, including nights, weekends and public holidays: EUR 634.89;</w:t>
      </w:r>
    </w:p>
    <w:p>
      <w:pPr>
        <w:pStyle w:val="Tiret1"/>
        <w:numPr>
          <w:ilvl w:val="0"/>
          <w:numId w:val="25"/>
        </w:numPr>
        <w:tabs>
          <w:tab w:val="clear" w:pos="1417"/>
          <w:tab w:val="num" w:pos="720"/>
        </w:tabs>
        <w:spacing w:before="0" w:after="0"/>
        <w:ind w:left="720" w:hanging="360"/>
        <w:rPr>
          <w:noProof/>
        </w:rPr>
      </w:pPr>
      <w:r>
        <w:rPr>
          <w:noProof/>
        </w:rPr>
        <w:t>rate 3: 24 hours a day, excluding weekends and public holidays: EUR 694.17;</w:t>
      </w:r>
    </w:p>
    <w:p>
      <w:pPr>
        <w:pStyle w:val="Tiret1"/>
        <w:numPr>
          <w:ilvl w:val="0"/>
          <w:numId w:val="25"/>
        </w:numPr>
        <w:tabs>
          <w:tab w:val="clear" w:pos="1417"/>
          <w:tab w:val="num" w:pos="720"/>
        </w:tabs>
        <w:spacing w:before="0" w:after="0"/>
        <w:ind w:left="720" w:hanging="360"/>
        <w:rPr>
          <w:noProof/>
        </w:rPr>
      </w:pPr>
      <w:r>
        <w:rPr>
          <w:noProof/>
        </w:rPr>
        <w:t>rate 4: 24 hours a day, 7 days a week: EUR 946.38.</w:t>
      </w:r>
    </w:p>
    <w:p>
      <w:pPr>
        <w:pStyle w:val="Tiret1"/>
        <w:numPr>
          <w:ilvl w:val="0"/>
          <w:numId w:val="0"/>
        </w:numPr>
        <w:spacing w:before="0" w:after="0"/>
        <w:ind w:left="720"/>
        <w:rPr>
          <w:noProof/>
        </w:rPr>
      </w:pPr>
    </w:p>
    <w:p>
      <w:pPr>
        <w:pStyle w:val="ManualHeading2"/>
        <w:rPr>
          <w:noProof/>
        </w:rPr>
      </w:pPr>
      <w:r>
        <w:t>4.2.</w:t>
      </w:r>
      <w:r>
        <w:tab/>
      </w:r>
      <w:r>
        <w:rPr>
          <w:noProof/>
        </w:rPr>
        <w:t>Number of beneficiaries per rate:</w:t>
      </w:r>
    </w:p>
    <w:tbl>
      <w:tblPr>
        <w:tblW w:w="9735" w:type="dxa"/>
        <w:tblInd w:w="93" w:type="dxa"/>
        <w:tblLook w:val="0000" w:firstRow="0" w:lastRow="0" w:firstColumn="0" w:lastColumn="0" w:noHBand="0" w:noVBand="0"/>
      </w:tblPr>
      <w:tblGrid>
        <w:gridCol w:w="3620"/>
        <w:gridCol w:w="1215"/>
        <w:gridCol w:w="1276"/>
        <w:gridCol w:w="1275"/>
        <w:gridCol w:w="1134"/>
        <w:gridCol w:w="1215"/>
      </w:tblGrid>
      <w:tr>
        <w:trPr>
          <w:trHeight w:val="322"/>
        </w:trPr>
        <w:tc>
          <w:tcPr>
            <w:tcW w:w="36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pPr>
              <w:spacing w:before="0" w:after="0"/>
              <w:jc w:val="center"/>
              <w:rPr>
                <w:rFonts w:ascii="Arial" w:hAnsi="Arial" w:cs="Arial"/>
                <w:b/>
                <w:noProof/>
                <w:sz w:val="20"/>
                <w:szCs w:val="20"/>
              </w:rPr>
            </w:pPr>
            <w:r>
              <w:rPr>
                <w:rFonts w:ascii="Arial" w:hAnsi="Arial"/>
                <w:b/>
                <w:noProof/>
                <w:sz w:val="20"/>
                <w:szCs w:val="20"/>
              </w:rPr>
              <w:t>Institution</w:t>
            </w:r>
          </w:p>
        </w:tc>
        <w:tc>
          <w:tcPr>
            <w:tcW w:w="121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Rate 1</w:t>
            </w:r>
          </w:p>
        </w:tc>
        <w:tc>
          <w:tcPr>
            <w:tcW w:w="1276"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Rate 2</w:t>
            </w:r>
          </w:p>
        </w:tc>
        <w:tc>
          <w:tcPr>
            <w:tcW w:w="1275" w:type="dxa"/>
            <w:tcBorders>
              <w:top w:val="single" w:sz="8" w:space="0" w:color="auto"/>
              <w:left w:val="nil"/>
              <w:bottom w:val="single" w:sz="4" w:space="0" w:color="auto"/>
              <w:right w:val="single" w:sz="4" w:space="0" w:color="auto"/>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Rate 3</w:t>
            </w:r>
          </w:p>
        </w:tc>
        <w:tc>
          <w:tcPr>
            <w:tcW w:w="1134" w:type="dxa"/>
            <w:tcBorders>
              <w:top w:val="single" w:sz="8" w:space="0" w:color="auto"/>
              <w:left w:val="nil"/>
              <w:bottom w:val="single" w:sz="4" w:space="0" w:color="auto"/>
              <w:right w:val="nil"/>
            </w:tcBorders>
            <w:shd w:val="clear" w:color="auto" w:fill="auto"/>
            <w:noWrap/>
            <w:vAlign w:val="bottom"/>
          </w:tcPr>
          <w:p>
            <w:pPr>
              <w:spacing w:before="0" w:after="0"/>
              <w:jc w:val="center"/>
              <w:rPr>
                <w:rFonts w:ascii="Arial" w:hAnsi="Arial" w:cs="Arial"/>
                <w:b/>
                <w:noProof/>
                <w:sz w:val="20"/>
                <w:szCs w:val="20"/>
              </w:rPr>
            </w:pPr>
            <w:r>
              <w:rPr>
                <w:rFonts w:ascii="Arial" w:hAnsi="Arial"/>
                <w:b/>
                <w:noProof/>
                <w:sz w:val="20"/>
                <w:szCs w:val="20"/>
              </w:rPr>
              <w:t>Rate 4</w:t>
            </w:r>
          </w:p>
        </w:tc>
        <w:tc>
          <w:tcPr>
            <w:tcW w:w="121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center"/>
              <w:rPr>
                <w:rFonts w:ascii="Arial" w:hAnsi="Arial" w:cs="Arial"/>
                <w:b/>
                <w:bCs/>
                <w:noProof/>
                <w:sz w:val="20"/>
                <w:szCs w:val="20"/>
              </w:rPr>
            </w:pPr>
            <w:r>
              <w:rPr>
                <w:rFonts w:ascii="Arial" w:hAnsi="Arial"/>
                <w:b/>
                <w:bCs/>
                <w:noProof/>
                <w:sz w:val="20"/>
                <w:szCs w:val="20"/>
              </w:rPr>
              <w:t>Total</w:t>
            </w:r>
          </w:p>
        </w:tc>
      </w:tr>
      <w:tr>
        <w:trPr>
          <w:trHeight w:val="526"/>
        </w:trPr>
        <w:tc>
          <w:tcPr>
            <w:tcW w:w="3620" w:type="dxa"/>
            <w:vMerge/>
            <w:tcBorders>
              <w:top w:val="single" w:sz="8" w:space="0" w:color="auto"/>
              <w:left w:val="single" w:sz="8" w:space="0" w:color="auto"/>
              <w:bottom w:val="single" w:sz="8" w:space="0" w:color="000000"/>
              <w:right w:val="single" w:sz="4" w:space="0" w:color="auto"/>
            </w:tcBorders>
            <w:vAlign w:val="center"/>
          </w:tcPr>
          <w:p>
            <w:pPr>
              <w:spacing w:before="0" w:after="0"/>
              <w:jc w:val="left"/>
              <w:rPr>
                <w:rFonts w:ascii="Arial" w:hAnsi="Arial" w:cs="Arial"/>
                <w:noProof/>
                <w:sz w:val="20"/>
                <w:szCs w:val="20"/>
              </w:rPr>
            </w:pPr>
          </w:p>
        </w:tc>
        <w:tc>
          <w:tcPr>
            <w:tcW w:w="121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xml:space="preserve">€420.64 </w:t>
            </w:r>
          </w:p>
        </w:tc>
        <w:tc>
          <w:tcPr>
            <w:tcW w:w="1276"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€634.89</w:t>
            </w:r>
          </w:p>
        </w:tc>
        <w:tc>
          <w:tcPr>
            <w:tcW w:w="1275" w:type="dxa"/>
            <w:tcBorders>
              <w:top w:val="nil"/>
              <w:left w:val="nil"/>
              <w:bottom w:val="single" w:sz="8" w:space="0" w:color="auto"/>
              <w:right w:val="single" w:sz="4" w:space="0" w:color="auto"/>
            </w:tcBorders>
            <w:shd w:val="clear" w:color="auto" w:fill="auto"/>
            <w:noWrap/>
            <w:vAlign w:val="center"/>
          </w:tcPr>
          <w:p>
            <w:pPr>
              <w:spacing w:before="0" w:after="0"/>
              <w:jc w:val="center"/>
              <w:rPr>
                <w:rFonts w:ascii="Arial" w:hAnsi="Arial" w:cs="Arial"/>
                <w:noProof/>
                <w:sz w:val="20"/>
                <w:szCs w:val="20"/>
              </w:rPr>
            </w:pPr>
            <w:r>
              <w:rPr>
                <w:noProof/>
                <w:sz w:val="22"/>
              </w:rPr>
              <w:t xml:space="preserve">€694.17 </w:t>
            </w:r>
          </w:p>
        </w:tc>
        <w:tc>
          <w:tcPr>
            <w:tcW w:w="1134" w:type="dxa"/>
            <w:tcBorders>
              <w:top w:val="nil"/>
              <w:left w:val="nil"/>
              <w:bottom w:val="single" w:sz="8" w:space="0" w:color="auto"/>
              <w:right w:val="nil"/>
            </w:tcBorders>
            <w:shd w:val="clear" w:color="auto" w:fill="auto"/>
            <w:noWrap/>
            <w:vAlign w:val="center"/>
          </w:tcPr>
          <w:p>
            <w:pPr>
              <w:spacing w:before="0" w:after="0"/>
              <w:jc w:val="center"/>
              <w:rPr>
                <w:rFonts w:ascii="Arial" w:hAnsi="Arial" w:cs="Arial"/>
                <w:noProof/>
                <w:sz w:val="20"/>
                <w:szCs w:val="20"/>
              </w:rPr>
            </w:pPr>
            <w:r>
              <w:rPr>
                <w:noProof/>
                <w:sz w:val="22"/>
              </w:rPr>
              <w:t xml:space="preserve">€946.38 </w:t>
            </w:r>
          </w:p>
        </w:tc>
        <w:tc>
          <w:tcPr>
            <w:tcW w:w="1215" w:type="dxa"/>
            <w:vMerge/>
            <w:tcBorders>
              <w:top w:val="single" w:sz="8" w:space="0" w:color="auto"/>
              <w:left w:val="single" w:sz="8" w:space="0" w:color="auto"/>
              <w:bottom w:val="single" w:sz="8" w:space="0" w:color="auto"/>
              <w:right w:val="single" w:sz="8" w:space="0" w:color="auto"/>
            </w:tcBorders>
            <w:vAlign w:val="center"/>
          </w:tcPr>
          <w:p>
            <w:pPr>
              <w:spacing w:before="0" w:after="0"/>
              <w:jc w:val="left"/>
              <w:rPr>
                <w:rFonts w:ascii="Arial" w:hAnsi="Arial" w:cs="Arial"/>
                <w:b/>
                <w:bCs/>
                <w:noProof/>
                <w:sz w:val="20"/>
                <w:szCs w:val="20"/>
              </w:rPr>
            </w:pP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Commission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90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112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8</w:t>
            </w:r>
          </w:p>
        </w:tc>
        <w:tc>
          <w:tcPr>
            <w:tcW w:w="1134" w:type="dxa"/>
            <w:tcBorders>
              <w:top w:val="nil"/>
              <w:left w:val="nil"/>
              <w:bottom w:val="single" w:sz="4" w:space="0" w:color="auto"/>
              <w:right w:val="nil"/>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17</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Council</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75</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Parliament</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48</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500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55</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603</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Justice</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Auditors</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17</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19</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EESC</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2</w:t>
            </w:r>
          </w:p>
        </w:tc>
      </w:tr>
      <w:tr>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CoR</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4</w:t>
            </w:r>
          </w:p>
        </w:tc>
      </w:tr>
      <w:tr>
        <w:trPr>
          <w:trHeight w:val="262"/>
        </w:trPr>
        <w:tc>
          <w:tcPr>
            <w:tcW w:w="3620" w:type="dxa"/>
            <w:tcBorders>
              <w:top w:val="nil"/>
              <w:left w:val="single" w:sz="4" w:space="0" w:color="auto"/>
              <w:bottom w:val="single" w:sz="4" w:space="0" w:color="auto"/>
              <w:right w:val="single" w:sz="4" w:space="0" w:color="auto"/>
            </w:tcBorders>
            <w:shd w:val="clear" w:color="auto" w:fill="auto"/>
            <w:vAlign w:val="bottom"/>
          </w:tcPr>
          <w:p>
            <w:pPr>
              <w:spacing w:before="0" w:after="0"/>
              <w:jc w:val="left"/>
              <w:rPr>
                <w:rFonts w:ascii="Arial" w:hAnsi="Arial" w:cs="Arial"/>
                <w:noProof/>
                <w:sz w:val="20"/>
                <w:szCs w:val="20"/>
              </w:rPr>
            </w:pPr>
            <w:r>
              <w:rPr>
                <w:rFonts w:ascii="Arial" w:hAnsi="Arial"/>
                <w:noProof/>
                <w:sz w:val="20"/>
                <w:szCs w:val="20"/>
              </w:rPr>
              <w:t>EDPS</w:t>
            </w:r>
          </w:p>
        </w:tc>
        <w:tc>
          <w:tcPr>
            <w:tcW w:w="121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Ombudsman</w:t>
            </w:r>
          </w:p>
        </w:tc>
        <w:tc>
          <w:tcPr>
            <w:tcW w:w="121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6"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4"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15" w:type="dxa"/>
            <w:tcBorders>
              <w:top w:val="single" w:sz="8" w:space="0" w:color="auto"/>
              <w:left w:val="single" w:sz="8" w:space="0" w:color="auto"/>
              <w:bottom w:val="single" w:sz="8"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0</w:t>
            </w:r>
          </w:p>
        </w:tc>
      </w:tr>
      <w:tr>
        <w:trPr>
          <w:trHeight w:val="270"/>
        </w:trPr>
        <w:tc>
          <w:tcPr>
            <w:tcW w:w="36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EEAS</w:t>
            </w:r>
          </w:p>
        </w:tc>
        <w:tc>
          <w:tcPr>
            <w:tcW w:w="121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76"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75"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134" w:type="dxa"/>
            <w:tcBorders>
              <w:top w:val="nil"/>
              <w:left w:val="nil"/>
              <w:bottom w:val="single" w:sz="2" w:space="0" w:color="auto"/>
              <w:right w:val="nil"/>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1215" w:type="dxa"/>
            <w:tcBorders>
              <w:top w:val="single" w:sz="8" w:space="0" w:color="auto"/>
              <w:left w:val="single" w:sz="8" w:space="0" w:color="auto"/>
              <w:bottom w:val="single" w:sz="2" w:space="0" w:color="auto"/>
              <w:right w:val="single" w:sz="8" w:space="0" w:color="auto"/>
            </w:tcBorders>
            <w:shd w:val="clear" w:color="auto" w:fill="auto"/>
            <w:noWrap/>
            <w:vAlign w:val="bottom"/>
          </w:tcPr>
          <w:p>
            <w:pPr>
              <w:spacing w:before="0" w:after="0"/>
              <w:jc w:val="right"/>
              <w:rPr>
                <w:rFonts w:ascii="Arial" w:hAnsi="Arial" w:cs="Arial"/>
                <w:b/>
                <w:bCs/>
                <w:noProof/>
                <w:sz w:val="20"/>
                <w:szCs w:val="20"/>
              </w:rPr>
            </w:pPr>
            <w:r>
              <w:rPr>
                <w:rFonts w:ascii="Arial" w:hAnsi="Arial"/>
                <w:b/>
                <w:bCs/>
                <w:noProof/>
                <w:sz w:val="20"/>
                <w:szCs w:val="20"/>
              </w:rPr>
              <w:t>37</w:t>
            </w:r>
          </w:p>
        </w:tc>
      </w:tr>
      <w:tr>
        <w:trPr>
          <w:trHeight w:val="372"/>
        </w:trPr>
        <w:tc>
          <w:tcPr>
            <w:tcW w:w="36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i/>
                <w:iCs/>
                <w:noProof/>
                <w:sz w:val="20"/>
                <w:szCs w:val="20"/>
              </w:rPr>
            </w:pPr>
            <w:r>
              <w:rPr>
                <w:rFonts w:ascii="Arial" w:hAnsi="Arial"/>
                <w:b/>
                <w:bCs/>
                <w:iCs/>
                <w:noProof/>
                <w:sz w:val="20"/>
                <w:szCs w:val="20"/>
              </w:rPr>
              <w:t>Total</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120</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500</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224</w:t>
            </w:r>
          </w:p>
        </w:tc>
        <w:tc>
          <w:tcPr>
            <w:tcW w:w="1215"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pStyle w:val="Heading2"/>
        <w:numPr>
          <w:ilvl w:val="0"/>
          <w:numId w:val="0"/>
        </w:numPr>
        <w:ind w:left="850"/>
        <w:rPr>
          <w:noProof/>
        </w:rPr>
      </w:pPr>
    </w:p>
    <w:p>
      <w:pPr>
        <w:rPr>
          <w:noProof/>
        </w:rPr>
      </w:pPr>
      <w:r>
        <w:rPr>
          <w:noProof/>
        </w:rPr>
        <w:br w:type="page"/>
      </w:r>
    </w:p>
    <w:p>
      <w:pPr>
        <w:pStyle w:val="ManualHeading2"/>
        <w:rPr>
          <w:noProof/>
        </w:rPr>
      </w:pPr>
      <w:r>
        <w:t>4.3.</w:t>
      </w:r>
      <w:r>
        <w:tab/>
      </w:r>
      <w:r>
        <w:rPr>
          <w:noProof/>
        </w:rPr>
        <w:t>Number of beneficiaries per type of employment:</w:t>
      </w:r>
    </w:p>
    <w:tbl>
      <w:tblPr>
        <w:tblW w:w="10920" w:type="dxa"/>
        <w:tblInd w:w="-852" w:type="dxa"/>
        <w:tblLayout w:type="fixed"/>
        <w:tblLook w:val="0000" w:firstRow="0" w:lastRow="0" w:firstColumn="0" w:lastColumn="0" w:noHBand="0" w:noVBand="0"/>
      </w:tblPr>
      <w:tblGrid>
        <w:gridCol w:w="1920"/>
        <w:gridCol w:w="720"/>
        <w:gridCol w:w="1200"/>
        <w:gridCol w:w="720"/>
        <w:gridCol w:w="1080"/>
        <w:gridCol w:w="1303"/>
        <w:gridCol w:w="960"/>
        <w:gridCol w:w="977"/>
        <w:gridCol w:w="1080"/>
        <w:gridCol w:w="960"/>
      </w:tblGrid>
      <w:tr>
        <w:trPr>
          <w:trHeight w:val="8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JRC</w:t>
            </w:r>
          </w:p>
        </w:tc>
        <w:tc>
          <w:tcPr>
            <w:tcW w:w="120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Crisis/</w:t>
            </w:r>
          </w:p>
          <w:p>
            <w:pPr>
              <w:spacing w:before="0" w:after="0"/>
              <w:jc w:val="center"/>
              <w:rPr>
                <w:rFonts w:ascii="Arial" w:hAnsi="Arial" w:cs="Arial"/>
                <w:b/>
                <w:bCs/>
                <w:noProof/>
                <w:sz w:val="20"/>
                <w:szCs w:val="20"/>
              </w:rPr>
            </w:pPr>
            <w:r>
              <w:rPr>
                <w:rFonts w:ascii="Arial" w:hAnsi="Arial"/>
                <w:b/>
                <w:bCs/>
                <w:noProof/>
                <w:sz w:val="20"/>
                <w:szCs w:val="20"/>
              </w:rPr>
              <w:t>emerg.</w:t>
            </w:r>
            <w:r>
              <w:rPr>
                <w:noProof/>
              </w:rPr>
              <w:t xml:space="preserve"> </w:t>
            </w:r>
            <w:r>
              <w:rPr>
                <w:noProof/>
              </w:rPr>
              <w:br/>
            </w:r>
            <w:r>
              <w:rPr>
                <w:rFonts w:ascii="Arial" w:hAnsi="Arial"/>
                <w:b/>
                <w:bCs/>
                <w:noProof/>
                <w:sz w:val="20"/>
                <w:szCs w:val="20"/>
              </w:rPr>
              <w:t>coord.</w:t>
            </w:r>
          </w:p>
        </w:tc>
        <w:tc>
          <w:tcPr>
            <w:tcW w:w="72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ICT</w:t>
            </w:r>
          </w:p>
        </w:tc>
        <w:tc>
          <w:tcPr>
            <w:tcW w:w="108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Security</w:t>
            </w:r>
          </w:p>
        </w:tc>
        <w:tc>
          <w:tcPr>
            <w:tcW w:w="1303"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Switchboard/</w:t>
            </w:r>
            <w:r>
              <w:rPr>
                <w:noProof/>
              </w:rPr>
              <w:t xml:space="preserve"> </w:t>
            </w:r>
            <w:r>
              <w:rPr>
                <w:noProof/>
              </w:rPr>
              <w:br/>
            </w:r>
            <w:r>
              <w:rPr>
                <w:rFonts w:ascii="Arial" w:hAnsi="Arial"/>
                <w:b/>
                <w:bCs/>
                <w:noProof/>
                <w:sz w:val="20"/>
                <w:szCs w:val="20"/>
              </w:rPr>
              <w:t>reception</w:t>
            </w:r>
          </w:p>
        </w:tc>
        <w:tc>
          <w:tcPr>
            <w:tcW w:w="960" w:type="dxa"/>
            <w:tcBorders>
              <w:top w:val="single" w:sz="4" w:space="0" w:color="auto"/>
              <w:left w:val="nil"/>
              <w:bottom w:val="single" w:sz="4" w:space="0" w:color="auto"/>
              <w:right w:val="single" w:sz="4" w:space="0" w:color="auto"/>
            </w:tcBorders>
            <w:shd w:val="clear" w:color="auto" w:fill="auto"/>
          </w:tcPr>
          <w:p>
            <w:pPr>
              <w:spacing w:before="0" w:after="0"/>
              <w:jc w:val="center"/>
              <w:rPr>
                <w:rFonts w:ascii="Arial" w:hAnsi="Arial" w:cs="Arial"/>
                <w:b/>
                <w:bCs/>
                <w:noProof/>
                <w:sz w:val="20"/>
                <w:szCs w:val="20"/>
              </w:rPr>
            </w:pPr>
            <w:r>
              <w:rPr>
                <w:rFonts w:ascii="Arial" w:hAnsi="Arial"/>
                <w:b/>
                <w:bCs/>
                <w:noProof/>
                <w:sz w:val="20"/>
                <w:szCs w:val="20"/>
              </w:rPr>
              <w:t>CFSP/</w:t>
            </w:r>
            <w:r>
              <w:rPr>
                <w:noProof/>
              </w:rPr>
              <w:t xml:space="preserve"> </w:t>
            </w:r>
            <w:r>
              <w:rPr>
                <w:noProof/>
              </w:rPr>
              <w:br/>
            </w:r>
            <w:r>
              <w:rPr>
                <w:rFonts w:ascii="Arial" w:hAnsi="Arial"/>
                <w:b/>
                <w:bCs/>
                <w:noProof/>
                <w:sz w:val="20"/>
                <w:szCs w:val="20"/>
              </w:rPr>
              <w:t>ESDP</w:t>
            </w:r>
          </w:p>
        </w:tc>
        <w:tc>
          <w:tcPr>
            <w:tcW w:w="977" w:type="dxa"/>
            <w:tcBorders>
              <w:top w:val="single" w:sz="4" w:space="0" w:color="auto"/>
              <w:left w:val="single" w:sz="4" w:space="0" w:color="auto"/>
              <w:bottom w:val="single" w:sz="4"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Tech. Inst.</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center"/>
              <w:rPr>
                <w:rFonts w:ascii="Arial" w:hAnsi="Arial" w:cs="Arial"/>
                <w:b/>
                <w:bCs/>
                <w:noProof/>
                <w:sz w:val="20"/>
                <w:szCs w:val="20"/>
              </w:rPr>
            </w:pPr>
            <w:r>
              <w:rPr>
                <w:rFonts w:ascii="Arial" w:hAnsi="Arial"/>
                <w:b/>
                <w:bCs/>
                <w:noProof/>
                <w:sz w:val="20"/>
                <w:szCs w:val="20"/>
              </w:rPr>
              <w:t>Ind. Action</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center"/>
              <w:rPr>
                <w:rFonts w:ascii="Arial" w:hAnsi="Arial" w:cs="Arial"/>
                <w:b/>
                <w:bCs/>
                <w:noProof/>
                <w:sz w:val="20"/>
                <w:szCs w:val="20"/>
              </w:rPr>
            </w:pPr>
            <w:r>
              <w:rPr>
                <w:rFonts w:ascii="Arial" w:hAnsi="Arial"/>
                <w:b/>
                <w:bCs/>
                <w:noProof/>
                <w:sz w:val="20"/>
                <w:szCs w:val="20"/>
              </w:rPr>
              <w:t>Total</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Commission</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25</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9</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14</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64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112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25</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i/>
                <w:iCs/>
                <w:noProof/>
                <w:color w:val="808080"/>
                <w:sz w:val="20"/>
                <w:szCs w:val="20"/>
              </w:rPr>
            </w:pPr>
            <w:r>
              <w:rPr>
                <w:rFonts w:ascii="Arial" w:hAnsi="Arial"/>
                <w:i/>
                <w:iCs/>
                <w:noProof/>
                <w:color w:val="808080"/>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25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Council</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75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75</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Parliament</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545</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58</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603</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Justice</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Court of Auditors</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17</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2</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19</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EESC</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2</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2</w:t>
            </w:r>
          </w:p>
        </w:tc>
      </w:tr>
      <w:tr>
        <w:trPr>
          <w:trHeight w:val="255"/>
        </w:trPr>
        <w:tc>
          <w:tcPr>
            <w:tcW w:w="192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CoR</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4</w:t>
            </w:r>
          </w:p>
        </w:tc>
        <w:tc>
          <w:tcPr>
            <w:tcW w:w="1303"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4</w:t>
            </w:r>
          </w:p>
        </w:tc>
      </w:tr>
      <w:tr>
        <w:trPr>
          <w:trHeight w:val="283"/>
        </w:trPr>
        <w:tc>
          <w:tcPr>
            <w:tcW w:w="1920" w:type="dxa"/>
            <w:tcBorders>
              <w:top w:val="nil"/>
              <w:left w:val="single" w:sz="4" w:space="0" w:color="auto"/>
              <w:bottom w:val="single" w:sz="4" w:space="0" w:color="auto"/>
              <w:right w:val="single" w:sz="4" w:space="0" w:color="auto"/>
            </w:tcBorders>
            <w:shd w:val="clear" w:color="auto" w:fill="auto"/>
            <w:noWrap/>
            <w:vAlign w:val="center"/>
          </w:tcPr>
          <w:p>
            <w:pPr>
              <w:spacing w:before="0" w:after="0"/>
              <w:jc w:val="left"/>
              <w:rPr>
                <w:rFonts w:ascii="Arial" w:hAnsi="Arial" w:cs="Arial"/>
                <w:noProof/>
                <w:sz w:val="20"/>
                <w:szCs w:val="20"/>
              </w:rPr>
            </w:pPr>
            <w:r>
              <w:rPr>
                <w:rFonts w:ascii="Arial" w:hAnsi="Arial"/>
                <w:noProof/>
                <w:sz w:val="20"/>
                <w:szCs w:val="20"/>
              </w:rPr>
              <w:t>EDPS</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center"/>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nil"/>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Ombudsman</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303" w:type="dxa"/>
            <w:tcBorders>
              <w:top w:val="single" w:sz="4" w:space="0" w:color="auto"/>
              <w:left w:val="nil"/>
              <w:bottom w:val="nil"/>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77" w:type="dxa"/>
            <w:tcBorders>
              <w:top w:val="single" w:sz="4" w:space="0" w:color="auto"/>
              <w:left w:val="single" w:sz="4" w:space="0" w:color="auto"/>
              <w:bottom w:val="single" w:sz="4"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8"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0</w:t>
            </w:r>
          </w:p>
        </w:tc>
      </w:tr>
      <w:tr>
        <w:trPr>
          <w:trHeight w:val="270"/>
        </w:trPr>
        <w:tc>
          <w:tcPr>
            <w:tcW w:w="1920" w:type="dxa"/>
            <w:tcBorders>
              <w:top w:val="single" w:sz="4" w:space="0" w:color="auto"/>
              <w:left w:val="single" w:sz="4" w:space="0" w:color="auto"/>
              <w:bottom w:val="single" w:sz="2" w:space="0" w:color="auto"/>
              <w:right w:val="single" w:sz="4" w:space="0" w:color="auto"/>
            </w:tcBorders>
            <w:shd w:val="clear" w:color="auto" w:fill="auto"/>
            <w:noWrap/>
            <w:vAlign w:val="bottom"/>
          </w:tcPr>
          <w:p>
            <w:pPr>
              <w:spacing w:before="0" w:after="0"/>
              <w:jc w:val="left"/>
              <w:rPr>
                <w:rFonts w:ascii="Arial" w:hAnsi="Arial" w:cs="Arial"/>
                <w:noProof/>
                <w:sz w:val="20"/>
                <w:szCs w:val="20"/>
              </w:rPr>
            </w:pPr>
            <w:r>
              <w:rPr>
                <w:rFonts w:ascii="Arial" w:hAnsi="Arial"/>
                <w:noProof/>
                <w:sz w:val="20"/>
                <w:szCs w:val="20"/>
              </w:rPr>
              <w:t>EEAS</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120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72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13</w:t>
            </w:r>
          </w:p>
        </w:tc>
        <w:tc>
          <w:tcPr>
            <w:tcW w:w="108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1303" w:type="dxa"/>
            <w:tcBorders>
              <w:top w:val="single" w:sz="4" w:space="0" w:color="auto"/>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nil"/>
              <w:left w:val="nil"/>
              <w:bottom w:val="single" w:sz="2" w:space="0" w:color="auto"/>
              <w:right w:val="single" w:sz="4" w:space="0" w:color="auto"/>
            </w:tcBorders>
            <w:shd w:val="clear" w:color="auto" w:fill="auto"/>
            <w:noWrap/>
            <w:vAlign w:val="bottom"/>
          </w:tcPr>
          <w:p>
            <w:pPr>
              <w:spacing w:before="0" w:after="0"/>
              <w:jc w:val="right"/>
              <w:rPr>
                <w:rFonts w:ascii="Arial" w:hAnsi="Arial" w:cs="Arial"/>
                <w:noProof/>
                <w:sz w:val="20"/>
                <w:szCs w:val="20"/>
              </w:rPr>
            </w:pPr>
            <w:r>
              <w:rPr>
                <w:rFonts w:ascii="Arial" w:hAnsi="Arial"/>
                <w:noProof/>
                <w:sz w:val="20"/>
                <w:szCs w:val="20"/>
              </w:rPr>
              <w:t>12</w:t>
            </w:r>
          </w:p>
        </w:tc>
        <w:tc>
          <w:tcPr>
            <w:tcW w:w="977" w:type="dxa"/>
            <w:tcBorders>
              <w:top w:val="single" w:sz="4" w:space="0" w:color="auto"/>
              <w:left w:val="single" w:sz="4" w:space="0" w:color="auto"/>
              <w:bottom w:val="single" w:sz="2" w:space="0" w:color="auto"/>
              <w:right w:val="single" w:sz="8" w:space="0" w:color="auto"/>
            </w:tcBorders>
            <w:vAlign w:val="bottom"/>
          </w:tcPr>
          <w:p>
            <w:pPr>
              <w:spacing w:before="0" w:after="0"/>
              <w:jc w:val="right"/>
              <w:rPr>
                <w:rFonts w:ascii="Arial" w:hAnsi="Arial" w:cs="Arial"/>
                <w:noProof/>
                <w:sz w:val="20"/>
                <w:szCs w:val="20"/>
              </w:rPr>
            </w:pPr>
            <w:r>
              <w:rPr>
                <w:rFonts w:ascii="Arial" w:hAnsi="Arial"/>
                <w:noProof/>
                <w:sz w:val="20"/>
                <w:szCs w:val="20"/>
              </w:rPr>
              <w:t>0</w:t>
            </w:r>
          </w:p>
        </w:tc>
        <w:tc>
          <w:tcPr>
            <w:tcW w:w="108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noProof/>
                <w:sz w:val="20"/>
                <w:szCs w:val="20"/>
              </w:rPr>
            </w:pPr>
            <w:r>
              <w:rPr>
                <w:rFonts w:ascii="Arial" w:hAnsi="Arial"/>
                <w:noProof/>
                <w:sz w:val="20"/>
                <w:szCs w:val="20"/>
              </w:rPr>
              <w:t>0</w:t>
            </w:r>
          </w:p>
        </w:tc>
        <w:tc>
          <w:tcPr>
            <w:tcW w:w="960" w:type="dxa"/>
            <w:tcBorders>
              <w:top w:val="single" w:sz="8" w:space="0" w:color="auto"/>
              <w:left w:val="single" w:sz="8" w:space="0" w:color="auto"/>
              <w:bottom w:val="single" w:sz="2" w:space="0" w:color="auto"/>
              <w:right w:val="single" w:sz="8" w:space="0" w:color="auto"/>
            </w:tcBorders>
          </w:tcPr>
          <w:p>
            <w:pPr>
              <w:spacing w:before="0" w:after="0"/>
              <w:jc w:val="right"/>
              <w:rPr>
                <w:rFonts w:ascii="Arial" w:hAnsi="Arial" w:cs="Arial"/>
                <w:b/>
                <w:noProof/>
                <w:sz w:val="20"/>
                <w:szCs w:val="20"/>
              </w:rPr>
            </w:pPr>
            <w:r>
              <w:rPr>
                <w:rFonts w:ascii="Arial" w:hAnsi="Arial"/>
                <w:b/>
                <w:noProof/>
                <w:sz w:val="20"/>
                <w:szCs w:val="20"/>
              </w:rPr>
              <w:t>37</w:t>
            </w:r>
          </w:p>
        </w:tc>
      </w:tr>
      <w:tr>
        <w:trPr>
          <w:trHeight w:val="396"/>
        </w:trPr>
        <w:tc>
          <w:tcPr>
            <w:tcW w:w="19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Total</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25</w:t>
            </w:r>
          </w:p>
        </w:tc>
        <w:tc>
          <w:tcPr>
            <w:tcW w:w="120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9</w:t>
            </w:r>
          </w:p>
        </w:tc>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27</w:t>
            </w:r>
          </w:p>
        </w:tc>
        <w:tc>
          <w:tcPr>
            <w:tcW w:w="108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719</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60</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center"/>
          </w:tcPr>
          <w:p>
            <w:pPr>
              <w:spacing w:before="0" w:after="0"/>
              <w:jc w:val="right"/>
              <w:rPr>
                <w:rFonts w:ascii="Arial" w:hAnsi="Arial" w:cs="Arial"/>
                <w:b/>
                <w:bCs/>
                <w:noProof/>
                <w:sz w:val="20"/>
                <w:szCs w:val="20"/>
              </w:rPr>
            </w:pPr>
            <w:r>
              <w:rPr>
                <w:rFonts w:ascii="Arial" w:hAnsi="Arial"/>
                <w:b/>
                <w:bCs/>
                <w:noProof/>
                <w:sz w:val="20"/>
                <w:szCs w:val="20"/>
              </w:rPr>
              <w:t>12</w:t>
            </w:r>
          </w:p>
        </w:tc>
        <w:tc>
          <w:tcPr>
            <w:tcW w:w="977"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0</w:t>
            </w:r>
          </w:p>
        </w:tc>
        <w:tc>
          <w:tcPr>
            <w:tcW w:w="960" w:type="dxa"/>
            <w:tcBorders>
              <w:top w:val="single" w:sz="2" w:space="0" w:color="auto"/>
              <w:left w:val="single" w:sz="2" w:space="0" w:color="auto"/>
              <w:bottom w:val="single" w:sz="2" w:space="0" w:color="auto"/>
              <w:right w:val="single" w:sz="2" w:space="0" w:color="auto"/>
            </w:tcBorders>
            <w:vAlign w:val="center"/>
          </w:tcPr>
          <w:p>
            <w:pPr>
              <w:spacing w:before="0" w:after="0"/>
              <w:jc w:val="right"/>
              <w:rPr>
                <w:rFonts w:ascii="Arial" w:hAnsi="Arial" w:cs="Arial"/>
                <w:b/>
                <w:bCs/>
                <w:noProof/>
                <w:sz w:val="20"/>
                <w:szCs w:val="20"/>
              </w:rPr>
            </w:pPr>
            <w:r>
              <w:rPr>
                <w:rFonts w:ascii="Arial" w:hAnsi="Arial"/>
                <w:b/>
                <w:bCs/>
                <w:noProof/>
                <w:sz w:val="20"/>
                <w:szCs w:val="20"/>
              </w:rPr>
              <w:t>852</w:t>
            </w:r>
          </w:p>
        </w:tc>
      </w:tr>
    </w:tbl>
    <w:p>
      <w:pPr>
        <w:rPr>
          <w:noProof/>
        </w:rPr>
      </w:pPr>
    </w:p>
    <w:p>
      <w:pPr>
        <w:pStyle w:val="ManualHeading1"/>
        <w:rPr>
          <w:noProof/>
        </w:rPr>
      </w:pPr>
      <w:r>
        <w:t>5.</w:t>
      </w:r>
      <w:r>
        <w:tab/>
      </w:r>
      <w:r>
        <w:rPr>
          <w:noProof/>
        </w:rPr>
        <w:t>Services concerned and reasons</w:t>
      </w:r>
    </w:p>
    <w:p>
      <w:pPr>
        <w:rPr>
          <w:noProof/>
        </w:rPr>
      </w:pPr>
      <w:r>
        <w:rPr>
          <w:noProof/>
        </w:rPr>
        <w:t xml:space="preserve">The Council, the Commission, the EEAS, the European Parliament, the Court of Justice and the Court of Auditors use standby duty and/or shift work and pay the allowances provided for by the legislation. </w:t>
      </w:r>
    </w:p>
    <w:p>
      <w:pPr>
        <w:rPr>
          <w:noProof/>
        </w:rPr>
      </w:pPr>
      <w:r>
        <w:rPr>
          <w:noProof/>
        </w:rPr>
        <w:t>From 2017, the Committee of the Regions and the Economic and Social Committee have been running a joint standby duty and shift work service.</w:t>
      </w:r>
    </w:p>
    <w:p>
      <w:pPr>
        <w:rPr>
          <w:noProof/>
        </w:rPr>
      </w:pPr>
      <w:r>
        <w:rPr>
          <w:noProof/>
        </w:rPr>
        <w:t>The Commission is still the only institution that pays allowances for particularly arduous working conditions, at the JRC, the Office for Infrastructure and Logistics in Brussels (OIB) and for the nuclear inspectors at DG ENER (creation of a new service in 2018).</w:t>
      </w:r>
    </w:p>
    <w:p>
      <w:pPr>
        <w:spacing w:before="0" w:after="0"/>
        <w:ind w:left="851"/>
        <w:jc w:val="left"/>
        <w:rPr>
          <w:noProof/>
        </w:rPr>
      </w:pPr>
    </w:p>
    <w:p>
      <w:pPr>
        <w:pStyle w:val="ManualHeading2"/>
        <w:rPr>
          <w:noProof/>
        </w:rPr>
      </w:pPr>
      <w:r>
        <w:t>5.1.</w:t>
      </w:r>
      <w:r>
        <w:tab/>
      </w:r>
      <w:r>
        <w:rPr>
          <w:noProof/>
        </w:rPr>
        <w:t>Reasons for standby duty</w:t>
      </w:r>
    </w:p>
    <w:p>
      <w:pPr>
        <w:rPr>
          <w:noProof/>
        </w:rPr>
      </w:pPr>
      <w:r>
        <w:rPr>
          <w:b/>
          <w:i/>
          <w:noProof/>
        </w:rPr>
        <w:t>Commission:</w:t>
      </w:r>
      <w:r>
        <w:rPr>
          <w:noProof/>
        </w:rPr>
        <w:tab/>
      </w:r>
      <w:r>
        <w:rPr>
          <w:noProof/>
        </w:rPr>
        <w:tab/>
        <w:t xml:space="preserve"> </w:t>
      </w:r>
      <w:r>
        <w:rPr>
          <w:noProof/>
        </w:rPr>
        <w:br/>
        <w:t>In 2018, the Commission paid allowances for standby duty to 416 members of its staff (394 staff in 2017). About 36% (150) of them work at one of the research centres. The reasons for standby duty are, as in previous years, generally security- and safety-related (fire-fighting service, radiation monitoring, radiation protection, etc.). In most cases at the JRC, standby duty is carried out at home, with the exception of Ispra, where the duties are undertaken at the place of work or at home owing to the specific nature of the tasks to be performed.</w:t>
      </w:r>
    </w:p>
    <w:p>
      <w:pPr>
        <w:spacing w:after="0"/>
        <w:rPr>
          <w:noProof/>
        </w:rPr>
      </w:pPr>
      <w:r>
        <w:rPr>
          <w:noProof/>
        </w:rPr>
        <w:t>In the other Commission Directorates-General, there was a significant increase in the number of beneficiaries in IT services (103 compared to 83 beneficiaries in 2017). This trend can be noted in particular in DIGIT following the creation of 3 new services, namely (1) DISS (central management of digital identities and access rights), (2) TESTA (secure communication with the Member States and the European institutions/agencies) and (3) EU SEND (secure electronic communication between the European institutions). For the other services, there was little change compared to 2017.</w:t>
      </w:r>
      <w:r>
        <w:rPr>
          <w:i/>
          <w:noProof/>
        </w:rPr>
        <w:t xml:space="preserve"> </w:t>
      </w:r>
      <w:r>
        <w:rPr>
          <w:noProof/>
        </w:rPr>
        <w:t xml:space="preserve">There was a slight increase in the number of beneficiaries in DG ECHO providing assistance to Member States 24/7 (50 staff in 2018 compared to 45 in 2017) in order to monitor incidents in real-time and respond immediately to disasters around the world. </w:t>
      </w:r>
    </w:p>
    <w:p>
      <w:pPr>
        <w:rPr>
          <w:noProof/>
        </w:rPr>
      </w:pPr>
      <w:r>
        <w:rPr>
          <w:b/>
          <w:i/>
          <w:noProof/>
        </w:rPr>
        <w:t>Council:</w:t>
      </w:r>
      <w:r>
        <w:rPr>
          <w:noProof/>
        </w:rPr>
        <w:t xml:space="preserve"> The Council paid allowances for standby duty to 77 members of its staff in 2018 (71 in 2017). Three services have been set up to cover the following areas: (1) Information and Communication Technologies (ICT), to guarantee the protection and proper functioning of the IT and communications networks, (2) Safety/Security to respond immediately to any incident that could affect the staff of the General Secretariat of the Council and the activities of the Council and the European Council, and to provide 24/7 support to security officers on mission, (3) swift action to draft, publish on the internet and disseminate immediate and urgent statements by the rotating Presidency and the President of the European Council in the context of the CFSP/ESDP. In 2018, standby duty was performed exclusively at home. </w:t>
      </w:r>
    </w:p>
    <w:p>
      <w:pPr>
        <w:rPr>
          <w:noProof/>
        </w:rPr>
      </w:pPr>
      <w:r>
        <w:rPr>
          <w:b/>
          <w:i/>
          <w:noProof/>
        </w:rPr>
        <w:t>Court of Auditors:</w:t>
      </w:r>
      <w:r>
        <w:rPr>
          <w:noProof/>
        </w:rPr>
        <w:t xml:space="preserve"> </w:t>
      </w:r>
      <w:r>
        <w:rPr>
          <w:noProof/>
          <w:color w:val="222222"/>
        </w:rPr>
        <w:t xml:space="preserve">In 2018, the monthly planning of the security and safety department set up in 2011 includes standby duties at home for 17 staff members (14 in 2017). </w:t>
      </w:r>
      <w:r>
        <w:rPr>
          <w:noProof/>
        </w:rPr>
        <w:t>They ensure the safety of buildings and their occupants round the clock throughout the year.</w:t>
      </w:r>
    </w:p>
    <w:p>
      <w:pPr>
        <w:rPr>
          <w:noProof/>
          <w:color w:val="222222"/>
        </w:rPr>
      </w:pPr>
      <w:r>
        <w:rPr>
          <w:b/>
          <w:i/>
          <w:noProof/>
        </w:rPr>
        <w:t>EEAS</w:t>
      </w:r>
      <w:r>
        <w:rPr>
          <w:noProof/>
        </w:rPr>
        <w:t>: In 2018, the EEAS paid allowances for standby duty to 29 members of its staff (15 staff in 2017). These standby services covered three areas of work: (1) security services, to provide round-the-clock protection to EEAS staff, visitors, premises and property in Brussels and to protect classified information (at Headquarters and in the Delegations);</w:t>
      </w:r>
      <w:r>
        <w:rPr>
          <w:noProof/>
          <w:color w:val="222222"/>
        </w:rPr>
        <w:t xml:space="preserve"> </w:t>
      </w:r>
      <w:r>
        <w:rPr>
          <w:noProof/>
        </w:rPr>
        <w:t>(2) support to the CFSP/ESDP to monitor events around the world 24/7, respond to crises, incidents, critical events, specific situations or emergencies, provide support to the High Representative and EU actors, facilitate meetings of the EEAS Crisis Platform outside normal working hours;</w:t>
      </w:r>
      <w:r>
        <w:rPr>
          <w:noProof/>
          <w:color w:val="222222"/>
        </w:rPr>
        <w:t xml:space="preserve"> </w:t>
      </w:r>
      <w:r>
        <w:rPr>
          <w:noProof/>
        </w:rPr>
        <w:t>(3) the information and communication technology service via the COMCEN (Communication Centre) which provides services for the transmission of classified information to all EEAS staff members, while also providing services to the General Secretariat of the Council in order to ensure swift handling of urgent classified information.</w:t>
      </w:r>
      <w:r>
        <w:rPr>
          <w:noProof/>
          <w:color w:val="222222"/>
        </w:rPr>
        <w:t xml:space="preserve"> </w:t>
      </w:r>
    </w:p>
    <w:p>
      <w:pPr>
        <w:rPr>
          <w:noProof/>
        </w:rPr>
      </w:pPr>
      <w:r>
        <w:rPr>
          <w:b/>
          <w:i/>
          <w:noProof/>
        </w:rPr>
        <w:t xml:space="preserve">Court of Justice: </w:t>
      </w:r>
      <w:r>
        <w:rPr>
          <w:noProof/>
        </w:rPr>
        <w:t>In 2018, the Court of Justice paid allowances for standby services at home to 27 members of its staff. This service was established in November 2014 at the Directorate</w:t>
      </w:r>
      <w:r>
        <w:rPr>
          <w:noProof/>
        </w:rPr>
        <w:noBreakHyphen/>
        <w:t>General for Infrastructure. The Buildings Directorate is responsible for protecting the institution, fire prevention, and health and safety at work.</w:t>
      </w:r>
      <w:r>
        <w:rPr>
          <w:noProof/>
          <w:color w:val="222222"/>
        </w:rPr>
        <w:t xml:space="preserve"> It comprises three units responsible for new work, buildings management and safety and security. </w:t>
      </w:r>
    </w:p>
    <w:p>
      <w:pPr>
        <w:rPr>
          <w:noProof/>
        </w:rPr>
      </w:pPr>
      <w:r>
        <w:rPr>
          <w:b/>
          <w:i/>
          <w:noProof/>
        </w:rPr>
        <w:t>CoR-EESC:</w:t>
      </w:r>
      <w:r>
        <w:rPr>
          <w:noProof/>
        </w:rPr>
        <w:t xml:space="preserve"> </w:t>
      </w:r>
      <w:r>
        <w:rPr>
          <w:noProof/>
          <w:color w:val="222222"/>
        </w:rPr>
        <w:t>There has been a joint standby service within the security service at the CoR and the EESC since 1 March 2017 to ensure that security staff can be reached and are ready to react at all times should incidents requiring action arise when the institution is closed. In 2018, the standby service at home concerned 4 CoR staff and 2 EESC staff.</w:t>
      </w:r>
    </w:p>
    <w:p>
      <w:pPr>
        <w:spacing w:before="0" w:after="0"/>
        <w:ind w:left="851"/>
        <w:jc w:val="left"/>
        <w:rPr>
          <w:noProof/>
        </w:rPr>
      </w:pPr>
    </w:p>
    <w:p>
      <w:pPr>
        <w:pStyle w:val="ManualHeading2"/>
        <w:rPr>
          <w:noProof/>
        </w:rPr>
      </w:pPr>
      <w:r>
        <w:t>5.2.</w:t>
      </w:r>
      <w:r>
        <w:tab/>
      </w:r>
      <w:r>
        <w:rPr>
          <w:noProof/>
        </w:rPr>
        <w:t>Reasons for using the allowance for particularly arduous working conditions</w:t>
      </w:r>
    </w:p>
    <w:p>
      <w:pPr>
        <w:rPr>
          <w:noProof/>
        </w:rPr>
      </w:pPr>
      <w:r>
        <w:rPr>
          <w:b/>
          <w:i/>
          <w:noProof/>
        </w:rPr>
        <w:t>Commission</w:t>
      </w:r>
      <w:r>
        <w:rPr>
          <w:i/>
          <w:noProof/>
        </w:rPr>
        <w:t xml:space="preserve">: </w:t>
      </w:r>
      <w:r>
        <w:rPr>
          <w:noProof/>
        </w:rPr>
        <w:t xml:space="preserve">The Commission is the only institution to have used this possibility in 2018. The Office for Infrastructure and Logistics in Brussels (OIB) introduced it in one of its services (reproduction service) in 2008; the Joint Research Centre was already using it. In 2018, DG ENER also introduced it for inspections of installations at nuclear sites (19 beneficiaries with a total of 986.5 hours). </w:t>
      </w:r>
    </w:p>
    <w:p>
      <w:pPr>
        <w:spacing w:after="0"/>
        <w:rPr>
          <w:noProof/>
        </w:rPr>
      </w:pPr>
      <w:r>
        <w:rPr>
          <w:noProof/>
        </w:rPr>
        <w:t>In 2018, the total number of hours worked under particularly arduous conditions was broken down as follows:</w:t>
      </w:r>
    </w:p>
    <w:p>
      <w:pPr>
        <w:pStyle w:val="Text1"/>
        <w:numPr>
          <w:ilvl w:val="0"/>
          <w:numId w:val="29"/>
        </w:numPr>
        <w:spacing w:before="0" w:after="0"/>
        <w:ind w:left="360"/>
        <w:rPr>
          <w:noProof/>
        </w:rPr>
      </w:pPr>
      <w:r>
        <w:rPr>
          <w:noProof/>
        </w:rPr>
        <w:t>65 808.19 hours relating to individual protection (for example, the wearing of particularly uncomfortable protective clothing);</w:t>
      </w:r>
    </w:p>
    <w:p>
      <w:pPr>
        <w:pStyle w:val="Text1"/>
        <w:numPr>
          <w:ilvl w:val="0"/>
          <w:numId w:val="29"/>
        </w:numPr>
        <w:spacing w:before="0" w:after="0"/>
        <w:ind w:left="360"/>
        <w:rPr>
          <w:noProof/>
        </w:rPr>
      </w:pPr>
      <w:r>
        <w:rPr>
          <w:noProof/>
        </w:rPr>
        <w:t>117 127.13 hours relating to the place of work (for example, high noise level, dangerous sites);</w:t>
      </w:r>
    </w:p>
    <w:p>
      <w:pPr>
        <w:pStyle w:val="Text1"/>
        <w:numPr>
          <w:ilvl w:val="0"/>
          <w:numId w:val="29"/>
        </w:numPr>
        <w:spacing w:before="0" w:after="0"/>
        <w:ind w:left="360"/>
        <w:rPr>
          <w:noProof/>
        </w:rPr>
      </w:pPr>
      <w:r>
        <w:rPr>
          <w:noProof/>
        </w:rPr>
        <w:t>11 539.68 hours relating to the nature of the work (for example, handling of corrosive substances);</w:t>
      </w:r>
    </w:p>
    <w:p>
      <w:pPr>
        <w:pStyle w:val="Text1"/>
        <w:numPr>
          <w:ilvl w:val="0"/>
          <w:numId w:val="29"/>
        </w:numPr>
        <w:spacing w:before="0"/>
        <w:ind w:left="360"/>
        <w:jc w:val="left"/>
        <w:rPr>
          <w:noProof/>
        </w:rPr>
      </w:pPr>
      <w:r>
        <w:rPr>
          <w:noProof/>
        </w:rPr>
        <w:t>26.20 hours relating to the combination of personal protection and places of work (nuclear inspectors: high noise level, protective clothing with self-contained breathing apparatus).</w:t>
      </w:r>
    </w:p>
    <w:p>
      <w:pPr>
        <w:pStyle w:val="Text1"/>
        <w:spacing w:before="0" w:after="0"/>
        <w:ind w:left="851"/>
        <w:jc w:val="left"/>
        <w:rPr>
          <w:noProof/>
        </w:rPr>
      </w:pPr>
    </w:p>
    <w:p>
      <w:pPr>
        <w:pStyle w:val="ManualHeading2"/>
        <w:rPr>
          <w:noProof/>
        </w:rPr>
      </w:pPr>
      <w:r>
        <w:t>5.3.</w:t>
      </w:r>
      <w:r>
        <w:tab/>
      </w:r>
      <w:r>
        <w:rPr>
          <w:noProof/>
        </w:rPr>
        <w:t>Reasons for shift work</w:t>
      </w:r>
    </w:p>
    <w:p>
      <w:pPr>
        <w:rPr>
          <w:noProof/>
        </w:rPr>
      </w:pPr>
      <w:r>
        <w:rPr>
          <w:b/>
          <w:i/>
          <w:noProof/>
        </w:rPr>
        <w:t>Commission:</w:t>
      </w:r>
      <w:r>
        <w:rPr>
          <w:noProof/>
        </w:rPr>
        <w:t xml:space="preserve"> Within the Commission, the JRC (for reasons relating to the nature of the tasks) and DG HR (safety and security department) made the greatest use of this type of work organisation (25 and 56 persons respectively in 2018). </w:t>
      </w:r>
    </w:p>
    <w:p>
      <w:pPr>
        <w:spacing w:after="0"/>
        <w:rPr>
          <w:noProof/>
        </w:rPr>
      </w:pPr>
      <w:r>
        <w:rPr>
          <w:noProof/>
        </w:rPr>
        <w:t>In 2018 shift work was performed in the other Directorates-General (operating budget) by 31 persons in the following areas:</w:t>
      </w:r>
    </w:p>
    <w:p>
      <w:pPr>
        <w:pStyle w:val="Tiret1"/>
        <w:numPr>
          <w:ilvl w:val="0"/>
          <w:numId w:val="25"/>
        </w:numPr>
        <w:spacing w:before="0" w:after="0"/>
        <w:ind w:left="1418"/>
        <w:rPr>
          <w:noProof/>
        </w:rPr>
      </w:pPr>
      <w:r>
        <w:rPr>
          <w:noProof/>
        </w:rPr>
        <w:t>Security and prevention: 8 (OIL)</w:t>
      </w:r>
    </w:p>
    <w:p>
      <w:pPr>
        <w:pStyle w:val="Tiret1"/>
        <w:numPr>
          <w:ilvl w:val="0"/>
          <w:numId w:val="25"/>
        </w:numPr>
        <w:spacing w:before="0" w:after="0"/>
        <w:ind w:left="1418"/>
        <w:rPr>
          <w:noProof/>
        </w:rPr>
      </w:pPr>
      <w:r>
        <w:rPr>
          <w:noProof/>
        </w:rPr>
        <w:t>Information and Communication Technologies: 14 (DG COMM)</w:t>
      </w:r>
    </w:p>
    <w:p>
      <w:pPr>
        <w:pStyle w:val="Tiret1"/>
        <w:numPr>
          <w:ilvl w:val="0"/>
          <w:numId w:val="25"/>
        </w:numPr>
        <w:spacing w:before="0" w:after="0"/>
        <w:ind w:left="1418"/>
        <w:rPr>
          <w:noProof/>
        </w:rPr>
      </w:pPr>
      <w:r>
        <w:rPr>
          <w:noProof/>
        </w:rPr>
        <w:t>Assistance to Member States: 9 (DG ECHO)</w:t>
      </w:r>
    </w:p>
    <w:p>
      <w:pPr>
        <w:rPr>
          <w:noProof/>
        </w:rPr>
      </w:pPr>
      <w:r>
        <w:rPr>
          <w:noProof/>
        </w:rPr>
        <w:t>The shift work arrangement at DG COMM was established in 2015 in order to prepare press reviews for the President, the College and the Spokesperson’s Service.</w:t>
      </w:r>
    </w:p>
    <w:p>
      <w:pPr>
        <w:rPr>
          <w:noProof/>
        </w:rPr>
      </w:pPr>
      <w:r>
        <w:rPr>
          <w:noProof/>
        </w:rPr>
        <w:t>The around-the-clock service at DG ECHO has been operational since 2013 following the establishment of a Monitoring and Information Centre to assist Member States and the Commission during disasters.</w:t>
      </w:r>
    </w:p>
    <w:p>
      <w:pPr>
        <w:spacing w:before="0"/>
        <w:rPr>
          <w:noProof/>
        </w:rPr>
      </w:pPr>
      <w:r>
        <w:rPr>
          <w:noProof/>
        </w:rPr>
        <w:t>Rates 1, 3 and 4 (types of allowance) are applied in the Commission, with rate 4 (continuous service) being used mainly in the security services.</w:t>
      </w:r>
    </w:p>
    <w:p>
      <w:pPr>
        <w:shd w:val="clear" w:color="auto" w:fill="FFFFFF"/>
        <w:rPr>
          <w:noProof/>
        </w:rPr>
      </w:pPr>
      <w:r>
        <w:rPr>
          <w:b/>
          <w:i/>
          <w:noProof/>
        </w:rPr>
        <w:t>Council:</w:t>
      </w:r>
      <w:r>
        <w:rPr>
          <w:noProof/>
        </w:rPr>
        <w:t xml:space="preserve"> The Council has a system of shift work, which is essential to ensure the continuity of the services responsible for prevention and for the safety and security of buildings and persons in the two Council buildings.</w:t>
      </w:r>
    </w:p>
    <w:p>
      <w:pPr>
        <w:shd w:val="clear" w:color="auto" w:fill="FFFFFF"/>
        <w:rPr>
          <w:noProof/>
        </w:rPr>
      </w:pPr>
      <w:r>
        <w:rPr>
          <w:noProof/>
        </w:rPr>
        <w:t>There was a slight decrease in the number of beneficiaries in 2018 (75 compared to 85 in 2017) and in the cost (EUR 637 506.99 compared to EUR 672 443.72 in 2017). This decrease was due, first, to the abolition of the service in two shifts in the Safety and Security Directorate and, second, to the fact that several posts in the services organised in shifts were not occupied for various reasons.</w:t>
      </w:r>
    </w:p>
    <w:p>
      <w:pPr>
        <w:shd w:val="clear" w:color="auto" w:fill="FFFFFF"/>
        <w:rPr>
          <w:noProof/>
          <w:color w:val="222222"/>
        </w:rPr>
      </w:pPr>
      <w:r>
        <w:rPr>
          <w:b/>
          <w:i/>
          <w:noProof/>
        </w:rPr>
        <w:t>European Parliament:</w:t>
      </w:r>
      <w:r>
        <w:rPr>
          <w:noProof/>
        </w:rPr>
        <w:t xml:space="preserve"> In 2018, the European Parliament paid shift work allowances to cover (1) safety and security services in the 3 places of work (Brussels, Strasbourg and Luxembourg), (2) services related to the reception, security and control of visitors (Parlamentarium, House of European History (since 2017), Sports Centre (since 2017)) and communication via the switchboard, which offers a variety of services in several languages, including the transfer of incoming and outgoing calls, the provision of contact information (telephone and fax numbers, email and office addresses), information on meetings and the buildings of the European Parliament.</w:t>
      </w:r>
      <w:r>
        <w:rPr>
          <w:noProof/>
          <w:color w:val="222222"/>
        </w:rPr>
        <w:t xml:space="preserve"> </w:t>
      </w:r>
    </w:p>
    <w:p>
      <w:pPr>
        <w:shd w:val="clear" w:color="auto" w:fill="FFFFFF"/>
        <w:rPr>
          <w:noProof/>
        </w:rPr>
      </w:pPr>
      <w:r>
        <w:rPr>
          <w:noProof/>
        </w:rPr>
        <w:t xml:space="preserve">The set-up consists of either a two-shift arrangement (rate 1), a two-shift arrangement including nights, weekends and public holidays (rate 2) or a continuous 24-hour service (rate 4). There were 603 beneficiaries in 2018 (581 in 2017). This increase is due to the reinforcement of DG COMM’s services for the Parlamentarium and the House of European History (+ 10 persons) and the sports centre for MEPs and staff in Brussels (+ 5 persons). Staff involved in security missions were also increased by 7. </w:t>
      </w:r>
    </w:p>
    <w:p>
      <w:pPr>
        <w:shd w:val="clear" w:color="auto" w:fill="FFFFFF"/>
        <w:rPr>
          <w:noProof/>
        </w:rPr>
      </w:pPr>
      <w:r>
        <w:rPr>
          <w:noProof/>
        </w:rPr>
        <w:t>The new work organisation introduced in 2018 for monitoring and prevention missions led to a significant increase in the number of people receiving the rate 2 allowance. There were 500 beneficiaries in 2018 (205 in 2017).</w:t>
      </w:r>
      <w:r>
        <w:rPr>
          <w:noProof/>
        </w:rPr>
        <w:tab/>
        <w:t xml:space="preserve"> </w:t>
      </w:r>
      <w:r>
        <w:rPr>
          <w:noProof/>
        </w:rPr>
        <w:br/>
        <w:t>This year, an average of 140 persons were moved from rate 2 to rate 4 for 4 to 5 months.</w:t>
      </w:r>
    </w:p>
    <w:p>
      <w:pPr>
        <w:rPr>
          <w:noProof/>
        </w:rPr>
      </w:pPr>
      <w:r>
        <w:rPr>
          <w:b/>
          <w:i/>
          <w:noProof/>
        </w:rPr>
        <w:t>Court of Auditors:</w:t>
      </w:r>
      <w:r>
        <w:rPr>
          <w:noProof/>
        </w:rPr>
        <w:t xml:space="preserve"> The Court of Auditors has been using shift work in the fields of security and telephone service/reception since 2011. The types of shift work put in place are a two</w:t>
      </w:r>
      <w:r>
        <w:rPr>
          <w:noProof/>
        </w:rPr>
        <w:noBreakHyphen/>
        <w:t>shift arrangement (rate 1) and a continuous 24-hour service (rate 4). There were 19 beneficiaries in 2018 (16 in 2017).</w:t>
      </w:r>
    </w:p>
    <w:p>
      <w:pPr>
        <w:rPr>
          <w:noProof/>
        </w:rPr>
      </w:pPr>
      <w:r>
        <w:rPr>
          <w:b/>
          <w:i/>
          <w:noProof/>
        </w:rPr>
        <w:t>EEAS</w:t>
      </w:r>
      <w:r>
        <w:rPr>
          <w:noProof/>
        </w:rPr>
        <w:t>: In 2018, the EEAS paid 37 shift work allowances to ensure the daily monitoring, assessment and flagging up of politically significant events or situations on a 24/7 basis and to provide services for the transmission of classified information to all EEAS staff and to the High Representative and other EU actors (European Commission, General Secretariat of the Council, EU Agencies, EU Member States).</w:t>
      </w:r>
    </w:p>
    <w:p>
      <w:pPr>
        <w:rPr>
          <w:noProof/>
        </w:rPr>
      </w:pPr>
      <w:r>
        <w:rPr>
          <w:noProof/>
          <w:color w:val="222222"/>
        </w:rPr>
        <w:t xml:space="preserve">Two types of allowance are applicable at the EEAS, mainly rate 1 and rate 4. </w:t>
      </w:r>
      <w:r>
        <w:rPr>
          <w:noProof/>
        </w:rPr>
        <w:t xml:space="preserve">The number of beneficiaries remained stable. </w:t>
      </w:r>
    </w:p>
    <w:p>
      <w:pPr>
        <w:rPr>
          <w:noProof/>
        </w:rPr>
      </w:pPr>
      <w:r>
        <w:rPr>
          <w:b/>
          <w:bCs/>
          <w:i/>
          <w:iCs/>
          <w:noProof/>
        </w:rPr>
        <w:t>CoR-EESC:</w:t>
      </w:r>
      <w:r>
        <w:rPr>
          <w:noProof/>
        </w:rPr>
        <w:t xml:space="preserve"> The joint shift work service has been operating at the CoR and at the EESC since 1 March 2017 to meet the need for continuous presence in the security service. The CoR pays allowances to 4 beneficiaries (rate 1) and the EESC to 2 beneficiaries (rate 1).</w:t>
      </w:r>
    </w:p>
    <w:p>
      <w:pPr>
        <w:keepNext/>
        <w:spacing w:before="360" w:after="240"/>
        <w:ind w:left="851" w:hanging="851"/>
        <w:outlineLvl w:val="0"/>
        <w:rPr>
          <w:b/>
          <w:smallCaps/>
          <w:noProof/>
        </w:rPr>
      </w:pPr>
      <w:r>
        <w:rPr>
          <w:b/>
          <w:smallCaps/>
          <w:noProof/>
        </w:rPr>
        <w:t>6.</w:t>
      </w:r>
      <w:r>
        <w:rPr>
          <w:noProof/>
        </w:rPr>
        <w:tab/>
      </w:r>
      <w:r>
        <w:rPr>
          <w:b/>
          <w:smallCaps/>
          <w:noProof/>
        </w:rPr>
        <w:t>Budget expenditure, per institution and per allowance (in EUR)</w:t>
      </w:r>
    </w:p>
    <w:tbl>
      <w:tblPr>
        <w:tblW w:w="9615" w:type="dxa"/>
        <w:tblInd w:w="93" w:type="dxa"/>
        <w:tblLook w:val="0000" w:firstRow="0" w:lastRow="0" w:firstColumn="0" w:lastColumn="0" w:noHBand="0" w:noVBand="0"/>
      </w:tblPr>
      <w:tblGrid>
        <w:gridCol w:w="2055"/>
        <w:gridCol w:w="1920"/>
        <w:gridCol w:w="1800"/>
        <w:gridCol w:w="2040"/>
        <w:gridCol w:w="1800"/>
      </w:tblGrid>
      <w:tr>
        <w:trPr>
          <w:trHeight w:val="645"/>
        </w:trPr>
        <w:tc>
          <w:tcPr>
            <w:tcW w:w="2055"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Institution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Shift work</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Standby duty</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Arduous working conditions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center"/>
              <w:rPr>
                <w:rFonts w:ascii="Arial" w:hAnsi="Arial" w:cs="Arial"/>
                <w:b/>
                <w:bCs/>
                <w:noProof/>
                <w:sz w:val="20"/>
                <w:szCs w:val="20"/>
              </w:rPr>
            </w:pPr>
            <w:r>
              <w:rPr>
                <w:rFonts w:ascii="Arial" w:hAnsi="Arial"/>
                <w:b/>
                <w:bCs/>
                <w:noProof/>
                <w:sz w:val="20"/>
                <w:szCs w:val="20"/>
              </w:rPr>
              <w:t>Total</w:t>
            </w:r>
          </w:p>
        </w:tc>
      </w:tr>
      <w:tr>
        <w:trPr>
          <w:trHeight w:val="33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pPr>
              <w:spacing w:before="0" w:after="0"/>
              <w:jc w:val="left"/>
              <w:rPr>
                <w:rFonts w:ascii="Arial" w:hAnsi="Arial" w:cs="Arial"/>
                <w:noProof/>
                <w:sz w:val="20"/>
                <w:szCs w:val="20"/>
              </w:rPr>
            </w:pPr>
            <w:r>
              <w:rPr>
                <w:rFonts w:ascii="Arial" w:hAnsi="Arial"/>
                <w:noProof/>
                <w:sz w:val="20"/>
                <w:szCs w:val="20"/>
              </w:rPr>
              <w:t>Commission</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1 048 653.70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1 448 792.37</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587 286.38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3 084 732.45</w:t>
            </w:r>
          </w:p>
        </w:tc>
      </w:tr>
      <w:tr>
        <w:trPr>
          <w:trHeight w:val="330"/>
        </w:trPr>
        <w:tc>
          <w:tcPr>
            <w:tcW w:w="2055" w:type="dxa"/>
            <w:tcBorders>
              <w:top w:val="single" w:sz="4" w:space="0" w:color="auto"/>
              <w:left w:val="single" w:sz="8" w:space="0" w:color="auto"/>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 of which JRC:</w:t>
            </w:r>
          </w:p>
        </w:tc>
        <w:tc>
          <w:tcPr>
            <w:tcW w:w="192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238 496.39</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570 567.92</w:t>
            </w:r>
          </w:p>
        </w:tc>
        <w:tc>
          <w:tcPr>
            <w:tcW w:w="204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i/>
                <w:iCs/>
                <w:noProof/>
                <w:color w:val="808080"/>
                <w:sz w:val="20"/>
                <w:szCs w:val="20"/>
              </w:rPr>
            </w:pPr>
            <w:r>
              <w:rPr>
                <w:rFonts w:ascii="Arial" w:hAnsi="Arial"/>
                <w:i/>
                <w:iCs/>
                <w:noProof/>
                <w:color w:val="808080"/>
                <w:sz w:val="20"/>
                <w:szCs w:val="20"/>
              </w:rPr>
              <w:t>562 839.26</w:t>
            </w:r>
          </w:p>
        </w:tc>
        <w:tc>
          <w:tcPr>
            <w:tcW w:w="1800" w:type="dxa"/>
            <w:tcBorders>
              <w:top w:val="single" w:sz="4" w:space="0" w:color="auto"/>
              <w:left w:val="nil"/>
              <w:bottom w:val="single" w:sz="8" w:space="0" w:color="auto"/>
              <w:right w:val="single" w:sz="8" w:space="0" w:color="auto"/>
            </w:tcBorders>
            <w:shd w:val="clear" w:color="auto" w:fill="FFFFFF"/>
            <w:vAlign w:val="center"/>
          </w:tcPr>
          <w:p>
            <w:pPr>
              <w:spacing w:before="0" w:after="0"/>
              <w:jc w:val="left"/>
              <w:rPr>
                <w:rFonts w:ascii="Arial" w:hAnsi="Arial" w:cs="Arial"/>
                <w:b/>
                <w:i/>
                <w:iCs/>
                <w:noProof/>
                <w:color w:val="808080"/>
                <w:sz w:val="20"/>
                <w:szCs w:val="20"/>
              </w:rPr>
            </w:pPr>
            <w:r>
              <w:rPr>
                <w:rFonts w:ascii="Arial" w:hAnsi="Arial"/>
                <w:b/>
                <w:i/>
                <w:iCs/>
                <w:noProof/>
                <w:color w:val="808080"/>
                <w:sz w:val="20"/>
                <w:szCs w:val="20"/>
              </w:rPr>
              <w:t>1 371 903.57</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Council</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637 506.99</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242 336.00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879 842.99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Parliament</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4 861 738.73</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4 861 738.73</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Court of Justice</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60 065.09</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60 065.09</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Court of Auditors</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164 473.07</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13 829.08</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178 302.15</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EESC</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10 011.00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10 011.00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CoR</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20 022.00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13 159.26</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33 181.26</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EDPS</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8"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Ombudsman</w:t>
            </w:r>
          </w:p>
        </w:tc>
        <w:tc>
          <w:tcPr>
            <w:tcW w:w="192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204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8"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0</w:t>
            </w:r>
          </w:p>
        </w:tc>
      </w:tr>
      <w:tr>
        <w:trPr>
          <w:trHeight w:val="330"/>
        </w:trPr>
        <w:tc>
          <w:tcPr>
            <w:tcW w:w="2055" w:type="dxa"/>
            <w:tcBorders>
              <w:top w:val="nil"/>
              <w:left w:val="single" w:sz="8" w:space="0" w:color="auto"/>
              <w:bottom w:val="single" w:sz="2" w:space="0" w:color="auto"/>
              <w:right w:val="single" w:sz="8" w:space="0" w:color="auto"/>
            </w:tcBorders>
            <w:shd w:val="clear" w:color="auto" w:fill="auto"/>
            <w:vAlign w:val="center"/>
          </w:tcPr>
          <w:p>
            <w:pPr>
              <w:spacing w:before="0" w:after="0"/>
              <w:jc w:val="left"/>
              <w:rPr>
                <w:rFonts w:ascii="Arial" w:hAnsi="Arial" w:cs="Arial"/>
                <w:noProof/>
                <w:sz w:val="20"/>
                <w:szCs w:val="20"/>
              </w:rPr>
            </w:pPr>
            <w:r>
              <w:rPr>
                <w:rFonts w:ascii="Arial" w:hAnsi="Arial"/>
                <w:noProof/>
                <w:sz w:val="20"/>
                <w:szCs w:val="20"/>
              </w:rPr>
              <w:t>EEAS</w:t>
            </w:r>
          </w:p>
        </w:tc>
        <w:tc>
          <w:tcPr>
            <w:tcW w:w="192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217 847.34</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52 616.36</w:t>
            </w:r>
          </w:p>
        </w:tc>
        <w:tc>
          <w:tcPr>
            <w:tcW w:w="204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noProof/>
                <w:sz w:val="20"/>
                <w:szCs w:val="20"/>
              </w:rPr>
            </w:pPr>
            <w:r>
              <w:rPr>
                <w:rFonts w:ascii="Arial" w:hAnsi="Arial"/>
                <w:noProof/>
                <w:sz w:val="20"/>
                <w:szCs w:val="20"/>
              </w:rPr>
              <w:t>0</w:t>
            </w:r>
          </w:p>
        </w:tc>
        <w:tc>
          <w:tcPr>
            <w:tcW w:w="1800" w:type="dxa"/>
            <w:tcBorders>
              <w:top w:val="nil"/>
              <w:left w:val="nil"/>
              <w:bottom w:val="single" w:sz="2" w:space="0" w:color="auto"/>
              <w:right w:val="single" w:sz="8" w:space="0" w:color="auto"/>
            </w:tcBorders>
            <w:shd w:val="clear" w:color="auto" w:fill="auto"/>
            <w:vAlign w:val="center"/>
          </w:tcPr>
          <w:p>
            <w:pPr>
              <w:spacing w:before="0" w:after="0"/>
              <w:jc w:val="right"/>
              <w:rPr>
                <w:rFonts w:ascii="Arial" w:hAnsi="Arial" w:cs="Arial"/>
                <w:b/>
                <w:noProof/>
                <w:sz w:val="20"/>
                <w:szCs w:val="20"/>
              </w:rPr>
            </w:pPr>
            <w:r>
              <w:rPr>
                <w:rFonts w:ascii="Arial" w:hAnsi="Arial"/>
                <w:b/>
                <w:noProof/>
                <w:sz w:val="20"/>
                <w:szCs w:val="20"/>
              </w:rPr>
              <w:t>270 463.70</w:t>
            </w:r>
          </w:p>
        </w:tc>
      </w:tr>
      <w:tr>
        <w:trPr>
          <w:trHeight w:val="492"/>
        </w:trPr>
        <w:tc>
          <w:tcPr>
            <w:tcW w:w="2055"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Total</w:t>
            </w:r>
          </w:p>
        </w:tc>
        <w:tc>
          <w:tcPr>
            <w:tcW w:w="192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6 960 252.83</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1 830 798.16</w:t>
            </w:r>
          </w:p>
        </w:tc>
        <w:tc>
          <w:tcPr>
            <w:tcW w:w="204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587 286.38</w:t>
            </w:r>
          </w:p>
        </w:tc>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pPr>
              <w:spacing w:before="0" w:after="0"/>
              <w:jc w:val="right"/>
              <w:rPr>
                <w:rFonts w:ascii="Arial" w:hAnsi="Arial" w:cs="Arial"/>
                <w:b/>
                <w:bCs/>
                <w:noProof/>
                <w:sz w:val="20"/>
                <w:szCs w:val="20"/>
              </w:rPr>
            </w:pPr>
            <w:r>
              <w:rPr>
                <w:rFonts w:ascii="Arial" w:hAnsi="Arial"/>
                <w:b/>
                <w:bCs/>
                <w:noProof/>
                <w:sz w:val="20"/>
                <w:szCs w:val="20"/>
              </w:rPr>
              <w:t>9 378 337.37</w:t>
            </w:r>
          </w:p>
        </w:tc>
      </w:tr>
    </w:tbl>
    <w:p>
      <w:pPr>
        <w:spacing w:before="240"/>
        <w:rPr>
          <w:noProof/>
        </w:rPr>
      </w:pPr>
      <w:r>
        <w:rPr>
          <w:noProof/>
        </w:rPr>
        <w:t xml:space="preserve">The amount spent on the three allowances in all the European Institutions stood at EUR 9 378 337.37 in 2018 (EUR 8 118 966.55 in 2017).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color w:val="7F7F7F" w:themeColor="text1" w:themeTint="80"/>
      </w:rPr>
    </w:pPr>
    <w:r>
      <w:rPr>
        <w:caps/>
        <w:color w:val="7F7F7F" w:themeColor="text1" w:themeTint="80"/>
      </w:rPr>
      <w:fldChar w:fldCharType="begin"/>
    </w:r>
    <w:r>
      <w:rPr>
        <w:caps/>
        <w:color w:val="7F7F7F" w:themeColor="text1" w:themeTint="80"/>
      </w:rPr>
      <w:instrText xml:space="preserve"> PAGE   \* MERGEFORMAT </w:instrText>
    </w:r>
    <w:r>
      <w:rPr>
        <w:caps/>
        <w:color w:val="7F7F7F" w:themeColor="text1" w:themeTint="80"/>
      </w:rPr>
      <w:fldChar w:fldCharType="separate"/>
    </w:r>
    <w:r>
      <w:rPr>
        <w:caps/>
        <w:noProof/>
        <w:color w:val="7F7F7F" w:themeColor="text1" w:themeTint="80"/>
      </w:rPr>
      <w:t>1</w:t>
    </w:r>
    <w:r>
      <w:rPr>
        <w:caps/>
        <w:noProof/>
        <w:color w:val="7F7F7F" w:themeColor="text1" w:themeTint="80"/>
      </w:rPr>
      <w:fldChar w:fldCharType="end"/>
    </w:r>
  </w:p>
  <w:p>
    <w:pPr>
      <w:pStyle w:val="Footer"/>
      <w:rPr>
        <w:lang w:val="fr-B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ListParagraph"/>
        <w:ind w:left="0"/>
        <w:jc w:val="both"/>
      </w:pPr>
      <w:r>
        <w:rPr>
          <w:rStyle w:val="FootnoteReference"/>
          <w:rFonts w:ascii="Times New Roman" w:hAnsi="Times New Roman" w:cs="Times New Roman"/>
          <w:sz w:val="20"/>
          <w:szCs w:val="20"/>
        </w:rPr>
        <w:footnoteRef/>
      </w:r>
      <w:r>
        <w:rPr>
          <w:sz w:val="20"/>
          <w:szCs w:val="20"/>
        </w:rPr>
        <w:t xml:space="preserve"> </w:t>
      </w:r>
      <w:r>
        <w:rPr>
          <w:rFonts w:ascii="Times New Roman" w:hAnsi="Times New Roman" w:cs="Times New Roman"/>
          <w:sz w:val="20"/>
          <w:szCs w:val="20"/>
        </w:rPr>
        <w:t>At OLAF, standby duty is carried out 24/7 by 0.33 AD/0.33 SC/AST/0.33 FG I (total = 1 beneficiary) from the security standby team.</w:t>
      </w:r>
    </w:p>
  </w:footnote>
  <w:footnote w:id="2">
    <w:p>
      <w:pPr>
        <w:pStyle w:val="FootnoteText"/>
      </w:pPr>
      <w:r>
        <w:rPr>
          <w:rStyle w:val="FootnoteReference"/>
        </w:rPr>
        <w:footnoteRef/>
      </w:r>
      <w:r>
        <w:t xml:space="preserve"> Article 3 of Council Regulation No 858/2004.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11664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30D8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807A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FCEA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DCA37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82E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F04D12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0EAE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8D241E"/>
    <w:multiLevelType w:val="hybridMultilevel"/>
    <w:tmpl w:val="074EA93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3">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4">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5">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9">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2">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4">
    <w:nsid w:val="6CFA7791"/>
    <w:multiLevelType w:val="hybridMultilevel"/>
    <w:tmpl w:val="159690E8"/>
    <w:lvl w:ilvl="0" w:tplc="2544F14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7"/>
  </w:num>
  <w:num w:numId="2">
    <w:abstractNumId w:val="11"/>
  </w:num>
  <w:num w:numId="3">
    <w:abstractNumId w:val="20"/>
  </w:num>
  <w:num w:numId="4">
    <w:abstractNumId w:val="19"/>
  </w:num>
  <w:num w:numId="5">
    <w:abstractNumId w:val="16"/>
  </w:num>
  <w:num w:numId="6">
    <w:abstractNumId w:val="23"/>
  </w:num>
  <w:num w:numId="7">
    <w:abstractNumId w:val="26"/>
  </w:num>
  <w:num w:numId="8">
    <w:abstractNumId w:val="25"/>
  </w:num>
  <w:num w:numId="9">
    <w:abstractNumId w:val="27"/>
  </w:num>
  <w:num w:numId="10">
    <w:abstractNumId w:val="13"/>
  </w:num>
  <w:num w:numId="11">
    <w:abstractNumId w:val="12"/>
  </w:num>
  <w:num w:numId="12">
    <w:abstractNumId w:val="21"/>
  </w:num>
  <w:num w:numId="13">
    <w:abstractNumId w:val="14"/>
  </w:num>
  <w:num w:numId="14">
    <w:abstractNumId w:val="18"/>
  </w:num>
  <w:num w:numId="15">
    <w:abstractNumId w:val="6"/>
  </w:num>
  <w:num w:numId="16">
    <w:abstractNumId w:val="2"/>
  </w:num>
  <w:num w:numId="17">
    <w:abstractNumId w:val="1"/>
  </w:num>
  <w:num w:numId="18">
    <w:abstractNumId w:val="0"/>
  </w:num>
  <w:num w:numId="19">
    <w:abstractNumId w:val="7"/>
  </w:num>
  <w:num w:numId="20">
    <w:abstractNumId w:val="5"/>
  </w:num>
  <w:num w:numId="21">
    <w:abstractNumId w:val="4"/>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5"/>
  </w:num>
  <w:num w:numId="26">
    <w:abstractNumId w:val="22"/>
  </w:num>
  <w:num w:numId="27">
    <w:abstractNumId w:val="24"/>
  </w:num>
  <w:num w:numId="28">
    <w:abstractNumId w:val="24"/>
  </w:num>
  <w:num w:numId="2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18433"/>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CORRIGENDUM" w:val="&lt;UNUSED&gt;"/>
    <w:docVar w:name="LW_COVERPAGE_EXISTS" w:val="True"/>
    <w:docVar w:name="LW_COVERPAGE_GUID" w:val="DAFDD6BF-E71A-44FC-BE43-CFD9B78E462E"/>
    <w:docVar w:name="LW_COVERPAGE_TYPE" w:val="1"/>
    <w:docVar w:name="LW_CROSSREFERENCE" w:val="&lt;UNUSED&gt;"/>
    <w:docVar w:name="LW_DocType" w:val="NORMAL"/>
    <w:docVar w:name="LW_EMISSION" w:val="8.10.2020"/>
    <w:docVar w:name="LW_EMISSION_ISODATE" w:val="2020-10-08"/>
    <w:docVar w:name="LW_EMISSION_LOCATION" w:val="BRX"/>
    <w:docVar w:name="LW_EMISSION_PREFIX" w:val="Brussels, "/>
    <w:docVar w:name="LW_EMISSION_SUFFIX" w:val=" "/>
    <w:docVar w:name="LW_ID_DOCTYPE_NONLW" w:val="CP-005"/>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on the use made in 2018 by the institutions of Council Regulations No 495/77, last amended by Regulation No 1945/2006 (on standby duty), No 858/2004 (on particularly arduous working conditions), and No 300/76, last amended by Regulation No 1873/2006 (on shift work)&lt;/FMT&gt;"/>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val="en-GB"/>
    </w:rPr>
  </w:style>
  <w:style w:type="paragraph" w:styleId="Heading1">
    <w:name w:val="heading 1"/>
    <w:basedOn w:val="Normal"/>
    <w:next w:val="Normal"/>
    <w:link w:val="Heading1Char"/>
    <w:uiPriority w:val="9"/>
    <w:qFormat/>
    <w:pPr>
      <w:keepNext/>
      <w:numPr>
        <w:numId w:val="7"/>
      </w:numPr>
      <w:spacing w:before="360"/>
      <w:outlineLvl w:val="0"/>
    </w:pPr>
    <w:rPr>
      <w:b/>
      <w:bCs/>
      <w:smallCaps/>
      <w:szCs w:val="32"/>
    </w:rPr>
  </w:style>
  <w:style w:type="paragraph" w:styleId="Heading2">
    <w:name w:val="heading 2"/>
    <w:basedOn w:val="Normal"/>
    <w:next w:val="Normal"/>
    <w:link w:val="Heading2Char"/>
    <w:uiPriority w:val="9"/>
    <w:qFormat/>
    <w:pPr>
      <w:keepNext/>
      <w:numPr>
        <w:ilvl w:val="1"/>
        <w:numId w:val="7"/>
      </w:numPr>
      <w:outlineLvl w:val="1"/>
    </w:pPr>
    <w:rPr>
      <w:b/>
      <w:bCs/>
      <w:iCs/>
      <w:szCs w:val="28"/>
    </w:rPr>
  </w:style>
  <w:style w:type="paragraph" w:styleId="Heading3">
    <w:name w:val="heading 3"/>
    <w:basedOn w:val="Normal"/>
    <w:next w:val="Normal"/>
    <w:link w:val="Heading3Char"/>
    <w:uiPriority w:val="9"/>
    <w:qFormat/>
    <w:pPr>
      <w:keepNext/>
      <w:numPr>
        <w:ilvl w:val="2"/>
        <w:numId w:val="7"/>
      </w:numPr>
      <w:outlineLvl w:val="2"/>
    </w:pPr>
    <w:rPr>
      <w:bCs/>
      <w:i/>
      <w:szCs w:val="26"/>
    </w:rPr>
  </w:style>
  <w:style w:type="paragraph" w:styleId="Heading4">
    <w:name w:val="heading 4"/>
    <w:basedOn w:val="Normal"/>
    <w:next w:val="Normal"/>
    <w:link w:val="Heading4Char"/>
    <w:uiPriority w:val="9"/>
    <w:qFormat/>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szCs w:val="22"/>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link w:val="HeaderChar"/>
    <w:uiPriority w:val="99"/>
    <w:unhideWhenUsed/>
    <w:pPr>
      <w:tabs>
        <w:tab w:val="center" w:pos="4535"/>
        <w:tab w:val="right" w:pos="9071"/>
      </w:tabs>
      <w:spacing w:before="0"/>
    </w:pPr>
    <w:rPr>
      <w:rFonts w:eastAsia="Calibri"/>
      <w:szCs w:val="22"/>
    </w:rPr>
  </w:style>
  <w:style w:type="paragraph" w:customStyle="1" w:styleId="HeaderLandscape">
    <w:name w:val="HeaderLandscape"/>
    <w:basedOn w:val="Normal"/>
    <w:pPr>
      <w:tabs>
        <w:tab w:val="center" w:pos="7285"/>
        <w:tab w:val="right" w:pos="14003"/>
      </w:tabs>
      <w:spacing w:before="0"/>
    </w:pPr>
    <w:rPr>
      <w:rFonts w:eastAsia="Calibri"/>
      <w:szCs w:val="22"/>
    </w:r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8"/>
      </w:numPr>
    </w:pPr>
  </w:style>
  <w:style w:type="paragraph" w:customStyle="1" w:styleId="NumPar2">
    <w:name w:val="NumPar 2"/>
    <w:basedOn w:val="Normal"/>
    <w:next w:val="Normal"/>
    <w:pPr>
      <w:numPr>
        <w:ilvl w:val="1"/>
        <w:numId w:val="8"/>
      </w:numPr>
    </w:pPr>
  </w:style>
  <w:style w:type="paragraph" w:customStyle="1" w:styleId="NumPar3">
    <w:name w:val="NumPar 3"/>
    <w:basedOn w:val="Normal"/>
    <w:next w:val="Normal"/>
    <w:pPr>
      <w:numPr>
        <w:ilvl w:val="2"/>
        <w:numId w:val="8"/>
      </w:numPr>
    </w:pPr>
  </w:style>
  <w:style w:type="paragraph" w:customStyle="1" w:styleId="NumPar4">
    <w:name w:val="NumPar 4"/>
    <w:basedOn w:val="Normal"/>
    <w:next w:val="Normal"/>
    <w:pPr>
      <w:numPr>
        <w:ilvl w:val="3"/>
        <w:numId w:val="8"/>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9"/>
      </w:numPr>
    </w:pPr>
  </w:style>
  <w:style w:type="paragraph" w:customStyle="1" w:styleId="Point0number">
    <w:name w:val="Point 0 (number)"/>
    <w:basedOn w:val="Normal"/>
    <w:pPr>
      <w:numPr>
        <w:numId w:val="9"/>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9"/>
      </w:numPr>
    </w:pPr>
  </w:style>
  <w:style w:type="paragraph" w:customStyle="1" w:styleId="Point1number">
    <w:name w:val="Point 1 (number)"/>
    <w:basedOn w:val="Normal"/>
    <w:pPr>
      <w:numPr>
        <w:ilvl w:val="2"/>
        <w:numId w:val="9"/>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9"/>
      </w:numPr>
    </w:pPr>
  </w:style>
  <w:style w:type="paragraph" w:customStyle="1" w:styleId="Point2number">
    <w:name w:val="Point 2 (number)"/>
    <w:basedOn w:val="Normal"/>
    <w:pPr>
      <w:numPr>
        <w:ilvl w:val="4"/>
        <w:numId w:val="9"/>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9"/>
      </w:numPr>
    </w:pPr>
  </w:style>
  <w:style w:type="paragraph" w:customStyle="1" w:styleId="Point3number">
    <w:name w:val="Point 3 (number)"/>
    <w:basedOn w:val="Normal"/>
    <w:pPr>
      <w:numPr>
        <w:ilvl w:val="6"/>
        <w:numId w:val="9"/>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semiHidden/>
    <w:pPr>
      <w:tabs>
        <w:tab w:val="right" w:leader="dot" w:pos="9071"/>
      </w:tabs>
      <w:spacing w:before="60"/>
      <w:ind w:left="850" w:hanging="850"/>
      <w:jc w:val="left"/>
    </w:pPr>
  </w:style>
  <w:style w:type="paragraph" w:styleId="TOC2">
    <w:name w:val="toc 2"/>
    <w:basedOn w:val="Normal"/>
    <w:next w:val="Normal"/>
    <w:uiPriority w:val="39"/>
    <w:semiHidden/>
    <w:pPr>
      <w:tabs>
        <w:tab w:val="right" w:leader="dot" w:pos="9071"/>
      </w:tabs>
      <w:spacing w:before="60"/>
      <w:ind w:left="850" w:hanging="850"/>
      <w:jc w:val="left"/>
    </w:pPr>
  </w:style>
  <w:style w:type="paragraph" w:styleId="TOC3">
    <w:name w:val="toc 3"/>
    <w:basedOn w:val="Normal"/>
    <w:next w:val="Normal"/>
    <w:uiPriority w:val="39"/>
    <w:semiHidden/>
    <w:pPr>
      <w:tabs>
        <w:tab w:val="right" w:leader="dot" w:pos="9071"/>
      </w:tabs>
      <w:spacing w:before="60"/>
      <w:ind w:left="850" w:hanging="850"/>
      <w:jc w:val="left"/>
    </w:pPr>
  </w:style>
  <w:style w:type="paragraph" w:styleId="TOC4">
    <w:name w:val="toc 4"/>
    <w:basedOn w:val="Normal"/>
    <w:next w:val="Normal"/>
    <w:uiPriority w:val="39"/>
    <w:semiHidden/>
    <w:pPr>
      <w:tabs>
        <w:tab w:val="right" w:leader="dot" w:pos="9071"/>
      </w:tabs>
      <w:spacing w:before="60"/>
      <w:ind w:left="850" w:hanging="850"/>
      <w:jc w:val="left"/>
    </w:pPr>
  </w:style>
  <w:style w:type="paragraph" w:styleId="TOC5">
    <w:name w:val="toc 5"/>
    <w:basedOn w:val="Normal"/>
    <w:next w:val="Normal"/>
    <w:uiPriority w:val="39"/>
    <w:semiHidden/>
    <w:pPr>
      <w:tabs>
        <w:tab w:val="right" w:leader="dot" w:pos="9071"/>
      </w:tabs>
      <w:spacing w:before="300"/>
      <w:jc w:val="left"/>
    </w:pPr>
  </w:style>
  <w:style w:type="paragraph" w:styleId="TOC6">
    <w:name w:val="toc 6"/>
    <w:basedOn w:val="Normal"/>
    <w:next w:val="Normal"/>
    <w:uiPriority w:val="39"/>
    <w:semiHidden/>
    <w:pPr>
      <w:tabs>
        <w:tab w:val="right" w:leader="dot" w:pos="9071"/>
      </w:tabs>
      <w:spacing w:before="240"/>
      <w:jc w:val="left"/>
    </w:pPr>
  </w:style>
  <w:style w:type="paragraph" w:styleId="TOC7">
    <w:name w:val="toc 7"/>
    <w:basedOn w:val="Normal"/>
    <w:next w:val="Normal"/>
    <w:uiPriority w:val="39"/>
    <w:semiHidden/>
    <w:pPr>
      <w:tabs>
        <w:tab w:val="right" w:leader="dot" w:pos="9071"/>
      </w:tabs>
      <w:spacing w:before="180"/>
      <w:jc w:val="left"/>
    </w:pPr>
  </w:style>
  <w:style w:type="paragraph" w:styleId="TOC8">
    <w:name w:val="toc 8"/>
    <w:basedOn w:val="Normal"/>
    <w:next w:val="Normal"/>
    <w:uiPriority w:val="39"/>
    <w:semiHidden/>
    <w:pPr>
      <w:tabs>
        <w:tab w:val="right" w:leader="dot" w:pos="9071"/>
      </w:tabs>
      <w:jc w:val="left"/>
    </w:pPr>
  </w:style>
  <w:style w:type="paragraph" w:styleId="TOC9">
    <w:name w:val="toc 9"/>
    <w:basedOn w:val="Normal"/>
    <w:next w:val="Normal"/>
    <w:uiPriority w:val="39"/>
    <w:semiHidden/>
    <w:pPr>
      <w:tabs>
        <w:tab w:val="right" w:leader="dot" w:pos="9071"/>
      </w:tabs>
    </w:pPr>
  </w:style>
  <w:style w:type="paragraph" w:styleId="TOCHeading">
    <w:name w:val="TOC Heading"/>
    <w:basedOn w:val="Normal"/>
    <w:next w:val="Normal"/>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link w:val="TypedudocumentChar"/>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styleId="Caption">
    <w:name w:val="caption"/>
    <w:basedOn w:val="Normal"/>
    <w:next w:val="Normal"/>
    <w:qFormat/>
    <w:rPr>
      <w:b/>
      <w:bCs/>
      <w:sz w:val="20"/>
      <w:szCs w:val="20"/>
      <w:lang w:eastAsia="en-GB"/>
    </w:rPr>
  </w:style>
  <w:style w:type="paragraph" w:styleId="TableofFigures">
    <w:name w:val="table of figures"/>
    <w:basedOn w:val="Normal"/>
    <w:next w:val="Normal"/>
    <w:rPr>
      <w:szCs w:val="22"/>
      <w:lang w:eastAsia="en-GB"/>
    </w:rPr>
  </w:style>
  <w:style w:type="character" w:styleId="CommentReference">
    <w:name w:val="annotation reference"/>
    <w:rPr>
      <w:sz w:val="16"/>
      <w:szCs w:val="16"/>
      <w:shd w:val="clear" w:color="auto" w:fill="auto"/>
    </w:rPr>
  </w:style>
  <w:style w:type="paragraph" w:styleId="ListNumber">
    <w:name w:val="List Number"/>
    <w:basedOn w:val="Normal"/>
    <w:pPr>
      <w:numPr>
        <w:numId w:val="15"/>
      </w:numPr>
    </w:pPr>
    <w:rPr>
      <w:szCs w:val="22"/>
      <w:lang w:eastAsia="en-GB"/>
    </w:rPr>
  </w:style>
  <w:style w:type="paragraph" w:styleId="ListNumber2">
    <w:name w:val="List Number 2"/>
    <w:basedOn w:val="Normal"/>
    <w:pPr>
      <w:numPr>
        <w:numId w:val="16"/>
      </w:numPr>
    </w:pPr>
    <w:rPr>
      <w:szCs w:val="22"/>
      <w:lang w:eastAsia="en-GB"/>
    </w:rPr>
  </w:style>
  <w:style w:type="paragraph" w:styleId="ListNumber3">
    <w:name w:val="List Number 3"/>
    <w:basedOn w:val="Normal"/>
    <w:pPr>
      <w:numPr>
        <w:numId w:val="17"/>
      </w:numPr>
    </w:pPr>
    <w:rPr>
      <w:szCs w:val="22"/>
      <w:lang w:eastAsia="en-GB"/>
    </w:rPr>
  </w:style>
  <w:style w:type="paragraph" w:styleId="ListNumber4">
    <w:name w:val="List Number 4"/>
    <w:basedOn w:val="Normal"/>
    <w:pPr>
      <w:numPr>
        <w:numId w:val="18"/>
      </w:numPr>
    </w:pPr>
    <w:rPr>
      <w:szCs w:val="22"/>
      <w:lang w:eastAsia="en-GB"/>
    </w:rPr>
  </w:style>
  <w:style w:type="paragraph" w:styleId="ListBullet">
    <w:name w:val="List Bullet"/>
    <w:basedOn w:val="Normal"/>
    <w:pPr>
      <w:numPr>
        <w:numId w:val="19"/>
      </w:numPr>
    </w:pPr>
    <w:rPr>
      <w:szCs w:val="22"/>
      <w:lang w:eastAsia="en-GB"/>
    </w:rPr>
  </w:style>
  <w:style w:type="paragraph" w:styleId="ListBullet2">
    <w:name w:val="List Bullet 2"/>
    <w:basedOn w:val="Normal"/>
    <w:pPr>
      <w:numPr>
        <w:numId w:val="20"/>
      </w:numPr>
    </w:pPr>
    <w:rPr>
      <w:szCs w:val="22"/>
      <w:lang w:eastAsia="en-GB"/>
    </w:rPr>
  </w:style>
  <w:style w:type="paragraph" w:styleId="ListBullet3">
    <w:name w:val="List Bullet 3"/>
    <w:basedOn w:val="Normal"/>
    <w:pPr>
      <w:numPr>
        <w:numId w:val="21"/>
      </w:numPr>
    </w:pPr>
    <w:rPr>
      <w:szCs w:val="22"/>
      <w:lang w:eastAsia="en-GB"/>
    </w:rPr>
  </w:style>
  <w:style w:type="paragraph" w:styleId="ListBullet4">
    <w:name w:val="List Bullet 4"/>
    <w:basedOn w:val="Normal"/>
    <w:pPr>
      <w:numPr>
        <w:numId w:val="22"/>
      </w:numPr>
    </w:pPr>
    <w:rPr>
      <w:szCs w:val="22"/>
      <w:lang w:eastAsia="en-GB"/>
    </w:rPr>
  </w:style>
  <w:style w:type="paragraph" w:styleId="CommentText">
    <w:name w:val="annotation text"/>
    <w:basedOn w:val="Normal"/>
    <w:link w:val="CommentTextChar"/>
    <w:rPr>
      <w:sz w:val="20"/>
      <w:szCs w:val="20"/>
      <w:lang w:eastAsia="en-GB"/>
    </w:rPr>
  </w:style>
  <w:style w:type="character" w:customStyle="1" w:styleId="CommentTextChar">
    <w:name w:val="Comment Text Char"/>
    <w:link w:val="CommentText"/>
    <w:rPr>
      <w:shd w:val="clear" w:color="auto" w:fill="auto"/>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val="en-GB"/>
    </w:rPr>
  </w:style>
  <w:style w:type="character" w:styleId="Hyperlink">
    <w:name w:val="Hyperlink"/>
    <w:rPr>
      <w:color w:val="0000FF"/>
      <w:u w:val="single"/>
      <w:shd w:val="clear" w:color="auto" w:fill="auto"/>
    </w:rPr>
  </w:style>
  <w:style w:type="paragraph" w:styleId="BalloonText">
    <w:name w:val="Balloon Text"/>
    <w:basedOn w:val="Normal"/>
    <w:link w:val="BalloonTextChar"/>
    <w:rPr>
      <w:rFonts w:ascii="Tahoma" w:hAnsi="Tahoma" w:cs="Tahoma"/>
      <w:sz w:val="16"/>
      <w:szCs w:val="16"/>
      <w:lang w:eastAsia="en-GB"/>
    </w:rPr>
  </w:style>
  <w:style w:type="character" w:customStyle="1" w:styleId="BalloonTextChar">
    <w:name w:val="Balloon Text Char"/>
    <w:link w:val="BalloonText"/>
    <w:rPr>
      <w:rFonts w:ascii="Tahoma" w:hAnsi="Tahoma" w:cs="Tahoma"/>
      <w:sz w:val="16"/>
      <w:szCs w:val="16"/>
      <w:shd w:val="clear" w:color="auto" w:fill="auto"/>
      <w:lang w:val="en-GB"/>
    </w:rPr>
  </w:style>
  <w:style w:type="character" w:styleId="FollowedHyperlink">
    <w:name w:val="FollowedHyperlink"/>
    <w:rPr>
      <w:color w:val="800080"/>
      <w:u w:val="single"/>
      <w:shd w:val="clear" w:color="auto" w:fill="auto"/>
    </w:rPr>
  </w:style>
  <w:style w:type="character" w:styleId="PageNumber">
    <w:name w:val="page number"/>
    <w:rPr>
      <w:shd w:val="clear" w:color="auto" w:fill="auto"/>
    </w:rPr>
  </w:style>
  <w:style w:type="paragraph" w:styleId="Revision">
    <w:name w:val="Revision"/>
    <w:hidden/>
    <w:uiPriority w:val="99"/>
    <w:semiHidden/>
    <w:pPr>
      <w:spacing w:after="200" w:line="276" w:lineRule="auto"/>
    </w:pPr>
    <w:rPr>
      <w:sz w:val="24"/>
      <w:szCs w:val="24"/>
      <w:lang w:val="en-GB"/>
    </w:rPr>
  </w:style>
  <w:style w:type="character" w:customStyle="1" w:styleId="HeaderChar">
    <w:name w:val="Header Char"/>
    <w:link w:val="Header"/>
    <w:uiPriority w:val="99"/>
    <w:rPr>
      <w:rFonts w:eastAsia="Calibri"/>
      <w:sz w:val="24"/>
      <w:szCs w:val="22"/>
      <w:lang w:eastAsia="en-US"/>
    </w:rPr>
  </w:style>
  <w:style w:type="character" w:customStyle="1" w:styleId="FooterChar">
    <w:name w:val="Footer Char"/>
    <w:link w:val="Footer"/>
    <w:uiPriority w:val="99"/>
    <w:rPr>
      <w:rFonts w:eastAsia="Calibri"/>
      <w:sz w:val="24"/>
      <w:szCs w:val="22"/>
      <w:lang w:eastAsia="en-US"/>
    </w:rPr>
  </w:style>
  <w:style w:type="character" w:customStyle="1" w:styleId="FootnoteTextChar">
    <w:name w:val="Footnote Text Char"/>
    <w:link w:val="FootnoteText"/>
    <w:uiPriority w:val="99"/>
    <w:semiHidden/>
    <w:rPr>
      <w:lang w:eastAsia="en-US"/>
    </w:rPr>
  </w:style>
  <w:style w:type="character" w:customStyle="1" w:styleId="Heading1Char">
    <w:name w:val="Heading 1 Char"/>
    <w:link w:val="Heading1"/>
    <w:uiPriority w:val="9"/>
    <w:rPr>
      <w:b/>
      <w:bCs/>
      <w:smallCaps/>
      <w:sz w:val="24"/>
      <w:szCs w:val="32"/>
      <w:lang w:eastAsia="en-US"/>
    </w:rPr>
  </w:style>
  <w:style w:type="character" w:customStyle="1" w:styleId="Heading2Char">
    <w:name w:val="Heading 2 Char"/>
    <w:link w:val="Heading2"/>
    <w:uiPriority w:val="9"/>
    <w:rPr>
      <w:b/>
      <w:bCs/>
      <w:iCs/>
      <w:sz w:val="24"/>
      <w:szCs w:val="28"/>
      <w:lang w:eastAsia="en-US"/>
    </w:rPr>
  </w:style>
  <w:style w:type="character" w:customStyle="1" w:styleId="Heading3Char">
    <w:name w:val="Heading 3 Char"/>
    <w:link w:val="Heading3"/>
    <w:uiPriority w:val="9"/>
    <w:rPr>
      <w:bCs/>
      <w:i/>
      <w:sz w:val="24"/>
      <w:szCs w:val="26"/>
      <w:lang w:eastAsia="en-US"/>
    </w:rPr>
  </w:style>
  <w:style w:type="character" w:customStyle="1" w:styleId="Heading4Char">
    <w:name w:val="Heading 4 Char"/>
    <w:link w:val="Heading4"/>
    <w:uiPriority w:val="9"/>
    <w:rPr>
      <w:bCs/>
      <w:sz w:val="24"/>
      <w:szCs w:val="28"/>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Pr>
      <w:b/>
      <w:sz w:val="24"/>
      <w:szCs w:val="24"/>
      <w:shd w:val="clear" w:color="auto" w:fill="auto"/>
      <w:lang w:eastAsia="en-US"/>
    </w:rPr>
  </w:style>
  <w:style w:type="character" w:customStyle="1" w:styleId="FooterCoverPageChar">
    <w:name w:val="Footer Cover Page Char"/>
    <w:link w:val="FooterCoverPage"/>
    <w:rPr>
      <w:sz w:val="24"/>
      <w:szCs w:val="24"/>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val="en-GB"/>
    </w:rPr>
  </w:style>
  <w:style w:type="paragraph" w:styleId="ListParagraph">
    <w:name w:val="List Paragraph"/>
    <w:basedOn w:val="Normal"/>
    <w:uiPriority w:val="34"/>
    <w:qFormat/>
    <w:pPr>
      <w:spacing w:before="0" w:after="0"/>
      <w:ind w:left="720"/>
      <w:jc w:val="left"/>
    </w:pPr>
    <w:rPr>
      <w:rFonts w:ascii="Calibri" w:eastAsia="Calibri" w:hAnsi="Calibri" w:cs="Calibri"/>
      <w:sz w:val="22"/>
      <w:szCs w:val="22"/>
    </w:rPr>
  </w:style>
  <w:style w:type="paragraph" w:customStyle="1" w:styleId="Declassification">
    <w:name w:val="Declassification"/>
    <w:basedOn w:val="Normal"/>
    <w:next w:val="Normal"/>
    <w:pPr>
      <w:spacing w:before="0" w:after="0"/>
    </w:pPr>
    <w:rPr>
      <w:rFonts w:eastAsia="Calibr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SecurityMarking">
    <w:name w:val="SecurityMarking"/>
    <w:basedOn w:val="Normal"/>
    <w:pPr>
      <w:spacing w:before="0" w:after="0" w:line="276" w:lineRule="auto"/>
      <w:ind w:left="5103"/>
      <w:jc w:val="left"/>
    </w:pPr>
    <w:rPr>
      <w:rFonts w:eastAsia="Calibri"/>
      <w:sz w:val="28"/>
      <w:szCs w:val="22"/>
    </w:rPr>
  </w:style>
  <w:style w:type="paragraph" w:customStyle="1" w:styleId="DateMarking">
    <w:name w:val="DateMarking"/>
    <w:basedOn w:val="Normal"/>
    <w:pPr>
      <w:spacing w:before="0" w:after="0" w:line="276" w:lineRule="auto"/>
      <w:ind w:left="5103"/>
      <w:jc w:val="left"/>
    </w:pPr>
    <w:rPr>
      <w:rFonts w:eastAsia="Calibri"/>
      <w:i/>
      <w:sz w:val="28"/>
      <w:szCs w:val="22"/>
    </w:rPr>
  </w:style>
  <w:style w:type="paragraph" w:customStyle="1" w:styleId="ReleasableTo">
    <w:name w:val="ReleasableTo"/>
    <w:basedOn w:val="Normal"/>
    <w:pPr>
      <w:spacing w:before="0" w:after="0" w:line="276" w:lineRule="auto"/>
      <w:ind w:left="5103"/>
      <w:jc w:val="left"/>
    </w:pPr>
    <w:rPr>
      <w:rFonts w:eastAsia="Calibri"/>
      <w:i/>
      <w:sz w:val="28"/>
      <w:szCs w:val="22"/>
    </w:rPr>
  </w:style>
  <w:style w:type="paragraph" w:customStyle="1" w:styleId="HeaderSensitivityRight">
    <w:name w:val="Header Sensitivity Right"/>
    <w:basedOn w:val="Normal"/>
    <w:pPr>
      <w:spacing w:before="0"/>
      <w:jc w:val="right"/>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90357">
      <w:bodyDiv w:val="1"/>
      <w:marLeft w:val="0"/>
      <w:marRight w:val="0"/>
      <w:marTop w:val="0"/>
      <w:marBottom w:val="0"/>
      <w:divBdr>
        <w:top w:val="none" w:sz="0" w:space="0" w:color="auto"/>
        <w:left w:val="none" w:sz="0" w:space="0" w:color="auto"/>
        <w:bottom w:val="none" w:sz="0" w:space="0" w:color="auto"/>
        <w:right w:val="none" w:sz="0" w:space="0" w:color="auto"/>
      </w:divBdr>
    </w:div>
    <w:div w:id="604657675">
      <w:bodyDiv w:val="1"/>
      <w:marLeft w:val="0"/>
      <w:marRight w:val="0"/>
      <w:marTop w:val="0"/>
      <w:marBottom w:val="0"/>
      <w:divBdr>
        <w:top w:val="none" w:sz="0" w:space="0" w:color="auto"/>
        <w:left w:val="none" w:sz="0" w:space="0" w:color="auto"/>
        <w:bottom w:val="none" w:sz="0" w:space="0" w:color="auto"/>
        <w:right w:val="none" w:sz="0" w:space="0" w:color="auto"/>
      </w:divBdr>
    </w:div>
    <w:div w:id="741832189">
      <w:bodyDiv w:val="1"/>
      <w:marLeft w:val="0"/>
      <w:marRight w:val="0"/>
      <w:marTop w:val="0"/>
      <w:marBottom w:val="0"/>
      <w:divBdr>
        <w:top w:val="none" w:sz="0" w:space="0" w:color="auto"/>
        <w:left w:val="none" w:sz="0" w:space="0" w:color="auto"/>
        <w:bottom w:val="none" w:sz="0" w:space="0" w:color="auto"/>
        <w:right w:val="none" w:sz="0" w:space="0" w:color="auto"/>
      </w:divBdr>
    </w:div>
    <w:div w:id="941911499">
      <w:bodyDiv w:val="1"/>
      <w:marLeft w:val="0"/>
      <w:marRight w:val="0"/>
      <w:marTop w:val="0"/>
      <w:marBottom w:val="0"/>
      <w:divBdr>
        <w:top w:val="none" w:sz="0" w:space="0" w:color="auto"/>
        <w:left w:val="none" w:sz="0" w:space="0" w:color="auto"/>
        <w:bottom w:val="none" w:sz="0" w:space="0" w:color="auto"/>
        <w:right w:val="none" w:sz="0" w:space="0" w:color="auto"/>
      </w:divBdr>
    </w:div>
    <w:div w:id="1666660806">
      <w:bodyDiv w:val="1"/>
      <w:marLeft w:val="0"/>
      <w:marRight w:val="0"/>
      <w:marTop w:val="0"/>
      <w:marBottom w:val="0"/>
      <w:divBdr>
        <w:top w:val="none" w:sz="0" w:space="0" w:color="auto"/>
        <w:left w:val="none" w:sz="0" w:space="0" w:color="auto"/>
        <w:bottom w:val="none" w:sz="0" w:space="0" w:color="auto"/>
        <w:right w:val="none" w:sz="0" w:space="0" w:color="auto"/>
      </w:divBdr>
      <w:divsChild>
        <w:div w:id="117720648">
          <w:marLeft w:val="0"/>
          <w:marRight w:val="0"/>
          <w:marTop w:val="0"/>
          <w:marBottom w:val="0"/>
          <w:divBdr>
            <w:top w:val="none" w:sz="0" w:space="0" w:color="auto"/>
            <w:left w:val="none" w:sz="0" w:space="0" w:color="auto"/>
            <w:bottom w:val="none" w:sz="0" w:space="0" w:color="auto"/>
            <w:right w:val="none" w:sz="0" w:space="0" w:color="auto"/>
          </w:divBdr>
          <w:divsChild>
            <w:div w:id="1264916332">
              <w:marLeft w:val="0"/>
              <w:marRight w:val="0"/>
              <w:marTop w:val="0"/>
              <w:marBottom w:val="0"/>
              <w:divBdr>
                <w:top w:val="none" w:sz="0" w:space="0" w:color="auto"/>
                <w:left w:val="none" w:sz="0" w:space="0" w:color="auto"/>
                <w:bottom w:val="none" w:sz="0" w:space="0" w:color="auto"/>
                <w:right w:val="none" w:sz="0" w:space="0" w:color="auto"/>
              </w:divBdr>
              <w:divsChild>
                <w:div w:id="1444567839">
                  <w:marLeft w:val="0"/>
                  <w:marRight w:val="0"/>
                  <w:marTop w:val="0"/>
                  <w:marBottom w:val="0"/>
                  <w:divBdr>
                    <w:top w:val="none" w:sz="0" w:space="0" w:color="auto"/>
                    <w:left w:val="none" w:sz="0" w:space="0" w:color="auto"/>
                    <w:bottom w:val="none" w:sz="0" w:space="0" w:color="auto"/>
                    <w:right w:val="none" w:sz="0" w:space="0" w:color="auto"/>
                  </w:divBdr>
                  <w:divsChild>
                    <w:div w:id="1741975158">
                      <w:marLeft w:val="0"/>
                      <w:marRight w:val="0"/>
                      <w:marTop w:val="0"/>
                      <w:marBottom w:val="0"/>
                      <w:divBdr>
                        <w:top w:val="none" w:sz="0" w:space="0" w:color="auto"/>
                        <w:left w:val="none" w:sz="0" w:space="0" w:color="auto"/>
                        <w:bottom w:val="none" w:sz="0" w:space="0" w:color="auto"/>
                        <w:right w:val="none" w:sz="0" w:space="0" w:color="auto"/>
                      </w:divBdr>
                      <w:divsChild>
                        <w:div w:id="1530727975">
                          <w:marLeft w:val="0"/>
                          <w:marRight w:val="0"/>
                          <w:marTop w:val="0"/>
                          <w:marBottom w:val="0"/>
                          <w:divBdr>
                            <w:top w:val="none" w:sz="0" w:space="0" w:color="auto"/>
                            <w:left w:val="none" w:sz="0" w:space="0" w:color="auto"/>
                            <w:bottom w:val="none" w:sz="0" w:space="0" w:color="auto"/>
                            <w:right w:val="none" w:sz="0" w:space="0" w:color="auto"/>
                          </w:divBdr>
                          <w:divsChild>
                            <w:div w:id="1939678887">
                              <w:marLeft w:val="0"/>
                              <w:marRight w:val="0"/>
                              <w:marTop w:val="0"/>
                              <w:marBottom w:val="0"/>
                              <w:divBdr>
                                <w:top w:val="none" w:sz="0" w:space="0" w:color="auto"/>
                                <w:left w:val="none" w:sz="0" w:space="0" w:color="auto"/>
                                <w:bottom w:val="none" w:sz="0" w:space="0" w:color="auto"/>
                                <w:right w:val="none" w:sz="0" w:space="0" w:color="auto"/>
                              </w:divBdr>
                              <w:divsChild>
                                <w:div w:id="1345520029">
                                  <w:marLeft w:val="0"/>
                                  <w:marRight w:val="0"/>
                                  <w:marTop w:val="0"/>
                                  <w:marBottom w:val="0"/>
                                  <w:divBdr>
                                    <w:top w:val="none" w:sz="0" w:space="0" w:color="auto"/>
                                    <w:left w:val="none" w:sz="0" w:space="0" w:color="auto"/>
                                    <w:bottom w:val="none" w:sz="0" w:space="0" w:color="auto"/>
                                    <w:right w:val="none" w:sz="0" w:space="0" w:color="auto"/>
                                  </w:divBdr>
                                  <w:divsChild>
                                    <w:div w:id="1189224712">
                                      <w:marLeft w:val="60"/>
                                      <w:marRight w:val="0"/>
                                      <w:marTop w:val="0"/>
                                      <w:marBottom w:val="0"/>
                                      <w:divBdr>
                                        <w:top w:val="none" w:sz="0" w:space="0" w:color="auto"/>
                                        <w:left w:val="none" w:sz="0" w:space="0" w:color="auto"/>
                                        <w:bottom w:val="none" w:sz="0" w:space="0" w:color="auto"/>
                                        <w:right w:val="none" w:sz="0" w:space="0" w:color="auto"/>
                                      </w:divBdr>
                                      <w:divsChild>
                                        <w:div w:id="135879281">
                                          <w:marLeft w:val="0"/>
                                          <w:marRight w:val="0"/>
                                          <w:marTop w:val="0"/>
                                          <w:marBottom w:val="0"/>
                                          <w:divBdr>
                                            <w:top w:val="none" w:sz="0" w:space="0" w:color="auto"/>
                                            <w:left w:val="none" w:sz="0" w:space="0" w:color="auto"/>
                                            <w:bottom w:val="none" w:sz="0" w:space="0" w:color="auto"/>
                                            <w:right w:val="none" w:sz="0" w:space="0" w:color="auto"/>
                                          </w:divBdr>
                                          <w:divsChild>
                                            <w:div w:id="2034265776">
                                              <w:marLeft w:val="0"/>
                                              <w:marRight w:val="0"/>
                                              <w:marTop w:val="0"/>
                                              <w:marBottom w:val="120"/>
                                              <w:divBdr>
                                                <w:top w:val="single" w:sz="6" w:space="0" w:color="F5F5F5"/>
                                                <w:left w:val="single" w:sz="6" w:space="0" w:color="F5F5F5"/>
                                                <w:bottom w:val="single" w:sz="6" w:space="0" w:color="F5F5F5"/>
                                                <w:right w:val="single" w:sz="6" w:space="0" w:color="F5F5F5"/>
                                              </w:divBdr>
                                              <w:divsChild>
                                                <w:div w:id="811672421">
                                                  <w:marLeft w:val="0"/>
                                                  <w:marRight w:val="0"/>
                                                  <w:marTop w:val="0"/>
                                                  <w:marBottom w:val="0"/>
                                                  <w:divBdr>
                                                    <w:top w:val="none" w:sz="0" w:space="0" w:color="auto"/>
                                                    <w:left w:val="none" w:sz="0" w:space="0" w:color="auto"/>
                                                    <w:bottom w:val="none" w:sz="0" w:space="0" w:color="auto"/>
                                                    <w:right w:val="none" w:sz="0" w:space="0" w:color="auto"/>
                                                  </w:divBdr>
                                                  <w:divsChild>
                                                    <w:div w:id="1792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94354">
      <w:bodyDiv w:val="1"/>
      <w:marLeft w:val="0"/>
      <w:marRight w:val="0"/>
      <w:marTop w:val="0"/>
      <w:marBottom w:val="0"/>
      <w:divBdr>
        <w:top w:val="none" w:sz="0" w:space="0" w:color="auto"/>
        <w:left w:val="none" w:sz="0" w:space="0" w:color="auto"/>
        <w:bottom w:val="none" w:sz="0" w:space="0" w:color="auto"/>
        <w:right w:val="none" w:sz="0" w:space="0" w:color="auto"/>
      </w:divBdr>
    </w:div>
    <w:div w:id="2116706898">
      <w:bodyDiv w:val="1"/>
      <w:marLeft w:val="0"/>
      <w:marRight w:val="0"/>
      <w:marTop w:val="0"/>
      <w:marBottom w:val="0"/>
      <w:divBdr>
        <w:top w:val="none" w:sz="0" w:space="0" w:color="auto"/>
        <w:left w:val="none" w:sz="0" w:space="0" w:color="auto"/>
        <w:bottom w:val="none" w:sz="0" w:space="0" w:color="auto"/>
        <w:right w:val="none" w:sz="0" w:space="0" w:color="auto"/>
      </w:divBdr>
      <w:divsChild>
        <w:div w:id="1083449593">
          <w:marLeft w:val="0"/>
          <w:marRight w:val="0"/>
          <w:marTop w:val="0"/>
          <w:marBottom w:val="0"/>
          <w:divBdr>
            <w:top w:val="none" w:sz="0" w:space="0" w:color="auto"/>
            <w:left w:val="none" w:sz="0" w:space="0" w:color="auto"/>
            <w:bottom w:val="none" w:sz="0" w:space="0" w:color="auto"/>
            <w:right w:val="none" w:sz="0" w:space="0" w:color="auto"/>
          </w:divBdr>
          <w:divsChild>
            <w:div w:id="458914890">
              <w:marLeft w:val="0"/>
              <w:marRight w:val="0"/>
              <w:marTop w:val="0"/>
              <w:marBottom w:val="0"/>
              <w:divBdr>
                <w:top w:val="none" w:sz="0" w:space="0" w:color="auto"/>
                <w:left w:val="none" w:sz="0" w:space="0" w:color="auto"/>
                <w:bottom w:val="none" w:sz="0" w:space="0" w:color="auto"/>
                <w:right w:val="none" w:sz="0" w:space="0" w:color="auto"/>
              </w:divBdr>
              <w:divsChild>
                <w:div w:id="697121770">
                  <w:marLeft w:val="0"/>
                  <w:marRight w:val="0"/>
                  <w:marTop w:val="0"/>
                  <w:marBottom w:val="0"/>
                  <w:divBdr>
                    <w:top w:val="none" w:sz="0" w:space="0" w:color="auto"/>
                    <w:left w:val="none" w:sz="0" w:space="0" w:color="auto"/>
                    <w:bottom w:val="none" w:sz="0" w:space="0" w:color="auto"/>
                    <w:right w:val="none" w:sz="0" w:space="0" w:color="auto"/>
                  </w:divBdr>
                  <w:divsChild>
                    <w:div w:id="321348569">
                      <w:marLeft w:val="0"/>
                      <w:marRight w:val="0"/>
                      <w:marTop w:val="0"/>
                      <w:marBottom w:val="0"/>
                      <w:divBdr>
                        <w:top w:val="none" w:sz="0" w:space="0" w:color="auto"/>
                        <w:left w:val="none" w:sz="0" w:space="0" w:color="auto"/>
                        <w:bottom w:val="none" w:sz="0" w:space="0" w:color="auto"/>
                        <w:right w:val="none" w:sz="0" w:space="0" w:color="auto"/>
                      </w:divBdr>
                      <w:divsChild>
                        <w:div w:id="363483849">
                          <w:marLeft w:val="0"/>
                          <w:marRight w:val="0"/>
                          <w:marTop w:val="0"/>
                          <w:marBottom w:val="0"/>
                          <w:divBdr>
                            <w:top w:val="none" w:sz="0" w:space="0" w:color="auto"/>
                            <w:left w:val="none" w:sz="0" w:space="0" w:color="auto"/>
                            <w:bottom w:val="none" w:sz="0" w:space="0" w:color="auto"/>
                            <w:right w:val="none" w:sz="0" w:space="0" w:color="auto"/>
                          </w:divBdr>
                          <w:divsChild>
                            <w:div w:id="240023557">
                              <w:marLeft w:val="0"/>
                              <w:marRight w:val="0"/>
                              <w:marTop w:val="0"/>
                              <w:marBottom w:val="0"/>
                              <w:divBdr>
                                <w:top w:val="none" w:sz="0" w:space="0" w:color="auto"/>
                                <w:left w:val="none" w:sz="0" w:space="0" w:color="auto"/>
                                <w:bottom w:val="none" w:sz="0" w:space="0" w:color="auto"/>
                                <w:right w:val="none" w:sz="0" w:space="0" w:color="auto"/>
                              </w:divBdr>
                              <w:divsChild>
                                <w:div w:id="847405046">
                                  <w:marLeft w:val="0"/>
                                  <w:marRight w:val="0"/>
                                  <w:marTop w:val="0"/>
                                  <w:marBottom w:val="0"/>
                                  <w:divBdr>
                                    <w:top w:val="none" w:sz="0" w:space="0" w:color="auto"/>
                                    <w:left w:val="none" w:sz="0" w:space="0" w:color="auto"/>
                                    <w:bottom w:val="none" w:sz="0" w:space="0" w:color="auto"/>
                                    <w:right w:val="none" w:sz="0" w:space="0" w:color="auto"/>
                                  </w:divBdr>
                                  <w:divsChild>
                                    <w:div w:id="2076313999">
                                      <w:marLeft w:val="60"/>
                                      <w:marRight w:val="0"/>
                                      <w:marTop w:val="0"/>
                                      <w:marBottom w:val="0"/>
                                      <w:divBdr>
                                        <w:top w:val="none" w:sz="0" w:space="0" w:color="auto"/>
                                        <w:left w:val="none" w:sz="0" w:space="0" w:color="auto"/>
                                        <w:bottom w:val="none" w:sz="0" w:space="0" w:color="auto"/>
                                        <w:right w:val="none" w:sz="0" w:space="0" w:color="auto"/>
                                      </w:divBdr>
                                      <w:divsChild>
                                        <w:div w:id="82847149">
                                          <w:marLeft w:val="0"/>
                                          <w:marRight w:val="0"/>
                                          <w:marTop w:val="0"/>
                                          <w:marBottom w:val="0"/>
                                          <w:divBdr>
                                            <w:top w:val="none" w:sz="0" w:space="0" w:color="auto"/>
                                            <w:left w:val="none" w:sz="0" w:space="0" w:color="auto"/>
                                            <w:bottom w:val="none" w:sz="0" w:space="0" w:color="auto"/>
                                            <w:right w:val="none" w:sz="0" w:space="0" w:color="auto"/>
                                          </w:divBdr>
                                          <w:divsChild>
                                            <w:div w:id="1102411194">
                                              <w:marLeft w:val="0"/>
                                              <w:marRight w:val="0"/>
                                              <w:marTop w:val="0"/>
                                              <w:marBottom w:val="120"/>
                                              <w:divBdr>
                                                <w:top w:val="single" w:sz="6" w:space="0" w:color="F5F5F5"/>
                                                <w:left w:val="single" w:sz="6" w:space="0" w:color="F5F5F5"/>
                                                <w:bottom w:val="single" w:sz="6" w:space="0" w:color="F5F5F5"/>
                                                <w:right w:val="single" w:sz="6" w:space="0" w:color="F5F5F5"/>
                                              </w:divBdr>
                                              <w:divsChild>
                                                <w:div w:id="1321226304">
                                                  <w:marLeft w:val="0"/>
                                                  <w:marRight w:val="0"/>
                                                  <w:marTop w:val="0"/>
                                                  <w:marBottom w:val="0"/>
                                                  <w:divBdr>
                                                    <w:top w:val="none" w:sz="0" w:space="0" w:color="auto"/>
                                                    <w:left w:val="none" w:sz="0" w:space="0" w:color="auto"/>
                                                    <w:bottom w:val="none" w:sz="0" w:space="0" w:color="auto"/>
                                                    <w:right w:val="none" w:sz="0" w:space="0" w:color="auto"/>
                                                  </w:divBdr>
                                                  <w:divsChild>
                                                    <w:div w:id="40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BA7F-E89F-4B41-8609-CAB00C52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3460</Words>
  <Characters>15813</Characters>
  <Application>Microsoft Office Word</Application>
  <DocSecurity>0</DocSecurity>
  <Lines>1129</Lines>
  <Paragraphs>1014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DIGIT/C6</cp:lastModifiedBy>
  <cp:revision>24</cp:revision>
  <cp:lastPrinted>2019-10-14T09:19:00Z</cp:lastPrinted>
  <dcterms:created xsi:type="dcterms:W3CDTF">2020-08-03T15:02:00Z</dcterms:created>
  <dcterms:modified xsi:type="dcterms:W3CDTF">2020-10-01T11:42:00Z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CP-005</vt:lpwstr>
  </property>
</Properties>
</file>