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FABD050-81B0-457C-8435-0C8CA50685DB"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40"/>
        <w:rPr>
          <w:rFonts w:eastAsia="Arial Unicode MS"/>
          <w:noProof/>
        </w:rPr>
      </w:pPr>
      <w:r>
        <w:rPr>
          <w:rFonts w:eastAsia="Arial Unicode MS"/>
          <w:noProof/>
        </w:rPr>
        <w:t>The proposal concerns a draft Council Decision on the third instalment of the financial contributions to the European Development Fund (EDF) to be paid by Member States in 2020.</w:t>
      </w:r>
    </w:p>
    <w:p>
      <w:pP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EDF and other EDF funds that are still open (i.e. Eight, Ninth and 10</w:t>
      </w:r>
      <w:r>
        <w:rPr>
          <w:rFonts w:eastAsia="Arial Unicode MS"/>
          <w:noProof/>
          <w:vertAlign w:val="superscript"/>
        </w:rPr>
        <w:t>th</w:t>
      </w:r>
      <w:r>
        <w:rPr>
          <w:rFonts w:eastAsia="Arial Unicode MS"/>
          <w:noProof/>
        </w:rPr>
        <w:t xml:space="preserve"> EDF) are managed under the following set of rules: </w:t>
      </w:r>
    </w:p>
    <w:p>
      <w:pPr>
        <w:spacing w:before="0" w:after="240"/>
        <w:rPr>
          <w:rFonts w:eastAsia="Arial Unicode MS"/>
          <w:noProof/>
        </w:rPr>
      </w:pPr>
      <w:r>
        <w:rPr>
          <w:rFonts w:eastAsia="Arial Unicode MS"/>
          <w:noProof/>
        </w:rPr>
        <w:t>The current Partnership Agreement between the members of the African, Caribbean and Pacific (ACP)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spacing w:before="0" w:after="240"/>
        <w:rPr>
          <w:rFonts w:eastAsia="Arial Unicode MS"/>
          <w:noProof/>
        </w:rPr>
      </w:pPr>
      <w:r>
        <w:rPr>
          <w:rFonts w:eastAsia="Arial Unicode MS"/>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spacing w:before="0" w:after="240"/>
        <w:rPr>
          <w:rFonts w:eastAsia="Arial Unicode MS"/>
          <w:noProof/>
        </w:rPr>
      </w:pPr>
      <w:r>
        <w:rPr>
          <w:rFonts w:eastAsia="Arial Unicode MS"/>
          <w:noProof/>
        </w:rPr>
        <w:t>Council Regulation (EU) 2018/1877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spacing w:before="0" w:after="240"/>
        <w:rPr>
          <w:rFonts w:eastAsia="Arial Unicode MS"/>
          <w:noProof/>
        </w:rPr>
      </w:pPr>
      <w:r>
        <w:rPr>
          <w:rFonts w:eastAsia="Arial Unicode MS"/>
          <w:noProof/>
        </w:rPr>
        <w:t>The documents mentioned above contain multi-annual commitments by Member States to support the EDF treasury financially.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that reflect the implementation of financial commitments previously decided. </w:t>
      </w:r>
    </w:p>
    <w:p>
      <w:pP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0" w:after="240"/>
        <w:rPr>
          <w:rFonts w:eastAsia="Arial Unicode MS"/>
          <w:noProof/>
        </w:rPr>
      </w:pPr>
      <w:r>
        <w:rPr>
          <w:rFonts w:eastAsia="Arial Unicode MS"/>
          <w:noProof/>
        </w:rPr>
        <w:t>In accordance with Article 19(7) of the 11</w:t>
      </w:r>
      <w:r>
        <w:rPr>
          <w:rFonts w:eastAsia="Arial Unicode MS"/>
          <w:noProof/>
          <w:vertAlign w:val="superscript"/>
        </w:rPr>
        <w:t>th</w:t>
      </w:r>
      <w:r>
        <w:rPr>
          <w:rFonts w:eastAsia="Arial Unicode MS"/>
          <w:noProof/>
        </w:rPr>
        <w:t xml:space="preserve"> EDF Financial Regulation, the amount managed by the European Commission and the amount managed by the European Investment Bank (EIB) are specified separately.</w:t>
      </w:r>
    </w:p>
    <w:p>
      <w:pPr>
        <w:spacing w:before="0" w:after="240"/>
        <w:rPr>
          <w:rFonts w:eastAsia="Arial Unicode MS"/>
          <w:noProof/>
        </w:rPr>
      </w:pPr>
      <w:r>
        <w:rPr>
          <w:rFonts w:eastAsia="Arial Unicode MS"/>
          <w:noProof/>
        </w:rPr>
        <w:t>In accordance with Article 46 of the 11</w:t>
      </w:r>
      <w:r>
        <w:rPr>
          <w:rFonts w:eastAsia="Arial Unicode MS"/>
          <w:noProof/>
          <w:vertAlign w:val="superscript"/>
        </w:rPr>
        <w:t>th</w:t>
      </w:r>
      <w:r>
        <w:rPr>
          <w:rFonts w:eastAsia="Arial Unicode MS"/>
          <w:noProof/>
        </w:rPr>
        <w:t xml:space="preserve"> EDF Financial Regulation, the EIB has sent the European Commission its updated estimates of commitments and payments under the instruments it manages.</w:t>
      </w:r>
    </w:p>
    <w:p>
      <w:pPr>
        <w:spacing w:before="0" w:after="240"/>
        <w:rPr>
          <w:rFonts w:eastAsia="Arial Unicode MS"/>
          <w:noProof/>
        </w:rPr>
      </w:pPr>
      <w:r>
        <w:rPr>
          <w:rFonts w:eastAsia="Arial Unicode MS"/>
          <w:noProof/>
        </w:rPr>
        <w:t>In accordance with Article 20(1) of the 11</w:t>
      </w:r>
      <w:r>
        <w:rPr>
          <w:rFonts w:eastAsia="Arial Unicode MS"/>
          <w:noProof/>
          <w:vertAlign w:val="superscript"/>
        </w:rPr>
        <w:t xml:space="preserve">th </w:t>
      </w:r>
      <w:r>
        <w:rPr>
          <w:rFonts w:eastAsia="Arial Unicode MS"/>
          <w:noProof/>
        </w:rPr>
        <w:t xml:space="preserve">EDF Financial Regulation calls for contributions shall first use up the amounts available from previous EDFs, one after the other. The calls for </w:t>
      </w:r>
      <w:r>
        <w:rPr>
          <w:rFonts w:eastAsia="Arial Unicode MS"/>
          <w:noProof/>
        </w:rPr>
        <w:lastRenderedPageBreak/>
        <w:t>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11</w:t>
      </w:r>
      <w:r>
        <w:rPr>
          <w:rFonts w:eastAsia="Arial Unicode MS"/>
          <w:noProof/>
          <w:vertAlign w:val="superscript"/>
        </w:rPr>
        <w:t>th</w:t>
      </w:r>
      <w:r>
        <w:rPr>
          <w:rFonts w:eastAsia="Arial Unicode MS"/>
          <w:noProof/>
        </w:rPr>
        <w:t xml:space="preserve"> EDF for the European Commission.</w:t>
      </w:r>
    </w:p>
    <w:p>
      <w:pPr>
        <w:spacing w:before="0" w:after="240"/>
        <w:rPr>
          <w:rFonts w:eastAsia="Arial Unicode MS"/>
          <w:noProof/>
        </w:rPr>
      </w:pPr>
      <w:r>
        <w:rPr>
          <w:rFonts w:eastAsia="Arial Unicode MS"/>
          <w:noProof/>
        </w:rPr>
        <w:t>In accordance with Article 19(5) of the 11</w:t>
      </w:r>
      <w:r>
        <w:rPr>
          <w:rFonts w:eastAsia="Arial Unicode MS"/>
          <w:noProof/>
          <w:vertAlign w:val="superscript"/>
        </w:rPr>
        <w:t>th</w:t>
      </w:r>
      <w:r>
        <w:rPr>
          <w:rFonts w:eastAsia="Arial Unicode MS"/>
          <w:noProof/>
        </w:rPr>
        <w:t xml:space="preserve"> EDF Financial Regulation, the Council must decide on this proposal at the latest 21 calendar days following the presentation, by the European Commission acting on behalf of the European Union, of this proposal.</w:t>
      </w:r>
    </w:p>
    <w:p>
      <w:pPr>
        <w:spacing w:before="0" w:after="240"/>
        <w:rPr>
          <w:rFonts w:eastAsia="Arial Unicode MS"/>
          <w:noProof/>
        </w:rPr>
      </w:pPr>
      <w:r>
        <w:rPr>
          <w:rFonts w:eastAsia="Arial Unicode MS"/>
          <w:noProof/>
        </w:rPr>
        <w:t>Article 21(1)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third instalment for 2020</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4"/>
      </w:r>
      <w:r>
        <w:rPr>
          <w:noProof/>
        </w:rPr>
        <w:t xml:space="preserve"> (hereinafter referred to as “the Internal Agreement”) and in particular Article 7 thereof,</w:t>
      </w:r>
    </w:p>
    <w:p>
      <w:pPr>
        <w:rPr>
          <w:noProof/>
        </w:rPr>
      </w:pPr>
      <w:r>
        <w:rPr>
          <w:noProof/>
        </w:rPr>
        <w:t>Having regard to the Council Regulation (EU) 2018/1877 of 26 November 2018 on the Financial Regulation applicable to the 11</w:t>
      </w:r>
      <w:r>
        <w:rPr>
          <w:noProof/>
          <w:vertAlign w:val="superscript"/>
        </w:rPr>
        <w:t>th</w:t>
      </w:r>
      <w:r>
        <w:rPr>
          <w:noProof/>
        </w:rPr>
        <w:t xml:space="preserve"> European Development Fund (EDF) (hereinafter referred to as “the 11</w:t>
      </w:r>
      <w:r>
        <w:rPr>
          <w:noProof/>
          <w:vertAlign w:val="superscript"/>
        </w:rPr>
        <w:t>th</w:t>
      </w:r>
      <w:r>
        <w:rPr>
          <w:noProof/>
        </w:rPr>
        <w:t xml:space="preserve"> EDF Financial Regulation”)</w:t>
      </w:r>
      <w:r>
        <w:rPr>
          <w:rStyle w:val="FootnoteReference"/>
          <w:noProof/>
        </w:rPr>
        <w:footnoteReference w:id="5"/>
      </w:r>
      <w:r>
        <w:rPr>
          <w:noProof/>
        </w:rPr>
        <w:t>, and in particular Article 19(5)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Articles 19 to 22 of the 11th EDF Financial Regulation, the European Commission is to present a proposal by 10 October 2020 specifying (a) the amount of the third instalment of the contribution for 2020, (b) a revised annual amount of the contribution for 2020, in cases where the amount deviates from actual needs,</w:t>
      </w:r>
    </w:p>
    <w:p>
      <w:pPr>
        <w:pStyle w:val="ManualConsidrant"/>
        <w:rPr>
          <w:noProof/>
        </w:rPr>
      </w:pPr>
      <w:r>
        <w:t>(2)</w:t>
      </w:r>
      <w:r>
        <w:tab/>
      </w:r>
      <w:r>
        <w:rPr>
          <w:noProof/>
        </w:rPr>
        <w:t>In accordance with Article 46 of the 11th EDF Financial Regulation, the European Investment Bank (EIB) sent to the European Commission its updated estimates of commitments and payments under the instruments it manages,</w:t>
      </w:r>
    </w:p>
    <w:p>
      <w:pPr>
        <w:pStyle w:val="ManualConsidrant"/>
        <w:rPr>
          <w:noProof/>
        </w:rPr>
      </w:pPr>
      <w:r>
        <w:t>(3)</w:t>
      </w:r>
      <w:r>
        <w:tab/>
      </w:r>
      <w:r>
        <w:rPr>
          <w:noProof/>
        </w:rPr>
        <w:t>Article 20(1)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for the EIB and 11</w:t>
      </w:r>
      <w:r>
        <w:rPr>
          <w:noProof/>
          <w:vertAlign w:val="superscript"/>
        </w:rPr>
        <w:t>th</w:t>
      </w:r>
      <w:r>
        <w:rPr>
          <w:noProof/>
        </w:rPr>
        <w:t xml:space="preserve"> EDF </w:t>
      </w:r>
      <w:r>
        <w:rPr>
          <w:rFonts w:eastAsia="Arial Unicode MS"/>
          <w:noProof/>
        </w:rPr>
        <w:t>for the Commission</w:t>
      </w:r>
      <w:r>
        <w:rPr>
          <w:noProof/>
        </w:rPr>
        <w:t xml:space="preserve"> should be made.</w:t>
      </w:r>
    </w:p>
    <w:p>
      <w:pPr>
        <w:pStyle w:val="ManualConsidrant"/>
        <w:rPr>
          <w:noProof/>
        </w:rPr>
      </w:pPr>
      <w:r>
        <w:t>(4)</w:t>
      </w:r>
      <w:r>
        <w:tab/>
      </w:r>
      <w:r>
        <w:rPr>
          <w:noProof/>
        </w:rPr>
        <w:t>By means of Decision (EU) 2019/1800</w:t>
      </w:r>
      <w:r>
        <w:rPr>
          <w:rStyle w:val="FootnoteReference"/>
          <w:noProof/>
        </w:rPr>
        <w:footnoteReference w:id="6"/>
      </w:r>
      <w:r>
        <w:rPr>
          <w:noProof/>
        </w:rPr>
        <w:t>, the Council has adopted on the 24 October 2019, based on a proposal by the European Commission, the Decision to set the annual amount of the Member States’ EDF contributions for 2020 at EUR 4 400 000 000 for the European Commission, and at EUR 300 000 000 for the European Investment Bank.</w:t>
      </w:r>
    </w:p>
    <w:p>
      <w:pPr>
        <w:pStyle w:val="ManualConsidrant"/>
        <w:rPr>
          <w:noProof/>
        </w:rPr>
      </w:pPr>
      <w:r>
        <w:lastRenderedPageBreak/>
        <w:t>(5)</w:t>
      </w:r>
      <w:r>
        <w:tab/>
      </w:r>
      <w:r>
        <w:rPr>
          <w:noProof/>
        </w:rPr>
        <w:t>Articles 152 and 153 of the withdrawal agreement</w:t>
      </w:r>
      <w:r>
        <w:rPr>
          <w:rStyle w:val="FootnoteReference"/>
          <w:noProof/>
        </w:rPr>
        <w:footnoteReference w:id="7"/>
      </w:r>
      <w:r>
        <w:rPr>
          <w:noProof/>
        </w:rPr>
        <w:t xml:space="preserve"> of the United Kingdom of Great Britain and Northern Ireland from the European Union and the European Atomic Energy Community stipulate that the United Kingdom shall remain party to the EDF until the closure of the 11th EDF and all previous unclosed EDFs; however the United Kingdom’s share in decommitted funds from projects under the 10</w:t>
      </w:r>
      <w:r>
        <w:rPr>
          <w:noProof/>
          <w:vertAlign w:val="superscript"/>
        </w:rPr>
        <w:t>th</w:t>
      </w:r>
      <w:r>
        <w:rPr>
          <w:noProof/>
        </w:rPr>
        <w:t xml:space="preserve"> EDF or previous EDFs shall not be reused.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individual European Development Fund contributions to be paid by the Member States to the European Commission and the European Investment Bank as the third instalment for 2020 are set out in the table in the Annex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 xml:space="preserve">For the Council </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307, 3.12.2018, p. 1-21</w:t>
      </w:r>
    </w:p>
  </w:footnote>
  <w:footnote w:id="4">
    <w:p>
      <w:pPr>
        <w:pStyle w:val="FootnoteText"/>
        <w:rPr>
          <w:lang w:val="pl-PL"/>
        </w:rPr>
      </w:pPr>
      <w:r>
        <w:rPr>
          <w:rStyle w:val="FootnoteReference"/>
        </w:rPr>
        <w:footnoteRef/>
      </w:r>
      <w:r>
        <w:rPr>
          <w:lang w:val="pl-PL"/>
        </w:rPr>
        <w:tab/>
        <w:t>OJ L 210, 6.8.2013, p. 1</w:t>
      </w:r>
    </w:p>
  </w:footnote>
  <w:footnote w:id="5">
    <w:p>
      <w:pPr>
        <w:pStyle w:val="FootnoteText"/>
        <w:rPr>
          <w:lang w:val="pl-PL"/>
        </w:rPr>
      </w:pPr>
      <w:r>
        <w:rPr>
          <w:rStyle w:val="FootnoteReference"/>
        </w:rPr>
        <w:footnoteRef/>
      </w:r>
      <w:r>
        <w:rPr>
          <w:lang w:val="pl-PL"/>
        </w:rPr>
        <w:tab/>
        <w:t>OJ L 307, 3.12.2018, p. 7-9</w:t>
      </w:r>
    </w:p>
  </w:footnote>
  <w:footnote w:id="6">
    <w:p>
      <w:pPr>
        <w:pStyle w:val="FootnoteText"/>
        <w:rPr>
          <w:lang w:val="pl-PL"/>
        </w:rPr>
      </w:pPr>
      <w:r>
        <w:rPr>
          <w:rStyle w:val="FootnoteReference"/>
        </w:rPr>
        <w:footnoteRef/>
      </w:r>
      <w:r>
        <w:rPr>
          <w:lang w:val="pl-PL"/>
        </w:rPr>
        <w:tab/>
        <w:t>OJ L 274, 24.10.2019, p. 9-11</w:t>
      </w:r>
    </w:p>
  </w:footnote>
  <w:footnote w:id="7">
    <w:p>
      <w:pPr>
        <w:pStyle w:val="FootnoteText"/>
        <w:rPr>
          <w:lang w:val="pl-PL"/>
        </w:rPr>
      </w:pPr>
      <w:r>
        <w:rPr>
          <w:rStyle w:val="FootnoteReference"/>
        </w:rPr>
        <w:footnoteRef/>
      </w:r>
      <w:r>
        <w:rPr>
          <w:lang w:val="pl-PL"/>
        </w:rPr>
        <w:tab/>
        <w:t>OJ C 384, 12.11.2019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CC48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125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CF9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4019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292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723E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7AB85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8828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7 18:31: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FABD050-81B0-457C-8435-0C8CA50685DB"/>
    <w:docVar w:name="LW_COVERPAGE_TYPE" w:val="1"/>
    <w:docVar w:name="LW_CROSSREFERENCE" w:val="&lt;UNUSED&gt;"/>
    <w:docVar w:name="LW_DocType" w:val="COM"/>
    <w:docVar w:name="LW_EMISSION" w:val="8.10.2020"/>
    <w:docVar w:name="LW_EMISSION_ISODATE" w:val="2020-10-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7"/>
    <w:docVar w:name="LW_REF.II.NEW.CP_YEAR" w:val="2020"/>
    <w:docVar w:name="LW_REF.INST.NEW" w:val="COM"/>
    <w:docVar w:name="LW_REF.INST.NEW_ADOPTED" w:val="final"/>
    <w:docVar w:name="LW_REF.INST.NEW_TEXT" w:val="(2020) 6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financial contributions to be paid by Member States to finance the European Development Fund, including the third instalment for 2020"/>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1038</Words>
  <Characters>5450</Characters>
  <Application>Microsoft Office Word</Application>
  <DocSecurity>0</DocSecurity>
  <Lines>100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2020-09-14T15:11:00Z</dcterms:created>
  <dcterms:modified xsi:type="dcterms:W3CDTF">2020-10-07T16:31:00Z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