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BC963A7-CD32-48C0-BF46-29A749BBE8CE" style="width:450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lastRenderedPageBreak/>
        <w:t>1.</w:t>
      </w:r>
      <w:r>
        <w:tab/>
      </w:r>
      <w:r>
        <w:rPr>
          <w:noProof/>
        </w:rPr>
        <w:t>Foreword</w:t>
      </w:r>
      <w:r>
        <w:rPr>
          <w:rStyle w:val="FootnoteReference"/>
          <w:noProof/>
        </w:rPr>
        <w:footnoteReference w:id="1"/>
      </w:r>
    </w:p>
    <w:p>
      <w:pPr>
        <w:pStyle w:val="Text1"/>
        <w:rPr>
          <w:noProof/>
        </w:rPr>
      </w:pPr>
      <w:r>
        <w:rPr>
          <w:noProof/>
        </w:rPr>
        <w:t>In accordance with Article 7(1) of the 11</w:t>
      </w:r>
      <w:r>
        <w:rPr>
          <w:noProof/>
          <w:vertAlign w:val="superscript"/>
        </w:rPr>
        <w:t>th</w:t>
      </w:r>
      <w:r>
        <w:rPr>
          <w:noProof/>
        </w:rPr>
        <w:t xml:space="preserve"> European Development Fund (EDF) Internal Agreement</w:t>
      </w:r>
      <w:r>
        <w:rPr>
          <w:rStyle w:val="FootnoteReference"/>
          <w:noProof/>
        </w:rPr>
        <w:footnoteReference w:id="2"/>
      </w:r>
      <w:r>
        <w:rPr>
          <w:noProof/>
        </w:rPr>
        <w:t xml:space="preserve"> and Article 19(2) of the Council Regulation (EU) 2018/1877</w:t>
      </w:r>
      <w:r>
        <w:rPr>
          <w:rStyle w:val="FootnoteReference"/>
          <w:noProof/>
        </w:rPr>
        <w:footnoteReference w:id="3"/>
      </w:r>
      <w:r>
        <w:rPr>
          <w:noProof/>
        </w:rPr>
        <w:t xml:space="preserve"> on the Financial Regulation applicable to the 11</w:t>
      </w:r>
      <w:r>
        <w:rPr>
          <w:noProof/>
          <w:vertAlign w:val="superscript"/>
        </w:rPr>
        <w:t>th</w:t>
      </w:r>
      <w:r>
        <w:rPr>
          <w:noProof/>
        </w:rPr>
        <w:t xml:space="preserve"> European Development Fund (hereinafter referred to as "11</w:t>
      </w:r>
      <w:r>
        <w:rPr>
          <w:noProof/>
          <w:vertAlign w:val="superscript"/>
        </w:rPr>
        <w:t>th</w:t>
      </w:r>
      <w:r>
        <w:rPr>
          <w:noProof/>
        </w:rPr>
        <w:t xml:space="preserve"> EDF Financial Regulation"), the Commission presents in this document the estimates of the commitments, payments and contributions for the period 2020-2022, taking into account the forecasts of the European Investment Bank (EIB). </w:t>
      </w:r>
    </w:p>
    <w:p>
      <w:pPr>
        <w:pStyle w:val="Text1"/>
        <w:rPr>
          <w:noProof/>
        </w:rPr>
      </w:pPr>
      <w:r>
        <w:rPr>
          <w:noProof/>
        </w:rPr>
        <w:t>This document sets out the financial implementation forecast of the EDFs (Eighth to 11</w:t>
      </w:r>
      <w:r>
        <w:rPr>
          <w:noProof/>
          <w:vertAlign w:val="superscript"/>
        </w:rPr>
        <w:t>th</w:t>
      </w:r>
      <w:r>
        <w:rPr>
          <w:noProof/>
        </w:rPr>
        <w:t xml:space="preserve">) for 2020 until 2022. In addition, this document makes non-binding estimates for the EDF contributions from the Member States for the years 2023-2024. </w:t>
      </w:r>
    </w:p>
    <w:p>
      <w:pPr>
        <w:pStyle w:val="Text1"/>
        <w:rPr>
          <w:noProof/>
        </w:rPr>
      </w:pPr>
      <w:r>
        <w:rPr>
          <w:noProof/>
        </w:rPr>
        <w:t>Member States contribute funds directly to the EIB for the instruments, which it manages under the Ninth, 10</w:t>
      </w:r>
      <w:r>
        <w:rPr>
          <w:noProof/>
          <w:vertAlign w:val="superscript"/>
        </w:rPr>
        <w:t>th</w:t>
      </w:r>
      <w:r>
        <w:rPr>
          <w:noProof/>
        </w:rPr>
        <w:t>, and 11</w:t>
      </w:r>
      <w:r>
        <w:rPr>
          <w:noProof/>
          <w:vertAlign w:val="superscript"/>
        </w:rPr>
        <w:t>th</w:t>
      </w:r>
      <w:r>
        <w:rPr>
          <w:noProof/>
        </w:rPr>
        <w:t xml:space="preserve"> EDFs (the Investment Facility and interest rate subsidies). </w:t>
      </w:r>
    </w:p>
    <w:p>
      <w:pPr>
        <w:pStyle w:val="ManualHeading1"/>
        <w:rPr>
          <w:noProof/>
        </w:rPr>
      </w:pPr>
      <w:r>
        <w:t>2.</w:t>
      </w:r>
      <w:r>
        <w:tab/>
      </w:r>
      <w:r>
        <w:rPr>
          <w:noProof/>
        </w:rPr>
        <w:t>Introduction</w:t>
      </w:r>
    </w:p>
    <w:p>
      <w:pPr>
        <w:pStyle w:val="Text1"/>
        <w:rPr>
          <w:noProof/>
        </w:rPr>
      </w:pPr>
      <w:r>
        <w:rPr>
          <w:noProof/>
        </w:rPr>
        <w:t>The Commission and the EIB have updated their commitment and payment forecasts for 2020, 2021 and 2022 for each of the African, Caribbean and Pacific (ACP) countries and the Overseas Countries and Territories (OCTs). The payment forecasts in particular have been compiled with the aim of helping Member States to assess as accurately as possible the amounts they need to earmark in their national budgets while ensuring that sufficient financial resources are available for the EDF to avoid liquidity problems.</w:t>
      </w:r>
    </w:p>
    <w:p>
      <w:pPr>
        <w:pStyle w:val="Text1"/>
        <w:spacing w:before="0" w:after="240"/>
        <w:rPr>
          <w:noProof/>
        </w:rPr>
      </w:pPr>
      <w:r>
        <w:rPr>
          <w:noProof/>
        </w:rPr>
        <w:t>In accordance with Article 7 of the 11</w:t>
      </w:r>
      <w:r>
        <w:rPr>
          <w:noProof/>
          <w:vertAlign w:val="superscript"/>
        </w:rPr>
        <w:t>th</w:t>
      </w:r>
      <w:r>
        <w:rPr>
          <w:noProof/>
        </w:rPr>
        <w:t xml:space="preserve"> EDF Internal Agreement</w:t>
      </w:r>
      <w:r>
        <w:rPr>
          <w:rStyle w:val="FootnoteReference"/>
          <w:noProof/>
        </w:rPr>
        <w:footnoteReference w:id="4"/>
      </w:r>
      <w:r>
        <w:rPr>
          <w:noProof/>
        </w:rPr>
        <w:t xml:space="preserve"> and Article 19(2) of the 11</w:t>
      </w:r>
      <w:r>
        <w:rPr>
          <w:noProof/>
          <w:vertAlign w:val="superscript"/>
        </w:rPr>
        <w:t>th</w:t>
      </w:r>
      <w:r>
        <w:rPr>
          <w:noProof/>
        </w:rPr>
        <w:t xml:space="preserve"> EDF Financial Regulation</w:t>
      </w:r>
      <w:r>
        <w:rPr>
          <w:rStyle w:val="FootnoteReference"/>
          <w:noProof/>
        </w:rPr>
        <w:footnoteReference w:id="5"/>
      </w:r>
      <w:r>
        <w:rPr>
          <w:noProof/>
        </w:rPr>
        <w:t>, the estimates of commitments and payments have been updated following the latest forecasts.</w:t>
      </w:r>
    </w:p>
    <w:p>
      <w:pPr>
        <w:pStyle w:val="Text1"/>
        <w:rPr>
          <w:noProof/>
        </w:rPr>
      </w:pPr>
      <w:r>
        <w:rPr>
          <w:noProof/>
        </w:rPr>
        <w:t>The graph below shows the general evolution in gross commitments and payments since 1999 until 2019 and projections for the period 2020-2022 (Commission and EIB cumulated amounts).</w:t>
      </w:r>
    </w:p>
    <w:p>
      <w:pPr>
        <w:pStyle w:val="Text1"/>
        <w:ind w:left="0"/>
        <w:rPr>
          <w:noProof/>
        </w:rPr>
      </w:pP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rPr>
          <w:rFonts w:ascii="Times New Roman" w:hAnsi="Times New Roman" w:cs="Times New Roman"/>
          <w:b/>
          <w:noProof/>
          <w:sz w:val="24"/>
          <w:szCs w:val="24"/>
        </w:rPr>
      </w:pPr>
      <w:r>
        <w:rPr>
          <w:rFonts w:ascii="Times New Roman" w:hAnsi="Times New Roman" w:cs="Times New Roman"/>
          <w:b/>
          <w:noProof/>
          <w:sz w:val="24"/>
          <w:szCs w:val="24"/>
        </w:rPr>
        <w:lastRenderedPageBreak/>
        <w:t>Gross commitments and payments: trend 1999-2022 (EUR million)</w:t>
      </w:r>
    </w:p>
    <w:p>
      <w:pPr>
        <w:pStyle w:val="Text1"/>
        <w:ind w:left="0"/>
        <w:jc w:val="center"/>
        <w:rPr>
          <w:noProof/>
        </w:rPr>
      </w:pPr>
      <w:r>
        <w:rPr>
          <w:noProof/>
        </w:rPr>
        <w:drawing>
          <wp:inline distT="0" distB="0" distL="0" distR="0">
            <wp:extent cx="5761355" cy="2491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1355" cy="2491105"/>
                    </a:xfrm>
                    <a:prstGeom prst="rect">
                      <a:avLst/>
                    </a:prstGeom>
                  </pic:spPr>
                </pic:pic>
              </a:graphicData>
            </a:graphic>
          </wp:inline>
        </w:drawing>
      </w:r>
    </w:p>
    <w:p>
      <w:pPr>
        <w:pStyle w:val="Text1"/>
        <w:ind w:left="0"/>
        <w:rPr>
          <w:noProof/>
        </w:rPr>
      </w:pPr>
      <w:r>
        <w:rPr>
          <w:noProof/>
        </w:rPr>
        <w:t>* Forecasts for 2020-2022</w:t>
      </w:r>
    </w:p>
    <w:p>
      <w:pPr>
        <w:pStyle w:val="Text1"/>
        <w:ind w:left="0"/>
        <w:rPr>
          <w:noProof/>
        </w:rPr>
      </w:pPr>
      <w:r>
        <w:rPr>
          <w:noProof/>
        </w:rPr>
        <w:t>Note: Figures from implementation of the European Development Funds until 31 December 2019 (commitments and payments) and forecasts for 2020-2022.</w:t>
      </w:r>
    </w:p>
    <w:p>
      <w:pPr>
        <w:pStyle w:val="ManualHeading1"/>
        <w:rPr>
          <w:noProof/>
        </w:rPr>
      </w:pPr>
      <w:r>
        <w:t>3.</w:t>
      </w:r>
      <w:r>
        <w:tab/>
      </w:r>
      <w:r>
        <w:rPr>
          <w:noProof/>
        </w:rPr>
        <w:t>Financial forecasts for 2020 - 2022</w:t>
      </w:r>
      <w:r>
        <w:rPr>
          <w:noProof/>
          <w:szCs w:val="24"/>
        </w:rPr>
        <w:t xml:space="preserve"> (EUR million)</w:t>
      </w:r>
    </w:p>
    <w:p>
      <w:pPr>
        <w:pStyle w:val="Text1"/>
        <w:rPr>
          <w:noProof/>
        </w:rPr>
      </w:pPr>
      <w:r>
        <w:rPr>
          <w:noProof/>
        </w:rPr>
        <w:t>The following table provides an update of the commitments, the payments and of the contributions, based on the Commission's latest forecasts.</w:t>
      </w:r>
    </w:p>
    <w:tbl>
      <w:tblPr>
        <w:tblW w:w="5000" w:type="pct"/>
        <w:tblCellMar>
          <w:left w:w="70" w:type="dxa"/>
          <w:right w:w="70" w:type="dxa"/>
        </w:tblCellMar>
        <w:tblLook w:val="04A0" w:firstRow="1" w:lastRow="0" w:firstColumn="1" w:lastColumn="0" w:noHBand="0" w:noVBand="1"/>
      </w:tblPr>
      <w:tblGrid>
        <w:gridCol w:w="2002"/>
        <w:gridCol w:w="3460"/>
        <w:gridCol w:w="1306"/>
        <w:gridCol w:w="1306"/>
        <w:gridCol w:w="1139"/>
      </w:tblGrid>
      <w:tr>
        <w:trPr>
          <w:trHeight w:val="240"/>
        </w:trPr>
        <w:tc>
          <w:tcPr>
            <w:tcW w:w="296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Forecasts 2020-2022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61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r>
      <w:tr>
        <w:trPr>
          <w:trHeight w:val="240"/>
        </w:trPr>
        <w:tc>
          <w:tcPr>
            <w:tcW w:w="2964"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val="fr-BE" w:eastAsia="fr-BE"/>
              </w:rPr>
            </w:pP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2020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2021</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2022</w:t>
            </w:r>
          </w:p>
        </w:tc>
      </w:tr>
      <w:tr>
        <w:trPr>
          <w:trHeight w:val="240"/>
        </w:trPr>
        <w:tc>
          <w:tcPr>
            <w:tcW w:w="2964"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val="fr-BE" w:eastAsia="fr-BE"/>
              </w:rPr>
            </w:pP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61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Commitments</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3 267</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EIB</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962</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0</w:t>
            </w:r>
          </w:p>
        </w:tc>
      </w:tr>
      <w:tr>
        <w:trPr>
          <w:trHeight w:val="240"/>
        </w:trPr>
        <w:tc>
          <w:tcPr>
            <w:tcW w:w="1086"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87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4 229</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0</w:t>
            </w:r>
          </w:p>
        </w:tc>
        <w:tc>
          <w:tcPr>
            <w:tcW w:w="61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Payments</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4 934</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3 700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2 500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EIB</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588</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540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490</w:t>
            </w:r>
          </w:p>
        </w:tc>
      </w:tr>
      <w:tr>
        <w:trPr>
          <w:trHeight w:val="240"/>
        </w:trPr>
        <w:tc>
          <w:tcPr>
            <w:tcW w:w="1086"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87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5 522</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4 240</w:t>
            </w:r>
          </w:p>
        </w:tc>
        <w:tc>
          <w:tcPr>
            <w:tcW w:w="61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2 990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Contributions</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Commission (11th EDF)</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4 400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3 700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2 500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EIB (10th EDF)</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300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70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EIB (11th EDF)</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230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300</w:t>
            </w:r>
          </w:p>
        </w:tc>
      </w:tr>
      <w:tr>
        <w:trPr>
          <w:trHeight w:val="240"/>
        </w:trPr>
        <w:tc>
          <w:tcPr>
            <w:tcW w:w="1086"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87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4 700</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4 000</w:t>
            </w:r>
          </w:p>
        </w:tc>
        <w:tc>
          <w:tcPr>
            <w:tcW w:w="61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2 800</w:t>
            </w:r>
          </w:p>
        </w:tc>
      </w:tr>
    </w:tbl>
    <w:p>
      <w:pPr>
        <w:pStyle w:val="Text1"/>
        <w:ind w:left="0"/>
        <w:jc w:val="left"/>
        <w:rPr>
          <w:noProof/>
          <w:sz w:val="20"/>
          <w:szCs w:val="20"/>
        </w:rPr>
      </w:pPr>
      <w:r>
        <w:rPr>
          <w:noProof/>
          <w:sz w:val="20"/>
          <w:szCs w:val="20"/>
        </w:rPr>
        <w:t>* Gross amounts, i.e. no decommitments or recoveries/reflows have been deducted. This approach is in line with that used for the general budget of the Union.</w:t>
      </w:r>
    </w:p>
    <w:p>
      <w:pPr>
        <w:pStyle w:val="Text1"/>
        <w:spacing w:before="0" w:after="240"/>
        <w:ind w:left="0"/>
        <w:jc w:val="left"/>
        <w:rPr>
          <w:noProof/>
          <w:sz w:val="20"/>
          <w:szCs w:val="20"/>
        </w:rPr>
      </w:pPr>
      <w:r>
        <w:rPr>
          <w:noProof/>
          <w:sz w:val="20"/>
          <w:szCs w:val="20"/>
        </w:rPr>
        <w:t>** Taking into account that the Commission has proposed to carry out development and international cooperation for the period 2021-2027 with new implementation modalities, the Commission has decreased its estimates of payments under the EDFs and therefore of the annual amount of the contributions for 2020 and of the ceiling for the annual amount of the contributions for 2021.</w:t>
      </w:r>
    </w:p>
    <w:p>
      <w:pPr>
        <w:pStyle w:val="Text1"/>
        <w:ind w:left="0"/>
        <w:jc w:val="left"/>
        <w:rPr>
          <w:noProof/>
          <w:sz w:val="20"/>
          <w:szCs w:val="20"/>
        </w:rPr>
      </w:pPr>
    </w:p>
    <w:p>
      <w:pPr>
        <w:pStyle w:val="ManualHeading1"/>
        <w:rPr>
          <w:noProof/>
        </w:rPr>
      </w:pPr>
      <w:r>
        <w:rPr>
          <w:noProof/>
        </w:rPr>
        <w:br w:type="page"/>
      </w:r>
      <w:r>
        <w:t>4.</w:t>
      </w:r>
      <w:r>
        <w:tab/>
      </w:r>
      <w:r>
        <w:rPr>
          <w:noProof/>
        </w:rPr>
        <w:t>Non-binding Estimates of contributions for 2023 - 2024</w:t>
      </w:r>
      <w:r>
        <w:rPr>
          <w:noProof/>
          <w:szCs w:val="24"/>
        </w:rPr>
        <w:t xml:space="preserve"> (EUR million)</w:t>
      </w:r>
    </w:p>
    <w:tbl>
      <w:tblPr>
        <w:tblW w:w="5000" w:type="pct"/>
        <w:tblCellMar>
          <w:left w:w="70" w:type="dxa"/>
          <w:right w:w="70" w:type="dxa"/>
        </w:tblCellMar>
        <w:tblLook w:val="04A0" w:firstRow="1" w:lastRow="0" w:firstColumn="1" w:lastColumn="0" w:noHBand="0" w:noVBand="1"/>
      </w:tblPr>
      <w:tblGrid>
        <w:gridCol w:w="2047"/>
        <w:gridCol w:w="3120"/>
        <w:gridCol w:w="2023"/>
        <w:gridCol w:w="2023"/>
      </w:tblGrid>
      <w:tr>
        <w:trPr>
          <w:trHeight w:val="240"/>
        </w:trPr>
        <w:tc>
          <w:tcPr>
            <w:tcW w:w="1111" w:type="pct"/>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val="en-US" w:eastAsia="fr-BE"/>
              </w:rPr>
            </w:pPr>
            <w:r>
              <w:rPr>
                <w:rFonts w:ascii="Times New Roman" w:eastAsia="Times New Roman" w:hAnsi="Times New Roman" w:cs="Times New Roman"/>
                <w:b/>
                <w:bCs/>
                <w:noProof/>
                <w:sz w:val="24"/>
                <w:szCs w:val="24"/>
                <w:lang w:val="en-US" w:eastAsia="fr-BE"/>
              </w:rPr>
              <w:t> </w:t>
            </w:r>
          </w:p>
        </w:tc>
        <w:tc>
          <w:tcPr>
            <w:tcW w:w="1693" w:type="pct"/>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val="en-US" w:eastAsia="fr-BE"/>
              </w:rPr>
            </w:pPr>
            <w:r>
              <w:rPr>
                <w:rFonts w:ascii="Times New Roman" w:eastAsia="Times New Roman" w:hAnsi="Times New Roman" w:cs="Times New Roman"/>
                <w:b/>
                <w:bCs/>
                <w:noProof/>
                <w:sz w:val="24"/>
                <w:szCs w:val="24"/>
                <w:lang w:val="en-US" w:eastAsia="fr-BE"/>
              </w:rPr>
              <w:t> </w:t>
            </w:r>
          </w:p>
        </w:tc>
        <w:tc>
          <w:tcPr>
            <w:tcW w:w="1098" w:type="pct"/>
            <w:tcBorders>
              <w:top w:val="single" w:sz="8" w:space="0" w:color="auto"/>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en-US" w:eastAsia="fr-BE"/>
              </w:rPr>
            </w:pPr>
            <w:r>
              <w:rPr>
                <w:rFonts w:ascii="Times New Roman" w:eastAsia="Times New Roman" w:hAnsi="Times New Roman" w:cs="Times New Roman"/>
                <w:b/>
                <w:bCs/>
                <w:noProof/>
                <w:sz w:val="24"/>
                <w:szCs w:val="24"/>
                <w:lang w:val="en-US" w:eastAsia="fr-BE"/>
              </w:rPr>
              <w:t> </w:t>
            </w:r>
          </w:p>
        </w:tc>
        <w:tc>
          <w:tcPr>
            <w:tcW w:w="1098" w:type="pct"/>
            <w:tcBorders>
              <w:top w:val="single" w:sz="8" w:space="0" w:color="auto"/>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en-US" w:eastAsia="fr-BE"/>
              </w:rPr>
            </w:pPr>
            <w:r>
              <w:rPr>
                <w:rFonts w:ascii="Times New Roman" w:eastAsia="Times New Roman" w:hAnsi="Times New Roman" w:cs="Times New Roman"/>
                <w:b/>
                <w:bCs/>
                <w:noProof/>
                <w:sz w:val="24"/>
                <w:szCs w:val="24"/>
                <w:lang w:val="en-US" w:eastAsia="fr-BE"/>
              </w:rPr>
              <w:t> </w:t>
            </w:r>
          </w:p>
        </w:tc>
      </w:tr>
      <w:tr>
        <w:trPr>
          <w:trHeight w:val="240"/>
        </w:trPr>
        <w:tc>
          <w:tcPr>
            <w:tcW w:w="2804" w:type="pct"/>
            <w:gridSpan w:val="2"/>
            <w:tcBorders>
              <w:top w:val="nil"/>
              <w:left w:val="single" w:sz="8" w:space="0" w:color="auto"/>
              <w:bottom w:val="nil"/>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Forecasts 2023-2024 (*)</w:t>
            </w:r>
          </w:p>
        </w:tc>
        <w:tc>
          <w:tcPr>
            <w:tcW w:w="1098"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2023</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2024</w:t>
            </w:r>
          </w:p>
        </w:tc>
      </w:tr>
      <w:tr>
        <w:trPr>
          <w:trHeight w:val="240"/>
        </w:trPr>
        <w:tc>
          <w:tcPr>
            <w:tcW w:w="1111" w:type="pct"/>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1693"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1098" w:type="pct"/>
            <w:tcBorders>
              <w:top w:val="nil"/>
              <w:left w:val="single" w:sz="4"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1098" w:type="pct"/>
            <w:tcBorders>
              <w:top w:val="nil"/>
              <w:left w:val="single" w:sz="4"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r>
      <w:tr>
        <w:trPr>
          <w:trHeight w:val="240"/>
        </w:trPr>
        <w:tc>
          <w:tcPr>
            <w:tcW w:w="1111"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69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r>
      <w:tr>
        <w:trPr>
          <w:trHeight w:val="240"/>
        </w:trPr>
        <w:tc>
          <w:tcPr>
            <w:tcW w:w="1111"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Contributions</w:t>
            </w:r>
          </w:p>
        </w:tc>
        <w:tc>
          <w:tcPr>
            <w:tcW w:w="169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Commission (11th EDF)</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1 800</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1 500</w:t>
            </w:r>
          </w:p>
        </w:tc>
      </w:tr>
      <w:tr>
        <w:trPr>
          <w:trHeight w:val="240"/>
        </w:trPr>
        <w:tc>
          <w:tcPr>
            <w:tcW w:w="1111"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69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EIB (11th EDF)</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300</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200</w:t>
            </w:r>
          </w:p>
        </w:tc>
      </w:tr>
      <w:tr>
        <w:trPr>
          <w:trHeight w:val="240"/>
        </w:trPr>
        <w:tc>
          <w:tcPr>
            <w:tcW w:w="1111"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693"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Total</w:t>
            </w:r>
          </w:p>
        </w:tc>
        <w:tc>
          <w:tcPr>
            <w:tcW w:w="1098" w:type="pct"/>
            <w:tcBorders>
              <w:top w:val="nil"/>
              <w:left w:val="single" w:sz="4"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2 100</w:t>
            </w:r>
          </w:p>
        </w:tc>
        <w:tc>
          <w:tcPr>
            <w:tcW w:w="1098" w:type="pct"/>
            <w:tcBorders>
              <w:top w:val="nil"/>
              <w:left w:val="single" w:sz="4"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1 700</w:t>
            </w:r>
          </w:p>
        </w:tc>
      </w:tr>
    </w:tbl>
    <w:p>
      <w:pPr>
        <w:pStyle w:val="Text1"/>
        <w:spacing w:before="0" w:after="240"/>
        <w:ind w:left="0"/>
        <w:rPr>
          <w:noProof/>
          <w:sz w:val="20"/>
          <w:szCs w:val="20"/>
        </w:rPr>
      </w:pPr>
      <w:r>
        <w:rPr>
          <w:noProof/>
          <w:sz w:val="20"/>
          <w:szCs w:val="20"/>
        </w:rPr>
        <w:t xml:space="preserve">*Art,19(2) 11th EDF Financial Regulation (EU 2018/1877): indicative, non-binding forecast based on a statistical approach for the expected annual amounts of contributions for the years n + 3 and n + 4, forecast for the expected annual amounts of contributions for the years 2023 and 2024. </w:t>
      </w:r>
    </w:p>
    <w:p>
      <w:pPr>
        <w:pStyle w:val="Text1"/>
        <w:spacing w:before="0" w:after="240"/>
        <w:ind w:left="0"/>
        <w:rPr>
          <w:noProof/>
          <w:sz w:val="20"/>
          <w:szCs w:val="20"/>
        </w:rPr>
      </w:pPr>
      <w:r>
        <w:rPr>
          <w:noProof/>
          <w:sz w:val="20"/>
          <w:szCs w:val="20"/>
        </w:rPr>
        <w:t>** Taking into account that the Commission has proposed to carry out development and international cooperation for the period 2021-2027 with new implementation modalities, the Commission has decreased its estimates of payments under the EDFs and therefore of the forecast for the expected annual amounts of contributions for the years 2023 and 2024.</w:t>
      </w:r>
    </w:p>
    <w:p>
      <w:pPr>
        <w:pStyle w:val="ManualHeading1"/>
        <w:rPr>
          <w:noProof/>
        </w:rPr>
      </w:pPr>
      <w:r>
        <w:t>5.</w:t>
      </w:r>
      <w:r>
        <w:tab/>
      </w:r>
      <w:r>
        <w:rPr>
          <w:noProof/>
        </w:rPr>
        <w:t>Financial implementation forecasts for 2020, 2021 and 2022.</w:t>
      </w:r>
    </w:p>
    <w:p>
      <w:pPr>
        <w:pStyle w:val="Text1"/>
        <w:spacing w:before="0" w:after="240"/>
        <w:ind w:left="0"/>
        <w:rPr>
          <w:noProof/>
        </w:rPr>
      </w:pPr>
      <w:r>
        <w:rPr>
          <w:noProof/>
        </w:rPr>
        <w:t>The updated forecasts are set out in attachments 1 to 3.</w:t>
      </w:r>
    </w:p>
    <w:p>
      <w:pPr>
        <w:pStyle w:val="Text1"/>
        <w:spacing w:before="0" w:after="240"/>
        <w:ind w:left="0"/>
        <w:rPr>
          <w:noProof/>
        </w:rPr>
      </w:pPr>
      <w:r>
        <w:rPr>
          <w:noProof/>
        </w:rPr>
        <w:t>For 2020, the estimates for commitments (Commission) remain unchanged compared to the June 2020 Communication. The estimates for payments show an increase of EUR 548 million, mainly due to the impact of the COVID-19 crisis.</w:t>
      </w:r>
    </w:p>
    <w:p>
      <w:pPr>
        <w:pStyle w:val="Text1"/>
        <w:spacing w:before="0" w:after="240"/>
        <w:ind w:left="0"/>
        <w:rPr>
          <w:noProof/>
        </w:rPr>
      </w:pPr>
      <w:r>
        <w:rPr>
          <w:noProof/>
        </w:rPr>
        <w:t xml:space="preserve">For 2021, the estimates for payments and contributions by the Commission remain unchanged compared to the June 2020 Communication. </w:t>
      </w:r>
    </w:p>
    <w:p>
      <w:pPr>
        <w:pStyle w:val="Text1"/>
        <w:spacing w:before="0" w:after="240"/>
        <w:ind w:left="0"/>
        <w:rPr>
          <w:noProof/>
        </w:rPr>
      </w:pPr>
      <w:r>
        <w:rPr>
          <w:noProof/>
        </w:rPr>
        <w:t>Regarding the forecasts of EIB, the delivery of its operations and liquidity needs are strongly impacted by the current COVID crisis and the future mandate scenario.</w:t>
      </w:r>
    </w:p>
    <w:p>
      <w:pPr>
        <w:pStyle w:val="Text1"/>
        <w:spacing w:before="0" w:after="240"/>
        <w:ind w:left="0"/>
        <w:rPr>
          <w:noProof/>
        </w:rPr>
      </w:pPr>
      <w:r>
        <w:rPr>
          <w:noProof/>
        </w:rPr>
        <w:t>Attachments 1, 2 and 3 show respectively forecasts of commitments, forecasts of payments and the financial situation compared with previous forecasts for the period 2020-2022.</w:t>
      </w:r>
    </w:p>
    <w:p>
      <w:pPr>
        <w:pStyle w:val="Text1"/>
        <w:spacing w:before="0" w:after="240"/>
        <w:ind w:left="0"/>
        <w:rPr>
          <w:noProof/>
        </w:rPr>
      </w:pPr>
      <w:r>
        <w:rPr>
          <w:noProof/>
        </w:rPr>
        <w:t>Attachments 4 and 5 show respectively contributions for 2021 and for 2022 per instalment and per Member State.</w:t>
      </w:r>
    </w:p>
    <w:p>
      <w:pPr>
        <w:pStyle w:val="Text1"/>
        <w:spacing w:before="0" w:after="240"/>
        <w:ind w:left="0"/>
        <w:rPr>
          <w:noProof/>
        </w:rPr>
      </w:pPr>
      <w:r>
        <w:rPr>
          <w:noProof/>
        </w:rPr>
        <w:t>Attachment 6 shows the yearly contributions for the period 2021-2024 per Member State.</w:t>
      </w:r>
    </w:p>
    <w:p>
      <w:pPr>
        <w:rPr>
          <w:b/>
          <w:bCs/>
          <w:noProof/>
          <w:szCs w:val="26"/>
        </w:rPr>
      </w:pPr>
      <w:r>
        <w:rPr>
          <w:b/>
          <w:bCs/>
          <w:noProof/>
          <w:szCs w:val="26"/>
        </w:rPr>
        <w:br w:type="page"/>
      </w:r>
    </w:p>
    <w:p>
      <w:pPr>
        <w:spacing w:after="0"/>
        <w:rPr>
          <w:b/>
          <w:bCs/>
          <w:noProof/>
          <w:szCs w:val="26"/>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299"/>
        </w:sectPr>
      </w:pPr>
    </w:p>
    <w:p>
      <w:pPr>
        <w:pStyle w:val="ManualHeading2"/>
        <w:rPr>
          <w:noProof/>
        </w:rPr>
      </w:pPr>
      <w:r>
        <w:t>5.1.</w:t>
      </w:r>
      <w:r>
        <w:tab/>
      </w:r>
      <w:r>
        <w:rPr>
          <w:noProof/>
        </w:rPr>
        <w:t>Attachment 1: Forecasts for commitments</w:t>
      </w:r>
      <w:r>
        <w:rPr>
          <w:rStyle w:val="FootnoteReference"/>
          <w:noProof/>
        </w:rPr>
        <w:footnoteReference w:id="6"/>
      </w:r>
      <w:r>
        <w:rPr>
          <w:noProof/>
        </w:rPr>
        <w:t xml:space="preserve"> for 2020, and forecasts for 2021 and 2022 (EUR million)</w:t>
      </w:r>
    </w:p>
    <w:tbl>
      <w:tblPr>
        <w:tblW w:w="5000" w:type="pct"/>
        <w:tblCellMar>
          <w:left w:w="70" w:type="dxa"/>
          <w:right w:w="70" w:type="dxa"/>
        </w:tblCellMar>
        <w:tblLook w:val="04A0" w:firstRow="1" w:lastRow="0" w:firstColumn="1" w:lastColumn="0" w:noHBand="0" w:noVBand="1"/>
      </w:tblPr>
      <w:tblGrid>
        <w:gridCol w:w="3732"/>
        <w:gridCol w:w="1700"/>
        <w:gridCol w:w="1703"/>
        <w:gridCol w:w="1700"/>
        <w:gridCol w:w="1904"/>
        <w:gridCol w:w="1700"/>
        <w:gridCol w:w="1703"/>
      </w:tblGrid>
      <w:tr>
        <w:trPr>
          <w:trHeight w:val="260"/>
        </w:trPr>
        <w:tc>
          <w:tcPr>
            <w:tcW w:w="1319"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US" w:eastAsia="fr-BE"/>
              </w:rPr>
            </w:pPr>
          </w:p>
        </w:tc>
        <w:tc>
          <w:tcPr>
            <w:tcW w:w="120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2020</w:t>
            </w:r>
          </w:p>
        </w:tc>
        <w:tc>
          <w:tcPr>
            <w:tcW w:w="127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2021</w:t>
            </w:r>
          </w:p>
        </w:tc>
        <w:tc>
          <w:tcPr>
            <w:tcW w:w="1203"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2022</w:t>
            </w:r>
          </w:p>
        </w:tc>
      </w:tr>
      <w:tr>
        <w:trPr>
          <w:trHeight w:val="520"/>
        </w:trPr>
        <w:tc>
          <w:tcPr>
            <w:tcW w:w="1319"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w:t>
            </w:r>
          </w:p>
        </w:tc>
        <w:tc>
          <w:tcPr>
            <w:tcW w:w="601"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2020</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2020</w:t>
            </w:r>
          </w:p>
        </w:tc>
        <w:tc>
          <w:tcPr>
            <w:tcW w:w="60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2020</w:t>
            </w:r>
          </w:p>
        </w:tc>
        <w:tc>
          <w:tcPr>
            <w:tcW w:w="673"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2020</w:t>
            </w:r>
          </w:p>
        </w:tc>
        <w:tc>
          <w:tcPr>
            <w:tcW w:w="60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2020</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2020</w:t>
            </w:r>
          </w:p>
        </w:tc>
      </w:tr>
      <w:tr>
        <w:trPr>
          <w:trHeight w:val="260"/>
        </w:trPr>
        <w:tc>
          <w:tcPr>
            <w:tcW w:w="1319"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Regions</w:t>
            </w:r>
          </w:p>
        </w:tc>
        <w:tc>
          <w:tcPr>
            <w:tcW w:w="601"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East and Southern Africa</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1 374</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1 076</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West and Central Africa</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805</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782</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Latin America and Caribbean</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213</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181</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Pacific</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53</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84</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Sub-total*</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2 446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2 123</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Other</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Human rights, Health, Education</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26</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en-US" w:eastAsia="fr-BE"/>
              </w:rPr>
            </w:pPr>
            <w:r>
              <w:rPr>
                <w:rFonts w:ascii="Times New Roman" w:eastAsia="Times New Roman" w:hAnsi="Times New Roman" w:cs="Times New Roman"/>
                <w:noProof/>
                <w:sz w:val="20"/>
                <w:szCs w:val="20"/>
                <w:lang w:val="en-US" w:eastAsia="fr-BE"/>
              </w:rPr>
              <w:t>EU-Africa, African Peace Facility</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en-US" w:eastAsia="fr-BE"/>
              </w:rPr>
              <w:t xml:space="preserve">   </w:t>
            </w:r>
            <w:r>
              <w:rPr>
                <w:rFonts w:ascii="Times New Roman" w:eastAsia="Times New Roman" w:hAnsi="Times New Roman" w:cs="Times New Roman"/>
                <w:noProof/>
                <w:sz w:val="20"/>
                <w:szCs w:val="20"/>
                <w:lang w:val="fr-BE" w:eastAsia="fr-BE"/>
              </w:rPr>
              <w:t>5</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13</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19"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EUTF Africa</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375</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359</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19"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Planet and Prosperity</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285</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431</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19"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Resources, Evaluation, process</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218</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253</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19"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US" w:eastAsia="fr-BE"/>
              </w:rPr>
            </w:pPr>
            <w:r>
              <w:rPr>
                <w:rFonts w:ascii="Times New Roman" w:eastAsia="Times New Roman" w:hAnsi="Times New Roman" w:cs="Times New Roman"/>
                <w:noProof/>
                <w:sz w:val="20"/>
                <w:szCs w:val="20"/>
                <w:lang w:val="en-US" w:eastAsia="fr-BE"/>
              </w:rPr>
              <w:t>DG ECHO, EACEA, DG EAC</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en-US" w:eastAsia="fr-BE"/>
              </w:rPr>
              <w:t xml:space="preserve">   </w:t>
            </w:r>
            <w:r>
              <w:rPr>
                <w:rFonts w:ascii="Times New Roman" w:eastAsia="Times New Roman" w:hAnsi="Times New Roman" w:cs="Times New Roman"/>
                <w:noProof/>
                <w:sz w:val="20"/>
                <w:szCs w:val="20"/>
                <w:lang w:val="fr-BE" w:eastAsia="fr-BE"/>
              </w:rPr>
              <w:t>42</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61</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Sub-total*</w:t>
            </w:r>
          </w:p>
        </w:tc>
        <w:tc>
          <w:tcPr>
            <w:tcW w:w="601"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926</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1 143</w:t>
            </w:r>
          </w:p>
        </w:tc>
        <w:tc>
          <w:tcPr>
            <w:tcW w:w="601"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73"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01"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r>
      <w:tr>
        <w:trPr>
          <w:trHeight w:val="260"/>
        </w:trPr>
        <w:tc>
          <w:tcPr>
            <w:tcW w:w="1319"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European Commission*</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3 372</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3 267</w:t>
            </w:r>
          </w:p>
        </w:tc>
        <w:tc>
          <w:tcPr>
            <w:tcW w:w="6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0</w:t>
            </w:r>
          </w:p>
        </w:tc>
        <w:tc>
          <w:tcPr>
            <w:tcW w:w="673"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0</w:t>
            </w:r>
          </w:p>
        </w:tc>
        <w:tc>
          <w:tcPr>
            <w:tcW w:w="6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0</w:t>
            </w:r>
          </w:p>
        </w:tc>
      </w:tr>
      <w:tr>
        <w:trPr>
          <w:trHeight w:val="260"/>
        </w:trPr>
        <w:tc>
          <w:tcPr>
            <w:tcW w:w="1319"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Investment Facility subsidies (**)</w:t>
            </w:r>
          </w:p>
        </w:tc>
        <w:tc>
          <w:tcPr>
            <w:tcW w:w="601"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162</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162</w:t>
            </w:r>
          </w:p>
        </w:tc>
        <w:tc>
          <w:tcPr>
            <w:tcW w:w="601"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0</w:t>
            </w:r>
          </w:p>
        </w:tc>
        <w:tc>
          <w:tcPr>
            <w:tcW w:w="673"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0</w:t>
            </w:r>
          </w:p>
        </w:tc>
        <w:tc>
          <w:tcPr>
            <w:tcW w:w="601"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0</w:t>
            </w:r>
          </w:p>
        </w:tc>
      </w:tr>
      <w:tr>
        <w:trPr>
          <w:trHeight w:val="260"/>
        </w:trPr>
        <w:tc>
          <w:tcPr>
            <w:tcW w:w="1319"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EIB***</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162</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162</w:t>
            </w:r>
          </w:p>
        </w:tc>
        <w:tc>
          <w:tcPr>
            <w:tcW w:w="6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0</w:t>
            </w:r>
          </w:p>
        </w:tc>
        <w:tc>
          <w:tcPr>
            <w:tcW w:w="673"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0</w:t>
            </w:r>
          </w:p>
        </w:tc>
        <w:tc>
          <w:tcPr>
            <w:tcW w:w="6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0</w:t>
            </w:r>
          </w:p>
        </w:tc>
      </w:tr>
      <w:tr>
        <w:trPr>
          <w:trHeight w:val="260"/>
        </w:trPr>
        <w:tc>
          <w:tcPr>
            <w:tcW w:w="1319" w:type="pct"/>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EC+EIB*</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3 534</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3 429</w:t>
            </w:r>
          </w:p>
        </w:tc>
        <w:tc>
          <w:tcPr>
            <w:tcW w:w="6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0</w:t>
            </w:r>
          </w:p>
        </w:tc>
        <w:tc>
          <w:tcPr>
            <w:tcW w:w="673"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0</w:t>
            </w:r>
          </w:p>
        </w:tc>
        <w:tc>
          <w:tcPr>
            <w:tcW w:w="6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0</w:t>
            </w:r>
          </w:p>
        </w:tc>
      </w:tr>
    </w:tbl>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 * Due to the rounding effects, the sum of individual rounded amounts shown may differ slightly from the corresponding totals</w:t>
      </w:r>
    </w:p>
    <w:p>
      <w:pPr>
        <w:spacing w:after="0"/>
        <w:rPr>
          <w:rFonts w:ascii="Times New Roman" w:hAnsi="Times New Roman" w:cs="Times New Roman"/>
          <w:noProof/>
          <w:sz w:val="20"/>
          <w:szCs w:val="20"/>
        </w:rPr>
      </w:pPr>
      <w:r>
        <w:rPr>
          <w:rFonts w:ascii="Times New Roman" w:hAnsi="Times New Roman" w:cs="Times New Roman"/>
          <w:noProof/>
          <w:sz w:val="20"/>
          <w:szCs w:val="20"/>
        </w:rPr>
        <w:t>** Including subsidy for technical assistance and interest rate subsidies from the current EDF and IRS disbursment under previous EDFs</w:t>
      </w:r>
    </w:p>
    <w:p>
      <w:pPr>
        <w:spacing w:after="0"/>
        <w:rPr>
          <w:rFonts w:ascii="Times New Roman" w:hAnsi="Times New Roman" w:cs="Times New Roman"/>
          <w:noProof/>
          <w:sz w:val="20"/>
          <w:szCs w:val="20"/>
        </w:rPr>
      </w:pPr>
    </w:p>
    <w:tbl>
      <w:tblPr>
        <w:tblW w:w="5000" w:type="pct"/>
        <w:tblCellMar>
          <w:left w:w="70" w:type="dxa"/>
          <w:right w:w="70" w:type="dxa"/>
        </w:tblCellMar>
        <w:tblLook w:val="04A0" w:firstRow="1" w:lastRow="0" w:firstColumn="1" w:lastColumn="0" w:noHBand="0" w:noVBand="1"/>
      </w:tblPr>
      <w:tblGrid>
        <w:gridCol w:w="3610"/>
        <w:gridCol w:w="1723"/>
        <w:gridCol w:w="1722"/>
        <w:gridCol w:w="1722"/>
        <w:gridCol w:w="1926"/>
        <w:gridCol w:w="1722"/>
        <w:gridCol w:w="1717"/>
      </w:tblGrid>
      <w:tr>
        <w:trPr>
          <w:trHeight w:val="260"/>
        </w:trPr>
        <w:tc>
          <w:tcPr>
            <w:tcW w:w="1276"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US" w:eastAsia="fr-BE"/>
              </w:rPr>
            </w:pPr>
          </w:p>
        </w:tc>
        <w:tc>
          <w:tcPr>
            <w:tcW w:w="12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2020</w:t>
            </w:r>
          </w:p>
        </w:tc>
        <w:tc>
          <w:tcPr>
            <w:tcW w:w="1290"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2021</w:t>
            </w:r>
          </w:p>
        </w:tc>
        <w:tc>
          <w:tcPr>
            <w:tcW w:w="1216"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2022</w:t>
            </w:r>
          </w:p>
        </w:tc>
      </w:tr>
      <w:tr>
        <w:trPr>
          <w:trHeight w:val="520"/>
        </w:trPr>
        <w:tc>
          <w:tcPr>
            <w:tcW w:w="1276"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w:t>
            </w:r>
          </w:p>
        </w:tc>
        <w:tc>
          <w:tcPr>
            <w:tcW w:w="609"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2020</w:t>
            </w:r>
          </w:p>
        </w:tc>
        <w:tc>
          <w:tcPr>
            <w:tcW w:w="609"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2020</w:t>
            </w:r>
          </w:p>
        </w:tc>
        <w:tc>
          <w:tcPr>
            <w:tcW w:w="609"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2020</w:t>
            </w:r>
          </w:p>
        </w:tc>
        <w:tc>
          <w:tcPr>
            <w:tcW w:w="681"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2020</w:t>
            </w:r>
          </w:p>
        </w:tc>
        <w:tc>
          <w:tcPr>
            <w:tcW w:w="609"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2020</w:t>
            </w:r>
          </w:p>
        </w:tc>
        <w:tc>
          <w:tcPr>
            <w:tcW w:w="607"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2020</w:t>
            </w:r>
          </w:p>
        </w:tc>
      </w:tr>
      <w:tr>
        <w:trPr>
          <w:trHeight w:val="260"/>
        </w:trPr>
        <w:tc>
          <w:tcPr>
            <w:tcW w:w="12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Investment facility revolving fund***</w:t>
            </w:r>
          </w:p>
        </w:tc>
        <w:tc>
          <w:tcPr>
            <w:tcW w:w="6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800</w:t>
            </w:r>
          </w:p>
        </w:tc>
        <w:tc>
          <w:tcPr>
            <w:tcW w:w="609"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800</w:t>
            </w:r>
          </w:p>
        </w:tc>
        <w:tc>
          <w:tcPr>
            <w:tcW w:w="6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0</w:t>
            </w:r>
          </w:p>
        </w:tc>
        <w:tc>
          <w:tcPr>
            <w:tcW w:w="681"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0</w:t>
            </w:r>
          </w:p>
        </w:tc>
        <w:tc>
          <w:tcPr>
            <w:tcW w:w="6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0</w:t>
            </w:r>
          </w:p>
        </w:tc>
      </w:tr>
    </w:tbl>
    <w:p>
      <w:pPr>
        <w:pStyle w:val="Text1"/>
        <w:ind w:left="0"/>
        <w:jc w:val="left"/>
        <w:rPr>
          <w:noProof/>
          <w:sz w:val="20"/>
          <w:szCs w:val="20"/>
        </w:rPr>
      </w:pPr>
      <w:r>
        <w:rPr>
          <w:noProof/>
          <w:sz w:val="20"/>
          <w:szCs w:val="20"/>
        </w:rPr>
        <w:t>*** The commitment under the revolving fund cannot be assimilated to budgetary commitments. It shall be therefore reported separately.</w:t>
      </w:r>
    </w:p>
    <w:p>
      <w:pPr>
        <w:pStyle w:val="Text1"/>
        <w:ind w:left="0"/>
        <w:jc w:val="left"/>
        <w:rPr>
          <w:noProof/>
          <w:sz w:val="20"/>
          <w:szCs w:val="20"/>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1418" w:bottom="1418" w:left="1418" w:header="709" w:footer="709" w:gutter="0"/>
          <w:cols w:space="720"/>
          <w:docGrid w:linePitch="360"/>
        </w:sectPr>
      </w:pPr>
    </w:p>
    <w:p>
      <w:pPr>
        <w:pStyle w:val="ManualHeading2"/>
        <w:rPr>
          <w:noProof/>
        </w:rPr>
      </w:pPr>
      <w:r>
        <w:t>5.2.</w:t>
      </w:r>
      <w:r>
        <w:tab/>
      </w:r>
      <w:r>
        <w:rPr>
          <w:noProof/>
        </w:rPr>
        <w:t>Attachment 2: Forecasts for payments</w:t>
      </w:r>
      <w:r>
        <w:rPr>
          <w:rStyle w:val="FootnoteReference"/>
          <w:noProof/>
        </w:rPr>
        <w:footnoteReference w:id="7"/>
      </w:r>
      <w:r>
        <w:rPr>
          <w:noProof/>
        </w:rPr>
        <w:t xml:space="preserve"> for 2020, 2021 and 2022 (EUR million)</w:t>
      </w:r>
    </w:p>
    <w:tbl>
      <w:tblPr>
        <w:tblW w:w="5000" w:type="pct"/>
        <w:tblCellMar>
          <w:left w:w="70" w:type="dxa"/>
          <w:right w:w="70" w:type="dxa"/>
        </w:tblCellMar>
        <w:tblLook w:val="04A0" w:firstRow="1" w:lastRow="0" w:firstColumn="1" w:lastColumn="0" w:noHBand="0" w:noVBand="1"/>
      </w:tblPr>
      <w:tblGrid>
        <w:gridCol w:w="4073"/>
        <w:gridCol w:w="1863"/>
        <w:gridCol w:w="1797"/>
        <w:gridCol w:w="1797"/>
        <w:gridCol w:w="1797"/>
        <w:gridCol w:w="1863"/>
        <w:gridCol w:w="1860"/>
      </w:tblGrid>
      <w:tr>
        <w:trPr>
          <w:trHeight w:val="260"/>
        </w:trPr>
        <w:tc>
          <w:tcPr>
            <w:tcW w:w="135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US" w:eastAsia="fr-BE"/>
              </w:rPr>
            </w:pPr>
          </w:p>
        </w:tc>
        <w:tc>
          <w:tcPr>
            <w:tcW w:w="12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2020</w:t>
            </w:r>
          </w:p>
        </w:tc>
        <w:tc>
          <w:tcPr>
            <w:tcW w:w="119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2021</w:t>
            </w:r>
          </w:p>
        </w:tc>
        <w:tc>
          <w:tcPr>
            <w:tcW w:w="1238"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2022</w:t>
            </w:r>
          </w:p>
        </w:tc>
      </w:tr>
      <w:tr>
        <w:trPr>
          <w:trHeight w:val="520"/>
        </w:trPr>
        <w:tc>
          <w:tcPr>
            <w:tcW w:w="1353"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w:t>
            </w:r>
          </w:p>
        </w:tc>
        <w:tc>
          <w:tcPr>
            <w:tcW w:w="619"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2020</w:t>
            </w:r>
          </w:p>
        </w:tc>
        <w:tc>
          <w:tcPr>
            <w:tcW w:w="597"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2020</w:t>
            </w:r>
          </w:p>
        </w:tc>
        <w:tc>
          <w:tcPr>
            <w:tcW w:w="597"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2020</w:t>
            </w:r>
          </w:p>
        </w:tc>
        <w:tc>
          <w:tcPr>
            <w:tcW w:w="597"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2020</w:t>
            </w:r>
          </w:p>
        </w:tc>
        <w:tc>
          <w:tcPr>
            <w:tcW w:w="619"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2020</w:t>
            </w:r>
          </w:p>
        </w:tc>
        <w:tc>
          <w:tcPr>
            <w:tcW w:w="619"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2020</w:t>
            </w:r>
          </w:p>
        </w:tc>
      </w:tr>
      <w:tr>
        <w:trPr>
          <w:trHeight w:val="260"/>
        </w:trPr>
        <w:tc>
          <w:tcPr>
            <w:tcW w:w="1353"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Regions</w:t>
            </w:r>
          </w:p>
        </w:tc>
        <w:tc>
          <w:tcPr>
            <w:tcW w:w="619"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East and Southern Africa</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1 797</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2 266</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1 699</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West and Central Africa</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741</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747</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642</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Latin America and Caribbean</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241</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254</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191</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Pacific</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119</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160</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120</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Sub-total*</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2 898</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3 427</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2 652</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Other </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Human rights, Health, Education</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231</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240</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en-US" w:eastAsia="fr-BE"/>
              </w:rPr>
            </w:pPr>
            <w:r>
              <w:rPr>
                <w:rFonts w:ascii="Times New Roman" w:eastAsia="Times New Roman" w:hAnsi="Times New Roman" w:cs="Times New Roman"/>
                <w:noProof/>
                <w:sz w:val="20"/>
                <w:szCs w:val="20"/>
                <w:lang w:val="en-US" w:eastAsia="fr-BE"/>
              </w:rPr>
              <w:t>EU-Africa, African Peace Facility</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en-US" w:eastAsia="fr-BE"/>
              </w:rPr>
              <w:t xml:space="preserve">   </w:t>
            </w:r>
            <w:r>
              <w:rPr>
                <w:rFonts w:ascii="Times New Roman" w:eastAsia="Times New Roman" w:hAnsi="Times New Roman" w:cs="Times New Roman"/>
                <w:noProof/>
                <w:sz w:val="20"/>
                <w:szCs w:val="20"/>
                <w:lang w:val="fr-BE" w:eastAsia="fr-BE"/>
              </w:rPr>
              <w:t>214</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287</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215</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EUTF Africa</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650</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668</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600</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Planet and Prosperity</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128</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138</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103</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Resources, Evaluation, process</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199</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67</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50</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US" w:eastAsia="fr-BE"/>
              </w:rPr>
            </w:pPr>
            <w:r>
              <w:rPr>
                <w:rFonts w:ascii="Times New Roman" w:eastAsia="Times New Roman" w:hAnsi="Times New Roman" w:cs="Times New Roman"/>
                <w:noProof/>
                <w:sz w:val="20"/>
                <w:szCs w:val="20"/>
                <w:lang w:val="en-US" w:eastAsia="fr-BE"/>
              </w:rPr>
              <w:t>DG ECHO, EACEA, DG EAC</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en-US" w:eastAsia="fr-BE"/>
              </w:rPr>
              <w:t xml:space="preserve">   </w:t>
            </w:r>
            <w:r>
              <w:rPr>
                <w:rFonts w:ascii="Times New Roman" w:eastAsia="Times New Roman" w:hAnsi="Times New Roman" w:cs="Times New Roman"/>
                <w:noProof/>
                <w:sz w:val="20"/>
                <w:szCs w:val="20"/>
                <w:lang w:val="fr-BE" w:eastAsia="fr-BE"/>
              </w:rPr>
              <w:t>67</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105</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79</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Sub-total*</w:t>
            </w:r>
          </w:p>
        </w:tc>
        <w:tc>
          <w:tcPr>
            <w:tcW w:w="619"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1 488</w:t>
            </w:r>
          </w:p>
        </w:tc>
        <w:tc>
          <w:tcPr>
            <w:tcW w:w="597"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1 506</w:t>
            </w:r>
          </w:p>
        </w:tc>
        <w:tc>
          <w:tcPr>
            <w:tcW w:w="597"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597"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1 048</w:t>
            </w:r>
          </w:p>
        </w:tc>
        <w:tc>
          <w:tcPr>
            <w:tcW w:w="619"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19"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r>
      <w:tr>
        <w:trPr>
          <w:trHeight w:val="260"/>
        </w:trPr>
        <w:tc>
          <w:tcPr>
            <w:tcW w:w="1353"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European Commission*</w:t>
            </w:r>
          </w:p>
        </w:tc>
        <w:tc>
          <w:tcPr>
            <w:tcW w:w="619"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4 386</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4 934</w:t>
            </w:r>
          </w:p>
        </w:tc>
        <w:tc>
          <w:tcPr>
            <w:tcW w:w="59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3 700</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3 700</w:t>
            </w:r>
          </w:p>
        </w:tc>
        <w:tc>
          <w:tcPr>
            <w:tcW w:w="61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19"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2 500</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Investment Facility subsidies (**)</w:t>
            </w:r>
          </w:p>
        </w:tc>
        <w:tc>
          <w:tcPr>
            <w:tcW w:w="619"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38</w:t>
            </w:r>
          </w:p>
        </w:tc>
        <w:tc>
          <w:tcPr>
            <w:tcW w:w="597"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38</w:t>
            </w:r>
          </w:p>
        </w:tc>
        <w:tc>
          <w:tcPr>
            <w:tcW w:w="597"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w:t>
            </w:r>
          </w:p>
        </w:tc>
        <w:tc>
          <w:tcPr>
            <w:tcW w:w="597"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w:t>
            </w:r>
          </w:p>
        </w:tc>
        <w:tc>
          <w:tcPr>
            <w:tcW w:w="619"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9"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w:t>
            </w:r>
          </w:p>
        </w:tc>
      </w:tr>
      <w:tr>
        <w:trPr>
          <w:trHeight w:val="260"/>
        </w:trPr>
        <w:tc>
          <w:tcPr>
            <w:tcW w:w="1353"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EIB***</w:t>
            </w:r>
          </w:p>
        </w:tc>
        <w:tc>
          <w:tcPr>
            <w:tcW w:w="619"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38</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38</w:t>
            </w:r>
          </w:p>
        </w:tc>
        <w:tc>
          <w:tcPr>
            <w:tcW w:w="59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40</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40</w:t>
            </w:r>
          </w:p>
        </w:tc>
        <w:tc>
          <w:tcPr>
            <w:tcW w:w="61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19"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40</w:t>
            </w:r>
          </w:p>
        </w:tc>
      </w:tr>
      <w:tr>
        <w:trPr>
          <w:trHeight w:val="260"/>
        </w:trPr>
        <w:tc>
          <w:tcPr>
            <w:tcW w:w="1353" w:type="pct"/>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European Commission + EIB*</w:t>
            </w:r>
          </w:p>
        </w:tc>
        <w:tc>
          <w:tcPr>
            <w:tcW w:w="619"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4 424</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4 972</w:t>
            </w:r>
          </w:p>
        </w:tc>
        <w:tc>
          <w:tcPr>
            <w:tcW w:w="59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3 740</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3 740</w:t>
            </w:r>
          </w:p>
        </w:tc>
        <w:tc>
          <w:tcPr>
            <w:tcW w:w="61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19"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2 540</w:t>
            </w:r>
          </w:p>
        </w:tc>
      </w:tr>
    </w:tbl>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 * Due to the rounding effects, the sum of individual rounded amounts shown may differ slightly from the corresponding totals</w:t>
      </w:r>
    </w:p>
    <w:p>
      <w:pPr>
        <w:spacing w:after="0"/>
        <w:rPr>
          <w:rFonts w:ascii="Times New Roman" w:hAnsi="Times New Roman" w:cs="Times New Roman"/>
          <w:noProof/>
          <w:sz w:val="20"/>
          <w:szCs w:val="20"/>
        </w:rPr>
      </w:pPr>
      <w:r>
        <w:rPr>
          <w:rFonts w:ascii="Times New Roman" w:hAnsi="Times New Roman" w:cs="Times New Roman"/>
          <w:noProof/>
          <w:sz w:val="20"/>
          <w:szCs w:val="20"/>
        </w:rPr>
        <w:t>** Including subsidy for technical assistance and interest rate subsidies from the current EDF and IRS disbursment under previous EDFs</w:t>
      </w:r>
    </w:p>
    <w:p>
      <w:pPr>
        <w:spacing w:after="0"/>
        <w:rPr>
          <w:rFonts w:ascii="Times New Roman" w:hAnsi="Times New Roman" w:cs="Times New Roman"/>
          <w:noProof/>
          <w:sz w:val="20"/>
          <w:szCs w:val="20"/>
        </w:rPr>
      </w:pPr>
    </w:p>
    <w:tbl>
      <w:tblPr>
        <w:tblW w:w="5000" w:type="pct"/>
        <w:tblCellMar>
          <w:left w:w="70" w:type="dxa"/>
          <w:right w:w="70" w:type="dxa"/>
        </w:tblCellMar>
        <w:tblLook w:val="04A0" w:firstRow="1" w:lastRow="0" w:firstColumn="1" w:lastColumn="0" w:noHBand="0" w:noVBand="1"/>
      </w:tblPr>
      <w:tblGrid>
        <w:gridCol w:w="3980"/>
        <w:gridCol w:w="1878"/>
        <w:gridCol w:w="1812"/>
        <w:gridCol w:w="1812"/>
        <w:gridCol w:w="1812"/>
        <w:gridCol w:w="1878"/>
        <w:gridCol w:w="1878"/>
      </w:tblGrid>
      <w:tr>
        <w:trPr>
          <w:trHeight w:val="260"/>
        </w:trPr>
        <w:tc>
          <w:tcPr>
            <w:tcW w:w="1322"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US" w:eastAsia="fr-BE"/>
              </w:rPr>
            </w:pPr>
          </w:p>
        </w:tc>
        <w:tc>
          <w:tcPr>
            <w:tcW w:w="122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2020</w:t>
            </w:r>
          </w:p>
        </w:tc>
        <w:tc>
          <w:tcPr>
            <w:tcW w:w="120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2021</w:t>
            </w:r>
          </w:p>
        </w:tc>
        <w:tc>
          <w:tcPr>
            <w:tcW w:w="1248"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2022</w:t>
            </w:r>
          </w:p>
        </w:tc>
      </w:tr>
      <w:tr>
        <w:trPr>
          <w:trHeight w:val="520"/>
        </w:trPr>
        <w:tc>
          <w:tcPr>
            <w:tcW w:w="1322"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w:t>
            </w:r>
          </w:p>
        </w:tc>
        <w:tc>
          <w:tcPr>
            <w:tcW w:w="624"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2020</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2020</w:t>
            </w:r>
          </w:p>
        </w:tc>
        <w:tc>
          <w:tcPr>
            <w:tcW w:w="6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2020</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2020</w:t>
            </w:r>
          </w:p>
        </w:tc>
        <w:tc>
          <w:tcPr>
            <w:tcW w:w="624"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2020</w:t>
            </w:r>
          </w:p>
        </w:tc>
        <w:tc>
          <w:tcPr>
            <w:tcW w:w="624"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2020</w:t>
            </w:r>
          </w:p>
        </w:tc>
      </w:tr>
      <w:tr>
        <w:trPr>
          <w:trHeight w:val="260"/>
        </w:trPr>
        <w:tc>
          <w:tcPr>
            <w:tcW w:w="1322" w:type="pct"/>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Investment facility revolving fund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550</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550</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550</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500</w:t>
            </w:r>
          </w:p>
        </w:tc>
        <w:tc>
          <w:tcPr>
            <w:tcW w:w="62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2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450</w:t>
            </w:r>
          </w:p>
        </w:tc>
      </w:tr>
    </w:tbl>
    <w:p>
      <w:pPr>
        <w:spacing w:after="0"/>
        <w:rPr>
          <w:rFonts w:ascii="Times New Roman" w:hAnsi="Times New Roman" w:cs="Times New Roman"/>
          <w:noProof/>
          <w:sz w:val="20"/>
          <w:szCs w:val="20"/>
        </w:rPr>
      </w:pPr>
      <w:r>
        <w:rPr>
          <w:rFonts w:ascii="Times New Roman" w:hAnsi="Times New Roman" w:cs="Times New Roman"/>
          <w:noProof/>
          <w:sz w:val="20"/>
          <w:szCs w:val="20"/>
        </w:rPr>
        <w:t>*** The disbursement under the revolving fund cannot be assimilated to budgetary gross payment. It shall be therefore reported separately.</w:t>
      </w:r>
    </w:p>
    <w:p>
      <w:pPr>
        <w:spacing w:after="0"/>
        <w:rPr>
          <w:rFonts w:ascii="Times New Roman" w:hAnsi="Times New Roman" w:cs="Times New Roman"/>
          <w:noProof/>
          <w:sz w:val="20"/>
          <w:szCs w:val="20"/>
        </w:rPr>
      </w:pPr>
    </w:p>
    <w:p>
      <w:pPr>
        <w:pStyle w:val="Text1"/>
        <w:ind w:left="0"/>
        <w:jc w:val="left"/>
        <w:rPr>
          <w:noProof/>
          <w:sz w:val="20"/>
          <w:szCs w:val="20"/>
        </w:rPr>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425" w:right="964" w:bottom="964" w:left="964" w:header="709" w:footer="709" w:gutter="0"/>
          <w:cols w:space="720"/>
          <w:docGrid w:linePitch="360"/>
        </w:sectPr>
      </w:pPr>
    </w:p>
    <w:p>
      <w:pPr>
        <w:pStyle w:val="ManualHeading2"/>
        <w:rPr>
          <w:noProof/>
        </w:rPr>
      </w:pPr>
      <w:r>
        <w:t>5.3.</w:t>
      </w:r>
      <w:r>
        <w:tab/>
      </w:r>
      <w:r>
        <w:rPr>
          <w:noProof/>
        </w:rPr>
        <w:t>Attachment 3: Financial forecasts for 2020-2022 and non-binding estimations for 2023 - 2024 (EUR million):</w:t>
      </w:r>
    </w:p>
    <w:tbl>
      <w:tblPr>
        <w:tblW w:w="5000" w:type="pct"/>
        <w:tblCellMar>
          <w:left w:w="70" w:type="dxa"/>
          <w:right w:w="70" w:type="dxa"/>
        </w:tblCellMar>
        <w:tblLook w:val="04A0" w:firstRow="1" w:lastRow="0" w:firstColumn="1" w:lastColumn="0" w:noHBand="0" w:noVBand="1"/>
      </w:tblPr>
      <w:tblGrid>
        <w:gridCol w:w="935"/>
        <w:gridCol w:w="5433"/>
        <w:gridCol w:w="2102"/>
        <w:gridCol w:w="1002"/>
        <w:gridCol w:w="1197"/>
        <w:gridCol w:w="1990"/>
        <w:gridCol w:w="949"/>
        <w:gridCol w:w="1132"/>
      </w:tblGrid>
      <w:tr>
        <w:trPr>
          <w:trHeight w:val="200"/>
        </w:trPr>
        <w:tc>
          <w:tcPr>
            <w:tcW w:w="317"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US" w:eastAsia="fr-BE"/>
              </w:rPr>
            </w:pPr>
          </w:p>
        </w:tc>
        <w:tc>
          <w:tcPr>
            <w:tcW w:w="184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US" w:eastAsia="fr-BE"/>
              </w:rPr>
            </w:pPr>
          </w:p>
        </w:tc>
        <w:tc>
          <w:tcPr>
            <w:tcW w:w="145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Communication June 2020 </w:t>
            </w:r>
            <w:r>
              <w:rPr>
                <w:rFonts w:ascii="Arial" w:eastAsia="Times New Roman" w:hAnsi="Arial" w:cs="Arial"/>
                <w:b/>
                <w:bCs/>
                <w:noProof/>
                <w:sz w:val="18"/>
                <w:szCs w:val="18"/>
                <w:vertAlign w:val="superscript"/>
                <w:lang w:val="fr-BE" w:eastAsia="fr-BE"/>
              </w:rPr>
              <w:t>1</w:t>
            </w:r>
          </w:p>
        </w:tc>
        <w:tc>
          <w:tcPr>
            <w:tcW w:w="1382" w:type="pct"/>
            <w:gridSpan w:val="3"/>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Communication October 2020 </w:t>
            </w:r>
            <w:r>
              <w:rPr>
                <w:rFonts w:ascii="Arial" w:eastAsia="Times New Roman" w:hAnsi="Arial" w:cs="Arial"/>
                <w:b/>
                <w:bCs/>
                <w:noProof/>
                <w:sz w:val="18"/>
                <w:szCs w:val="18"/>
                <w:vertAlign w:val="superscript"/>
                <w:lang w:val="fr-BE" w:eastAsia="fr-BE"/>
              </w:rPr>
              <w:t>1</w:t>
            </w:r>
          </w:p>
        </w:tc>
      </w:tr>
      <w:tr>
        <w:trPr>
          <w:trHeight w:val="200"/>
        </w:trPr>
        <w:tc>
          <w:tcPr>
            <w:tcW w:w="317" w:type="pct"/>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sz w:val="18"/>
                <w:szCs w:val="18"/>
                <w:lang w:val="fr-BE" w:eastAsia="fr-BE"/>
              </w:rPr>
            </w:pPr>
          </w:p>
        </w:tc>
        <w:tc>
          <w:tcPr>
            <w:tcW w:w="1843" w:type="pct"/>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val="fr-BE" w:eastAsia="fr-BE"/>
              </w:rPr>
            </w:pPr>
          </w:p>
        </w:tc>
        <w:tc>
          <w:tcPr>
            <w:tcW w:w="713"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Commission</w:t>
            </w:r>
          </w:p>
        </w:tc>
        <w:tc>
          <w:tcPr>
            <w:tcW w:w="340"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EIB</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TOTAL</w:t>
            </w:r>
          </w:p>
        </w:tc>
        <w:tc>
          <w:tcPr>
            <w:tcW w:w="6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Commission</w:t>
            </w:r>
          </w:p>
        </w:tc>
        <w:tc>
          <w:tcPr>
            <w:tcW w:w="32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EIB</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TOTAL</w:t>
            </w:r>
          </w:p>
        </w:tc>
      </w:tr>
      <w:tr>
        <w:trPr>
          <w:trHeight w:val="20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w:t>
            </w:r>
          </w:p>
        </w:tc>
        <w:tc>
          <w:tcPr>
            <w:tcW w:w="184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Balance at 31/12/2019</w:t>
            </w:r>
            <w:r>
              <w:rPr>
                <w:rFonts w:ascii="Arial" w:eastAsia="Times New Roman" w:hAnsi="Arial" w:cs="Arial"/>
                <w:b/>
                <w:bCs/>
                <w:noProof/>
                <w:sz w:val="18"/>
                <w:szCs w:val="18"/>
                <w:vertAlign w:val="superscript"/>
                <w:lang w:val="fr-BE" w:eastAsia="fr-BE"/>
              </w:rPr>
              <w:t xml:space="preserve"> 4</w:t>
            </w:r>
          </w:p>
        </w:tc>
        <w:tc>
          <w:tcPr>
            <w:tcW w:w="71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1 179</w:t>
            </w:r>
          </w:p>
        </w:tc>
        <w:tc>
          <w:tcPr>
            <w:tcW w:w="340"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379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1 558</w:t>
            </w:r>
          </w:p>
        </w:tc>
        <w:tc>
          <w:tcPr>
            <w:tcW w:w="6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1 179</w:t>
            </w:r>
          </w:p>
        </w:tc>
        <w:tc>
          <w:tcPr>
            <w:tcW w:w="32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379</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1 558</w:t>
            </w:r>
          </w:p>
        </w:tc>
      </w:tr>
      <w:tr>
        <w:trPr>
          <w:trHeight w:val="200"/>
        </w:trPr>
        <w:tc>
          <w:tcPr>
            <w:tcW w:w="317" w:type="pct"/>
            <w:vMerge w:val="restart"/>
            <w:tcBorders>
              <w:top w:val="nil"/>
              <w:left w:val="single" w:sz="4" w:space="0" w:color="auto"/>
              <w:bottom w:val="nil"/>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2020</w:t>
            </w: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lang w:val="en-US" w:eastAsia="fr-BE"/>
              </w:rPr>
            </w:pPr>
            <w:r>
              <w:rPr>
                <w:rFonts w:ascii="Arial" w:eastAsia="Times New Roman" w:hAnsi="Arial" w:cs="Arial"/>
                <w:noProof/>
                <w:color w:val="FF0000"/>
                <w:sz w:val="18"/>
                <w:szCs w:val="18"/>
                <w:lang w:val="en-US" w:eastAsia="fr-BE"/>
              </w:rPr>
              <w:t>Member States &amp; UK Contributions for 2020:</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en-US" w:eastAsia="fr-BE"/>
              </w:rPr>
              <w:t xml:space="preserve">  </w:t>
            </w:r>
            <w:r>
              <w:rPr>
                <w:rFonts w:ascii="Arial" w:eastAsia="Times New Roman" w:hAnsi="Arial" w:cs="Arial"/>
                <w:noProof/>
                <w:sz w:val="18"/>
                <w:szCs w:val="18"/>
                <w:lang w:val="fr-BE" w:eastAsia="fr-BE"/>
              </w:rPr>
              <w:t>4 400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4 700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4 400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4 700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1st instalment</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1 800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1 900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1 800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1 900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2nd instalment</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1 600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1 700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1 600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1 700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3rd instalment</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1 000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1 100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1 000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1 100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Reflows</w:t>
            </w:r>
            <w:r>
              <w:rPr>
                <w:rFonts w:ascii="Arial" w:eastAsia="Times New Roman" w:hAnsi="Arial" w:cs="Arial"/>
                <w:noProof/>
                <w:sz w:val="18"/>
                <w:szCs w:val="18"/>
                <w:vertAlign w:val="superscript"/>
                <w:lang w:val="fr-BE" w:eastAsia="fr-BE"/>
              </w:rPr>
              <w:t xml:space="preserve"> 2</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332</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332</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303</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303</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Contrib. &amp; Adjust. 2020 received in 2019</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264</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264</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264</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264</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Recoveries, interest and adjustment</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65</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65</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60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60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val="en-US" w:eastAsia="fr-BE"/>
              </w:rPr>
            </w:pPr>
            <w:r>
              <w:rPr>
                <w:rFonts w:ascii="Arial" w:eastAsia="Times New Roman" w:hAnsi="Arial" w:cs="Arial"/>
                <w:noProof/>
                <w:sz w:val="18"/>
                <w:szCs w:val="18"/>
                <w:lang w:val="en-US" w:eastAsia="fr-BE"/>
              </w:rPr>
              <w:t xml:space="preserve">Provision for the UK share of 8, 9, 10th EDF </w:t>
            </w:r>
            <w:r>
              <w:rPr>
                <w:rFonts w:ascii="Arial" w:eastAsia="Times New Roman" w:hAnsi="Arial" w:cs="Arial"/>
                <w:noProof/>
                <w:sz w:val="18"/>
                <w:szCs w:val="18"/>
                <w:vertAlign w:val="superscript"/>
                <w:lang w:val="en-US" w:eastAsia="fr-BE"/>
              </w:rPr>
              <w:t>6</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73</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73</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Total payments</w:t>
            </w:r>
            <w:r>
              <w:rPr>
                <w:rFonts w:ascii="Arial" w:eastAsia="Times New Roman" w:hAnsi="Arial" w:cs="Arial"/>
                <w:noProof/>
                <w:sz w:val="18"/>
                <w:szCs w:val="18"/>
                <w:vertAlign w:val="superscript"/>
                <w:lang w:val="fr-BE" w:eastAsia="fr-BE"/>
              </w:rPr>
              <w:t xml:space="preserve"> 3</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4 386</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588</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4 974</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4 934</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588</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5 522</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Balance at 31/12/2020</w:t>
            </w:r>
            <w:r>
              <w:rPr>
                <w:rFonts w:ascii="Arial" w:eastAsia="Times New Roman" w:hAnsi="Arial" w:cs="Arial"/>
                <w:b/>
                <w:bCs/>
                <w:noProof/>
                <w:sz w:val="18"/>
                <w:szCs w:val="18"/>
                <w:vertAlign w:val="superscript"/>
                <w:lang w:val="fr-BE" w:eastAsia="fr-BE"/>
              </w:rPr>
              <w:t xml:space="preserve"> 4</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921</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423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1 344</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441</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394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835</w:t>
            </w:r>
          </w:p>
        </w:tc>
      </w:tr>
      <w:tr>
        <w:trPr>
          <w:trHeight w:val="200"/>
        </w:trPr>
        <w:tc>
          <w:tcPr>
            <w:tcW w:w="317" w:type="pct"/>
            <w:vMerge w:val="restart"/>
            <w:tcBorders>
              <w:top w:val="nil"/>
              <w:left w:val="single" w:sz="4" w:space="0" w:color="auto"/>
              <w:bottom w:val="nil"/>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2021</w:t>
            </w: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lang w:val="en-US" w:eastAsia="fr-BE"/>
              </w:rPr>
            </w:pPr>
            <w:r>
              <w:rPr>
                <w:rFonts w:ascii="Arial" w:eastAsia="Times New Roman" w:hAnsi="Arial" w:cs="Arial"/>
                <w:noProof/>
                <w:color w:val="FF0000"/>
                <w:sz w:val="18"/>
                <w:szCs w:val="18"/>
                <w:lang w:val="en-US" w:eastAsia="fr-BE"/>
              </w:rPr>
              <w:t>Member States &amp; UK Contributions for 2021:</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en-US" w:eastAsia="fr-BE"/>
              </w:rPr>
              <w:t xml:space="preserve">  </w:t>
            </w:r>
            <w:r>
              <w:rPr>
                <w:rFonts w:ascii="Arial" w:eastAsia="Times New Roman" w:hAnsi="Arial" w:cs="Arial"/>
                <w:noProof/>
                <w:sz w:val="18"/>
                <w:szCs w:val="18"/>
                <w:lang w:val="fr-BE" w:eastAsia="fr-BE"/>
              </w:rPr>
              <w:t>3 700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4 000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3 700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4 000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1st instalment</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1 600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70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1 670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1 600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70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1 670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2nd instalment</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1 200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130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1 330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1 200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130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1 330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3rd instalment</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900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1 000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900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1 000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Reflows</w:t>
            </w:r>
            <w:r>
              <w:rPr>
                <w:rFonts w:ascii="Arial" w:eastAsia="Times New Roman" w:hAnsi="Arial" w:cs="Arial"/>
                <w:noProof/>
                <w:sz w:val="18"/>
                <w:szCs w:val="18"/>
                <w:vertAlign w:val="superscript"/>
                <w:lang w:val="fr-BE" w:eastAsia="fr-BE"/>
              </w:rPr>
              <w:t xml:space="preserve"> 2</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399</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399</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390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390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Recoveries, interest and adjustment</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65</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65</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r>
      <w:tr>
        <w:trPr>
          <w:trHeight w:val="223"/>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val="en-US" w:eastAsia="fr-BE"/>
              </w:rPr>
            </w:pPr>
            <w:r>
              <w:rPr>
                <w:rFonts w:ascii="Arial" w:eastAsia="Times New Roman" w:hAnsi="Arial" w:cs="Arial"/>
                <w:noProof/>
                <w:sz w:val="18"/>
                <w:szCs w:val="18"/>
                <w:lang w:val="en-US" w:eastAsia="fr-BE"/>
              </w:rPr>
              <w:t>Provision for a refund of 8th 9th EDF</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en-US" w:eastAsia="fr-BE"/>
              </w:rPr>
            </w:pPr>
            <w:r>
              <w:rPr>
                <w:rFonts w:ascii="Arial" w:eastAsia="Times New Roman" w:hAnsi="Arial" w:cs="Arial"/>
                <w:noProof/>
                <w:sz w:val="18"/>
                <w:szCs w:val="18"/>
                <w:lang w:val="en-US" w:eastAsia="fr-BE"/>
              </w:rPr>
              <w:t>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en-US" w:eastAsia="fr-BE"/>
              </w:rPr>
            </w:pPr>
            <w:r>
              <w:rPr>
                <w:rFonts w:ascii="Arial" w:eastAsia="Times New Roman" w:hAnsi="Arial" w:cs="Arial"/>
                <w:noProof/>
                <w:sz w:val="18"/>
                <w:szCs w:val="18"/>
                <w:lang w:val="en-US" w:eastAsia="fr-BE"/>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en-US" w:eastAsia="fr-BE"/>
              </w:rPr>
              <w:t xml:space="preserve">   </w:t>
            </w:r>
            <w:r>
              <w:rPr>
                <w:rFonts w:ascii="Arial" w:eastAsia="Times New Roman" w:hAnsi="Arial" w:cs="Arial"/>
                <w:noProof/>
                <w:sz w:val="18"/>
                <w:szCs w:val="18"/>
                <w:lang w:val="fr-BE" w:eastAsia="fr-BE"/>
              </w:rPr>
              <w:t>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223</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223</w:t>
            </w:r>
          </w:p>
        </w:tc>
      </w:tr>
      <w:tr>
        <w:trPr>
          <w:trHeight w:val="223"/>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val="en-US" w:eastAsia="fr-BE"/>
              </w:rPr>
            </w:pPr>
            <w:r>
              <w:rPr>
                <w:rFonts w:ascii="Arial" w:eastAsia="Times New Roman" w:hAnsi="Arial" w:cs="Arial"/>
                <w:noProof/>
                <w:sz w:val="18"/>
                <w:szCs w:val="18"/>
                <w:lang w:val="en-US" w:eastAsia="fr-BE"/>
              </w:rPr>
              <w:t>Provision for the UK share of 10th EDF</w:t>
            </w:r>
            <w:r>
              <w:rPr>
                <w:rFonts w:ascii="Arial" w:eastAsia="Times New Roman" w:hAnsi="Arial" w:cs="Arial"/>
                <w:noProof/>
                <w:sz w:val="18"/>
                <w:szCs w:val="18"/>
                <w:vertAlign w:val="superscript"/>
                <w:lang w:val="en-US" w:eastAsia="fr-BE"/>
              </w:rPr>
              <w:t xml:space="preserve"> 6</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en-US" w:eastAsia="fr-BE"/>
              </w:rPr>
            </w:pPr>
            <w:r>
              <w:rPr>
                <w:rFonts w:ascii="Arial" w:eastAsia="Times New Roman" w:hAnsi="Arial" w:cs="Arial"/>
                <w:noProof/>
                <w:sz w:val="18"/>
                <w:szCs w:val="18"/>
                <w:lang w:val="en-US" w:eastAsia="fr-BE"/>
              </w:rPr>
              <w:t>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en-US" w:eastAsia="fr-BE"/>
              </w:rPr>
            </w:pPr>
            <w:r>
              <w:rPr>
                <w:rFonts w:ascii="Arial" w:eastAsia="Times New Roman" w:hAnsi="Arial" w:cs="Arial"/>
                <w:noProof/>
                <w:sz w:val="18"/>
                <w:szCs w:val="18"/>
                <w:lang w:val="en-US" w:eastAsia="fr-BE"/>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en-US" w:eastAsia="fr-BE"/>
              </w:rPr>
              <w:t xml:space="preserve">   </w:t>
            </w:r>
            <w:r>
              <w:rPr>
                <w:rFonts w:ascii="Arial" w:eastAsia="Times New Roman" w:hAnsi="Arial" w:cs="Arial"/>
                <w:noProof/>
                <w:sz w:val="18"/>
                <w:szCs w:val="18"/>
                <w:lang w:val="fr-BE" w:eastAsia="fr-BE"/>
              </w:rPr>
              <w:t>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49</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49</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Total payments</w:t>
            </w:r>
            <w:r>
              <w:rPr>
                <w:rFonts w:ascii="Arial" w:eastAsia="Times New Roman" w:hAnsi="Arial" w:cs="Arial"/>
                <w:noProof/>
                <w:sz w:val="18"/>
                <w:szCs w:val="18"/>
                <w:vertAlign w:val="superscript"/>
                <w:lang w:val="fr-BE" w:eastAsia="fr-BE"/>
              </w:rPr>
              <w:t xml:space="preserve"> 3</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3 700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590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4 290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3 700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540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4 240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Balance at 31/12/2021</w:t>
            </w:r>
            <w:r>
              <w:rPr>
                <w:rFonts w:ascii="Arial" w:eastAsia="Times New Roman" w:hAnsi="Arial" w:cs="Arial"/>
                <w:b/>
                <w:bCs/>
                <w:noProof/>
                <w:sz w:val="18"/>
                <w:szCs w:val="18"/>
                <w:vertAlign w:val="superscript"/>
                <w:lang w:val="fr-BE" w:eastAsia="fr-BE"/>
              </w:rPr>
              <w:t xml:space="preserve"> 4</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986</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532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1 518</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225</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544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768</w:t>
            </w:r>
          </w:p>
        </w:tc>
      </w:tr>
      <w:tr>
        <w:trPr>
          <w:trHeight w:val="200"/>
        </w:trPr>
        <w:tc>
          <w:tcPr>
            <w:tcW w:w="317"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2022</w:t>
            </w: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lang w:val="en-US" w:eastAsia="fr-BE"/>
              </w:rPr>
            </w:pPr>
            <w:r>
              <w:rPr>
                <w:rFonts w:ascii="Arial" w:eastAsia="Times New Roman" w:hAnsi="Arial" w:cs="Arial"/>
                <w:noProof/>
                <w:color w:val="FF0000"/>
                <w:sz w:val="18"/>
                <w:szCs w:val="18"/>
                <w:lang w:val="en-US" w:eastAsia="fr-BE"/>
              </w:rPr>
              <w:t>Member States &amp; UK Contributions for 2022:</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en-US" w:eastAsia="fr-BE"/>
              </w:rPr>
              <w:t xml:space="preserve">  </w:t>
            </w:r>
            <w:r>
              <w:rPr>
                <w:rFonts w:ascii="Arial" w:eastAsia="Times New Roman" w:hAnsi="Arial" w:cs="Arial"/>
                <w:noProof/>
                <w:sz w:val="18"/>
                <w:szCs w:val="18"/>
                <w:lang w:val="fr-BE" w:eastAsia="fr-BE"/>
              </w:rPr>
              <w:t>2 700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3 000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2 500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2 800</w:t>
            </w:r>
          </w:p>
        </w:tc>
      </w:tr>
      <w:tr>
        <w:trPr>
          <w:trHeight w:val="200"/>
        </w:trPr>
        <w:tc>
          <w:tcPr>
            <w:tcW w:w="31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Reflows</w:t>
            </w:r>
            <w:r>
              <w:rPr>
                <w:rFonts w:ascii="Arial" w:eastAsia="Times New Roman" w:hAnsi="Arial" w:cs="Arial"/>
                <w:noProof/>
                <w:sz w:val="18"/>
                <w:szCs w:val="18"/>
                <w:vertAlign w:val="superscript"/>
                <w:lang w:val="fr-BE" w:eastAsia="fr-BE"/>
              </w:rPr>
              <w:t xml:space="preserve"> 2</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431</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431</w:t>
            </w:r>
          </w:p>
        </w:tc>
      </w:tr>
      <w:tr>
        <w:trPr>
          <w:trHeight w:val="200"/>
        </w:trPr>
        <w:tc>
          <w:tcPr>
            <w:tcW w:w="31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Recoveries, interest and adjustment</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50</w:t>
            </w:r>
          </w:p>
        </w:tc>
      </w:tr>
      <w:tr>
        <w:trPr>
          <w:trHeight w:val="200"/>
        </w:trPr>
        <w:tc>
          <w:tcPr>
            <w:tcW w:w="31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Total payments</w:t>
            </w:r>
            <w:r>
              <w:rPr>
                <w:rFonts w:ascii="Arial" w:eastAsia="Times New Roman" w:hAnsi="Arial" w:cs="Arial"/>
                <w:noProof/>
                <w:sz w:val="18"/>
                <w:szCs w:val="18"/>
                <w:vertAlign w:val="superscript"/>
                <w:lang w:val="fr-BE" w:eastAsia="fr-BE"/>
              </w:rPr>
              <w:t xml:space="preserve"> 3</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2 500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490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2 990</w:t>
            </w:r>
          </w:p>
        </w:tc>
      </w:tr>
      <w:tr>
        <w:trPr>
          <w:trHeight w:val="200"/>
        </w:trPr>
        <w:tc>
          <w:tcPr>
            <w:tcW w:w="31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Balance at 31/12/2022</w:t>
            </w:r>
            <w:r>
              <w:rPr>
                <w:rFonts w:ascii="Arial" w:eastAsia="Times New Roman" w:hAnsi="Arial" w:cs="Arial"/>
                <w:b/>
                <w:bCs/>
                <w:noProof/>
                <w:sz w:val="18"/>
                <w:szCs w:val="18"/>
                <w:vertAlign w:val="superscript"/>
                <w:lang w:val="fr-BE" w:eastAsia="fr-BE"/>
              </w:rPr>
              <w:t xml:space="preserve"> 4</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275</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785</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1 059</w:t>
            </w:r>
          </w:p>
        </w:tc>
      </w:tr>
      <w:tr>
        <w:trPr>
          <w:trHeight w:val="2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2023</w:t>
            </w:r>
          </w:p>
        </w:tc>
        <w:tc>
          <w:tcPr>
            <w:tcW w:w="1843"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lang w:val="en-US" w:eastAsia="fr-BE"/>
              </w:rPr>
            </w:pPr>
            <w:r>
              <w:rPr>
                <w:rFonts w:ascii="Arial" w:eastAsia="Times New Roman" w:hAnsi="Arial" w:cs="Arial"/>
                <w:noProof/>
                <w:color w:val="FF0000"/>
                <w:sz w:val="18"/>
                <w:szCs w:val="18"/>
                <w:lang w:val="en-US" w:eastAsia="fr-BE"/>
              </w:rPr>
              <w:t>Member States &amp; UK Contributions for 2023</w:t>
            </w:r>
            <w:r>
              <w:rPr>
                <w:rFonts w:ascii="Arial" w:eastAsia="Times New Roman" w:hAnsi="Arial" w:cs="Arial"/>
                <w:noProof/>
                <w:color w:val="FF0000"/>
                <w:sz w:val="18"/>
                <w:szCs w:val="18"/>
                <w:vertAlign w:val="superscript"/>
                <w:lang w:val="en-US" w:eastAsia="fr-BE"/>
              </w:rPr>
              <w:t xml:space="preserve"> 5</w:t>
            </w:r>
          </w:p>
        </w:tc>
        <w:tc>
          <w:tcPr>
            <w:tcW w:w="71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en-US" w:eastAsia="fr-BE"/>
              </w:rPr>
              <w:t xml:space="preserve">  </w:t>
            </w:r>
            <w:r>
              <w:rPr>
                <w:rFonts w:ascii="Arial" w:eastAsia="Times New Roman" w:hAnsi="Arial" w:cs="Arial"/>
                <w:b/>
                <w:bCs/>
                <w:noProof/>
                <w:sz w:val="18"/>
                <w:szCs w:val="18"/>
                <w:lang w:val="fr-BE" w:eastAsia="fr-BE"/>
              </w:rPr>
              <w:t>2 000</w:t>
            </w:r>
          </w:p>
        </w:tc>
        <w:tc>
          <w:tcPr>
            <w:tcW w:w="340"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100</w:t>
            </w:r>
          </w:p>
        </w:tc>
        <w:tc>
          <w:tcPr>
            <w:tcW w:w="40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2 100</w:t>
            </w:r>
          </w:p>
        </w:tc>
        <w:tc>
          <w:tcPr>
            <w:tcW w:w="6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1 800</w:t>
            </w:r>
          </w:p>
        </w:tc>
        <w:tc>
          <w:tcPr>
            <w:tcW w:w="32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300</w:t>
            </w:r>
          </w:p>
        </w:tc>
        <w:tc>
          <w:tcPr>
            <w:tcW w:w="384"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2 100</w:t>
            </w:r>
          </w:p>
        </w:tc>
      </w:tr>
      <w:tr>
        <w:trPr>
          <w:trHeight w:val="2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2024</w:t>
            </w:r>
          </w:p>
        </w:tc>
        <w:tc>
          <w:tcPr>
            <w:tcW w:w="1843"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lang w:val="en-US" w:eastAsia="fr-BE"/>
              </w:rPr>
            </w:pPr>
            <w:r>
              <w:rPr>
                <w:rFonts w:ascii="Arial" w:eastAsia="Times New Roman" w:hAnsi="Arial" w:cs="Arial"/>
                <w:noProof/>
                <w:color w:val="FF0000"/>
                <w:sz w:val="18"/>
                <w:szCs w:val="18"/>
                <w:lang w:val="en-US" w:eastAsia="fr-BE"/>
              </w:rPr>
              <w:t>Member States &amp; UK Contributions for 2024</w:t>
            </w:r>
            <w:r>
              <w:rPr>
                <w:rFonts w:ascii="Arial" w:eastAsia="Times New Roman" w:hAnsi="Arial" w:cs="Arial"/>
                <w:noProof/>
                <w:color w:val="FF0000"/>
                <w:sz w:val="18"/>
                <w:szCs w:val="18"/>
                <w:vertAlign w:val="superscript"/>
                <w:lang w:val="en-US" w:eastAsia="fr-BE"/>
              </w:rPr>
              <w:t xml:space="preserve"> 5</w:t>
            </w:r>
          </w:p>
        </w:tc>
        <w:tc>
          <w:tcPr>
            <w:tcW w:w="71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en-US" w:eastAsia="fr-BE"/>
              </w:rPr>
            </w:pPr>
            <w:r>
              <w:rPr>
                <w:rFonts w:ascii="Arial" w:eastAsia="Times New Roman" w:hAnsi="Arial" w:cs="Arial"/>
                <w:b/>
                <w:bCs/>
                <w:noProof/>
                <w:sz w:val="18"/>
                <w:szCs w:val="18"/>
                <w:lang w:val="en-US" w:eastAsia="fr-BE"/>
              </w:rPr>
              <w:t> </w:t>
            </w:r>
          </w:p>
        </w:tc>
        <w:tc>
          <w:tcPr>
            <w:tcW w:w="340"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en-US" w:eastAsia="fr-BE"/>
              </w:rPr>
            </w:pPr>
            <w:r>
              <w:rPr>
                <w:rFonts w:ascii="Arial" w:eastAsia="Times New Roman" w:hAnsi="Arial" w:cs="Arial"/>
                <w:b/>
                <w:bCs/>
                <w:noProof/>
                <w:sz w:val="18"/>
                <w:szCs w:val="18"/>
                <w:lang w:val="en-US" w:eastAsia="fr-BE"/>
              </w:rPr>
              <w:t> </w:t>
            </w:r>
          </w:p>
        </w:tc>
        <w:tc>
          <w:tcPr>
            <w:tcW w:w="40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en-US" w:eastAsia="fr-BE"/>
              </w:rPr>
            </w:pPr>
            <w:r>
              <w:rPr>
                <w:rFonts w:ascii="Arial" w:eastAsia="Times New Roman" w:hAnsi="Arial" w:cs="Arial"/>
                <w:b/>
                <w:bCs/>
                <w:noProof/>
                <w:sz w:val="18"/>
                <w:szCs w:val="18"/>
                <w:lang w:val="en-US" w:eastAsia="fr-BE"/>
              </w:rPr>
              <w:t> </w:t>
            </w:r>
          </w:p>
        </w:tc>
        <w:tc>
          <w:tcPr>
            <w:tcW w:w="6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en-US" w:eastAsia="fr-BE"/>
              </w:rPr>
              <w:t xml:space="preserve">  </w:t>
            </w:r>
            <w:r>
              <w:rPr>
                <w:rFonts w:ascii="Arial" w:eastAsia="Times New Roman" w:hAnsi="Arial" w:cs="Arial"/>
                <w:b/>
                <w:bCs/>
                <w:noProof/>
                <w:sz w:val="18"/>
                <w:szCs w:val="18"/>
                <w:lang w:val="fr-BE" w:eastAsia="fr-BE"/>
              </w:rPr>
              <w:t>1 500</w:t>
            </w:r>
          </w:p>
        </w:tc>
        <w:tc>
          <w:tcPr>
            <w:tcW w:w="32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200</w:t>
            </w:r>
          </w:p>
        </w:tc>
        <w:tc>
          <w:tcPr>
            <w:tcW w:w="384"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1 700</w:t>
            </w:r>
          </w:p>
        </w:tc>
      </w:tr>
    </w:tbl>
    <w:p>
      <w:pPr>
        <w:spacing w:after="0"/>
        <w:rPr>
          <w:rFonts w:ascii="Times New Roman" w:hAnsi="Times New Roman" w:cs="Times New Roman"/>
          <w:noProof/>
          <w:sz w:val="20"/>
          <w:szCs w:val="20"/>
        </w:rPr>
      </w:pPr>
    </w:p>
    <w:p>
      <w:pPr>
        <w:pStyle w:val="Text1"/>
        <w:spacing w:before="0" w:after="0"/>
        <w:ind w:left="851"/>
        <w:jc w:val="left"/>
        <w:rPr>
          <w:noProof/>
          <w:sz w:val="14"/>
          <w:szCs w:val="14"/>
        </w:rPr>
      </w:pPr>
      <w:r>
        <w:rPr>
          <w:noProof/>
          <w:sz w:val="14"/>
          <w:szCs w:val="14"/>
        </w:rPr>
        <w:t>1</w:t>
      </w:r>
      <w:r>
        <w:rPr>
          <w:noProof/>
          <w:sz w:val="14"/>
          <w:szCs w:val="14"/>
        </w:rPr>
        <w:tab/>
        <w:t>Funds available for operations as per Communication from the Commission to the Council;</w:t>
      </w:r>
      <w:r>
        <w:rPr>
          <w:noProof/>
          <w:sz w:val="14"/>
          <w:szCs w:val="14"/>
        </w:rPr>
        <w:br/>
        <w:t>2</w:t>
      </w:r>
      <w:r>
        <w:rPr>
          <w:noProof/>
          <w:sz w:val="14"/>
          <w:szCs w:val="14"/>
        </w:rPr>
        <w:tab/>
        <w:t>Net of EIB management fees and cost of swaps;</w:t>
      </w:r>
      <w:r>
        <w:rPr>
          <w:noProof/>
          <w:sz w:val="14"/>
          <w:szCs w:val="14"/>
        </w:rPr>
        <w:br/>
        <w:t>3</w:t>
      </w:r>
      <w:r>
        <w:rPr>
          <w:noProof/>
          <w:sz w:val="14"/>
          <w:szCs w:val="14"/>
        </w:rPr>
        <w:tab/>
        <w:t>Including interest rates subsidies under the previous EDFs;</w:t>
      </w:r>
      <w:r>
        <w:rPr>
          <w:noProof/>
          <w:sz w:val="14"/>
          <w:szCs w:val="14"/>
        </w:rPr>
        <w:br/>
        <w:t>4</w:t>
      </w:r>
      <w:r>
        <w:rPr>
          <w:noProof/>
          <w:sz w:val="14"/>
          <w:szCs w:val="14"/>
        </w:rPr>
        <w:tab/>
        <w:t>Balances do not include: (i) Cofinancings received, (ii) Receipts in bank not yet allocated to a specific EDF line, EIB reflows previously reported, as they are not yet reimbursed;</w:t>
      </w:r>
      <w:r>
        <w:rPr>
          <w:noProof/>
          <w:sz w:val="14"/>
          <w:szCs w:val="14"/>
        </w:rPr>
        <w:br/>
        <w:t>5</w:t>
      </w:r>
      <w:r>
        <w:rPr>
          <w:noProof/>
          <w:sz w:val="14"/>
          <w:szCs w:val="14"/>
        </w:rPr>
        <w:tab/>
        <w:t>Art.19(2)(d) 11</w:t>
      </w:r>
      <w:r>
        <w:rPr>
          <w:noProof/>
          <w:sz w:val="14"/>
          <w:szCs w:val="14"/>
          <w:vertAlign w:val="superscript"/>
        </w:rPr>
        <w:t>th</w:t>
      </w:r>
      <w:r>
        <w:rPr>
          <w:noProof/>
          <w:sz w:val="14"/>
          <w:szCs w:val="14"/>
        </w:rPr>
        <w:t xml:space="preserve"> EDF Financial Regulation: non-binding forecast based on a statistical approach for the expected annual contributions for the years n + 3 and n + 4;</w:t>
      </w:r>
    </w:p>
    <w:p>
      <w:pPr>
        <w:pStyle w:val="Text1"/>
        <w:spacing w:before="0" w:after="0"/>
        <w:ind w:left="851"/>
        <w:jc w:val="left"/>
        <w:rPr>
          <w:noProof/>
          <w:sz w:val="14"/>
          <w:szCs w:val="14"/>
        </w:rPr>
      </w:pPr>
      <w:r>
        <w:rPr>
          <w:noProof/>
          <w:sz w:val="14"/>
          <w:szCs w:val="14"/>
        </w:rPr>
        <w:t>6</w:t>
      </w:r>
      <w:r>
        <w:rPr>
          <w:noProof/>
          <w:sz w:val="14"/>
          <w:szCs w:val="14"/>
        </w:rPr>
        <w:tab/>
        <w:t>According to Article 153 of the Withdrawal Agreement, the UK part of previous EDF's shall not be reused.</w:t>
      </w:r>
    </w:p>
    <w:p>
      <w:pPr>
        <w:pStyle w:val="Text1"/>
        <w:spacing w:before="0" w:after="0"/>
        <w:ind w:left="851"/>
        <w:jc w:val="left"/>
        <w:rPr>
          <w:noProof/>
          <w:sz w:val="14"/>
          <w:szCs w:val="14"/>
        </w:rPr>
      </w:pPr>
    </w:p>
    <w:p>
      <w:pPr>
        <w:pStyle w:val="Text1"/>
        <w:spacing w:before="0" w:after="0"/>
        <w:ind w:left="851"/>
        <w:jc w:val="left"/>
        <w:rPr>
          <w:noProof/>
          <w:sz w:val="14"/>
          <w:szCs w:val="14"/>
        </w:rPr>
      </w:pPr>
    </w:p>
    <w:p>
      <w:pPr>
        <w:pStyle w:val="Text1"/>
        <w:spacing w:before="0" w:after="0"/>
        <w:ind w:left="851"/>
        <w:jc w:val="left"/>
        <w:rPr>
          <w:noProof/>
          <w:sz w:val="14"/>
          <w:szCs w:val="14"/>
        </w:rPr>
      </w:pPr>
      <w:r>
        <w:rPr>
          <w:noProof/>
          <w:sz w:val="14"/>
          <w:szCs w:val="14"/>
        </w:rPr>
        <w:br/>
      </w:r>
    </w:p>
    <w:p>
      <w:pPr>
        <w:pStyle w:val="Heading2"/>
        <w:numPr>
          <w:ilvl w:val="0"/>
          <w:numId w:val="0"/>
        </w:numPr>
        <w:spacing w:after="0"/>
        <w:ind w:left="850" w:hanging="850"/>
        <w:rPr>
          <w:noProof/>
        </w:rPr>
        <w:sectPr>
          <w:headerReference w:type="even" r:id="rId35"/>
          <w:headerReference w:type="default" r:id="rId36"/>
          <w:footerReference w:type="even" r:id="rId37"/>
          <w:footerReference w:type="default" r:id="rId38"/>
          <w:headerReference w:type="first" r:id="rId39"/>
          <w:footerReference w:type="first" r:id="rId40"/>
          <w:pgSz w:w="16838" w:h="11906" w:orient="landscape"/>
          <w:pgMar w:top="1418" w:right="820" w:bottom="1418" w:left="1418" w:header="709" w:footer="709" w:gutter="0"/>
          <w:cols w:space="720"/>
          <w:docGrid w:linePitch="360"/>
        </w:sectPr>
      </w:pPr>
    </w:p>
    <w:p>
      <w:pPr>
        <w:pStyle w:val="ManualHeading2"/>
        <w:rPr>
          <w:noProof/>
        </w:rPr>
      </w:pPr>
      <w:r>
        <w:t>5.4.</w:t>
      </w:r>
      <w:r>
        <w:tab/>
      </w:r>
      <w:r>
        <w:rPr>
          <w:noProof/>
        </w:rPr>
        <w:t>Attachment 4: Member States and the UK contributions for 2021 (EUR)</w:t>
      </w:r>
    </w:p>
    <w:tbl>
      <w:tblPr>
        <w:tblW w:w="5000" w:type="pct"/>
        <w:tblCellMar>
          <w:left w:w="70" w:type="dxa"/>
          <w:right w:w="70" w:type="dxa"/>
        </w:tblCellMar>
        <w:tblLook w:val="04A0" w:firstRow="1" w:lastRow="0" w:firstColumn="1" w:lastColumn="0" w:noHBand="0" w:noVBand="1"/>
      </w:tblPr>
      <w:tblGrid>
        <w:gridCol w:w="1727"/>
        <w:gridCol w:w="918"/>
        <w:gridCol w:w="882"/>
        <w:gridCol w:w="1156"/>
        <w:gridCol w:w="1400"/>
        <w:gridCol w:w="1207"/>
        <w:gridCol w:w="1348"/>
        <w:gridCol w:w="1249"/>
        <w:gridCol w:w="1249"/>
        <w:gridCol w:w="1195"/>
        <w:gridCol w:w="1361"/>
        <w:gridCol w:w="1358"/>
      </w:tblGrid>
      <w:tr>
        <w:trPr>
          <w:trHeight w:val="283"/>
        </w:trPr>
        <w:tc>
          <w:tcPr>
            <w:tcW w:w="5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MEMBER STATES &amp; UK</w:t>
            </w:r>
          </w:p>
        </w:tc>
        <w:tc>
          <w:tcPr>
            <w:tcW w:w="305"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Key 10th EDF %</w:t>
            </w:r>
          </w:p>
        </w:tc>
        <w:tc>
          <w:tcPr>
            <w:tcW w:w="293"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Key 11th EDF %</w:t>
            </w:r>
          </w:p>
        </w:tc>
        <w:tc>
          <w:tcPr>
            <w:tcW w:w="849"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1st instalment</w:t>
            </w:r>
          </w:p>
        </w:tc>
        <w:tc>
          <w:tcPr>
            <w:tcW w:w="849"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2nd instalment</w:t>
            </w:r>
          </w:p>
        </w:tc>
        <w:tc>
          <w:tcPr>
            <w:tcW w:w="830"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 xml:space="preserve"> 3rd instalment</w:t>
            </w:r>
          </w:p>
        </w:tc>
        <w:tc>
          <w:tcPr>
            <w:tcW w:w="397"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EIB</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w:t>
            </w:r>
            <w:r>
              <w:rPr>
                <w:rFonts w:ascii="Times New Roman" w:eastAsia="Times New Roman" w:hAnsi="Times New Roman" w:cs="Times New Roman"/>
                <w:b/>
                <w:bCs/>
                <w:noProof/>
                <w:sz w:val="16"/>
                <w:szCs w:val="16"/>
                <w:lang w:val="fr-BE" w:eastAsia="fr-BE"/>
              </w:rPr>
              <w:br/>
              <w:t>Commission</w:t>
            </w:r>
          </w:p>
        </w:tc>
        <w:tc>
          <w:tcPr>
            <w:tcW w:w="4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2021</w:t>
            </w:r>
          </w:p>
        </w:tc>
      </w:tr>
      <w:tr>
        <w:trPr>
          <w:trHeight w:val="225"/>
        </w:trPr>
        <w:tc>
          <w:tcPr>
            <w:tcW w:w="574"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Commission</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Commission</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Commission</w:t>
            </w:r>
          </w:p>
        </w:tc>
        <w:tc>
          <w:tcPr>
            <w:tcW w:w="397"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25"/>
        </w:trPr>
        <w:tc>
          <w:tcPr>
            <w:tcW w:w="574"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8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10th EDF</w:t>
            </w:r>
          </w:p>
        </w:tc>
        <w:tc>
          <w:tcPr>
            <w:tcW w:w="46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4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397"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BELGIUM</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3,53</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3,24927</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2 471 000,00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51 988 320,00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4 224 051,00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38 991 240,00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3 249 270,00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29 243 430,00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9 944 321,00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120 222 990,00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130 167 311,00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BULGARIA</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0,14</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0,21853</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98 000,00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3 496 480,00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284 089,00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2 622 360,00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218 530,00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1 966 770,00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600 619,00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8 085 610,00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8 686 229,00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CZECH REPUBLIC</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0,51</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0,79745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357 000,00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12 759 200,00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1 036 685,00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9 569 400,00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797 450,00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7 177 050,00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2 191 135,00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29 505 650,00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31 696 785,00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DENMARK</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1,98045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1 400 000,00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31 687 200,00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2 574 585,00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23 765 400,00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1 980 450,00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17 824 050,00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5 955 035,00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73 276 650,00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79 231 685,00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GERMANY</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20,50</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20,57980</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14 350 000,00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329 276 800,00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26 753 740,00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246 957 600,00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20 579 800,00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185 218 200,00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61 683 540,00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761 452 600,00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823 136 140,00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ESTONIA</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0,08635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1 381 600,00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112 255,00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1 036 200,00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86 350,00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777 150,00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233 605,00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3 194 950,00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3 428 555,00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IRELAND</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0,91</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0,94006</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637 000,00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15 040 960,00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1 222 078,00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11 280 720,00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940 060,00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8 460 540,00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2 799 138,00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34 782 220,00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37 581 358,00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GREECE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1,50735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1 029 000,00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24 117 600,00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1 959 555,00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18 088 200,00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1 507 350,00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13 566 150,00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4 495 905,00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55 771 950,00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60 267 855,00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SPAIN</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7,85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7,93248</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5 495 000,00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126 919 680,00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10 312 224,00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95 189 760,00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7 932 480,00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71 392 320,00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23 739 704,00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293 501 760,00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317 241 464,00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FRANCE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19,55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17,81269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13 685 000,00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285 003 040,00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23 156 497,00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213 752 280,00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17 812 690,00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160 314 210,00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54 654 187,00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659 069 530,00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713 723 717,00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CROATIA</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0,00</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0,22518</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3 602 880,00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292 734,00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2 702 160,00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225 180,00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2 026 620,00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517 914,00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8 331 660,00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8 849 574,00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ITALY</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12,86</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12,53009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9 002 000,00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200 481 440,00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16 289 117,00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150 361 080,00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12 530 090,00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112 770 810,00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37 821 207,00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463 613 330,00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501 434 537,00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CYPRUS</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0,09</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0,11162</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63 000,00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1 785 920,00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145 106,00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1 339 440,00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111 620,00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1 004 580,00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319 726,00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4 129 940,00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4 449 666,00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LATVIA</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0,11612</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1 857 920,00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150 956,00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1 393 440,00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116 120,00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1 045 080,00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316 076,00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4 296 440,00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4 612 516,00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LITHUANIA</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0,12</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0,18077</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84 000,00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2 892 320,00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235 001,00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2 169 240,00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180 770,00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1 626 930,00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499 771,00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6 688 490,00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7 188 261,00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LUXEMBOURG</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0,25509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189 000,00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4 081 440,00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331 617,00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3 061 080,00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255 090,00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2 295 810,00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775 707,00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9 438 330,00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10 214 037,00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HUNGARY</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0,55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0,61456</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385 000,00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9 832 960,00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798 928,00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7 374 720,00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614 560,00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5 531 040,00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1 798 488,00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22 738 720,00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24 537 208,00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MALTA</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0,03</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0,03801</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21 000,00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608 160,00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49 413,00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456 120,00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38 010,00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342 090,00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108 423,00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1 406 370,00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1 514 793,00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NETHERLANDS</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4,85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4,77678</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3 395 000,00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76 428 480,00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6 209 814,00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57 321 360,00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4 776 780,00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42 991 020,00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14 381 594,00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176 740 860,00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191 122 454,00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AUSTRIA</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2,41</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2,39757</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1 687 000,00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38 361 120,00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3 116 841,00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28 770 840,00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2 397 570,00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21 578 130,00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7 201 411,00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88 710 090,00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95 911 501,00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POLAND</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1,30</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2,00734</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910 000,00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32 117 440,00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2 609 542,00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24 088 080,00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2 007 340,00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18 066 060,00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5 526 882,00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74 271 580,00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79 798 462,00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PORTUGAL</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1,19679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805 000,00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19 148 640,00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1 555 827,00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14 361 480,00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1 196 790,00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10 771 110,00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3 557 617,00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44 281 230,00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47 838 847,00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ROMANIA</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0,37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0,71815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259 000,00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11 490 400,00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933 595,00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8 617 800,00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718 150,00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6 463 350,00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1 910 745,00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26 571 550,00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28 482 295,00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SLOVENIA</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0,18</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0,22452</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126 000,00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3 592 320,00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291 876,00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2 694 240,00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224 520,00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2 020 680,00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642 396,00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8 307 240,00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8 949 636,00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SLOVAKIA</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0,21</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0,37616</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147 000,00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6 018 560,00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489 008,00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4 513 920,00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376 160,00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3 385 440,00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1 012 168,00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13 917 920,00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14 930 088,00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FINLAND</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1,50909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1 029 000,00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24 145 440,00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1 961 817,00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18 109 080,00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1 509 090,00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13 581 810,00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4 499 907,00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55 836 330,00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60 336 237,00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SWEDEN</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2,74</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2,93911</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1 918 000,00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47 025 760,00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3 820 843,00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35 269 320,00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2 939 110,00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26 451 990,00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8 677 953,00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108 747 070,00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117 425 023,00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UNITED KINGDOM</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14,82</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14,67862</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10 374 000,00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234 857 920,00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19 082 206,00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176 143 440,00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14 678 620,00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132 107 580,00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44 134 826,00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543 108 940,00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587 243 766,00</w:t>
            </w:r>
          </w:p>
        </w:tc>
      </w:tr>
      <w:tr>
        <w:trPr>
          <w:trHeight w:val="283"/>
        </w:trPr>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EU-27 &amp; UK</w:t>
            </w:r>
          </w:p>
        </w:tc>
        <w:tc>
          <w:tcPr>
            <w:tcW w:w="305"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100,00</w:t>
            </w:r>
          </w:p>
        </w:tc>
        <w:tc>
          <w:tcPr>
            <w:tcW w:w="293"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100,00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70 000 000,00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1 600 000 000,00</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130 000 000,00</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1 200 000 000,00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900 000 000,00</w:t>
            </w:r>
          </w:p>
        </w:tc>
        <w:tc>
          <w:tcPr>
            <w:tcW w:w="397"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300 000 000,00</w:t>
            </w:r>
          </w:p>
        </w:tc>
        <w:tc>
          <w:tcPr>
            <w:tcW w:w="452"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3 700 000 000,00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4 000 000 000,00</w:t>
            </w:r>
          </w:p>
        </w:tc>
      </w:tr>
    </w:tbl>
    <w:p>
      <w:pPr>
        <w:pStyle w:val="Heading2"/>
        <w:numPr>
          <w:ilvl w:val="0"/>
          <w:numId w:val="0"/>
        </w:numPr>
        <w:spacing w:after="0"/>
        <w:rPr>
          <w:noProof/>
          <w:highlight w:val="lightGray"/>
        </w:rPr>
      </w:pPr>
    </w:p>
    <w:p>
      <w:pPr>
        <w:rPr>
          <w:rFonts w:ascii="Times New Roman" w:eastAsia="Times New Roman" w:hAnsi="Times New Roman" w:cs="Times New Roman"/>
          <w:noProof/>
          <w:sz w:val="24"/>
          <w:szCs w:val="26"/>
          <w:highlight w:val="lightGray"/>
          <w:lang w:eastAsia="en-GB"/>
        </w:rPr>
      </w:pPr>
      <w:r>
        <w:rPr>
          <w:noProof/>
          <w:highlight w:val="lightGray"/>
        </w:rPr>
        <w:br w:type="page"/>
      </w:r>
    </w:p>
    <w:p>
      <w:pPr>
        <w:pStyle w:val="ManualHeading2"/>
        <w:rPr>
          <w:noProof/>
        </w:rPr>
      </w:pPr>
      <w:r>
        <w:t>5.5.</w:t>
      </w:r>
      <w:r>
        <w:tab/>
      </w:r>
      <w:r>
        <w:rPr>
          <w:noProof/>
        </w:rPr>
        <w:t>Attachment 5: Member States contributions for 2022 (EUR)</w:t>
      </w:r>
    </w:p>
    <w:tbl>
      <w:tblPr>
        <w:tblW w:w="5000" w:type="pct"/>
        <w:tblCellMar>
          <w:left w:w="70" w:type="dxa"/>
          <w:right w:w="70" w:type="dxa"/>
        </w:tblCellMar>
        <w:tblLook w:val="04A0" w:firstRow="1" w:lastRow="0" w:firstColumn="1" w:lastColumn="0" w:noHBand="0" w:noVBand="1"/>
      </w:tblPr>
      <w:tblGrid>
        <w:gridCol w:w="1807"/>
        <w:gridCol w:w="1075"/>
        <w:gridCol w:w="1276"/>
        <w:gridCol w:w="1424"/>
        <w:gridCol w:w="1348"/>
        <w:gridCol w:w="1348"/>
        <w:gridCol w:w="1318"/>
        <w:gridCol w:w="1318"/>
        <w:gridCol w:w="1258"/>
        <w:gridCol w:w="1439"/>
        <w:gridCol w:w="1439"/>
      </w:tblGrid>
      <w:tr>
        <w:trPr>
          <w:trHeight w:val="282"/>
        </w:trPr>
        <w:tc>
          <w:tcPr>
            <w:tcW w:w="6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MEMBER STATES &amp; UK</w:t>
            </w:r>
          </w:p>
        </w:tc>
        <w:tc>
          <w:tcPr>
            <w:tcW w:w="357"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Key 11th EDF %</w:t>
            </w:r>
          </w:p>
        </w:tc>
        <w:tc>
          <w:tcPr>
            <w:tcW w:w="896"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1st instalment</w:t>
            </w:r>
          </w:p>
        </w:tc>
        <w:tc>
          <w:tcPr>
            <w:tcW w:w="896"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2nd instalment</w:t>
            </w:r>
          </w:p>
        </w:tc>
        <w:tc>
          <w:tcPr>
            <w:tcW w:w="876"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 xml:space="preserve"> 3rd instalment</w:t>
            </w:r>
          </w:p>
        </w:tc>
        <w:tc>
          <w:tcPr>
            <w:tcW w:w="418"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EIB</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w:t>
            </w:r>
            <w:r>
              <w:rPr>
                <w:rFonts w:ascii="Times New Roman" w:eastAsia="Times New Roman" w:hAnsi="Times New Roman" w:cs="Times New Roman"/>
                <w:b/>
                <w:bCs/>
                <w:noProof/>
                <w:sz w:val="16"/>
                <w:szCs w:val="16"/>
                <w:lang w:val="fr-BE" w:eastAsia="fr-BE"/>
              </w:rPr>
              <w:br/>
              <w:t>Commission</w:t>
            </w:r>
          </w:p>
        </w:tc>
        <w:tc>
          <w:tcPr>
            <w:tcW w:w="4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2022</w:t>
            </w:r>
          </w:p>
        </w:tc>
      </w:tr>
      <w:tr>
        <w:trPr>
          <w:trHeight w:val="225"/>
        </w:trPr>
        <w:tc>
          <w:tcPr>
            <w:tcW w:w="60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57"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Commission</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Commission</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Commission</w:t>
            </w:r>
          </w:p>
        </w:tc>
        <w:tc>
          <w:tcPr>
            <w:tcW w:w="41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7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25"/>
        </w:trPr>
        <w:tc>
          <w:tcPr>
            <w:tcW w:w="60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57"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2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7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1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7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BELGIUM</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3,24927</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3 249 270,00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35 741 970,00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3 249 270,00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25 994 160,00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3 249 270,00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19 495 620,00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9 747 810,00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81 231 750,00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90 979 560,00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BULGARIA</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0,21853</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218 530,00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2 403 830,00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218 530,00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1 748 240,00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218 530,00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1 311 180,00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655 590,00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5 463 250,00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6 118 840,00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CZECH REPUBLIC</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0,79745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797 450,00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8 771 950,00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797 450,00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6 379 600,00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797 450,00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4 784 700,00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2 392 350,00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19 936 250,00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22 328 600,00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DENMARK</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1,98045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1 980 450,00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21 784 950,00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1 980 450,00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15 843 600,00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1 980 450,00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11 882 700,00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5 941 350,00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49 511 250,00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55 452 600,00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GERMANY</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20,57980</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20 579 800,00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226 377 800,00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20 579 800,00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164 638 400,00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20 579 800,00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123 478 800,00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61 739 400,00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514 495 000,00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576 234 400,00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ESTONIA</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0,08635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86 350,00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949 850,00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86 350,00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690 800,00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86 350,00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518 100,00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259 050,00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2 158 750,00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2 417 800,00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IRELAND</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0,94006</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940 060,00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10 340 660,00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940 060,00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7 520 480,00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940 060,00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5 640 360,00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2 820 180,00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23 501 500,00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26 321 680,00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GREECE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1,50735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1 507 350,00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16 580 850,00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1 507 350,00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12 058 800,00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1 507 350,00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9 044 100,00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4 522 050,00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37 683 750,00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42 205 800,00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SPAIN</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7,93248</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7 932 480,00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87 257 280,00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7 932 480,00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63 459 840,00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7 932 480,00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47 594 880,00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23 797 440,00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198 312 000,00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222 109 440,00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FRANCE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17,81269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17 812 690,00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195 939 590,00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17 812 690,00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142 501 520,00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17 812 690,00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106 876 140,00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53 438 070,00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445 317 250,00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498 755 320,00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CROATIA</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0,22518</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225 180,00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2 476 980,00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225 180,00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1 801 440,00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225 180,00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1 351 080,00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675 540,00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5 629 500,00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6 305 040,00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ITALY</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12,53009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12 530 090,00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137 830 990,00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12 530 090,00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100 240 720,00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12 530 090,00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75 180 540,00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37 590 270,00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313 252 250,00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350 842 520,00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CYPRUS</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0,11162</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111 620,00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1 227 820,00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111 620,00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892 960,00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111 620,00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669 720,00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334 860,00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2 790 500,00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3 125 360,00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LATVIA</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0,11612</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116 120,00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1 277 320,00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116 120,00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928 960,00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116 120,00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696 720,00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348 360,00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2 903 000,00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3 251 360,00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LITHUANIA</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0,18077</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180 770,00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1 988 470,00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180 770,00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1 446 160,00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180 770,00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1 084 620,00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542 310,00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4 519 250,00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5 061 560,00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LUXEMBOURG</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0,25509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255 090,00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2 805 990,00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255 090,00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2 040 720,00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255 090,00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1 530 540,00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765 270,00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6 377 250,00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7 142 520,00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HUNGARY</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0,61456</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614 560,00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6 760 160,00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614 560,00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4 916 480,00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614 560,00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3 687 360,00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1 843 680,00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15 364 000,00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17 207 680,00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MALTA</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0,03801</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38 010,00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418 110,00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38 010,00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304 080,00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38 010,00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228 060,00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114 030,00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950 250,00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1 064 280,00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NETHERLANDS</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4,77678</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4 776 780,00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52 544 580,00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4 776 780,00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38 214 240,00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4 776 780,00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28 660 680,00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14 330 340,00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119 419 500,00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133 749 840,00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AUSTRIA</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2,39757</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2 397 570,00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26 373 270,00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2 397 570,00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19 180 560,00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2 397 570,00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14 385 420,00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7 192 710,00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59 939 250,00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67 131 960,00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POLAND</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2,00734</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2 007 340,00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22 080 740,00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2 007 340,00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16 058 720,00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2 007 340,00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12 044 040,00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6 022 020,00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50 183 500,00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56 205 520,00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PORTUGAL</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1,19679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1 196 790,00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13 164 690,00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1 196 790,00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9 574 320,00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1 196 790,00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7 180 740,00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3 590 370,00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29 919 750,00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33 510 120,00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ROMANIA</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0,71815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718 150,00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7 899 650,00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718 150,00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5 745 200,00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718 150,00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4 308 900,00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2 154 450,00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17 953 750,00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20 108 200,00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SLOVENIA</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0,22452</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224 520,00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2 469 720,00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224 520,00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1 796 160,00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224 520,00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1 347 120,00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673 560,00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5 613 000,00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6 286 560,00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SLOVAKIA</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0,37616</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376 160,00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4 137 760,00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376 160,00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3 009 280,00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376 160,00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2 256 960,00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1 128 480,00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9 404 000,00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10 532 480,00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FINLAND</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1,50909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1 509 090,00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16 599 990,00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1 509 090,00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12 072 720,00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1 509 090,00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9 054 540,00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4 527 270,00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37 727 250,00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42 254 520,00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SWEDEN</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2,93911</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2 939 110,00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32 330 210,00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2 939 110,00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23 512 880,00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2 939 110,00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17 634 660,00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8 817 330,00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73 477 750,00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82 295 080,00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UNITED KINGDOM</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14,67862</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14 678 620,00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161 464 820,00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14 678 620,00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117 428 960,00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14 678 620,00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88 071 720,00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44 035 860,00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366 965 500,00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411 001 360,00</w:t>
            </w:r>
          </w:p>
        </w:tc>
      </w:tr>
      <w:tr>
        <w:trPr>
          <w:trHeight w:val="282"/>
        </w:trPr>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EU-27 &amp; UK</w:t>
            </w:r>
          </w:p>
        </w:tc>
        <w:tc>
          <w:tcPr>
            <w:tcW w:w="357"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100,00</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100 000 000,00</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1 100 000 000,00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100 000 000,00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800 000 000,00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100 000 000,00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600 000 000,00</w:t>
            </w:r>
          </w:p>
        </w:tc>
        <w:tc>
          <w:tcPr>
            <w:tcW w:w="418"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300 000 000,00</w:t>
            </w:r>
          </w:p>
        </w:tc>
        <w:tc>
          <w:tcPr>
            <w:tcW w:w="478"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2 500 000 000,00</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2 800 000 000,00</w:t>
            </w:r>
          </w:p>
        </w:tc>
      </w:tr>
    </w:tbl>
    <w:p>
      <w:pPr>
        <w:rPr>
          <w:rFonts w:ascii="Times New Roman" w:eastAsia="Times New Roman" w:hAnsi="Times New Roman" w:cs="Times New Roman"/>
          <w:noProof/>
          <w:sz w:val="24"/>
          <w:szCs w:val="26"/>
          <w:highlight w:val="lightGray"/>
          <w:lang w:eastAsia="en-GB"/>
        </w:rPr>
      </w:pPr>
      <w:r>
        <w:rPr>
          <w:noProof/>
          <w:highlight w:val="lightGray"/>
        </w:rPr>
        <w:br w:type="page"/>
      </w:r>
    </w:p>
    <w:p>
      <w:pPr>
        <w:pStyle w:val="ManualHeading2"/>
        <w:rPr>
          <w:noProof/>
        </w:rPr>
      </w:pPr>
      <w:r>
        <w:t>5.6.</w:t>
      </w:r>
      <w:r>
        <w:tab/>
      </w:r>
      <w:r>
        <w:rPr>
          <w:noProof/>
        </w:rPr>
        <w:t>Attachment 6: Member States contributions for 2021-2024 (EUR)</w:t>
      </w:r>
    </w:p>
    <w:tbl>
      <w:tblPr>
        <w:tblW w:w="5000" w:type="pct"/>
        <w:tblCellMar>
          <w:left w:w="70" w:type="dxa"/>
          <w:right w:w="70" w:type="dxa"/>
        </w:tblCellMar>
        <w:tblLook w:val="04A0" w:firstRow="1" w:lastRow="0" w:firstColumn="1" w:lastColumn="0" w:noHBand="0" w:noVBand="1"/>
      </w:tblPr>
      <w:tblGrid>
        <w:gridCol w:w="2230"/>
        <w:gridCol w:w="680"/>
        <w:gridCol w:w="743"/>
        <w:gridCol w:w="1150"/>
        <w:gridCol w:w="1303"/>
        <w:gridCol w:w="1324"/>
        <w:gridCol w:w="1180"/>
        <w:gridCol w:w="1361"/>
        <w:gridCol w:w="1180"/>
        <w:gridCol w:w="1361"/>
        <w:gridCol w:w="1180"/>
        <w:gridCol w:w="1358"/>
      </w:tblGrid>
      <w:tr>
        <w:trPr>
          <w:trHeight w:val="253"/>
        </w:trPr>
        <w:tc>
          <w:tcPr>
            <w:tcW w:w="74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MEMBER STATES &amp; UK</w:t>
            </w:r>
          </w:p>
        </w:tc>
        <w:tc>
          <w:tcPr>
            <w:tcW w:w="226"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10th</w:t>
            </w:r>
          </w:p>
        </w:tc>
        <w:tc>
          <w:tcPr>
            <w:tcW w:w="247"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w:t>
            </w:r>
          </w:p>
        </w:tc>
        <w:tc>
          <w:tcPr>
            <w:tcW w:w="1255" w:type="pct"/>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2021</w:t>
            </w:r>
          </w:p>
        </w:tc>
        <w:tc>
          <w:tcPr>
            <w:tcW w:w="844"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2022</w:t>
            </w:r>
          </w:p>
        </w:tc>
        <w:tc>
          <w:tcPr>
            <w:tcW w:w="844"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2023</w:t>
            </w:r>
          </w:p>
        </w:tc>
        <w:tc>
          <w:tcPr>
            <w:tcW w:w="844"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2024</w:t>
            </w:r>
          </w:p>
        </w:tc>
      </w:tr>
      <w:tr>
        <w:trPr>
          <w:trHeight w:val="253"/>
        </w:trPr>
        <w:tc>
          <w:tcPr>
            <w:tcW w:w="741"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26"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EDF</w:t>
            </w:r>
          </w:p>
        </w:tc>
        <w:tc>
          <w:tcPr>
            <w:tcW w:w="247"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EDF</w:t>
            </w:r>
          </w:p>
        </w:tc>
        <w:tc>
          <w:tcPr>
            <w:tcW w:w="382" w:type="pct"/>
            <w:tcBorders>
              <w:top w:val="nil"/>
              <w:left w:val="nil"/>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 11th</w:t>
            </w:r>
          </w:p>
        </w:tc>
        <w:tc>
          <w:tcPr>
            <w:tcW w:w="433" w:type="pct"/>
            <w:tcBorders>
              <w:top w:val="nil"/>
              <w:left w:val="single" w:sz="4" w:space="0" w:color="auto"/>
              <w:bottom w:val="single" w:sz="8"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10th</w:t>
            </w:r>
          </w:p>
        </w:tc>
        <w:tc>
          <w:tcPr>
            <w:tcW w:w="44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11th</w:t>
            </w:r>
          </w:p>
        </w:tc>
        <w:tc>
          <w:tcPr>
            <w:tcW w:w="392"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 11th</w:t>
            </w:r>
          </w:p>
        </w:tc>
        <w:tc>
          <w:tcPr>
            <w:tcW w:w="45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11th</w:t>
            </w:r>
          </w:p>
        </w:tc>
        <w:tc>
          <w:tcPr>
            <w:tcW w:w="392"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 11th</w:t>
            </w:r>
          </w:p>
        </w:tc>
        <w:tc>
          <w:tcPr>
            <w:tcW w:w="45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11th</w:t>
            </w:r>
          </w:p>
        </w:tc>
        <w:tc>
          <w:tcPr>
            <w:tcW w:w="392"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 11th</w:t>
            </w:r>
          </w:p>
        </w:tc>
        <w:tc>
          <w:tcPr>
            <w:tcW w:w="45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11th</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BELGIUM</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3,53</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3,24927</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120 222 990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2 471 000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7 473 321</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81 231 750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9 747 810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58 486 860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9 747 810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48 739 050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6 498 540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BULGARIA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0,14</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0,21853</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8 085 610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98 000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502 619</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5 463 250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655 590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3 933 540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655 590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3 277 950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437 060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CZECH REPUBLIC</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0,51</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0,79745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29 505 650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357 000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1 834 135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19 936 250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2 392 350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14 354 100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2 392 350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11 961 750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1 594 900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DENMARK</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1,98045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73 276 650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1 400 000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4 555 035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49 511 250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5 941 350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35 648 100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5 941 350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29 706 750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3 960 900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GERMANY</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20,50</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20,57980</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761 452 600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14 350 000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47 333 540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514 495 000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61 739 400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370 436 400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61 739 400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308 697 000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41 159 600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ESTONIA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0,08635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3 194 950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198 605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2 158 750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259 050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1 554 300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259 050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1 295 250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172 700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IRELAND</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0,91</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0,94006</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34 782 220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637 000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2 162 138</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23 501 500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2 820 180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16 921 080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2 820 180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14 100 900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1 880 120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GREECE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1,50735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55 771 950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1 029 000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3 466 905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37 683 750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4 522 050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27 132 300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4 522 050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22 610 250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3 014 700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SPAIN</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7,85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7,93248</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293 501 760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5 495 000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18 244 704</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198 312 000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23 797 440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142 784 640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23 797 440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118 987 200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15 864 960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FRANCE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19,55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17,81269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659 069 530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13 685 000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40 969 187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445 317 250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53 438 070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320 628 420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53 438 070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267 190 350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35 625 380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CROATIA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0,00</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0,22518</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8 331 660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517 914</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5 629 500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675 540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4 053 240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675 540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3 377 700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450 360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ITALY</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12,86</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12,53009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463 613 330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9 002 000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28 819 207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313 252 250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37 590 270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225 541 620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37 590 270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187 951 350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25 060 180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CYPRUS</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0,09</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0,11162</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4 129 940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63 000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256 726</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2 790 500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334 860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2 009 160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334 860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1 674 300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223 240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LATVIA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0,11612</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4 296 440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267 076</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2 903 000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348 360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2 090 160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348 360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1 741 800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232 240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LITHUANIA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0,12</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0,18077</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6 688 490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84 000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415 771</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4 519 250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542 310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3 253 860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542 310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2 711 550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361 540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LUXEMBOURG</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0,25509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9 438 330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586 707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6 377 250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765 270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4 591 620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765 270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3 826 350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510 180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HUNGARY</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0,55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0,61456</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22 738 720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385 000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1 413 488</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15 364 000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1 843 680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11 062 080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1 843 680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9 218 400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1 229 120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MALTA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0,03</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0,03801</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1 406 370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87 423</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950 250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114 030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684 180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114 030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570 150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76 020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NETHERLANDS</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4,85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4,77678</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176 740 860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3 395 000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10 986 594</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119 419 500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14 330 340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85 982 040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14 330 340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71 651 700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9 553 560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AUSTRIA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2,41</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2,39757</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88 710 090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1 687 000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5 514 411</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59 939 250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7 192 710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43 156 260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7 192 710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35 963 550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4 795 140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POLAND</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1,30</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2,00734</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74 271 580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910 000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4 616 882</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50 183 500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6 022 020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36 132 120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6 022 020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30 110 100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4 014 680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PORTUGAL</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1,19679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44 281 230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805 000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2 752 617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29 919 750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3 590 370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21 542 220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3 590 370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17 951 850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2 393 580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ROMANIA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0,37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0,71815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26 571 550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1 651 745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17 953 750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2 154 450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12 926 700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2 154 450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10 772 250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1 436 300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SLOVENIA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0,18</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0,22452</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8 307 240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126 000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516 396</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5 613 000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673 560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4 041 360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673 560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3 367 800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449 040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SLOVAKIA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0,21</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0,37616</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13 917 920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147 000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865 168</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9 404 000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1 128 480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6 770 880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1 128 480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5 642 400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752 320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FINLAND</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1,50909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55 836 330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1 029 000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3 470 907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37 727 250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4 527 270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27 163 620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4 527 270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22 636 350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3 018 180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SWEDEN</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2,74</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2,93911</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108 747 070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1 918 000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6 759 953</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73 477 750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8 817 330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52 903 980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8 817 330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44 086 650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5 878 220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UNITED KINGDOM</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14,82</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14,67862</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543 108 940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10 374 000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33 760 826</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366 965 500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44 035 860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264 215 160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44 035 860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220 179 300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29 357 240</w:t>
            </w:r>
          </w:p>
        </w:tc>
      </w:tr>
      <w:tr>
        <w:trPr>
          <w:trHeight w:val="253"/>
        </w:trPr>
        <w:tc>
          <w:tcPr>
            <w:tcW w:w="741" w:type="pct"/>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EU-27 &amp; UK</w:t>
            </w:r>
          </w:p>
        </w:tc>
        <w:tc>
          <w:tcPr>
            <w:tcW w:w="226"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100,00</w:t>
            </w:r>
          </w:p>
        </w:tc>
        <w:tc>
          <w:tcPr>
            <w:tcW w:w="247"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100,00</w:t>
            </w:r>
          </w:p>
        </w:tc>
        <w:tc>
          <w:tcPr>
            <w:tcW w:w="382" w:type="pct"/>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3 700 000 000</w:t>
            </w:r>
          </w:p>
        </w:tc>
        <w:tc>
          <w:tcPr>
            <w:tcW w:w="433" w:type="pct"/>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70 000 000</w:t>
            </w:r>
          </w:p>
        </w:tc>
        <w:tc>
          <w:tcPr>
            <w:tcW w:w="440"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230 000 000</w:t>
            </w:r>
          </w:p>
        </w:tc>
        <w:tc>
          <w:tcPr>
            <w:tcW w:w="392"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2 500 000 000</w:t>
            </w:r>
          </w:p>
        </w:tc>
        <w:tc>
          <w:tcPr>
            <w:tcW w:w="452"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300 000 000</w:t>
            </w:r>
          </w:p>
        </w:tc>
        <w:tc>
          <w:tcPr>
            <w:tcW w:w="392"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1 800 000 000</w:t>
            </w:r>
          </w:p>
        </w:tc>
        <w:tc>
          <w:tcPr>
            <w:tcW w:w="452"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300 000 000</w:t>
            </w:r>
          </w:p>
        </w:tc>
        <w:tc>
          <w:tcPr>
            <w:tcW w:w="392"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1 500 000 000</w:t>
            </w:r>
          </w:p>
        </w:tc>
        <w:tc>
          <w:tcPr>
            <w:tcW w:w="452"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200 000 000</w:t>
            </w:r>
          </w:p>
        </w:tc>
      </w:tr>
      <w:tr>
        <w:trPr>
          <w:trHeight w:val="253"/>
        </w:trPr>
        <w:tc>
          <w:tcPr>
            <w:tcW w:w="741" w:type="pct"/>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 </w:t>
            </w:r>
          </w:p>
        </w:tc>
        <w:tc>
          <w:tcPr>
            <w:tcW w:w="226"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w:t>
            </w:r>
          </w:p>
        </w:tc>
        <w:tc>
          <w:tcPr>
            <w:tcW w:w="247"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w:t>
            </w:r>
          </w:p>
        </w:tc>
        <w:tc>
          <w:tcPr>
            <w:tcW w:w="1255" w:type="pct"/>
            <w:gridSpan w:val="3"/>
            <w:tcBorders>
              <w:top w:val="nil"/>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4 000 000 000</w:t>
            </w:r>
          </w:p>
        </w:tc>
        <w:tc>
          <w:tcPr>
            <w:tcW w:w="844"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2 800 000 000</w:t>
            </w:r>
          </w:p>
        </w:tc>
        <w:tc>
          <w:tcPr>
            <w:tcW w:w="844"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2 100 000 000</w:t>
            </w:r>
          </w:p>
        </w:tc>
        <w:tc>
          <w:tcPr>
            <w:tcW w:w="844"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1 700 000 000</w:t>
            </w:r>
          </w:p>
        </w:tc>
      </w:tr>
    </w:tbl>
    <w:p>
      <w:pPr>
        <w:rPr>
          <w:noProof/>
        </w:rPr>
      </w:pPr>
    </w:p>
    <w:p>
      <w:pPr>
        <w:pStyle w:val="ManualHeading2"/>
        <w:rPr>
          <w:noProof/>
          <w:sz w:val="2"/>
        </w:rPr>
      </w:pPr>
      <w:r>
        <w:t>5.7.</w:t>
      </w:r>
      <w:r>
        <w:tab/>
      </w:r>
    </w:p>
    <w:sectPr>
      <w:headerReference w:type="even" r:id="rId41"/>
      <w:headerReference w:type="default" r:id="rId42"/>
      <w:footerReference w:type="even" r:id="rId43"/>
      <w:footerReference w:type="default" r:id="rId44"/>
      <w:headerReference w:type="first" r:id="rId45"/>
      <w:footerReference w:type="first" r:id="rId46"/>
      <w:pgSz w:w="16838" w:h="11906" w:orient="landscape"/>
      <w:pgMar w:top="425" w:right="964" w:bottom="964" w:left="96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324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65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4143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rPr>
        <w:lang w:val="en-IE"/>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633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279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IE"/>
        </w:rPr>
      </w:pPr>
      <w:r>
        <w:rPr>
          <w:rStyle w:val="FootnoteReference"/>
        </w:rPr>
        <w:footnoteRef/>
      </w:r>
      <w:r>
        <w:t xml:space="preserve"> </w:t>
      </w:r>
      <w:r>
        <w:tab/>
        <w:t xml:space="preserve">This document takes into account </w:t>
      </w:r>
      <w:r>
        <w:rPr>
          <w:noProof/>
        </w:rPr>
        <w:t>Articles 152 and 153 of the withdrawal agreement</w:t>
      </w:r>
      <w:r>
        <w:t xml:space="preserve"> </w:t>
      </w:r>
      <w:r>
        <w:rPr>
          <w:noProof/>
        </w:rPr>
        <w:t>of the United Kingdom of Great Britain and Northern Ireland from the European Union and the European Atomic Energy Community, which stipulate that the United Kingdom shall remain party to the EDF until the closure of the 11th EDF and all previous unclosed EDFs; however the United Kingdom’s share in decommitted funds from projects under the 10</w:t>
      </w:r>
      <w:r>
        <w:rPr>
          <w:noProof/>
          <w:vertAlign w:val="superscript"/>
        </w:rPr>
        <w:t>th</w:t>
      </w:r>
      <w:r>
        <w:rPr>
          <w:noProof/>
        </w:rPr>
        <w:t xml:space="preserve"> EDF or previous EDFs shall not be reused</w:t>
      </w:r>
    </w:p>
  </w:footnote>
  <w:footnote w:id="2">
    <w:p>
      <w:pPr>
        <w:pStyle w:val="FootnoteText"/>
      </w:pPr>
      <w:r>
        <w:rPr>
          <w:rStyle w:val="FootnoteReference"/>
        </w:rPr>
        <w:footnoteRef/>
      </w:r>
      <w:r>
        <w:tab/>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(OJ L 210, 06.08.2013, p. 1-14).</w:t>
      </w:r>
    </w:p>
  </w:footnote>
  <w:footnote w:id="3">
    <w:p>
      <w:pPr>
        <w:pStyle w:val="FootnoteText"/>
      </w:pPr>
      <w:r>
        <w:rPr>
          <w:rStyle w:val="FootnoteReference"/>
        </w:rPr>
        <w:footnoteRef/>
      </w:r>
      <w:r>
        <w:tab/>
        <w:t>Council Regulation (EU) 2018/1877 of 26 November 2018 on the revised Financial Regulation applicable to the 11</w:t>
      </w:r>
      <w:r>
        <w:rPr>
          <w:vertAlign w:val="superscript"/>
        </w:rPr>
        <w:t>th</w:t>
      </w:r>
      <w:r>
        <w:t xml:space="preserve"> European Development Fund</w:t>
      </w:r>
      <w:r>
        <w:rPr>
          <w:szCs w:val="24"/>
        </w:rPr>
        <w:t xml:space="preserve"> (OJ L 307, 3.12.2018, p. 1–21).</w:t>
      </w:r>
    </w:p>
  </w:footnote>
  <w:footnote w:id="4">
    <w:p>
      <w:pPr>
        <w:pStyle w:val="FootnoteText"/>
      </w:pPr>
      <w:r>
        <w:rPr>
          <w:rStyle w:val="FootnoteReference"/>
        </w:rPr>
        <w:footnoteRef/>
      </w:r>
      <w:r>
        <w:tab/>
        <w:t>OJ L 210, 06.08.2013.</w:t>
      </w:r>
    </w:p>
  </w:footnote>
  <w:footnote w:id="5">
    <w:p>
      <w:pPr>
        <w:pStyle w:val="FootnoteText"/>
      </w:pPr>
      <w:r>
        <w:rPr>
          <w:rStyle w:val="FootnoteReference"/>
        </w:rPr>
        <w:footnoteRef/>
      </w:r>
      <w:r>
        <w:tab/>
        <w:t>OJ L 307, 3.12.2018.</w:t>
      </w:r>
    </w:p>
  </w:footnote>
  <w:footnote w:id="6">
    <w:p>
      <w:pPr>
        <w:pStyle w:val="FootnoteText"/>
      </w:pPr>
      <w:r>
        <w:rPr>
          <w:rStyle w:val="FootnoteReference"/>
        </w:rPr>
        <w:footnoteRef/>
      </w:r>
      <w:r>
        <w:tab/>
        <w:t>Gross commitments, i.e. without de-commitments being deducted.</w:t>
      </w:r>
    </w:p>
  </w:footnote>
  <w:footnote w:id="7">
    <w:p>
      <w:pPr>
        <w:pStyle w:val="FootnoteText"/>
      </w:pPr>
      <w:r>
        <w:rPr>
          <w:rStyle w:val="FootnoteReference"/>
        </w:rPr>
        <w:footnoteRef/>
      </w:r>
      <w:r>
        <w:tab/>
        <w:t>Gross payments, i.e. without recoveries being deducted.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lvlText w:val="%1."/>
      <w:lvlJc w:val="left"/>
      <w:pPr>
        <w:tabs>
          <w:tab w:val="num" w:pos="1209"/>
        </w:tabs>
        <w:ind w:left="1209" w:hanging="360"/>
      </w:pPr>
    </w:lvl>
  </w:abstractNum>
  <w:abstractNum w:abstractNumId="1">
    <w:nsid w:val="FFFFFF7E"/>
    <w:multiLevelType w:val="singleLevel"/>
    <w:tmpl w:val="BA0623B4"/>
    <w:lvl w:ilvl="0">
      <w:start w:val="1"/>
      <w:numFmt w:val="decimal"/>
      <w:lvlText w:val="%1."/>
      <w:lvlJc w:val="left"/>
      <w:pPr>
        <w:tabs>
          <w:tab w:val="num" w:pos="926"/>
        </w:tabs>
        <w:ind w:left="926" w:hanging="360"/>
      </w:pPr>
    </w:lvl>
  </w:abstractNum>
  <w:abstractNum w:abstractNumId="2">
    <w:nsid w:val="FFFFFF7F"/>
    <w:multiLevelType w:val="singleLevel"/>
    <w:tmpl w:val="268AEF7A"/>
    <w:lvl w:ilvl="0">
      <w:start w:val="1"/>
      <w:numFmt w:val="decimal"/>
      <w:lvlText w:val="%1."/>
      <w:lvlJc w:val="left"/>
      <w:pPr>
        <w:tabs>
          <w:tab w:val="num" w:pos="643"/>
        </w:tabs>
        <w:ind w:left="643" w:hanging="360"/>
      </w:pPr>
    </w:lvl>
  </w:abstractNum>
  <w:abstractNum w:abstractNumId="3">
    <w:nsid w:val="FFFFFF81"/>
    <w:multiLevelType w:val="singleLevel"/>
    <w:tmpl w:val="EE18D26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lvlText w:val="%1."/>
      <w:lvlJc w:val="left"/>
      <w:pPr>
        <w:tabs>
          <w:tab w:val="num" w:pos="360"/>
        </w:tabs>
        <w:ind w:left="360" w:hanging="360"/>
      </w:pPr>
    </w:lvl>
  </w:abstractNum>
  <w:abstractNum w:abstractNumId="7">
    <w:nsid w:val="FFFFFF89"/>
    <w:multiLevelType w:val="singleLevel"/>
    <w:tmpl w:val="46743C36"/>
    <w:lvl w:ilvl="0">
      <w:start w:val="1"/>
      <w:numFmt w:val="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5F4C408B"/>
    <w:multiLevelType w:val="hybridMultilevel"/>
    <w:tmpl w:val="EDF20430"/>
    <w:lvl w:ilvl="0" w:tplc="A22C064C">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1"/>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2"/>
    <w:lvlOverride w:ilvl="0">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BC963A7-CD32-48C0-BF46-29A749BBE8CE"/>
    <w:docVar w:name="LW_COVERPAGE_TYPE" w:val="1"/>
    <w:docVar w:name="LW_CROSSREFERENCE" w:val="&lt;UNUSED&gt;"/>
    <w:docVar w:name="LW_DocType" w:val="NORMAL"/>
    <w:docVar w:name="LW_EMISSION" w:val="8.10.2020"/>
    <w:docVar w:name="LW_EMISSION_ISODATE" w:val="2020-10-08"/>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inancial information on the European Development Fund_x000d__x000b__x000d__x000b_European Development Fund (EDF): forecasts of commitments, payments and contributions from Member States for 2020, 2021, 2022 and non-binding forecast for the years 2023-2024"/>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0271">
      <w:bodyDiv w:val="1"/>
      <w:marLeft w:val="0"/>
      <w:marRight w:val="0"/>
      <w:marTop w:val="0"/>
      <w:marBottom w:val="0"/>
      <w:divBdr>
        <w:top w:val="none" w:sz="0" w:space="0" w:color="auto"/>
        <w:left w:val="none" w:sz="0" w:space="0" w:color="auto"/>
        <w:bottom w:val="none" w:sz="0" w:space="0" w:color="auto"/>
        <w:right w:val="none" w:sz="0" w:space="0" w:color="auto"/>
      </w:divBdr>
    </w:div>
    <w:div w:id="215900915">
      <w:bodyDiv w:val="1"/>
      <w:marLeft w:val="0"/>
      <w:marRight w:val="0"/>
      <w:marTop w:val="0"/>
      <w:marBottom w:val="0"/>
      <w:divBdr>
        <w:top w:val="none" w:sz="0" w:space="0" w:color="auto"/>
        <w:left w:val="none" w:sz="0" w:space="0" w:color="auto"/>
        <w:bottom w:val="none" w:sz="0" w:space="0" w:color="auto"/>
        <w:right w:val="none" w:sz="0" w:space="0" w:color="auto"/>
      </w:divBdr>
    </w:div>
    <w:div w:id="279265933">
      <w:bodyDiv w:val="1"/>
      <w:marLeft w:val="0"/>
      <w:marRight w:val="0"/>
      <w:marTop w:val="0"/>
      <w:marBottom w:val="0"/>
      <w:divBdr>
        <w:top w:val="none" w:sz="0" w:space="0" w:color="auto"/>
        <w:left w:val="none" w:sz="0" w:space="0" w:color="auto"/>
        <w:bottom w:val="none" w:sz="0" w:space="0" w:color="auto"/>
        <w:right w:val="none" w:sz="0" w:space="0" w:color="auto"/>
      </w:divBdr>
    </w:div>
    <w:div w:id="312488378">
      <w:bodyDiv w:val="1"/>
      <w:marLeft w:val="0"/>
      <w:marRight w:val="0"/>
      <w:marTop w:val="0"/>
      <w:marBottom w:val="0"/>
      <w:divBdr>
        <w:top w:val="none" w:sz="0" w:space="0" w:color="auto"/>
        <w:left w:val="none" w:sz="0" w:space="0" w:color="auto"/>
        <w:bottom w:val="none" w:sz="0" w:space="0" w:color="auto"/>
        <w:right w:val="none" w:sz="0" w:space="0" w:color="auto"/>
      </w:divBdr>
    </w:div>
    <w:div w:id="347414188">
      <w:bodyDiv w:val="1"/>
      <w:marLeft w:val="0"/>
      <w:marRight w:val="0"/>
      <w:marTop w:val="0"/>
      <w:marBottom w:val="0"/>
      <w:divBdr>
        <w:top w:val="none" w:sz="0" w:space="0" w:color="auto"/>
        <w:left w:val="none" w:sz="0" w:space="0" w:color="auto"/>
        <w:bottom w:val="none" w:sz="0" w:space="0" w:color="auto"/>
        <w:right w:val="none" w:sz="0" w:space="0" w:color="auto"/>
      </w:divBdr>
    </w:div>
    <w:div w:id="397554431">
      <w:bodyDiv w:val="1"/>
      <w:marLeft w:val="0"/>
      <w:marRight w:val="0"/>
      <w:marTop w:val="0"/>
      <w:marBottom w:val="0"/>
      <w:divBdr>
        <w:top w:val="none" w:sz="0" w:space="0" w:color="auto"/>
        <w:left w:val="none" w:sz="0" w:space="0" w:color="auto"/>
        <w:bottom w:val="none" w:sz="0" w:space="0" w:color="auto"/>
        <w:right w:val="none" w:sz="0" w:space="0" w:color="auto"/>
      </w:divBdr>
    </w:div>
    <w:div w:id="441459597">
      <w:bodyDiv w:val="1"/>
      <w:marLeft w:val="0"/>
      <w:marRight w:val="0"/>
      <w:marTop w:val="0"/>
      <w:marBottom w:val="0"/>
      <w:divBdr>
        <w:top w:val="none" w:sz="0" w:space="0" w:color="auto"/>
        <w:left w:val="none" w:sz="0" w:space="0" w:color="auto"/>
        <w:bottom w:val="none" w:sz="0" w:space="0" w:color="auto"/>
        <w:right w:val="none" w:sz="0" w:space="0" w:color="auto"/>
      </w:divBdr>
    </w:div>
    <w:div w:id="497959923">
      <w:bodyDiv w:val="1"/>
      <w:marLeft w:val="0"/>
      <w:marRight w:val="0"/>
      <w:marTop w:val="0"/>
      <w:marBottom w:val="0"/>
      <w:divBdr>
        <w:top w:val="none" w:sz="0" w:space="0" w:color="auto"/>
        <w:left w:val="none" w:sz="0" w:space="0" w:color="auto"/>
        <w:bottom w:val="none" w:sz="0" w:space="0" w:color="auto"/>
        <w:right w:val="none" w:sz="0" w:space="0" w:color="auto"/>
      </w:divBdr>
    </w:div>
    <w:div w:id="557059689">
      <w:bodyDiv w:val="1"/>
      <w:marLeft w:val="0"/>
      <w:marRight w:val="0"/>
      <w:marTop w:val="0"/>
      <w:marBottom w:val="0"/>
      <w:divBdr>
        <w:top w:val="none" w:sz="0" w:space="0" w:color="auto"/>
        <w:left w:val="none" w:sz="0" w:space="0" w:color="auto"/>
        <w:bottom w:val="none" w:sz="0" w:space="0" w:color="auto"/>
        <w:right w:val="none" w:sz="0" w:space="0" w:color="auto"/>
      </w:divBdr>
    </w:div>
    <w:div w:id="662197814">
      <w:bodyDiv w:val="1"/>
      <w:marLeft w:val="0"/>
      <w:marRight w:val="0"/>
      <w:marTop w:val="0"/>
      <w:marBottom w:val="0"/>
      <w:divBdr>
        <w:top w:val="none" w:sz="0" w:space="0" w:color="auto"/>
        <w:left w:val="none" w:sz="0" w:space="0" w:color="auto"/>
        <w:bottom w:val="none" w:sz="0" w:space="0" w:color="auto"/>
        <w:right w:val="none" w:sz="0" w:space="0" w:color="auto"/>
      </w:divBdr>
    </w:div>
    <w:div w:id="716661632">
      <w:bodyDiv w:val="1"/>
      <w:marLeft w:val="0"/>
      <w:marRight w:val="0"/>
      <w:marTop w:val="0"/>
      <w:marBottom w:val="0"/>
      <w:divBdr>
        <w:top w:val="none" w:sz="0" w:space="0" w:color="auto"/>
        <w:left w:val="none" w:sz="0" w:space="0" w:color="auto"/>
        <w:bottom w:val="none" w:sz="0" w:space="0" w:color="auto"/>
        <w:right w:val="none" w:sz="0" w:space="0" w:color="auto"/>
      </w:divBdr>
    </w:div>
    <w:div w:id="752627298">
      <w:bodyDiv w:val="1"/>
      <w:marLeft w:val="0"/>
      <w:marRight w:val="0"/>
      <w:marTop w:val="0"/>
      <w:marBottom w:val="0"/>
      <w:divBdr>
        <w:top w:val="none" w:sz="0" w:space="0" w:color="auto"/>
        <w:left w:val="none" w:sz="0" w:space="0" w:color="auto"/>
        <w:bottom w:val="none" w:sz="0" w:space="0" w:color="auto"/>
        <w:right w:val="none" w:sz="0" w:space="0" w:color="auto"/>
      </w:divBdr>
    </w:div>
    <w:div w:id="879515288">
      <w:bodyDiv w:val="1"/>
      <w:marLeft w:val="0"/>
      <w:marRight w:val="0"/>
      <w:marTop w:val="0"/>
      <w:marBottom w:val="0"/>
      <w:divBdr>
        <w:top w:val="none" w:sz="0" w:space="0" w:color="auto"/>
        <w:left w:val="none" w:sz="0" w:space="0" w:color="auto"/>
        <w:bottom w:val="none" w:sz="0" w:space="0" w:color="auto"/>
        <w:right w:val="none" w:sz="0" w:space="0" w:color="auto"/>
      </w:divBdr>
    </w:div>
    <w:div w:id="942687507">
      <w:bodyDiv w:val="1"/>
      <w:marLeft w:val="0"/>
      <w:marRight w:val="0"/>
      <w:marTop w:val="0"/>
      <w:marBottom w:val="0"/>
      <w:divBdr>
        <w:top w:val="none" w:sz="0" w:space="0" w:color="auto"/>
        <w:left w:val="none" w:sz="0" w:space="0" w:color="auto"/>
        <w:bottom w:val="none" w:sz="0" w:space="0" w:color="auto"/>
        <w:right w:val="none" w:sz="0" w:space="0" w:color="auto"/>
      </w:divBdr>
    </w:div>
    <w:div w:id="955991577">
      <w:bodyDiv w:val="1"/>
      <w:marLeft w:val="0"/>
      <w:marRight w:val="0"/>
      <w:marTop w:val="0"/>
      <w:marBottom w:val="0"/>
      <w:divBdr>
        <w:top w:val="none" w:sz="0" w:space="0" w:color="auto"/>
        <w:left w:val="none" w:sz="0" w:space="0" w:color="auto"/>
        <w:bottom w:val="none" w:sz="0" w:space="0" w:color="auto"/>
        <w:right w:val="none" w:sz="0" w:space="0" w:color="auto"/>
      </w:divBdr>
    </w:div>
    <w:div w:id="965238010">
      <w:bodyDiv w:val="1"/>
      <w:marLeft w:val="0"/>
      <w:marRight w:val="0"/>
      <w:marTop w:val="0"/>
      <w:marBottom w:val="0"/>
      <w:divBdr>
        <w:top w:val="none" w:sz="0" w:space="0" w:color="auto"/>
        <w:left w:val="none" w:sz="0" w:space="0" w:color="auto"/>
        <w:bottom w:val="none" w:sz="0" w:space="0" w:color="auto"/>
        <w:right w:val="none" w:sz="0" w:space="0" w:color="auto"/>
      </w:divBdr>
    </w:div>
    <w:div w:id="1088118098">
      <w:bodyDiv w:val="1"/>
      <w:marLeft w:val="0"/>
      <w:marRight w:val="0"/>
      <w:marTop w:val="0"/>
      <w:marBottom w:val="0"/>
      <w:divBdr>
        <w:top w:val="none" w:sz="0" w:space="0" w:color="auto"/>
        <w:left w:val="none" w:sz="0" w:space="0" w:color="auto"/>
        <w:bottom w:val="none" w:sz="0" w:space="0" w:color="auto"/>
        <w:right w:val="none" w:sz="0" w:space="0" w:color="auto"/>
      </w:divBdr>
    </w:div>
    <w:div w:id="1137844262">
      <w:bodyDiv w:val="1"/>
      <w:marLeft w:val="0"/>
      <w:marRight w:val="0"/>
      <w:marTop w:val="0"/>
      <w:marBottom w:val="0"/>
      <w:divBdr>
        <w:top w:val="none" w:sz="0" w:space="0" w:color="auto"/>
        <w:left w:val="none" w:sz="0" w:space="0" w:color="auto"/>
        <w:bottom w:val="none" w:sz="0" w:space="0" w:color="auto"/>
        <w:right w:val="none" w:sz="0" w:space="0" w:color="auto"/>
      </w:divBdr>
    </w:div>
    <w:div w:id="1201164825">
      <w:bodyDiv w:val="1"/>
      <w:marLeft w:val="0"/>
      <w:marRight w:val="0"/>
      <w:marTop w:val="0"/>
      <w:marBottom w:val="0"/>
      <w:divBdr>
        <w:top w:val="none" w:sz="0" w:space="0" w:color="auto"/>
        <w:left w:val="none" w:sz="0" w:space="0" w:color="auto"/>
        <w:bottom w:val="none" w:sz="0" w:space="0" w:color="auto"/>
        <w:right w:val="none" w:sz="0" w:space="0" w:color="auto"/>
      </w:divBdr>
    </w:div>
    <w:div w:id="1291471401">
      <w:bodyDiv w:val="1"/>
      <w:marLeft w:val="0"/>
      <w:marRight w:val="0"/>
      <w:marTop w:val="0"/>
      <w:marBottom w:val="0"/>
      <w:divBdr>
        <w:top w:val="none" w:sz="0" w:space="0" w:color="auto"/>
        <w:left w:val="none" w:sz="0" w:space="0" w:color="auto"/>
        <w:bottom w:val="none" w:sz="0" w:space="0" w:color="auto"/>
        <w:right w:val="none" w:sz="0" w:space="0" w:color="auto"/>
      </w:divBdr>
    </w:div>
    <w:div w:id="1386179424">
      <w:bodyDiv w:val="1"/>
      <w:marLeft w:val="0"/>
      <w:marRight w:val="0"/>
      <w:marTop w:val="0"/>
      <w:marBottom w:val="0"/>
      <w:divBdr>
        <w:top w:val="none" w:sz="0" w:space="0" w:color="auto"/>
        <w:left w:val="none" w:sz="0" w:space="0" w:color="auto"/>
        <w:bottom w:val="none" w:sz="0" w:space="0" w:color="auto"/>
        <w:right w:val="none" w:sz="0" w:space="0" w:color="auto"/>
      </w:divBdr>
    </w:div>
    <w:div w:id="1572545575">
      <w:bodyDiv w:val="1"/>
      <w:marLeft w:val="0"/>
      <w:marRight w:val="0"/>
      <w:marTop w:val="0"/>
      <w:marBottom w:val="0"/>
      <w:divBdr>
        <w:top w:val="none" w:sz="0" w:space="0" w:color="auto"/>
        <w:left w:val="none" w:sz="0" w:space="0" w:color="auto"/>
        <w:bottom w:val="none" w:sz="0" w:space="0" w:color="auto"/>
        <w:right w:val="none" w:sz="0" w:space="0" w:color="auto"/>
      </w:divBdr>
    </w:div>
    <w:div w:id="1614824430">
      <w:bodyDiv w:val="1"/>
      <w:marLeft w:val="0"/>
      <w:marRight w:val="0"/>
      <w:marTop w:val="0"/>
      <w:marBottom w:val="0"/>
      <w:divBdr>
        <w:top w:val="none" w:sz="0" w:space="0" w:color="auto"/>
        <w:left w:val="none" w:sz="0" w:space="0" w:color="auto"/>
        <w:bottom w:val="none" w:sz="0" w:space="0" w:color="auto"/>
        <w:right w:val="none" w:sz="0" w:space="0" w:color="auto"/>
      </w:divBdr>
    </w:div>
    <w:div w:id="1692998052">
      <w:bodyDiv w:val="1"/>
      <w:marLeft w:val="0"/>
      <w:marRight w:val="0"/>
      <w:marTop w:val="0"/>
      <w:marBottom w:val="0"/>
      <w:divBdr>
        <w:top w:val="none" w:sz="0" w:space="0" w:color="auto"/>
        <w:left w:val="none" w:sz="0" w:space="0" w:color="auto"/>
        <w:bottom w:val="none" w:sz="0" w:space="0" w:color="auto"/>
        <w:right w:val="none" w:sz="0" w:space="0" w:color="auto"/>
      </w:divBdr>
    </w:div>
    <w:div w:id="1709335702">
      <w:bodyDiv w:val="1"/>
      <w:marLeft w:val="0"/>
      <w:marRight w:val="0"/>
      <w:marTop w:val="0"/>
      <w:marBottom w:val="0"/>
      <w:divBdr>
        <w:top w:val="none" w:sz="0" w:space="0" w:color="auto"/>
        <w:left w:val="none" w:sz="0" w:space="0" w:color="auto"/>
        <w:bottom w:val="none" w:sz="0" w:space="0" w:color="auto"/>
        <w:right w:val="none" w:sz="0" w:space="0" w:color="auto"/>
      </w:divBdr>
    </w:div>
    <w:div w:id="1731034527">
      <w:bodyDiv w:val="1"/>
      <w:marLeft w:val="0"/>
      <w:marRight w:val="0"/>
      <w:marTop w:val="0"/>
      <w:marBottom w:val="0"/>
      <w:divBdr>
        <w:top w:val="none" w:sz="0" w:space="0" w:color="auto"/>
        <w:left w:val="none" w:sz="0" w:space="0" w:color="auto"/>
        <w:bottom w:val="none" w:sz="0" w:space="0" w:color="auto"/>
        <w:right w:val="none" w:sz="0" w:space="0" w:color="auto"/>
      </w:divBdr>
    </w:div>
    <w:div w:id="1971158545">
      <w:bodyDiv w:val="1"/>
      <w:marLeft w:val="0"/>
      <w:marRight w:val="0"/>
      <w:marTop w:val="0"/>
      <w:marBottom w:val="0"/>
      <w:divBdr>
        <w:top w:val="none" w:sz="0" w:space="0" w:color="auto"/>
        <w:left w:val="none" w:sz="0" w:space="0" w:color="auto"/>
        <w:bottom w:val="none" w:sz="0" w:space="0" w:color="auto"/>
        <w:right w:val="none" w:sz="0" w:space="0" w:color="auto"/>
      </w:divBdr>
    </w:div>
    <w:div w:id="1971940374">
      <w:bodyDiv w:val="1"/>
      <w:marLeft w:val="0"/>
      <w:marRight w:val="0"/>
      <w:marTop w:val="0"/>
      <w:marBottom w:val="0"/>
      <w:divBdr>
        <w:top w:val="none" w:sz="0" w:space="0" w:color="auto"/>
        <w:left w:val="none" w:sz="0" w:space="0" w:color="auto"/>
        <w:bottom w:val="none" w:sz="0" w:space="0" w:color="auto"/>
        <w:right w:val="none" w:sz="0" w:space="0" w:color="auto"/>
      </w:divBdr>
    </w:div>
    <w:div w:id="2004430804">
      <w:bodyDiv w:val="1"/>
      <w:marLeft w:val="0"/>
      <w:marRight w:val="0"/>
      <w:marTop w:val="0"/>
      <w:marBottom w:val="0"/>
      <w:divBdr>
        <w:top w:val="none" w:sz="0" w:space="0" w:color="auto"/>
        <w:left w:val="none" w:sz="0" w:space="0" w:color="auto"/>
        <w:bottom w:val="none" w:sz="0" w:space="0" w:color="auto"/>
        <w:right w:val="none" w:sz="0" w:space="0" w:color="auto"/>
      </w:divBdr>
    </w:div>
    <w:div w:id="2024018075">
      <w:bodyDiv w:val="1"/>
      <w:marLeft w:val="0"/>
      <w:marRight w:val="0"/>
      <w:marTop w:val="0"/>
      <w:marBottom w:val="0"/>
      <w:divBdr>
        <w:top w:val="none" w:sz="0" w:space="0" w:color="auto"/>
        <w:left w:val="none" w:sz="0" w:space="0" w:color="auto"/>
        <w:bottom w:val="none" w:sz="0" w:space="0" w:color="auto"/>
        <w:right w:val="none" w:sz="0" w:space="0" w:color="auto"/>
      </w:divBdr>
    </w:div>
    <w:div w:id="21140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4C9D1F7-8C22-483A-986C-15D50D1F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10</Pages>
  <Words>4668</Words>
  <Characters>19282</Characters>
  <Application>Microsoft Office Word</Application>
  <DocSecurity>0</DocSecurity>
  <Lines>2142</Lines>
  <Paragraphs>1995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25</cp:revision>
  <dcterms:created xsi:type="dcterms:W3CDTF">2020-09-14T07:55:00Z</dcterms:created>
  <dcterms:modified xsi:type="dcterms:W3CDTF">2020-10-07T16:37:00Z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 Build 20190717</vt:lpwstr>
  </property>
</Properties>
</file>