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132EAA1-CF55-41F7-B73C-B5BD3A01E337" style="width:451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Увод</w:t>
      </w:r>
      <w:r>
        <w:rPr>
          <w:rStyle w:val="FootnoteReference"/>
          <w:noProof/>
        </w:rPr>
        <w:footnoteReference w:id="1"/>
      </w:r>
    </w:p>
    <w:p>
      <w:pPr>
        <w:pStyle w:val="Text1"/>
        <w:rPr>
          <w:noProof/>
        </w:rPr>
      </w:pPr>
      <w:r>
        <w:rPr>
          <w:noProof/>
        </w:rPr>
        <w:t>В съответствие с член 7, параграф 1 от Вътрешното споразумение за 11-ия Европейски фонд за развитие (ЕФР)</w:t>
      </w:r>
      <w:r>
        <w:rPr>
          <w:rStyle w:val="FootnoteReference"/>
          <w:noProof/>
        </w:rPr>
        <w:footnoteReference w:id="2"/>
      </w:r>
      <w:r>
        <w:rPr>
          <w:noProof/>
        </w:rPr>
        <w:t xml:space="preserve"> и член 19, параграф 2 от Регламент (ЕС) 2018/1877 на Съвета</w:t>
      </w:r>
      <w:r>
        <w:rPr>
          <w:rStyle w:val="FootnoteReference"/>
          <w:noProof/>
        </w:rPr>
        <w:footnoteReference w:id="3"/>
      </w:r>
      <w:r>
        <w:rPr>
          <w:noProof/>
        </w:rPr>
        <w:t xml:space="preserve"> относно финансовия регламент, приложим за 11-ия Европейски фонд за развитие (наричан по-нататък „Финансовият регламент за 11-ия ЕФР“), Комисията представя в настоящия документ прогнозите за поетите задължения, за плащанията и за вноските за периода 2020—2022 г., като взема предвид прогнозите на Европейската инвестиционна банка (ЕИБ). </w:t>
      </w:r>
    </w:p>
    <w:p>
      <w:pPr>
        <w:pStyle w:val="Text1"/>
        <w:rPr>
          <w:noProof/>
        </w:rPr>
      </w:pPr>
      <w:r>
        <w:rPr>
          <w:noProof/>
        </w:rPr>
        <w:t xml:space="preserve">В настоящия документ е представена прогнозата за финансовото изпълнение на ЕФР (от 8-ия до 11-ия ЕФР) за периода 2020—2022 г. Освен това в него се правят необвързващи прогнози за вноските за ЕФР от държавите членки за 2023 г. и 2024 г. </w:t>
      </w:r>
    </w:p>
    <w:p>
      <w:pPr>
        <w:pStyle w:val="Text1"/>
        <w:rPr>
          <w:noProof/>
        </w:rPr>
      </w:pPr>
      <w:r>
        <w:rPr>
          <w:noProof/>
        </w:rPr>
        <w:t xml:space="preserve">Държавите членки внасят директно в ЕИБ средства за инструментите, които тя управлява в рамките на 9-ия, 10-ия и 11-ия ЕФР (Инвестиционния механизъм и лихвените субсидии). </w:t>
      </w:r>
    </w:p>
    <w:p>
      <w:pPr>
        <w:pStyle w:val="ManualHeading1"/>
        <w:rPr>
          <w:noProof/>
        </w:rPr>
      </w:pPr>
      <w:r>
        <w:t>2.</w:t>
      </w:r>
      <w:r>
        <w:tab/>
      </w:r>
      <w:r>
        <w:rPr>
          <w:noProof/>
        </w:rPr>
        <w:t>Въведение</w:t>
      </w:r>
    </w:p>
    <w:p>
      <w:pPr>
        <w:pStyle w:val="Text1"/>
        <w:rPr>
          <w:noProof/>
          <w:spacing w:val="-2"/>
        </w:rPr>
      </w:pPr>
      <w:r>
        <w:rPr>
          <w:noProof/>
          <w:spacing w:val="-2"/>
        </w:rPr>
        <w:t>Комисията и ЕИБ актуализираха прогнозите си за поетите задължения и плащанията за 2020 г., 2021 г. и 2022 г. за всяка една от държавите от Африка, Карибите и Тихоокеанския басейн (АКТБ) и отвъдморските страни и територии. Прогнозите за плащанията по-специално бяха изготвени с цел да се помогне на държавите членки да предвидят възможно най-точно сумите, които трябва да заделят в националните си бюджети, като същевременно се осигурят достатъчно финансови ресурси за ЕФР, за да се избегнат проблеми с ликвидността.</w:t>
      </w:r>
    </w:p>
    <w:p>
      <w:pPr>
        <w:pStyle w:val="Text1"/>
        <w:spacing w:before="0" w:after="240"/>
        <w:rPr>
          <w:noProof/>
        </w:rPr>
      </w:pPr>
      <w:r>
        <w:rPr>
          <w:noProof/>
        </w:rPr>
        <w:t>В съответствие с член 7 от Вътрешното споразумение</w:t>
      </w:r>
      <w:r>
        <w:rPr>
          <w:rStyle w:val="FootnoteReference"/>
          <w:noProof/>
        </w:rPr>
        <w:footnoteReference w:id="4"/>
      </w:r>
      <w:r>
        <w:rPr>
          <w:noProof/>
        </w:rPr>
        <w:t xml:space="preserve"> за 11-ия ЕФР и член 19, параграф 2 от Финансовия регламент</w:t>
      </w:r>
      <w:r>
        <w:rPr>
          <w:rStyle w:val="FootnoteReference"/>
          <w:noProof/>
        </w:rPr>
        <w:footnoteReference w:id="5"/>
      </w:r>
      <w:r>
        <w:rPr>
          <w:noProof/>
        </w:rPr>
        <w:t xml:space="preserve"> за 11-ия ЕФР прогнозите за поетите задължения и за плащанията бяха актуализирани въз основа на последните прогнози.</w:t>
      </w:r>
    </w:p>
    <w:p>
      <w:pPr>
        <w:pStyle w:val="Text1"/>
        <w:rPr>
          <w:noProof/>
        </w:rPr>
      </w:pPr>
      <w:r>
        <w:rPr>
          <w:noProof/>
        </w:rPr>
        <w:t>В графиката по-долу е представено общото изменение на брутните поети задължения и плащания от 1999 г. до 2019 г., като са включени и прогнозите за периода 2020—2022 г. (кумулирани суми за Комисията и ЕИБ).</w:t>
      </w:r>
    </w:p>
    <w:p>
      <w:pPr>
        <w:pStyle w:val="Text1"/>
        <w:ind w:left="0"/>
        <w:rPr>
          <w:noProof/>
        </w:rPr>
      </w:pP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szCs w:val="24"/>
        </w:rPr>
        <w:lastRenderedPageBreak/>
        <w:t>Брутни поети задължения и плащания: движение през периода 1999—2022 г. (в млн. евро)</w:t>
      </w:r>
    </w:p>
    <w:p>
      <w:pPr>
        <w:pStyle w:val="Text1"/>
        <w:ind w:left="0"/>
        <w:jc w:val="center"/>
        <w:rPr>
          <w:noProof/>
        </w:rPr>
      </w:pPr>
      <w:r>
        <w:rPr>
          <w:noProof/>
          <w:lang w:val="en-GB"/>
        </w:rPr>
        <w:drawing>
          <wp:inline distT="0" distB="0" distL="0" distR="0">
            <wp:extent cx="5761355" cy="249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355" cy="2491105"/>
                    </a:xfrm>
                    <a:prstGeom prst="rect">
                      <a:avLst/>
                    </a:prstGeom>
                  </pic:spPr>
                </pic:pic>
              </a:graphicData>
            </a:graphic>
          </wp:inline>
        </w:drawing>
      </w:r>
    </w:p>
    <w:p>
      <w:pPr>
        <w:pStyle w:val="Text1"/>
        <w:ind w:left="0"/>
        <w:rPr>
          <w:noProof/>
        </w:rPr>
      </w:pPr>
      <w:r>
        <w:rPr>
          <w:noProof/>
        </w:rPr>
        <w:t>* Прогнози за 2020—2022 г.</w:t>
      </w:r>
    </w:p>
    <w:p>
      <w:pPr>
        <w:pStyle w:val="Text1"/>
        <w:ind w:left="0"/>
        <w:rPr>
          <w:noProof/>
        </w:rPr>
      </w:pPr>
      <w:r>
        <w:rPr>
          <w:noProof/>
        </w:rPr>
        <w:t>Бележка: Данни за изпълнението на европейските фондове за развитие до 31 декември 2019 г. (поети задължения и плащания) и прогнози за периода 2020—2022 г.</w:t>
      </w:r>
    </w:p>
    <w:p>
      <w:pPr>
        <w:pStyle w:val="ManualHeading1"/>
        <w:rPr>
          <w:noProof/>
        </w:rPr>
      </w:pPr>
      <w:r>
        <w:t>3.</w:t>
      </w:r>
      <w:r>
        <w:tab/>
      </w:r>
      <w:r>
        <w:rPr>
          <w:noProof/>
        </w:rPr>
        <w:t>Финансови прогнози за периода 2020—2022 г. (в млн. евро)</w:t>
      </w:r>
    </w:p>
    <w:p>
      <w:pPr>
        <w:pStyle w:val="Text1"/>
        <w:rPr>
          <w:noProof/>
        </w:rPr>
      </w:pPr>
      <w:r>
        <w:rPr>
          <w:noProof/>
        </w:rPr>
        <w:t>Таблицата по-долу съдържа актуализация на поетите задължения, плащанията и вноските въз основа на последните прогнози на Комисията.</w:t>
      </w:r>
    </w:p>
    <w:tbl>
      <w:tblPr>
        <w:tblW w:w="5000" w:type="pct"/>
        <w:tblCellMar>
          <w:left w:w="70" w:type="dxa"/>
          <w:right w:w="70" w:type="dxa"/>
        </w:tblCellMar>
        <w:tblLook w:val="04A0" w:firstRow="1" w:lastRow="0" w:firstColumn="1" w:lastColumn="0" w:noHBand="0" w:noVBand="1"/>
      </w:tblPr>
      <w:tblGrid>
        <w:gridCol w:w="2041"/>
        <w:gridCol w:w="3450"/>
        <w:gridCol w:w="1296"/>
        <w:gridCol w:w="1296"/>
        <w:gridCol w:w="1130"/>
      </w:tblGrid>
      <w:tr>
        <w:trPr>
          <w:trHeight w:val="240"/>
        </w:trPr>
        <w:tc>
          <w:tcPr>
            <w:tcW w:w="29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Прогнози за периода 2020—2022 г.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61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2020 г.</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2021 г.</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2022 г.</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Поети задължения</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Комисия</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3 267</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ЕИБ</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962</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Общо</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4 229</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Плащания</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Комисия</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4 934</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ЕИБ</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588</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540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490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Общо</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5 522</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4 240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2 990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Вноски</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Комисия (11-и ЕФР)</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ЕИБ (10-и ЕФР)</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70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ЕИБ (11-и ЕФР)</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230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Общо</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4 700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4 000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2 800</w:t>
            </w:r>
          </w:p>
        </w:tc>
      </w:tr>
    </w:tbl>
    <w:p>
      <w:pPr>
        <w:pStyle w:val="Text1"/>
        <w:ind w:left="0"/>
        <w:jc w:val="left"/>
        <w:rPr>
          <w:noProof/>
          <w:sz w:val="20"/>
          <w:szCs w:val="20"/>
        </w:rPr>
      </w:pPr>
      <w:r>
        <w:rPr>
          <w:noProof/>
          <w:sz w:val="20"/>
          <w:szCs w:val="20"/>
        </w:rPr>
        <w:t>* Брутни суми, т.е. без да са приспаднати отменените бюджетни кредити или събиранията/възстановяванията. Този подход съответства на използвания за общия бюджет на Съюза.</w:t>
      </w:r>
    </w:p>
    <w:p>
      <w:pPr>
        <w:pStyle w:val="Text1"/>
        <w:spacing w:before="0" w:after="240"/>
        <w:ind w:left="0"/>
        <w:jc w:val="left"/>
        <w:rPr>
          <w:noProof/>
          <w:sz w:val="20"/>
          <w:szCs w:val="20"/>
        </w:rPr>
      </w:pPr>
      <w:r>
        <w:rPr>
          <w:noProof/>
          <w:sz w:val="20"/>
          <w:szCs w:val="20"/>
        </w:rPr>
        <w:t>** Като се има предвид, че Комисията е предложила дейностите за развитие и международно сътрудничество за периода 2021—2027 г. да се осъществяват при нови условия за изпълнение, тя намали прогнозите си за плащанията по линия на ЕФР, а следователно и прогнозата за годишния размер на вноските за 2020 г. и за горната граница на годишния размер на вноските за 2021 г.</w:t>
      </w:r>
    </w:p>
    <w:p>
      <w:pPr>
        <w:pStyle w:val="Text1"/>
        <w:ind w:left="0"/>
        <w:jc w:val="left"/>
        <w:rPr>
          <w:noProof/>
          <w:sz w:val="20"/>
          <w:szCs w:val="20"/>
        </w:rPr>
      </w:pPr>
    </w:p>
    <w:p>
      <w:pPr>
        <w:pStyle w:val="ManualHeading1"/>
        <w:rPr>
          <w:noProof/>
        </w:rPr>
      </w:pPr>
      <w:r>
        <w:rPr>
          <w:noProof/>
        </w:rPr>
        <w:br w:type="page"/>
      </w:r>
      <w:r>
        <w:t>4.</w:t>
      </w:r>
      <w:r>
        <w:tab/>
      </w:r>
      <w:r>
        <w:rPr>
          <w:noProof/>
        </w:rPr>
        <w:t>Необвързващи прогнози за вноските за 2023—2024 г. (в млн. евро)</w:t>
      </w:r>
    </w:p>
    <w:tbl>
      <w:tblPr>
        <w:tblW w:w="5000" w:type="pct"/>
        <w:tblCellMar>
          <w:left w:w="70" w:type="dxa"/>
          <w:right w:w="70" w:type="dxa"/>
        </w:tblCellMar>
        <w:tblLook w:val="04A0" w:firstRow="1" w:lastRow="0" w:firstColumn="1" w:lastColumn="0" w:noHBand="0" w:noVBand="1"/>
      </w:tblPr>
      <w:tblGrid>
        <w:gridCol w:w="2047"/>
        <w:gridCol w:w="3120"/>
        <w:gridCol w:w="2023"/>
        <w:gridCol w:w="2023"/>
      </w:tblGrid>
      <w:tr>
        <w:trPr>
          <w:trHeight w:val="240"/>
        </w:trPr>
        <w:tc>
          <w:tcPr>
            <w:tcW w:w="1111"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693"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2804"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Прогнози за периода 2023—2024 г. (*)</w:t>
            </w:r>
          </w:p>
        </w:tc>
        <w:tc>
          <w:tcPr>
            <w:tcW w:w="1098"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2023</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2024</w:t>
            </w:r>
          </w:p>
        </w:tc>
      </w:tr>
      <w:tr>
        <w:trPr>
          <w:trHeight w:val="240"/>
        </w:trPr>
        <w:tc>
          <w:tcPr>
            <w:tcW w:w="1111"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Вноски</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Комисия (11-и ЕФР)</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1 800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1 500</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ЕИБ (11-и ЕФР)</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200</w:t>
            </w:r>
          </w:p>
        </w:tc>
      </w:tr>
      <w:tr>
        <w:trPr>
          <w:trHeight w:val="240"/>
        </w:trPr>
        <w:tc>
          <w:tcPr>
            <w:tcW w:w="1111"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Общо</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2 100</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1 700</w:t>
            </w:r>
          </w:p>
        </w:tc>
      </w:tr>
    </w:tbl>
    <w:p>
      <w:pPr>
        <w:pStyle w:val="Text1"/>
        <w:spacing w:before="0" w:after="240"/>
        <w:ind w:left="0"/>
        <w:rPr>
          <w:noProof/>
          <w:sz w:val="20"/>
          <w:szCs w:val="20"/>
        </w:rPr>
      </w:pPr>
      <w:r>
        <w:rPr>
          <w:noProof/>
          <w:sz w:val="20"/>
          <w:szCs w:val="20"/>
        </w:rPr>
        <w:t xml:space="preserve">*Член 19, параграф 2 от Финансовия регламент за 11-ия ЕФР (Регламент (EС) 2018/1877): индикативна необвързваща прогноза, базирана на статистическия подход за очакваните годишни размери на вноските за годините n + 3 и n + 4, прогноза за очакваните годишни размери на вноските за 2023 г. и 2024 г. </w:t>
      </w:r>
    </w:p>
    <w:p>
      <w:pPr>
        <w:pStyle w:val="Text1"/>
        <w:spacing w:before="0" w:after="240"/>
        <w:ind w:left="0"/>
        <w:rPr>
          <w:noProof/>
          <w:sz w:val="20"/>
          <w:szCs w:val="20"/>
        </w:rPr>
      </w:pPr>
      <w:r>
        <w:rPr>
          <w:noProof/>
          <w:sz w:val="20"/>
          <w:szCs w:val="20"/>
        </w:rPr>
        <w:t>** Като се има предвид, че Комисията е предложила дейностите за развитие и международно сътрудничество за периода 2021—2027 г. да се осъществяват при нови условия за изпълнение, тя намали прогнозите си за плащанията по линия на ЕФР, а следователно и прогнозата за очакваните годишни размери на вноските за 2023 г. и 2024 г.</w:t>
      </w:r>
    </w:p>
    <w:p>
      <w:pPr>
        <w:pStyle w:val="ManualHeading1"/>
        <w:rPr>
          <w:noProof/>
        </w:rPr>
      </w:pPr>
      <w:r>
        <w:t>5.</w:t>
      </w:r>
      <w:r>
        <w:tab/>
      </w:r>
      <w:r>
        <w:rPr>
          <w:noProof/>
        </w:rPr>
        <w:t>Прогнози за финансовото изпълнение за 2020 г., 2021 г. и 2022 г.</w:t>
      </w:r>
    </w:p>
    <w:p>
      <w:pPr>
        <w:pStyle w:val="Text1"/>
        <w:spacing w:before="0" w:after="240"/>
        <w:ind w:left="0"/>
        <w:rPr>
          <w:noProof/>
        </w:rPr>
      </w:pPr>
      <w:r>
        <w:rPr>
          <w:noProof/>
        </w:rPr>
        <w:t>Актуализираните прогнози са представени в приложения 1—3.</w:t>
      </w:r>
    </w:p>
    <w:p>
      <w:pPr>
        <w:pStyle w:val="Text1"/>
        <w:spacing w:before="0" w:after="240"/>
        <w:ind w:left="0"/>
        <w:rPr>
          <w:noProof/>
        </w:rPr>
      </w:pPr>
      <w:r>
        <w:rPr>
          <w:noProof/>
        </w:rPr>
        <w:t>За 2020 г. прогнозите за поетите задължения (Комисия) остават непроменени спрямо Съобщението от юни 2020 г. Прогнозите за плащанията показват увеличение от 548 милиона евро, което се дължи главно на въздействието на кризата с COVID-19.</w:t>
      </w:r>
    </w:p>
    <w:p>
      <w:pPr>
        <w:pStyle w:val="Text1"/>
        <w:spacing w:before="0" w:after="240"/>
        <w:ind w:left="0"/>
        <w:rPr>
          <w:noProof/>
        </w:rPr>
      </w:pPr>
      <w:r>
        <w:rPr>
          <w:noProof/>
        </w:rPr>
        <w:t xml:space="preserve">За 2021 г. прогнозите за плащанията и вноските от страна на Комисията остават непроменени спрямо Съобщението от юни 2020 г. </w:t>
      </w:r>
    </w:p>
    <w:p>
      <w:pPr>
        <w:pStyle w:val="Text1"/>
        <w:spacing w:before="0" w:after="240"/>
        <w:ind w:left="0"/>
        <w:rPr>
          <w:noProof/>
        </w:rPr>
      </w:pPr>
      <w:r>
        <w:rPr>
          <w:noProof/>
        </w:rPr>
        <w:t>Що се отнася до прогнозите на ЕИБ, изпълнението на нейните операции и нуждите от ликвидност са силно засегнати от настоящата криза с COVID-19, както и от бъдещия сценарий за мандата.</w:t>
      </w:r>
    </w:p>
    <w:p>
      <w:pPr>
        <w:pStyle w:val="Text1"/>
        <w:spacing w:before="0" w:after="240"/>
        <w:ind w:left="0"/>
        <w:rPr>
          <w:noProof/>
        </w:rPr>
      </w:pPr>
      <w:r>
        <w:rPr>
          <w:noProof/>
        </w:rPr>
        <w:t>Приложения 1, 2 и 3 показват съответно прогнозите за поетите задължения, за плащанията и за финансовото състояние, съпоставени с предишни прогнози за периода 2020—2022 г.</w:t>
      </w:r>
    </w:p>
    <w:p>
      <w:pPr>
        <w:pStyle w:val="Text1"/>
        <w:spacing w:before="0" w:after="240"/>
        <w:ind w:left="0"/>
        <w:rPr>
          <w:noProof/>
        </w:rPr>
      </w:pPr>
      <w:r>
        <w:rPr>
          <w:noProof/>
        </w:rPr>
        <w:t>Приложения 4 и 5 показват съответно вноските за 2021 г. и за 2022 г. по части и държави членки.</w:t>
      </w:r>
    </w:p>
    <w:p>
      <w:pPr>
        <w:pStyle w:val="Text1"/>
        <w:spacing w:before="0" w:after="240"/>
        <w:ind w:left="0"/>
        <w:rPr>
          <w:noProof/>
        </w:rPr>
      </w:pPr>
      <w:r>
        <w:rPr>
          <w:noProof/>
        </w:rPr>
        <w:t>Приложение 6 показва годишните вноски за периода 2021—2024 г. по държави членки.</w:t>
      </w:r>
    </w:p>
    <w:p>
      <w:pPr>
        <w:rPr>
          <w:b/>
          <w:bCs/>
          <w:noProof/>
          <w:szCs w:val="26"/>
        </w:rPr>
      </w:pPr>
      <w:r>
        <w:rPr>
          <w:noProof/>
        </w:rPr>
        <w:br w:type="page"/>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Приложение 1: Прогнози за поетите задължения</w:t>
      </w:r>
      <w:r>
        <w:rPr>
          <w:rStyle w:val="FootnoteReference"/>
          <w:noProof/>
        </w:rPr>
        <w:footnoteReference w:id="6"/>
      </w:r>
      <w:r>
        <w:rPr>
          <w:noProof/>
        </w:rPr>
        <w:t xml:space="preserve"> за 2020 г. и прогнози за 2021 г. и 2022 г. (в млн. евро)</w:t>
      </w:r>
    </w:p>
    <w:tbl>
      <w:tblPr>
        <w:tblW w:w="5000" w:type="pct"/>
        <w:tblCellMar>
          <w:left w:w="70" w:type="dxa"/>
          <w:right w:w="70" w:type="dxa"/>
        </w:tblCellMar>
        <w:tblLook w:val="04A0" w:firstRow="1" w:lastRow="0" w:firstColumn="1" w:lastColumn="0" w:noHBand="0" w:noVBand="1"/>
      </w:tblPr>
      <w:tblGrid>
        <w:gridCol w:w="5032"/>
        <w:gridCol w:w="1213"/>
        <w:gridCol w:w="1541"/>
        <w:gridCol w:w="1536"/>
        <w:gridCol w:w="1742"/>
        <w:gridCol w:w="1539"/>
        <w:gridCol w:w="1539"/>
      </w:tblGrid>
      <w:tr>
        <w:trPr>
          <w:trHeight w:val="260"/>
        </w:trPr>
        <w:tc>
          <w:tcPr>
            <w:tcW w:w="177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97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159"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08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77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42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545"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5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61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54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54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r>
      <w:tr>
        <w:trPr>
          <w:trHeight w:val="260"/>
        </w:trPr>
        <w:tc>
          <w:tcPr>
            <w:tcW w:w="1779"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Региони</w:t>
            </w:r>
          </w:p>
        </w:tc>
        <w:tc>
          <w:tcPr>
            <w:tcW w:w="429"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Източна и Южна Африка</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1 374</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1 076</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Западна и Централна Африка</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805</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782</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Латинска Америка и Карибския регион</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213</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181</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Тихоокеански регион</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53</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84</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Междинен сбор*</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2 446</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2 123</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Други</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Права на човека, здравеопазване, образование</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26</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372"/>
              <w:rPr>
                <w:rFonts w:ascii="Times New Roman" w:eastAsia="Times New Roman" w:hAnsi="Times New Roman" w:cs="Times New Roman"/>
                <w:noProof/>
                <w:spacing w:val="-14"/>
                <w:sz w:val="20"/>
                <w:szCs w:val="20"/>
              </w:rPr>
            </w:pPr>
            <w:r>
              <w:rPr>
                <w:rFonts w:ascii="Times New Roman" w:hAnsi="Times New Roman"/>
                <w:noProof/>
                <w:spacing w:val="-14"/>
                <w:sz w:val="20"/>
                <w:szCs w:val="20"/>
              </w:rPr>
              <w:t>ЕС—Африка, Механизъм за подкрепа на мира в Африка</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Доверителен фонд на ЕС за Африка</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359</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Планета и благоденствие</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285</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431</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Ресурси, оценка, процес</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218</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253</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ГД ECHO, EACEA, ГД EAC</w:t>
            </w:r>
          </w:p>
        </w:tc>
        <w:tc>
          <w:tcPr>
            <w:tcW w:w="42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42</w:t>
            </w:r>
          </w:p>
        </w:tc>
        <w:tc>
          <w:tcPr>
            <w:tcW w:w="545"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61</w:t>
            </w:r>
          </w:p>
        </w:tc>
        <w:tc>
          <w:tcPr>
            <w:tcW w:w="543"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77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Междинен сбор*</w:t>
            </w:r>
          </w:p>
        </w:tc>
        <w:tc>
          <w:tcPr>
            <w:tcW w:w="42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926</w:t>
            </w:r>
          </w:p>
        </w:tc>
        <w:tc>
          <w:tcPr>
            <w:tcW w:w="545"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1 143</w:t>
            </w:r>
          </w:p>
        </w:tc>
        <w:tc>
          <w:tcPr>
            <w:tcW w:w="543"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77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Европейска комисия*</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3 372</w:t>
            </w:r>
          </w:p>
        </w:tc>
        <w:tc>
          <w:tcPr>
            <w:tcW w:w="545"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3 267</w:t>
            </w:r>
          </w:p>
        </w:tc>
        <w:tc>
          <w:tcPr>
            <w:tcW w:w="5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1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5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r>
        <w:trPr>
          <w:trHeight w:val="260"/>
        </w:trPr>
        <w:tc>
          <w:tcPr>
            <w:tcW w:w="1779" w:type="pct"/>
            <w:tcBorders>
              <w:top w:val="nil"/>
              <w:left w:val="single" w:sz="4" w:space="0" w:color="auto"/>
              <w:bottom w:val="nil"/>
              <w:right w:val="nil"/>
            </w:tcBorders>
            <w:shd w:val="clear" w:color="auto" w:fill="auto"/>
            <w:noWrap/>
            <w:vAlign w:val="bottom"/>
            <w:hideMark/>
          </w:tcPr>
          <w:p>
            <w:pPr>
              <w:spacing w:after="0" w:line="240" w:lineRule="auto"/>
              <w:ind w:firstLineChars="100" w:firstLine="196"/>
              <w:rPr>
                <w:rFonts w:ascii="Times New Roman" w:eastAsia="Times New Roman" w:hAnsi="Times New Roman" w:cs="Times New Roman"/>
                <w:noProof/>
                <w:spacing w:val="-4"/>
                <w:sz w:val="20"/>
                <w:szCs w:val="20"/>
              </w:rPr>
            </w:pPr>
            <w:r>
              <w:rPr>
                <w:rFonts w:ascii="Times New Roman" w:hAnsi="Times New Roman"/>
                <w:noProof/>
                <w:spacing w:val="-4"/>
                <w:sz w:val="20"/>
                <w:szCs w:val="20"/>
              </w:rPr>
              <w:t>Субсидии по линия на Инвестиционния механизъм (**)</w:t>
            </w:r>
          </w:p>
        </w:tc>
        <w:tc>
          <w:tcPr>
            <w:tcW w:w="42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162</w:t>
            </w:r>
          </w:p>
        </w:tc>
        <w:tc>
          <w:tcPr>
            <w:tcW w:w="545"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162</w:t>
            </w:r>
          </w:p>
        </w:tc>
        <w:tc>
          <w:tcPr>
            <w:tcW w:w="543"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1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544"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44"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r>
      <w:tr>
        <w:trPr>
          <w:trHeight w:val="260"/>
        </w:trPr>
        <w:tc>
          <w:tcPr>
            <w:tcW w:w="177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ЕИБ***</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162</w:t>
            </w:r>
          </w:p>
        </w:tc>
        <w:tc>
          <w:tcPr>
            <w:tcW w:w="545"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162</w:t>
            </w:r>
          </w:p>
        </w:tc>
        <w:tc>
          <w:tcPr>
            <w:tcW w:w="5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1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5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r>
        <w:trPr>
          <w:trHeight w:val="260"/>
        </w:trPr>
        <w:tc>
          <w:tcPr>
            <w:tcW w:w="1779"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ЕК + ЕИБ*</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3 534</w:t>
            </w:r>
          </w:p>
        </w:tc>
        <w:tc>
          <w:tcPr>
            <w:tcW w:w="545"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3 429</w:t>
            </w:r>
          </w:p>
        </w:tc>
        <w:tc>
          <w:tcPr>
            <w:tcW w:w="5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1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5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4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Заради закръглянето сумата на посочените отделни закръглени суми може да се различава малко от съответните сборове.</w:t>
      </w:r>
    </w:p>
    <w:p>
      <w:pPr>
        <w:spacing w:after="0"/>
        <w:rPr>
          <w:rFonts w:ascii="Times New Roman" w:hAnsi="Times New Roman" w:cs="Times New Roman"/>
          <w:noProof/>
          <w:sz w:val="20"/>
          <w:szCs w:val="20"/>
        </w:rPr>
      </w:pPr>
      <w:r>
        <w:rPr>
          <w:rFonts w:ascii="Times New Roman" w:hAnsi="Times New Roman"/>
          <w:noProof/>
          <w:sz w:val="20"/>
          <w:szCs w:val="20"/>
        </w:rPr>
        <w:t>** Включително субсидия за техническа помощ и лихвени субсидии от настоящия ЕФР, както и изплащане на лихвени субсидии по линия на предходни ЕФР</w:t>
      </w:r>
    </w:p>
    <w:p>
      <w:pPr>
        <w:spacing w:after="0"/>
        <w:rPr>
          <w:rFonts w:ascii="Times New Roman" w:hAnsi="Times New Roman" w:cs="Times New Roman"/>
          <w:noProof/>
          <w:sz w:val="18"/>
          <w:szCs w:val="20"/>
        </w:rPr>
      </w:pPr>
    </w:p>
    <w:tbl>
      <w:tblPr>
        <w:tblW w:w="5000" w:type="pct"/>
        <w:tblCellMar>
          <w:left w:w="70" w:type="dxa"/>
          <w:right w:w="70" w:type="dxa"/>
        </w:tblCellMar>
        <w:tblLook w:val="04A0" w:firstRow="1" w:lastRow="0" w:firstColumn="1" w:lastColumn="0" w:noHBand="0" w:noVBand="1"/>
      </w:tblPr>
      <w:tblGrid>
        <w:gridCol w:w="5740"/>
        <w:gridCol w:w="1278"/>
        <w:gridCol w:w="1301"/>
        <w:gridCol w:w="1533"/>
        <w:gridCol w:w="1558"/>
        <w:gridCol w:w="1329"/>
        <w:gridCol w:w="1403"/>
      </w:tblGrid>
      <w:tr>
        <w:trPr>
          <w:trHeight w:val="260"/>
        </w:trPr>
        <w:tc>
          <w:tcPr>
            <w:tcW w:w="202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91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093"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966"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202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45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46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5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551"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47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49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r>
      <w:tr>
        <w:trPr>
          <w:trHeight w:val="260"/>
        </w:trPr>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Револвиращ фонд по линия на Инвестиционния механизъм***</w:t>
            </w:r>
          </w:p>
        </w:tc>
        <w:tc>
          <w:tcPr>
            <w:tcW w:w="4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46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5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551"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4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4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r>
    </w:tbl>
    <w:p>
      <w:pPr>
        <w:pStyle w:val="Text1"/>
        <w:ind w:left="0"/>
        <w:jc w:val="left"/>
        <w:rPr>
          <w:noProof/>
          <w:sz w:val="20"/>
          <w:szCs w:val="20"/>
        </w:rPr>
      </w:pPr>
      <w:r>
        <w:rPr>
          <w:noProof/>
          <w:sz w:val="20"/>
          <w:szCs w:val="20"/>
        </w:rPr>
        <w:t>*** Поетото задължение по линия на револвиращия фонд не може да бъде счетено за бюджетно задължение. Поради тази причина се отчита отделно.</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Приложение 2: Прогнози за плащанията</w:t>
      </w:r>
      <w:r>
        <w:rPr>
          <w:rStyle w:val="FootnoteReference"/>
          <w:noProof/>
        </w:rPr>
        <w:footnoteReference w:id="7"/>
      </w:r>
      <w:r>
        <w:rPr>
          <w:noProof/>
        </w:rPr>
        <w:t xml:space="preserve"> за 2020 г., 2021 г. и 2022 г. (в млн. евро)</w:t>
      </w:r>
    </w:p>
    <w:tbl>
      <w:tblPr>
        <w:tblW w:w="5000" w:type="pct"/>
        <w:tblCellMar>
          <w:left w:w="70" w:type="dxa"/>
          <w:right w:w="70" w:type="dxa"/>
        </w:tblCellMar>
        <w:tblLook w:val="04A0" w:firstRow="1" w:lastRow="0" w:firstColumn="1" w:lastColumn="0" w:noHBand="0" w:noVBand="1"/>
      </w:tblPr>
      <w:tblGrid>
        <w:gridCol w:w="4979"/>
        <w:gridCol w:w="1712"/>
        <w:gridCol w:w="1646"/>
        <w:gridCol w:w="1646"/>
        <w:gridCol w:w="1646"/>
        <w:gridCol w:w="1712"/>
        <w:gridCol w:w="1709"/>
      </w:tblGrid>
      <w:tr>
        <w:trPr>
          <w:trHeight w:val="260"/>
        </w:trPr>
        <w:tc>
          <w:tcPr>
            <w:tcW w:w="135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2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19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3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353"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59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61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619"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r>
      <w:tr>
        <w:trPr>
          <w:trHeight w:val="260"/>
        </w:trPr>
        <w:tc>
          <w:tcPr>
            <w:tcW w:w="1353"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Региони</w:t>
            </w:r>
          </w:p>
        </w:tc>
        <w:tc>
          <w:tcPr>
            <w:tcW w:w="619"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Източна и Южна Африка</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1 797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2 266</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1 699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Западна и Централна Африка</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747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642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Латинска Америка и Карибския регион</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254</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191</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Тихоокеански регион</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119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120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Междинен сбор*</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2 898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3 427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2 652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 xml:space="preserve">Други </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Права на човека, здравеопазване, образование</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ЕС—Африка, Механизъм за подкрепа на мира в Африка</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214</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287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215</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Доверителен фонд на ЕС за Африка</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650</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668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600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Планета и благоденствие</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128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103</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Ресурси, оценка, процес</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ГД ECHO, EACEA, ГД EAC</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105</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Междинен сбор*</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1 488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1 506</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1 048</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Европейска комисия*</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4 386</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4 934</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3 700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3 700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2 500</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Субсидии по линия на Инвестиционния механизъм (**)</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38</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ЕИБ***</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38</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38</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ОБЩО Европейска комисия + ЕИБ*</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4 424</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4 972</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2 540</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Заради закръглянето сумата на посочените отделни закръглени суми може да се различава малко от съответните сборове.</w:t>
      </w:r>
    </w:p>
    <w:p>
      <w:pPr>
        <w:spacing w:after="0"/>
        <w:rPr>
          <w:rFonts w:ascii="Times New Roman" w:hAnsi="Times New Roman" w:cs="Times New Roman"/>
          <w:noProof/>
          <w:sz w:val="20"/>
          <w:szCs w:val="20"/>
        </w:rPr>
      </w:pPr>
      <w:r>
        <w:rPr>
          <w:rFonts w:ascii="Times New Roman" w:hAnsi="Times New Roman"/>
          <w:noProof/>
          <w:sz w:val="20"/>
          <w:szCs w:val="20"/>
        </w:rPr>
        <w:t>** Включително субсидия за техническа помощ и лихвени субсидии от настоящия ЕФР, както и изплащане на лихвени субсидии по линия на предходни ЕФР</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5505"/>
        <w:gridCol w:w="1623"/>
        <w:gridCol w:w="1558"/>
        <w:gridCol w:w="1558"/>
        <w:gridCol w:w="1558"/>
        <w:gridCol w:w="1624"/>
        <w:gridCol w:w="1624"/>
      </w:tblGrid>
      <w:tr>
        <w:trPr>
          <w:trHeight w:val="260"/>
        </w:trPr>
        <w:tc>
          <w:tcPr>
            <w:tcW w:w="1322"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2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4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322"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c>
          <w:tcPr>
            <w:tcW w:w="62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юни 2020 г.</w:t>
            </w:r>
          </w:p>
        </w:tc>
        <w:tc>
          <w:tcPr>
            <w:tcW w:w="62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Съобщение от октомври 2020 г.</w:t>
            </w:r>
          </w:p>
        </w:tc>
      </w:tr>
      <w:tr>
        <w:trPr>
          <w:trHeight w:val="260"/>
        </w:trPr>
        <w:tc>
          <w:tcPr>
            <w:tcW w:w="1322" w:type="pct"/>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Револвиращ фонд по линия на Инвестиционния механизъм***</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500</w:t>
            </w:r>
          </w:p>
        </w:tc>
        <w:tc>
          <w:tcPr>
            <w:tcW w:w="6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2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450</w:t>
            </w:r>
          </w:p>
        </w:tc>
      </w:tr>
    </w:tbl>
    <w:p>
      <w:pPr>
        <w:spacing w:after="0"/>
        <w:rPr>
          <w:rFonts w:ascii="Times New Roman" w:hAnsi="Times New Roman"/>
          <w:noProof/>
          <w:sz w:val="20"/>
          <w:szCs w:val="20"/>
        </w:rPr>
      </w:pPr>
      <w:r>
        <w:rPr>
          <w:rFonts w:ascii="Times New Roman" w:hAnsi="Times New Roman"/>
          <w:noProof/>
          <w:sz w:val="20"/>
          <w:szCs w:val="20"/>
        </w:rPr>
        <w:t>*** Изплащането по линия на револвиращия фонд не може да бъде счетено за брутно плащане от бюджета. Поради тази причина се отчита отделно</w:t>
      </w: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Приложение 3: Финансови прогнози за периода 2020—2022 г. и необвързващи прогнози за периода 2023—2024 г. (в млн. евро):</w:t>
      </w:r>
    </w:p>
    <w:tbl>
      <w:tblPr>
        <w:tblW w:w="5000" w:type="pct"/>
        <w:tblCellMar>
          <w:left w:w="70" w:type="dxa"/>
          <w:right w:w="70" w:type="dxa"/>
        </w:tblCellMar>
        <w:tblLook w:val="04A0" w:firstRow="1" w:lastRow="0" w:firstColumn="1" w:lastColumn="0" w:noHBand="0" w:noVBand="1"/>
      </w:tblPr>
      <w:tblGrid>
        <w:gridCol w:w="874"/>
        <w:gridCol w:w="5855"/>
        <w:gridCol w:w="2041"/>
        <w:gridCol w:w="942"/>
        <w:gridCol w:w="1137"/>
        <w:gridCol w:w="1930"/>
        <w:gridCol w:w="889"/>
        <w:gridCol w:w="1072"/>
      </w:tblGrid>
      <w:tr>
        <w:trPr>
          <w:trHeight w:val="200"/>
        </w:trPr>
        <w:tc>
          <w:tcPr>
            <w:tcW w:w="317"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fr-BE"/>
              </w:rPr>
            </w:pPr>
          </w:p>
        </w:tc>
        <w:tc>
          <w:tcPr>
            <w:tcW w:w="145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Съобщение от юни 2020 г.</w:t>
            </w:r>
            <w:r>
              <w:rPr>
                <w:rFonts w:ascii="Arial" w:hAnsi="Arial"/>
                <w:b/>
                <w:bCs/>
                <w:noProof/>
                <w:sz w:val="18"/>
                <w:szCs w:val="18"/>
                <w:vertAlign w:val="superscript"/>
              </w:rPr>
              <w:t>1</w:t>
            </w:r>
          </w:p>
        </w:tc>
        <w:tc>
          <w:tcPr>
            <w:tcW w:w="1382"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Съобщение от октомври 2020 г.</w:t>
            </w:r>
            <w:r>
              <w:rPr>
                <w:rFonts w:ascii="Arial" w:hAnsi="Arial"/>
                <w:b/>
                <w:bCs/>
                <w:noProof/>
                <w:sz w:val="18"/>
                <w:szCs w:val="18"/>
                <w:vertAlign w:val="superscript"/>
              </w:rPr>
              <w:t>1</w:t>
            </w:r>
          </w:p>
        </w:tc>
      </w:tr>
      <w:tr>
        <w:trPr>
          <w:trHeight w:val="200"/>
        </w:trPr>
        <w:tc>
          <w:tcPr>
            <w:tcW w:w="317"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71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Комисия</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ЕИБ</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ОБЩО</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Комисия</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ЕИБ</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ОБЩО</w:t>
            </w:r>
          </w:p>
        </w:tc>
      </w:tr>
      <w:tr>
        <w:trPr>
          <w:trHeight w:val="20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Салдо към 31.12.2019 г.</w:t>
            </w:r>
            <w:r>
              <w:rPr>
                <w:rFonts w:ascii="Arial" w:hAnsi="Arial"/>
                <w:b/>
                <w:bCs/>
                <w:noProof/>
                <w:sz w:val="18"/>
                <w:szCs w:val="18"/>
                <w:vertAlign w:val="superscript"/>
              </w:rPr>
              <w:t xml:space="preserve"> 4</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1 179</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379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1 558</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1 179</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379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1 558</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2020</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Вноски на държавите членки и на Обединеното кралство за 2020 г.:</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1-ва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1 800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1 900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1 800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1 900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2-ра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3-та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1 100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1 100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Обратни постъпления</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303</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303</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Вноски и корекции за 2020 г., получени през 2019 г.</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Събирания, лихви и корекции</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 xml:space="preserve">Провизия за дела на Обединеното кралство в 8-ия, 9-ия и 10-ия ЕФР </w:t>
            </w:r>
            <w:r>
              <w:rPr>
                <w:rFonts w:ascii="Arial" w:hAnsi="Arial"/>
                <w:noProof/>
                <w:sz w:val="18"/>
                <w:szCs w:val="18"/>
                <w:vertAlign w:val="superscript"/>
              </w:rPr>
              <w:t>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73</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73</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4 386</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588</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4 974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4 934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588</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5 522</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Салдо към 31.12.2020 г.</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921</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423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1 344</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441</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394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835</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2021</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Вноски на държавите членки и на Обединеното кралство за 2021 г.:</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1-ва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70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1 670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70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1 670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2-ра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1 200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130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1 330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1 200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130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1 330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3-та част от вноската</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Обратни постъпления</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399</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399</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Събирания, лихви и корекции</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Провизия за възстановяване на средства по 8-и, 9-и ЕФР</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223</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223</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 xml:space="preserve">Провизия за дела на Обединеното кралство в 10-ия ЕФР </w:t>
            </w:r>
            <w:r>
              <w:rPr>
                <w:rFonts w:ascii="Arial" w:hAnsi="Arial"/>
                <w:noProof/>
                <w:sz w:val="18"/>
                <w:szCs w:val="18"/>
                <w:vertAlign w:val="superscript"/>
              </w:rPr>
              <w:t>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4 290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540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4 240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Салдо към 31.12.2021 г.</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986</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532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1 518</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544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768</w:t>
            </w:r>
          </w:p>
        </w:tc>
      </w:tr>
      <w:tr>
        <w:trPr>
          <w:trHeight w:val="200"/>
        </w:trPr>
        <w:tc>
          <w:tcPr>
            <w:tcW w:w="31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2022</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Вноски на държавите членки и на Обединеното кралство за 2022 г.:</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2 800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Обратни постъпления</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431</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431</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Събирания, лихви и корекции</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2 990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Салдо към 31.12.2022 г.</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275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785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1 059</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2023</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Вноски на държавите членки и Обединеното кралство за 2023 г.</w:t>
            </w:r>
            <w:r>
              <w:rPr>
                <w:rFonts w:ascii="Arial" w:hAnsi="Arial"/>
                <w:noProof/>
                <w:color w:val="FF0000"/>
                <w:sz w:val="18"/>
                <w:szCs w:val="18"/>
                <w:vertAlign w:val="superscript"/>
              </w:rPr>
              <w:t>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2 000</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2 100</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1 800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2 100</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2024</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Вноски на държавите членки и Обединеното кралство за 2024 г.</w:t>
            </w:r>
            <w:r>
              <w:rPr>
                <w:rFonts w:ascii="Arial" w:hAnsi="Arial"/>
                <w:noProof/>
                <w:color w:val="FF0000"/>
                <w:sz w:val="18"/>
                <w:szCs w:val="18"/>
                <w:vertAlign w:val="superscript"/>
              </w:rPr>
              <w:t>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1 700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rPr>
        <w:tab/>
      </w:r>
      <w:r>
        <w:rPr>
          <w:noProof/>
          <w:sz w:val="14"/>
          <w:szCs w:val="14"/>
        </w:rPr>
        <w:t>Налични оперативни суми съгласно съобщението на Комисията до Съвета;</w:t>
      </w:r>
      <w:r>
        <w:rPr>
          <w:noProof/>
        </w:rPr>
        <w:t xml:space="preserve"> </w:t>
      </w:r>
      <w:r>
        <w:rPr>
          <w:noProof/>
        </w:rPr>
        <w:br/>
      </w:r>
      <w:r>
        <w:rPr>
          <w:noProof/>
          <w:sz w:val="14"/>
          <w:szCs w:val="14"/>
        </w:rPr>
        <w:t>2</w:t>
      </w:r>
      <w:r>
        <w:rPr>
          <w:noProof/>
        </w:rPr>
        <w:tab/>
      </w:r>
      <w:r>
        <w:rPr>
          <w:noProof/>
          <w:sz w:val="14"/>
          <w:szCs w:val="14"/>
        </w:rPr>
        <w:t>Без такси за управление на ЕИБ и разходи по суапове;</w:t>
      </w:r>
      <w:r>
        <w:rPr>
          <w:noProof/>
        </w:rPr>
        <w:t xml:space="preserve"> </w:t>
      </w:r>
      <w:r>
        <w:rPr>
          <w:noProof/>
        </w:rPr>
        <w:br/>
      </w:r>
      <w:r>
        <w:rPr>
          <w:noProof/>
          <w:sz w:val="14"/>
          <w:szCs w:val="14"/>
        </w:rPr>
        <w:t>3</w:t>
      </w:r>
      <w:r>
        <w:rPr>
          <w:noProof/>
        </w:rPr>
        <w:tab/>
      </w:r>
      <w:r>
        <w:rPr>
          <w:noProof/>
          <w:sz w:val="14"/>
          <w:szCs w:val="14"/>
        </w:rPr>
        <w:t>Включително лихвените субсидии, свързани с предходни ЕФР;</w:t>
      </w:r>
      <w:r>
        <w:rPr>
          <w:noProof/>
        </w:rPr>
        <w:t xml:space="preserve"> </w:t>
      </w:r>
      <w:r>
        <w:rPr>
          <w:noProof/>
        </w:rPr>
        <w:br/>
      </w:r>
      <w:r>
        <w:rPr>
          <w:noProof/>
          <w:sz w:val="14"/>
          <w:szCs w:val="14"/>
        </w:rPr>
        <w:t>4</w:t>
      </w:r>
      <w:r>
        <w:rPr>
          <w:noProof/>
        </w:rPr>
        <w:tab/>
      </w:r>
      <w:r>
        <w:rPr>
          <w:noProof/>
          <w:sz w:val="14"/>
          <w:szCs w:val="14"/>
        </w:rPr>
        <w:t>Салдата не включват: i) полученото съфинансиране, ii) приходите в банки, които все още не са разпределени за конкретен ред на ЕФР, и обратните постъпления на ЕИБ, които са били отчетени по-рано, тъй като те все още не са възстановени.</w:t>
      </w:r>
      <w:r>
        <w:rPr>
          <w:noProof/>
        </w:rPr>
        <w:t xml:space="preserve"> </w:t>
      </w:r>
      <w:r>
        <w:rPr>
          <w:noProof/>
        </w:rPr>
        <w:br/>
      </w:r>
      <w:r>
        <w:rPr>
          <w:noProof/>
          <w:sz w:val="14"/>
          <w:szCs w:val="14"/>
        </w:rPr>
        <w:t>5</w:t>
      </w:r>
      <w:r>
        <w:rPr>
          <w:noProof/>
        </w:rPr>
        <w:tab/>
      </w:r>
      <w:r>
        <w:rPr>
          <w:noProof/>
          <w:sz w:val="14"/>
          <w:szCs w:val="14"/>
        </w:rPr>
        <w:t>Член 19, параграф 2, буква г) от Финансовия регламент за 11-ия ЕФР: необвързваща прогноза, базирана на статистическия подход за очакваните годишни вноски за годините n+3 и n+4.</w:t>
      </w:r>
    </w:p>
    <w:p>
      <w:pPr>
        <w:pStyle w:val="Text1"/>
        <w:spacing w:before="0" w:after="0"/>
        <w:ind w:left="851"/>
        <w:jc w:val="left"/>
        <w:rPr>
          <w:noProof/>
          <w:sz w:val="14"/>
          <w:szCs w:val="14"/>
        </w:rPr>
      </w:pPr>
      <w:r>
        <w:rPr>
          <w:noProof/>
          <w:sz w:val="14"/>
          <w:szCs w:val="14"/>
        </w:rPr>
        <w:t>6</w:t>
      </w:r>
      <w:r>
        <w:rPr>
          <w:noProof/>
        </w:rPr>
        <w:tab/>
      </w:r>
      <w:r>
        <w:rPr>
          <w:noProof/>
          <w:sz w:val="14"/>
          <w:szCs w:val="14"/>
        </w:rPr>
        <w:t>Съгласно член 153 от Споразумението за оттегляне частта на Обединеното кралство в предходните ЕФР няма да се използва повторно.</w:t>
      </w:r>
    </w:p>
    <w:p>
      <w:pPr>
        <w:pStyle w:val="Text1"/>
        <w:spacing w:before="0" w:after="0"/>
        <w:ind w:left="851"/>
        <w:jc w:val="left"/>
        <w:rPr>
          <w:noProof/>
          <w:sz w:val="14"/>
          <w:szCs w:val="14"/>
        </w:rPr>
      </w:pPr>
    </w:p>
    <w:p>
      <w:pPr>
        <w:pStyle w:val="Text1"/>
        <w:spacing w:before="0" w:after="0"/>
        <w:ind w:left="0"/>
        <w:jc w:val="left"/>
        <w:rPr>
          <w:noProof/>
          <w:sz w:val="14"/>
          <w:szCs w:val="14"/>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Приложение 4: Вноски на държавите членки и Обединеното кралство за 2021 г. (в евро)</w:t>
      </w:r>
    </w:p>
    <w:tbl>
      <w:tblPr>
        <w:tblW w:w="5000" w:type="pct"/>
        <w:tblCellMar>
          <w:left w:w="70" w:type="dxa"/>
          <w:right w:w="70" w:type="dxa"/>
        </w:tblCellMar>
        <w:tblLook w:val="04A0" w:firstRow="1" w:lastRow="0" w:firstColumn="1" w:lastColumn="0" w:noHBand="0" w:noVBand="1"/>
      </w:tblPr>
      <w:tblGrid>
        <w:gridCol w:w="3555"/>
        <w:gridCol w:w="1032"/>
        <w:gridCol w:w="1031"/>
        <w:gridCol w:w="940"/>
        <w:gridCol w:w="1114"/>
        <w:gridCol w:w="1009"/>
        <w:gridCol w:w="1114"/>
        <w:gridCol w:w="1009"/>
        <w:gridCol w:w="1009"/>
        <w:gridCol w:w="1009"/>
        <w:gridCol w:w="1114"/>
        <w:gridCol w:w="1114"/>
      </w:tblGrid>
      <w:tr>
        <w:trPr>
          <w:trHeight w:val="283"/>
        </w:trPr>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ДЪРЖАВИ ЧЛЕНКИ И ОБЕДИНЕНОТО КРАЛСТВО</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Коефициент за 10-ия ЕФР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Коефициент за 11-ия ЕФР (%)</w:t>
            </w:r>
          </w:p>
        </w:tc>
        <w:tc>
          <w:tcPr>
            <w:tcW w:w="849"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1-ва част от вноската</w:t>
            </w:r>
          </w:p>
        </w:tc>
        <w:tc>
          <w:tcPr>
            <w:tcW w:w="849"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2-ра част от вноската</w:t>
            </w:r>
          </w:p>
        </w:tc>
        <w:tc>
          <w:tcPr>
            <w:tcW w:w="830"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3-та част от вноската</w:t>
            </w:r>
          </w:p>
        </w:tc>
        <w:tc>
          <w:tcPr>
            <w:tcW w:w="397"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 ЕИБ</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w:t>
            </w:r>
            <w:r>
              <w:rPr>
                <w:noProof/>
              </w:rPr>
              <w:t xml:space="preserve"> </w:t>
            </w:r>
            <w:r>
              <w:rPr>
                <w:noProof/>
              </w:rPr>
              <w:br/>
            </w:r>
            <w:r>
              <w:rPr>
                <w:rFonts w:ascii="Times New Roman" w:hAnsi="Times New Roman"/>
                <w:b/>
                <w:bCs/>
                <w:noProof/>
                <w:sz w:val="16"/>
                <w:szCs w:val="16"/>
              </w:rPr>
              <w:t>Комисия</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 за 2021 г.</w:t>
            </w: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10-и ЕФР</w:t>
            </w:r>
          </w:p>
        </w:tc>
        <w:tc>
          <w:tcPr>
            <w:tcW w:w="46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БЕЛГИЯ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2 471 000,00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51 988 320,00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4 224 051,00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38 991 240,00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29 243 430,00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9 944 321,00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120 222 990,00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130 167 311,00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БЪЛГАРИЯ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3 496 480,00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284 089,00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2 622 360,00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1 966 770,00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600 619,00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8 085 610,00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8 686 229,00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ЧЕШКА РЕПУБЛИКА</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12 759 200,00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1 036 685,00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9 569 400,00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7 177 050,00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2 191 135,00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29 505 650,00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31 696 785,00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ДАНИЯ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31 687 200,00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2 574 585,00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23 765 400,00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17 824 050,00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5 955 035,00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73 276 650,00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79 231 685,00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ГЕРМАНИЯ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14 350 000,00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329 276 800,00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26 753 740,00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246 957 600,00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185 218 200,00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61 683 540,00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761 452 600,00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823 136 140,00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ЕСТОНИЯ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1 381 600,00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112 255,00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777 150,00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233 605,00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3 194 950,00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3 428 555,00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ИРЛАНДИЯ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15 040 960,00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1 222 078,00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11 280 720,00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8 460 540,00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2 799 138,00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34 782 220,00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37 581 358,00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ГЪРЦИЯ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24 117 600,00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1 959 555,00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18 088 200,00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13 566 150,00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4 495 905,00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55 771 950,00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60 267 855,00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ИСПАНИЯ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5 495 000,00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126 919 680,00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10 312 224,00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95 189 760,00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71 392 320,00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23 739 704,00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293 501 760,00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317 241 464,00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ФРАНЦИЯ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13 685 000,00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285 003 040,00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23 156 497,00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213 752 280,00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160 314 210,00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54 654 187,00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659 069 530,00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713 723 717,00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ХЪРВАТИЯ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3 602 880,00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292 734,00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2 702 160,00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2 026 620,00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517 914,00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8 331 660,00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8 849 574,00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ИТАЛИЯ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9 002 000,00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200 481 440,00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16 289 117,00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150 361 080,00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112 770 810,00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37 821 207,00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463 613 330,00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501 434 537,00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КИПЪР</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1 785 920,00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145 106,00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1 339 440,00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1 004 580,00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319 726,00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4 129 940,00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4 449 666,00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ЛАТВИЯ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150 956,00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1 393 440,00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1 045 080,00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316 076,00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4 296 440,00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4 612 516,00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ЛИТВА</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235 001,00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2 169 240,00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1 626 930,00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499 771,00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6 688 490,00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7 188 261,00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ЛЮКСЕМБУРГ</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331 617,00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3 061 080,00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2 295 810,00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775 707,00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9 438 330,00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10 214 037,00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УНГАРИЯ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9 832 960,00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798 928,00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7 374 720,00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5 531 040,00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1 798 488,00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22 738 720,00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24 537 208,00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МАЛТА</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608 160,00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49 413,00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456 120,00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342 090,00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108 423,00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1 406 370,00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1 514 793,00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НИДЕРЛАНДИЯ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76 428 480,00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6 209 814,00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57 321 360,00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42 991 020,00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14 381 594,00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176 740 860,00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191 122 454,00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АВСТРИЯ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1 687 000,00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38 361 120,00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3 116 841,00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28 770 840,00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21 578 130,00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7 201 411,00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88 710 090,00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95 911 501,00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ПОЛША</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32 117 440,00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2 609 542,00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24 088 080,00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18 066 060,00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5 526 882,00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74 271 580,00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79 798 462,00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ПОРТУГАЛИЯ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805 000,00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19 148 640,00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1 555 827,00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14 361 480,00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10 771 110,00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3 557 617,00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44 281 230,00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47 838 847,00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РУМЪНИЯ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11 490 400,00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933 595,00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8 617 800,00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6 463 350,00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1 910 745,00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26 571 550,00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28 482 295,00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СЛОВЕНИЯ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291 876,00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2 694 240,00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2 020 680,00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642 396,00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8 307 240,00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8 949 636,00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СЛОВАКИЯ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6 018 560,00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489 008,00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4 513 920,00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3 385 440,00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1 012 168,00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13 917 920,00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14 930 088,00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ФИНЛАНДИЯ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24 145 440,00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1 961 817,00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18 109 080,00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13 581 810,00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4 499 907,00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55 836 330,00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60 336 237,00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ШВЕЦИЯ</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47 025 760,00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3 820 843,00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35 269 320,00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26 451 990,00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8 677 953,00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108 747 070,00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117 425 023,00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ОБЕДИНЕНОТО КРАЛСТВО</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10 374 000,00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234 857 920,00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19 082 206,00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176 143 440,00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132 107 580,00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44 134 826,00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543 108 940,00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587 243 766,00</w:t>
            </w:r>
          </w:p>
        </w:tc>
      </w:tr>
      <w:tr>
        <w:trPr>
          <w:trHeight w:val="283"/>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ОБЩО ЕС-27 И ОБЕДИНЕНОТО КРАЛСТВО</w:t>
            </w:r>
          </w:p>
        </w:tc>
        <w:tc>
          <w:tcPr>
            <w:tcW w:w="30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9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70 000 000,00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1 600 000 000,00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130 000 000,00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1 200 000 000,00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900 000 000,00</w:t>
            </w:r>
          </w:p>
        </w:tc>
        <w:tc>
          <w:tcPr>
            <w:tcW w:w="397"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452"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3 700 000 000,00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4 000 000 000,00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5.5.</w:t>
      </w:r>
      <w:r>
        <w:tab/>
      </w:r>
      <w:r>
        <w:rPr>
          <w:noProof/>
        </w:rPr>
        <w:t>Приложение 5: Вноски на държавите членки за 2022 г. (в евро)</w:t>
      </w:r>
    </w:p>
    <w:tbl>
      <w:tblPr>
        <w:tblW w:w="5000" w:type="pct"/>
        <w:tblCellMar>
          <w:left w:w="70" w:type="dxa"/>
          <w:right w:w="70" w:type="dxa"/>
        </w:tblCellMar>
        <w:tblLook w:val="04A0" w:firstRow="1" w:lastRow="0" w:firstColumn="1" w:lastColumn="0" w:noHBand="0" w:noVBand="1"/>
      </w:tblPr>
      <w:tblGrid>
        <w:gridCol w:w="3576"/>
        <w:gridCol w:w="1037"/>
        <w:gridCol w:w="1015"/>
        <w:gridCol w:w="1192"/>
        <w:gridCol w:w="1171"/>
        <w:gridCol w:w="1171"/>
        <w:gridCol w:w="1141"/>
        <w:gridCol w:w="1141"/>
        <w:gridCol w:w="1081"/>
        <w:gridCol w:w="1262"/>
        <w:gridCol w:w="1263"/>
      </w:tblGrid>
      <w:tr>
        <w:trPr>
          <w:trHeight w:val="282"/>
        </w:trPr>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ДЪРЖАВИ ЧЛЕНКИ И ОБЕДИНЕНОТО КРАЛСТВО</w:t>
            </w:r>
          </w:p>
        </w:tc>
        <w:tc>
          <w:tcPr>
            <w:tcW w:w="357"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Коефициент за 11-ия ЕФР (%)</w:t>
            </w:r>
          </w:p>
        </w:tc>
        <w:tc>
          <w:tcPr>
            <w:tcW w:w="896"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1-ва част от вноската</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2-ра част от вноската</w:t>
            </w:r>
          </w:p>
        </w:tc>
        <w:tc>
          <w:tcPr>
            <w:tcW w:w="876"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3-та част от вноската</w:t>
            </w:r>
          </w:p>
        </w:tc>
        <w:tc>
          <w:tcPr>
            <w:tcW w:w="41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 ЕИБ</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w:t>
            </w:r>
            <w:r>
              <w:rPr>
                <w:noProof/>
              </w:rPr>
              <w:t xml:space="preserve"> </w:t>
            </w:r>
            <w:r>
              <w:rPr>
                <w:noProof/>
              </w:rPr>
              <w:br/>
            </w:r>
            <w:r>
              <w:rPr>
                <w:rFonts w:ascii="Times New Roman" w:hAnsi="Times New Roman"/>
                <w:b/>
                <w:bCs/>
                <w:noProof/>
                <w:sz w:val="16"/>
                <w:szCs w:val="16"/>
              </w:rPr>
              <w:t>Комисия</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Общо за 2022 г.</w:t>
            </w: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ЕИБ</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7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 ЕФР</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БЕЛГИЯ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35 741 970,00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25 994 160,00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19 495 620,00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9 747 810,00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81 231 750,00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90 979 560,00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БЪЛГАРИЯ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2 403 830,00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1 748 240,00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1 311 180,00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655 590,00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5 463 250,00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6 118 840,00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ЧЕШКА РЕПУБЛИКА</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8 771 950,00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6 379 600,00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4 784 700,00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2 392 350,00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19 936 250,00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22 328 600,00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ДАНИЯ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21 784 950,00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15 843 600,00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11 882 700,00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5 941 350,00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49 511 250,00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55 452 600,00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ГЕРМАНИЯ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226 377 800,00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164 638 400,00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123 478 800,00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61 739 400,00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514 495 000,00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576 234 400,00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ЕСТОНИЯ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949 850,00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690 800,00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518 100,00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259 050,00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2 158 750,00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2 417 800,00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ИРЛАНДИЯ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10 340 660,00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7 520 480,00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5 640 360,00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2 820 180,00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23 501 500,00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26 321 680,00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ГЪРЦИЯ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16 580 850,00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12 058 800,00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9 044 100,00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4 522 050,00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37 683 750,00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42 205 800,00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ИСПАНИЯ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87 257 280,00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63 459 840,00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47 594 880,00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23 797 440,00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198 312 000,00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222 109 440,00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ФРАНЦИЯ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195 939 590,00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142 501 520,00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106 876 140,00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53 438 070,00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445 317 250,00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498 755 320,00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ХЪРВАТИЯ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2 476 980,00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1 801 440,00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1 351 080,00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675 540,00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5 629 500,00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6 305 040,00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ИТАЛИЯ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137 830 990,00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100 240 720,00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75 180 540,00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37 590 270,00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313 252 250,00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350 842 520,00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КИПЪР</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1 227 820,00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892 960,00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669 720,00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334 860,00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2 790 500,00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3 125 360,00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ЛАТВИЯ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1 277 320,00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696 720,00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348 360,00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2 903 000,00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3 251 360,00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ЛИТВА</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1 988 470,00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1 446 160,00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1 084 620,00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542 310,00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4 519 250,00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5 061 560,00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ЛЮКСЕМБУРГ</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2 805 990,00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1 530 540,00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765 270,00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6 377 250,00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7 142 520,00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УНГАРИЯ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6 760 160,00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4 916 480,00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3 687 360,00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1 843 680,00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15 364 000,00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17 207 680,00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МАЛТА</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418 110,00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304 080,00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228 060,00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114 030,00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950 250,00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1 064 280,00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НИДЕРЛАНДИЯ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52 544 580,00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38 214 240,00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28 660 680,00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14 330 340,00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119 419 500,00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133 749 840,00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АВСТРИЯ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26 373 270,00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19 180 560,00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14 385 420,00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7 192 710,00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59 939 250,00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67 131 960,00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ПОЛША</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22 080 740,00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16 058 720,00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12 044 040,00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6 022 020,00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50 183 500,00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56 205 520,00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ПОРТУГАЛИЯ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13 164 690,00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9 574 320,00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7 180 740,00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3 590 370,00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29 919 750,00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33 510 120,00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РУМЪНИЯ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7 899 650,00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5 745 200,00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4 308 900,00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2 154 450,00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17 953 750,00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20 108 200,00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СЛОВЕНИЯ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2 469 720,00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1 796 160,00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1 347 120,00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673 560,00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5 613 000,00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6 286 560,00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СЛОВАКИЯ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4 137 760,00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3 009 280,00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2 256 960,00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1 128 480,00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9 404 000,00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10 532 480,00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ФИНЛАНДИЯ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16 599 990,00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12 072 720,00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9 054 540,00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4 527 270,00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37 727 250,00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42 254 520,00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ШВЕЦИЯ</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32 330 210,00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23 512 880,00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17 634 660,00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8 817 330,00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73 477 750,00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82 295 080,00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ОБЕДИНЕНОТО КРАЛСТВО</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161 464 820,00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117 428 960,00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88 071 720,00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44 035 860,00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366 965 500,00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411 001 360,00</w:t>
            </w:r>
          </w:p>
        </w:tc>
      </w:tr>
      <w:tr>
        <w:trPr>
          <w:trHeight w:val="282"/>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ОБЩО ЕС-27 И ОБЕДИНЕНОТО КРАЛСТВО</w:t>
            </w:r>
          </w:p>
        </w:tc>
        <w:tc>
          <w:tcPr>
            <w:tcW w:w="357"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600 000 000,00</w:t>
            </w:r>
          </w:p>
        </w:tc>
        <w:tc>
          <w:tcPr>
            <w:tcW w:w="41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478"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2 500 000 000,00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2 800 000 000,00</w:t>
            </w:r>
          </w:p>
        </w:tc>
      </w:tr>
    </w:tbl>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5.6.</w:t>
      </w:r>
      <w:r>
        <w:tab/>
      </w:r>
      <w:r>
        <w:rPr>
          <w:noProof/>
        </w:rPr>
        <w:t>Приложение 6: Вноски на държавите членки за 2021—2024 г. (в евро)</w:t>
      </w:r>
    </w:p>
    <w:tbl>
      <w:tblPr>
        <w:tblW w:w="5000" w:type="pct"/>
        <w:tblCellMar>
          <w:left w:w="70" w:type="dxa"/>
          <w:right w:w="70" w:type="dxa"/>
        </w:tblCellMar>
        <w:tblLook w:val="04A0" w:firstRow="1" w:lastRow="0" w:firstColumn="1" w:lastColumn="0" w:noHBand="0" w:noVBand="1"/>
      </w:tblPr>
      <w:tblGrid>
        <w:gridCol w:w="3554"/>
        <w:gridCol w:w="522"/>
        <w:gridCol w:w="661"/>
        <w:gridCol w:w="1507"/>
        <w:gridCol w:w="801"/>
        <w:gridCol w:w="871"/>
        <w:gridCol w:w="1507"/>
        <w:gridCol w:w="871"/>
        <w:gridCol w:w="1507"/>
        <w:gridCol w:w="871"/>
        <w:gridCol w:w="1507"/>
        <w:gridCol w:w="871"/>
      </w:tblGrid>
      <w:tr>
        <w:trPr>
          <w:trHeight w:val="253"/>
        </w:trPr>
        <w:tc>
          <w:tcPr>
            <w:tcW w:w="74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ДЪРЖАВИ ЧЛЕНКИ И ОБЕДИНЕНОТО КРАЛСТВО</w:t>
            </w:r>
          </w:p>
        </w:tc>
        <w:tc>
          <w:tcPr>
            <w:tcW w:w="22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10-и</w:t>
            </w:r>
          </w:p>
        </w:tc>
        <w:tc>
          <w:tcPr>
            <w:tcW w:w="24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11-и</w:t>
            </w:r>
          </w:p>
        </w:tc>
        <w:tc>
          <w:tcPr>
            <w:tcW w:w="1255"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2021</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2022</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2023</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2024</w:t>
            </w:r>
          </w:p>
        </w:tc>
      </w:tr>
      <w:tr>
        <w:trPr>
          <w:trHeight w:val="253"/>
        </w:trPr>
        <w:tc>
          <w:tcPr>
            <w:tcW w:w="741"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2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ЕФР</w:t>
            </w:r>
          </w:p>
        </w:tc>
        <w:tc>
          <w:tcPr>
            <w:tcW w:w="24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ЕФР</w:t>
            </w:r>
          </w:p>
        </w:tc>
        <w:tc>
          <w:tcPr>
            <w:tcW w:w="382" w:type="pct"/>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 11-и ЕФР</w:t>
            </w:r>
          </w:p>
        </w:tc>
        <w:tc>
          <w:tcPr>
            <w:tcW w:w="43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EИБ 10-и ЕФР</w:t>
            </w:r>
          </w:p>
        </w:tc>
        <w:tc>
          <w:tcPr>
            <w:tcW w:w="4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EИБ 11-и ЕФР</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 11-и ЕФР</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EИБ 11-и ЕФР</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 11-и ЕФР</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EИБ 11-и ЕФР</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Комисия 11-и ЕФР</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EИБ 11-и ЕФР</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БЕЛГИЯ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3,53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120 222 990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2 471 000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7 473 321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81 231 750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58 486 860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48 739 050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6 498 540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БЪЛГАРИЯ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8 085 610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502 619</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5 463 250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3 933 540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3 277 950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437 060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ЧЕШКА РЕПУБЛИКА</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29 505 650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1 834 135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19 936 250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14 354 100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11 961 750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1 594 900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ДАНИЯ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73 276 650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4 555 035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49 511 250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35 648 100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29 706 750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3 960 900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ГЕРМАНИЯ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761 452 600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47 333 540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514 495 000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370 436 400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308 697 000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41 159 600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ЕСТОНИЯ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3 194 950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198 605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2 158 750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1 554 300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1 295 250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172 700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ИРЛАНДИЯ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34 782 220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2 162 138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23 501 500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16 921 080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14 100 900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1 880 120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ГЪРЦИЯ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55 771 950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3 466 905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37 683 750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27 132 300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22 610 250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3 014 700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ИСПАНИЯ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293 501 760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18 244 704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198 312 000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142 784 640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118 987 200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15 864 960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ФРАНЦИЯ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659 069 530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13 685 000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40 969 187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445 317 250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320 628 420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267 190 350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35 625 380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ХЪРВАТИЯ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8 331 660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517 914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5 629 500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4 053 240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3 377 700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450 360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ИТАЛИЯ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463 613 330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9 002 000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28 819 207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313 252 250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225 541 620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187 951 350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25 060 180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КИПЪР</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0,09</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4 129 940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256 726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2 790 500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2 009 160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223 240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ЛАТВИЯ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4 296 440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267 076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2 903 000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2 090 160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1 741 800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232 240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ЛИТВА</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6 688 490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415 771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4 519 250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3 253 860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2 711 550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361 540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ЛЮКСЕМБУРГ</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9 438 330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586 707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6 377 250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4 591 620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3 826 350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УНГАРИЯ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22 738 720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1 413 488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15 364 000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11 062 080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9 218 400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1 229 120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МАЛТА</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1 406 370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87 423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950 250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684 180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570 150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76 020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НИДЕРЛАНДИЯ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176 740 860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10 986 594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119 419 500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85 982 040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71 651 700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9 553 560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АВСТРИЯ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2,41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88 710 090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1 687 000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5 514 411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59 939 250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43 156 260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35 963 550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4 795 140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ПОЛША</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1,30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74 271 580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4 616 882</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50 183 500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36 132 120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30 110 100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4 014 680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ПОРТУГАЛИЯ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44 281 230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805 000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2 752 617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29 919 750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21 542 220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17 951 850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2 393 580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РУМЪНИЯ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26 571 550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1 651 745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12 926 700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1 436 300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СЛОВЕНИЯ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8 307 240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126 000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516 396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5 613 000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4 041 360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3 367 800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449 040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СЛОВАКИЯ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13 917 920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865 168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9 404 000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6 770 880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5 642 400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752 320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ФИНЛАНДИЯ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55 836 330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3 470 907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37 727 250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27 163 620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22 636 350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3 018 180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ШВЕЦИЯ</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2,74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108 747 070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1 918 000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6 759 953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73 477 750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52 903 980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44 086 650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5 878 220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ОБЕДИНЕНОТО КРАЛСТВО</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543 108 940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10 374 000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33 760 826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366 965 500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264 215 160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220 179 300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29 357 240</w:t>
            </w:r>
          </w:p>
        </w:tc>
      </w:tr>
      <w:tr>
        <w:trPr>
          <w:trHeight w:val="253"/>
        </w:trPr>
        <w:tc>
          <w:tcPr>
            <w:tcW w:w="741"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ОБЩО ЕС-27 И ОБЕДИНЕНОТО КРАЛСТВО</w:t>
            </w:r>
          </w:p>
        </w:tc>
        <w:tc>
          <w:tcPr>
            <w:tcW w:w="22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4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82"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w:t>
            </w:r>
          </w:p>
        </w:tc>
        <w:tc>
          <w:tcPr>
            <w:tcW w:w="43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70 000 000</w:t>
            </w:r>
          </w:p>
        </w:tc>
        <w:tc>
          <w:tcPr>
            <w:tcW w:w="44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230 000 000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1 800 000 000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200 000 000</w:t>
            </w:r>
          </w:p>
        </w:tc>
      </w:tr>
      <w:tr>
        <w:trPr>
          <w:trHeight w:val="253"/>
        </w:trPr>
        <w:tc>
          <w:tcPr>
            <w:tcW w:w="741"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 </w:t>
            </w:r>
          </w:p>
        </w:tc>
        <w:tc>
          <w:tcPr>
            <w:tcW w:w="22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xml:space="preserve"> </w:t>
            </w:r>
          </w:p>
        </w:tc>
        <w:tc>
          <w:tcPr>
            <w:tcW w:w="24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xml:space="preserve"> </w:t>
            </w:r>
          </w:p>
        </w:tc>
        <w:tc>
          <w:tcPr>
            <w:tcW w:w="1255" w:type="pct"/>
            <w:gridSpan w:val="3"/>
            <w:tcBorders>
              <w:top w:val="nil"/>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4 000 000 000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2 800 000 000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2 100 000 000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1 700 000 000</w:t>
            </w:r>
          </w:p>
        </w:tc>
      </w:tr>
    </w:tbl>
    <w:p>
      <w:pPr>
        <w:rPr>
          <w:noProof/>
        </w:rPr>
      </w:pPr>
    </w:p>
    <w:p>
      <w:pPr>
        <w:pStyle w:val="ManualHeading2"/>
        <w:rPr>
          <w:noProof/>
          <w:sz w:val="2"/>
        </w:rPr>
      </w:pPr>
      <w:r>
        <w:t>5.7.</w:t>
      </w:r>
      <w:r>
        <w:tab/>
      </w: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425" w:right="964" w:bottom="964" w:left="96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143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rPr>
        <w:lang w:val="en-I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В настоящия документ се вземат предвид членове 152 и 153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 които предвиждат, че Обединеното кралство остава страна по ЕФР до приключването на 11-ия ЕФР и до всички предходни неприключени ЕФР. Въпреки това делът на Обединеното кралство в отменените средства от проекти по 10-ия ЕФР или предходни ЕФР не може да се използва повторно.</w:t>
      </w:r>
    </w:p>
  </w:footnote>
  <w:footnote w:id="2">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1—14).</w:t>
      </w:r>
    </w:p>
  </w:footnote>
  <w:footnote w:id="3">
    <w:p>
      <w:pPr>
        <w:pStyle w:val="FootnoteText"/>
      </w:pPr>
      <w:r>
        <w:rPr>
          <w:rStyle w:val="FootnoteReference"/>
        </w:rPr>
        <w:footnoteRef/>
      </w:r>
      <w:r>
        <w:tab/>
        <w:t>Регламент (ЕС) 2018/1877 на Съвета от 26 ноември 2018 г. относно финансовия регламент, приложим за 11-ия Европейски фонд за развитие (ОВ L 307, 3.12.2018 г., стр. 1—21).</w:t>
      </w:r>
    </w:p>
  </w:footnote>
  <w:footnote w:id="4">
    <w:p>
      <w:pPr>
        <w:pStyle w:val="FootnoteText"/>
      </w:pPr>
      <w:r>
        <w:rPr>
          <w:rStyle w:val="FootnoteReference"/>
        </w:rPr>
        <w:footnoteRef/>
      </w:r>
      <w:r>
        <w:tab/>
        <w:t>ОВ L 210, 6.8.2013 г.</w:t>
      </w:r>
    </w:p>
  </w:footnote>
  <w:footnote w:id="5">
    <w:p>
      <w:pPr>
        <w:pStyle w:val="FootnoteText"/>
      </w:pPr>
      <w:r>
        <w:rPr>
          <w:rStyle w:val="FootnoteReference"/>
        </w:rPr>
        <w:footnoteRef/>
      </w:r>
      <w:r>
        <w:tab/>
        <w:t>ОВ L 307, 3.12.2018 г.</w:t>
      </w:r>
    </w:p>
  </w:footnote>
  <w:footnote w:id="6">
    <w:p>
      <w:pPr>
        <w:pStyle w:val="FootnoteText"/>
      </w:pPr>
      <w:r>
        <w:rPr>
          <w:rStyle w:val="FootnoteReference"/>
        </w:rPr>
        <w:footnoteRef/>
      </w:r>
      <w:r>
        <w:tab/>
        <w:t>Брутни поети задължения, т.е. без да са приспаднати отменените бюджетни кредити.</w:t>
      </w:r>
    </w:p>
  </w:footnote>
  <w:footnote w:id="7">
    <w:p>
      <w:pPr>
        <w:pStyle w:val="FootnoteText"/>
      </w:pPr>
      <w:r>
        <w:rPr>
          <w:rStyle w:val="FootnoteReference"/>
        </w:rPr>
        <w:footnoteRef/>
      </w:r>
      <w:r>
        <w:tab/>
        <w:t>Брутни плащания, т.е. без да са приспаднати събиранията.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32EAA1-CF55-41F7-B73C-B5BD3A01E337"/>
    <w:docVar w:name="LW_COVERPAGE_TYPE" w:val="1"/>
    <w:docVar w:name="LW_CROSSREFERENCE" w:val="&lt;UNUSED&gt;"/>
    <w:docVar w:name="LW_DocType" w:val="NORMAL"/>
    <w:docVar w:name="LW_EMISSION" w:val="8.10.2020"/>
    <w:docVar w:name="LW_EMISSION_ISODATE" w:val="2020-10-08"/>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60?\u1080?\u1085?\u1072?\u1085?\u1089?\u1086?\u1074?\u1072? \u1080?\u1085?\u1092?\u1086?\u1088?\u1084?\u1072?\u1094?\u1080?\u1103? \u1086?\u1090?\u1085?\u1086?\u1089?\u1085?\u1086? \u1045?\u1074?\u1088?\u1086?\u1087?\u1077?\u1081?\u1089?\u1082?\u1080?\u1103? \u1092?\u1086?\u1085?\u1076? \u1079?\u1072? \u1088?\u1072?\u1079?\u1074?\u1080?\u1090?\u1080?\u1077?_x000d__x000d__x000d__x000d__x000b__x000d__x000d__x000d__x000d__x000b_\u1045?\u1074?\u1088?\u1086?\u1087?\u1077?\u1081?\u1089?\u1082?\u1080? \u1092?\u1086?\u1085?\u1076? \u1079?\u1072? \u1088?\u1072?\u1079?\u1074?\u1080?\u1090?\u1080?\u1077? (\u1045?\u1060?\u1056?): \u1087?\u1088?\u1086?\u1075?\u1085?\u1086?\u1079?\u1080? \u1079?\u1072? \u1087?\u1086?\u1077?\u1090?\u1080?\u1090?\u1077? \u1079?\u1072?\u1076?\u1098?\u1083?\u1078?\u1077?\u1085?\u1080?\u1103?, \u1087?\u1083?\u1072?\u1097?\u1072?\u1085?\u1080?\u1103?\u1090?\u1072? \u1080? \u1074?\u1085?\u1086?\u1089?\u1082?\u1080?\u1090?\u1077? \u1086?\u1090? \u1076?\u1098?\u1088?\u1078?\u1072?\u1074?\u1080?\u1090?\u1077? \u1095?\u1083?\u1077?\u1085?\u1082?\u1080? \u1079?\u1072? 2020 \u1075?., 2021 \u1075?. \u1080? 2022 \u1075?. \u1080? \u1085?\u1077?\u1086?\u1073?\u1074?\u1098?\u1088?\u1079?\u1074?\u1072?\u1097?\u1072? \u1087?\u1088?\u1086?\u1075?\u1085?\u1086?\u1079?\u1072? \u1079?\u1072? 2023\u8212?2024 \u1075?."/>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0271">
      <w:bodyDiv w:val="1"/>
      <w:marLeft w:val="0"/>
      <w:marRight w:val="0"/>
      <w:marTop w:val="0"/>
      <w:marBottom w:val="0"/>
      <w:divBdr>
        <w:top w:val="none" w:sz="0" w:space="0" w:color="auto"/>
        <w:left w:val="none" w:sz="0" w:space="0" w:color="auto"/>
        <w:bottom w:val="none" w:sz="0" w:space="0" w:color="auto"/>
        <w:right w:val="none" w:sz="0" w:space="0" w:color="auto"/>
      </w:divBdr>
    </w:div>
    <w:div w:id="215900915">
      <w:bodyDiv w:val="1"/>
      <w:marLeft w:val="0"/>
      <w:marRight w:val="0"/>
      <w:marTop w:val="0"/>
      <w:marBottom w:val="0"/>
      <w:divBdr>
        <w:top w:val="none" w:sz="0" w:space="0" w:color="auto"/>
        <w:left w:val="none" w:sz="0" w:space="0" w:color="auto"/>
        <w:bottom w:val="none" w:sz="0" w:space="0" w:color="auto"/>
        <w:right w:val="none" w:sz="0" w:space="0" w:color="auto"/>
      </w:divBdr>
    </w:div>
    <w:div w:id="279265933">
      <w:bodyDiv w:val="1"/>
      <w:marLeft w:val="0"/>
      <w:marRight w:val="0"/>
      <w:marTop w:val="0"/>
      <w:marBottom w:val="0"/>
      <w:divBdr>
        <w:top w:val="none" w:sz="0" w:space="0" w:color="auto"/>
        <w:left w:val="none" w:sz="0" w:space="0" w:color="auto"/>
        <w:bottom w:val="none" w:sz="0" w:space="0" w:color="auto"/>
        <w:right w:val="none" w:sz="0" w:space="0" w:color="auto"/>
      </w:divBdr>
    </w:div>
    <w:div w:id="312488378">
      <w:bodyDiv w:val="1"/>
      <w:marLeft w:val="0"/>
      <w:marRight w:val="0"/>
      <w:marTop w:val="0"/>
      <w:marBottom w:val="0"/>
      <w:divBdr>
        <w:top w:val="none" w:sz="0" w:space="0" w:color="auto"/>
        <w:left w:val="none" w:sz="0" w:space="0" w:color="auto"/>
        <w:bottom w:val="none" w:sz="0" w:space="0" w:color="auto"/>
        <w:right w:val="none" w:sz="0" w:space="0" w:color="auto"/>
      </w:divBdr>
    </w:div>
    <w:div w:id="347414188">
      <w:bodyDiv w:val="1"/>
      <w:marLeft w:val="0"/>
      <w:marRight w:val="0"/>
      <w:marTop w:val="0"/>
      <w:marBottom w:val="0"/>
      <w:divBdr>
        <w:top w:val="none" w:sz="0" w:space="0" w:color="auto"/>
        <w:left w:val="none" w:sz="0" w:space="0" w:color="auto"/>
        <w:bottom w:val="none" w:sz="0" w:space="0" w:color="auto"/>
        <w:right w:val="none" w:sz="0" w:space="0" w:color="auto"/>
      </w:divBdr>
    </w:div>
    <w:div w:id="397554431">
      <w:bodyDiv w:val="1"/>
      <w:marLeft w:val="0"/>
      <w:marRight w:val="0"/>
      <w:marTop w:val="0"/>
      <w:marBottom w:val="0"/>
      <w:divBdr>
        <w:top w:val="none" w:sz="0" w:space="0" w:color="auto"/>
        <w:left w:val="none" w:sz="0" w:space="0" w:color="auto"/>
        <w:bottom w:val="none" w:sz="0" w:space="0" w:color="auto"/>
        <w:right w:val="none" w:sz="0" w:space="0" w:color="auto"/>
      </w:divBdr>
    </w:div>
    <w:div w:id="441459597">
      <w:bodyDiv w:val="1"/>
      <w:marLeft w:val="0"/>
      <w:marRight w:val="0"/>
      <w:marTop w:val="0"/>
      <w:marBottom w:val="0"/>
      <w:divBdr>
        <w:top w:val="none" w:sz="0" w:space="0" w:color="auto"/>
        <w:left w:val="none" w:sz="0" w:space="0" w:color="auto"/>
        <w:bottom w:val="none" w:sz="0" w:space="0" w:color="auto"/>
        <w:right w:val="none" w:sz="0" w:space="0" w:color="auto"/>
      </w:divBdr>
    </w:div>
    <w:div w:id="497959923">
      <w:bodyDiv w:val="1"/>
      <w:marLeft w:val="0"/>
      <w:marRight w:val="0"/>
      <w:marTop w:val="0"/>
      <w:marBottom w:val="0"/>
      <w:divBdr>
        <w:top w:val="none" w:sz="0" w:space="0" w:color="auto"/>
        <w:left w:val="none" w:sz="0" w:space="0" w:color="auto"/>
        <w:bottom w:val="none" w:sz="0" w:space="0" w:color="auto"/>
        <w:right w:val="none" w:sz="0" w:space="0" w:color="auto"/>
      </w:divBdr>
    </w:div>
    <w:div w:id="557059689">
      <w:bodyDiv w:val="1"/>
      <w:marLeft w:val="0"/>
      <w:marRight w:val="0"/>
      <w:marTop w:val="0"/>
      <w:marBottom w:val="0"/>
      <w:divBdr>
        <w:top w:val="none" w:sz="0" w:space="0" w:color="auto"/>
        <w:left w:val="none" w:sz="0" w:space="0" w:color="auto"/>
        <w:bottom w:val="none" w:sz="0" w:space="0" w:color="auto"/>
        <w:right w:val="none" w:sz="0" w:space="0" w:color="auto"/>
      </w:divBdr>
    </w:div>
    <w:div w:id="662197814">
      <w:bodyDiv w:val="1"/>
      <w:marLeft w:val="0"/>
      <w:marRight w:val="0"/>
      <w:marTop w:val="0"/>
      <w:marBottom w:val="0"/>
      <w:divBdr>
        <w:top w:val="none" w:sz="0" w:space="0" w:color="auto"/>
        <w:left w:val="none" w:sz="0" w:space="0" w:color="auto"/>
        <w:bottom w:val="none" w:sz="0" w:space="0" w:color="auto"/>
        <w:right w:val="none" w:sz="0" w:space="0" w:color="auto"/>
      </w:divBdr>
    </w:div>
    <w:div w:id="716661632">
      <w:bodyDiv w:val="1"/>
      <w:marLeft w:val="0"/>
      <w:marRight w:val="0"/>
      <w:marTop w:val="0"/>
      <w:marBottom w:val="0"/>
      <w:divBdr>
        <w:top w:val="none" w:sz="0" w:space="0" w:color="auto"/>
        <w:left w:val="none" w:sz="0" w:space="0" w:color="auto"/>
        <w:bottom w:val="none" w:sz="0" w:space="0" w:color="auto"/>
        <w:right w:val="none" w:sz="0" w:space="0" w:color="auto"/>
      </w:divBdr>
    </w:div>
    <w:div w:id="752627298">
      <w:bodyDiv w:val="1"/>
      <w:marLeft w:val="0"/>
      <w:marRight w:val="0"/>
      <w:marTop w:val="0"/>
      <w:marBottom w:val="0"/>
      <w:divBdr>
        <w:top w:val="none" w:sz="0" w:space="0" w:color="auto"/>
        <w:left w:val="none" w:sz="0" w:space="0" w:color="auto"/>
        <w:bottom w:val="none" w:sz="0" w:space="0" w:color="auto"/>
        <w:right w:val="none" w:sz="0" w:space="0" w:color="auto"/>
      </w:divBdr>
    </w:div>
    <w:div w:id="879515288">
      <w:bodyDiv w:val="1"/>
      <w:marLeft w:val="0"/>
      <w:marRight w:val="0"/>
      <w:marTop w:val="0"/>
      <w:marBottom w:val="0"/>
      <w:divBdr>
        <w:top w:val="none" w:sz="0" w:space="0" w:color="auto"/>
        <w:left w:val="none" w:sz="0" w:space="0" w:color="auto"/>
        <w:bottom w:val="none" w:sz="0" w:space="0" w:color="auto"/>
        <w:right w:val="none" w:sz="0" w:space="0" w:color="auto"/>
      </w:divBdr>
    </w:div>
    <w:div w:id="942687507">
      <w:bodyDiv w:val="1"/>
      <w:marLeft w:val="0"/>
      <w:marRight w:val="0"/>
      <w:marTop w:val="0"/>
      <w:marBottom w:val="0"/>
      <w:divBdr>
        <w:top w:val="none" w:sz="0" w:space="0" w:color="auto"/>
        <w:left w:val="none" w:sz="0" w:space="0" w:color="auto"/>
        <w:bottom w:val="none" w:sz="0" w:space="0" w:color="auto"/>
        <w:right w:val="none" w:sz="0" w:space="0" w:color="auto"/>
      </w:divBdr>
    </w:div>
    <w:div w:id="955991577">
      <w:bodyDiv w:val="1"/>
      <w:marLeft w:val="0"/>
      <w:marRight w:val="0"/>
      <w:marTop w:val="0"/>
      <w:marBottom w:val="0"/>
      <w:divBdr>
        <w:top w:val="none" w:sz="0" w:space="0" w:color="auto"/>
        <w:left w:val="none" w:sz="0" w:space="0" w:color="auto"/>
        <w:bottom w:val="none" w:sz="0" w:space="0" w:color="auto"/>
        <w:right w:val="none" w:sz="0" w:space="0" w:color="auto"/>
      </w:divBdr>
    </w:div>
    <w:div w:id="965238010">
      <w:bodyDiv w:val="1"/>
      <w:marLeft w:val="0"/>
      <w:marRight w:val="0"/>
      <w:marTop w:val="0"/>
      <w:marBottom w:val="0"/>
      <w:divBdr>
        <w:top w:val="none" w:sz="0" w:space="0" w:color="auto"/>
        <w:left w:val="none" w:sz="0" w:space="0" w:color="auto"/>
        <w:bottom w:val="none" w:sz="0" w:space="0" w:color="auto"/>
        <w:right w:val="none" w:sz="0" w:space="0" w:color="auto"/>
      </w:divBdr>
    </w:div>
    <w:div w:id="1088118098">
      <w:bodyDiv w:val="1"/>
      <w:marLeft w:val="0"/>
      <w:marRight w:val="0"/>
      <w:marTop w:val="0"/>
      <w:marBottom w:val="0"/>
      <w:divBdr>
        <w:top w:val="none" w:sz="0" w:space="0" w:color="auto"/>
        <w:left w:val="none" w:sz="0" w:space="0" w:color="auto"/>
        <w:bottom w:val="none" w:sz="0" w:space="0" w:color="auto"/>
        <w:right w:val="none" w:sz="0" w:space="0" w:color="auto"/>
      </w:divBdr>
    </w:div>
    <w:div w:id="1137844262">
      <w:bodyDiv w:val="1"/>
      <w:marLeft w:val="0"/>
      <w:marRight w:val="0"/>
      <w:marTop w:val="0"/>
      <w:marBottom w:val="0"/>
      <w:divBdr>
        <w:top w:val="none" w:sz="0" w:space="0" w:color="auto"/>
        <w:left w:val="none" w:sz="0" w:space="0" w:color="auto"/>
        <w:bottom w:val="none" w:sz="0" w:space="0" w:color="auto"/>
        <w:right w:val="none" w:sz="0" w:space="0" w:color="auto"/>
      </w:divBdr>
    </w:div>
    <w:div w:id="1201164825">
      <w:bodyDiv w:val="1"/>
      <w:marLeft w:val="0"/>
      <w:marRight w:val="0"/>
      <w:marTop w:val="0"/>
      <w:marBottom w:val="0"/>
      <w:divBdr>
        <w:top w:val="none" w:sz="0" w:space="0" w:color="auto"/>
        <w:left w:val="none" w:sz="0" w:space="0" w:color="auto"/>
        <w:bottom w:val="none" w:sz="0" w:space="0" w:color="auto"/>
        <w:right w:val="none" w:sz="0" w:space="0" w:color="auto"/>
      </w:divBdr>
    </w:div>
    <w:div w:id="1291471401">
      <w:bodyDiv w:val="1"/>
      <w:marLeft w:val="0"/>
      <w:marRight w:val="0"/>
      <w:marTop w:val="0"/>
      <w:marBottom w:val="0"/>
      <w:divBdr>
        <w:top w:val="none" w:sz="0" w:space="0" w:color="auto"/>
        <w:left w:val="none" w:sz="0" w:space="0" w:color="auto"/>
        <w:bottom w:val="none" w:sz="0" w:space="0" w:color="auto"/>
        <w:right w:val="none" w:sz="0" w:space="0" w:color="auto"/>
      </w:divBdr>
    </w:div>
    <w:div w:id="1386179424">
      <w:bodyDiv w:val="1"/>
      <w:marLeft w:val="0"/>
      <w:marRight w:val="0"/>
      <w:marTop w:val="0"/>
      <w:marBottom w:val="0"/>
      <w:divBdr>
        <w:top w:val="none" w:sz="0" w:space="0" w:color="auto"/>
        <w:left w:val="none" w:sz="0" w:space="0" w:color="auto"/>
        <w:bottom w:val="none" w:sz="0" w:space="0" w:color="auto"/>
        <w:right w:val="none" w:sz="0" w:space="0" w:color="auto"/>
      </w:divBdr>
    </w:div>
    <w:div w:id="1572545575">
      <w:bodyDiv w:val="1"/>
      <w:marLeft w:val="0"/>
      <w:marRight w:val="0"/>
      <w:marTop w:val="0"/>
      <w:marBottom w:val="0"/>
      <w:divBdr>
        <w:top w:val="none" w:sz="0" w:space="0" w:color="auto"/>
        <w:left w:val="none" w:sz="0" w:space="0" w:color="auto"/>
        <w:bottom w:val="none" w:sz="0" w:space="0" w:color="auto"/>
        <w:right w:val="none" w:sz="0" w:space="0" w:color="auto"/>
      </w:divBdr>
    </w:div>
    <w:div w:id="1614824430">
      <w:bodyDiv w:val="1"/>
      <w:marLeft w:val="0"/>
      <w:marRight w:val="0"/>
      <w:marTop w:val="0"/>
      <w:marBottom w:val="0"/>
      <w:divBdr>
        <w:top w:val="none" w:sz="0" w:space="0" w:color="auto"/>
        <w:left w:val="none" w:sz="0" w:space="0" w:color="auto"/>
        <w:bottom w:val="none" w:sz="0" w:space="0" w:color="auto"/>
        <w:right w:val="none" w:sz="0" w:space="0" w:color="auto"/>
      </w:divBdr>
    </w:div>
    <w:div w:id="1692998052">
      <w:bodyDiv w:val="1"/>
      <w:marLeft w:val="0"/>
      <w:marRight w:val="0"/>
      <w:marTop w:val="0"/>
      <w:marBottom w:val="0"/>
      <w:divBdr>
        <w:top w:val="none" w:sz="0" w:space="0" w:color="auto"/>
        <w:left w:val="none" w:sz="0" w:space="0" w:color="auto"/>
        <w:bottom w:val="none" w:sz="0" w:space="0" w:color="auto"/>
        <w:right w:val="none" w:sz="0" w:space="0" w:color="auto"/>
      </w:divBdr>
    </w:div>
    <w:div w:id="1709335702">
      <w:bodyDiv w:val="1"/>
      <w:marLeft w:val="0"/>
      <w:marRight w:val="0"/>
      <w:marTop w:val="0"/>
      <w:marBottom w:val="0"/>
      <w:divBdr>
        <w:top w:val="none" w:sz="0" w:space="0" w:color="auto"/>
        <w:left w:val="none" w:sz="0" w:space="0" w:color="auto"/>
        <w:bottom w:val="none" w:sz="0" w:space="0" w:color="auto"/>
        <w:right w:val="none" w:sz="0" w:space="0" w:color="auto"/>
      </w:divBdr>
    </w:div>
    <w:div w:id="1731034527">
      <w:bodyDiv w:val="1"/>
      <w:marLeft w:val="0"/>
      <w:marRight w:val="0"/>
      <w:marTop w:val="0"/>
      <w:marBottom w:val="0"/>
      <w:divBdr>
        <w:top w:val="none" w:sz="0" w:space="0" w:color="auto"/>
        <w:left w:val="none" w:sz="0" w:space="0" w:color="auto"/>
        <w:bottom w:val="none" w:sz="0" w:space="0" w:color="auto"/>
        <w:right w:val="none" w:sz="0" w:space="0" w:color="auto"/>
      </w:divBdr>
    </w:div>
    <w:div w:id="1971158545">
      <w:bodyDiv w:val="1"/>
      <w:marLeft w:val="0"/>
      <w:marRight w:val="0"/>
      <w:marTop w:val="0"/>
      <w:marBottom w:val="0"/>
      <w:divBdr>
        <w:top w:val="none" w:sz="0" w:space="0" w:color="auto"/>
        <w:left w:val="none" w:sz="0" w:space="0" w:color="auto"/>
        <w:bottom w:val="none" w:sz="0" w:space="0" w:color="auto"/>
        <w:right w:val="none" w:sz="0" w:space="0" w:color="auto"/>
      </w:divBdr>
    </w:div>
    <w:div w:id="1971940374">
      <w:bodyDiv w:val="1"/>
      <w:marLeft w:val="0"/>
      <w:marRight w:val="0"/>
      <w:marTop w:val="0"/>
      <w:marBottom w:val="0"/>
      <w:divBdr>
        <w:top w:val="none" w:sz="0" w:space="0" w:color="auto"/>
        <w:left w:val="none" w:sz="0" w:space="0" w:color="auto"/>
        <w:bottom w:val="none" w:sz="0" w:space="0" w:color="auto"/>
        <w:right w:val="none" w:sz="0" w:space="0" w:color="auto"/>
      </w:divBdr>
    </w:div>
    <w:div w:id="2004430804">
      <w:bodyDiv w:val="1"/>
      <w:marLeft w:val="0"/>
      <w:marRight w:val="0"/>
      <w:marTop w:val="0"/>
      <w:marBottom w:val="0"/>
      <w:divBdr>
        <w:top w:val="none" w:sz="0" w:space="0" w:color="auto"/>
        <w:left w:val="none" w:sz="0" w:space="0" w:color="auto"/>
        <w:bottom w:val="none" w:sz="0" w:space="0" w:color="auto"/>
        <w:right w:val="none" w:sz="0" w:space="0" w:color="auto"/>
      </w:divBdr>
    </w:div>
    <w:div w:id="2024018075">
      <w:bodyDiv w:val="1"/>
      <w:marLeft w:val="0"/>
      <w:marRight w:val="0"/>
      <w:marTop w:val="0"/>
      <w:marBottom w:val="0"/>
      <w:divBdr>
        <w:top w:val="none" w:sz="0" w:space="0" w:color="auto"/>
        <w:left w:val="none" w:sz="0" w:space="0" w:color="auto"/>
        <w:bottom w:val="none" w:sz="0" w:space="0" w:color="auto"/>
        <w:right w:val="none" w:sz="0" w:space="0" w:color="auto"/>
      </w:divBdr>
    </w:div>
    <w:div w:id="2114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B50AC0-A164-4DCA-A5ED-AE8835D8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4917</Words>
  <Characters>19917</Characters>
  <Application>Microsoft Office Word</Application>
  <DocSecurity>0</DocSecurity>
  <Lines>2213</Lines>
  <Paragraphs>1910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35</cp:revision>
  <dcterms:created xsi:type="dcterms:W3CDTF">2020-09-14T07:55:00Z</dcterms:created>
  <dcterms:modified xsi:type="dcterms:W3CDTF">2020-10-07T16:38:00Z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 Build 20190717</vt:lpwstr>
  </property>
</Properties>
</file>