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F044220-7963-4578-9601-6B0BD431BEC9" style="width:450.8pt;height:40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2018/0322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за изменение на Регламент (ЕС) № 1303/2013 за адаптиране на равнището на годишното предварително финансиране за периода 2021—2023 г.</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912"/>
        <w:gridCol w:w="2375"/>
      </w:tblGrid>
      <w:tr>
        <w:tc>
          <w:tcPr>
            <w:tcW w:w="6912" w:type="dxa"/>
          </w:tcPr>
          <w:p>
            <w:pPr>
              <w:jc w:val="left"/>
              <w:rPr>
                <w:noProof/>
              </w:rPr>
            </w:pPr>
            <w:r>
              <w:rPr>
                <w:noProof/>
              </w:rPr>
              <w:t>Дата на предаване на предложението на Европейския парламент и на Съвета (документ COM(2018) 614 final — 2018/0322 (COD):</w:t>
            </w:r>
          </w:p>
        </w:tc>
        <w:tc>
          <w:tcPr>
            <w:tcW w:w="2375" w:type="dxa"/>
          </w:tcPr>
          <w:p>
            <w:pPr>
              <w:jc w:val="left"/>
              <w:rPr>
                <w:noProof/>
              </w:rPr>
            </w:pPr>
            <w:r>
              <w:rPr>
                <w:noProof/>
              </w:rPr>
              <w:t>7.9.2018 г.</w:t>
            </w:r>
          </w:p>
        </w:tc>
      </w:tr>
      <w:tr>
        <w:tc>
          <w:tcPr>
            <w:tcW w:w="6912" w:type="dxa"/>
          </w:tcPr>
          <w:p>
            <w:pPr>
              <w:rPr>
                <w:noProof/>
              </w:rPr>
            </w:pPr>
            <w:r>
              <w:rPr>
                <w:noProof/>
              </w:rPr>
              <w:t>Дата на позицията на Европейския парламент на първо четене:</w:t>
            </w:r>
          </w:p>
        </w:tc>
        <w:tc>
          <w:tcPr>
            <w:tcW w:w="2375" w:type="dxa"/>
          </w:tcPr>
          <w:p>
            <w:pPr>
              <w:jc w:val="left"/>
              <w:rPr>
                <w:noProof/>
              </w:rPr>
            </w:pPr>
            <w:r>
              <w:rPr>
                <w:noProof/>
              </w:rPr>
              <w:t>4.4.2019 г.</w:t>
            </w:r>
          </w:p>
        </w:tc>
      </w:tr>
      <w:tr>
        <w:tc>
          <w:tcPr>
            <w:tcW w:w="6912" w:type="dxa"/>
          </w:tcPr>
          <w:p>
            <w:pPr>
              <w:rPr>
                <w:noProof/>
              </w:rPr>
            </w:pPr>
            <w:r>
              <w:rPr>
                <w:noProof/>
              </w:rPr>
              <w:t>Дата на приемане на позицията на Съвета:</w:t>
            </w:r>
          </w:p>
        </w:tc>
        <w:tc>
          <w:tcPr>
            <w:tcW w:w="2375" w:type="dxa"/>
          </w:tcPr>
          <w:p>
            <w:pPr>
              <w:jc w:val="left"/>
              <w:rPr>
                <w:noProof/>
              </w:rPr>
            </w:pPr>
            <w:r>
              <w:rPr>
                <w:noProof/>
              </w:rPr>
              <w:t>7.10.2020 г.</w:t>
            </w:r>
          </w:p>
        </w:tc>
      </w:tr>
    </w:tbl>
    <w:p>
      <w:pPr>
        <w:pStyle w:val="ManualHeading1"/>
        <w:rPr>
          <w:noProof/>
        </w:rPr>
      </w:pPr>
      <w:r>
        <w:rPr>
          <w:noProof/>
        </w:rPr>
        <w:t>2.</w:t>
      </w:r>
      <w:r>
        <w:rPr>
          <w:noProof/>
        </w:rPr>
        <w:tab/>
        <w:t>Цел на предложението на Комисията</w:t>
      </w:r>
    </w:p>
    <w:p>
      <w:pPr>
        <w:rPr>
          <w:noProof/>
          <w:sz w:val="23"/>
          <w:szCs w:val="23"/>
        </w:rPr>
      </w:pPr>
      <w:r>
        <w:rPr>
          <w:noProof/>
          <w:sz w:val="23"/>
          <w:szCs w:val="23"/>
        </w:rPr>
        <w:t>Целта на предложението на Комисията бе да се намалят равнищата на годишно предварително финансиране от сегашните 3 % на 1 % за годините 2021—2023 от програмния период 2014—2020 г.  Предложението бе насочено към постигане на по-голяма прозрачност, по-предсказуемо бюджетно планиране и по-стабилен и предвидим профил на плащанията. Предложено бе намалението да обхване трите последни години от настоящия програмен период (2021—2023 г.), които се припокриват със следващия програмен период, започващ през 2021 г. При този подход бяха отчетени нуждите от плащания, произтичащи от споразуменията за предварително финансиране, предложени за програмите за периода 2021—2027 г., по които ще бъде изплатено само първоначалното предварително финансиране на шест годишни транша.</w:t>
      </w:r>
    </w:p>
    <w:p>
      <w:pPr>
        <w:pStyle w:val="ManualHeading1"/>
        <w:rPr>
          <w:noProof/>
        </w:rPr>
      </w:pPr>
      <w:r>
        <w:rPr>
          <w:noProof/>
        </w:rPr>
        <w:t>3.</w:t>
      </w:r>
      <w:r>
        <w:rPr>
          <w:noProof/>
        </w:rPr>
        <w:tab/>
        <w:t>Коментари относно позициите на Европейския икономически и социален комитет и на Комитета на регионите</w:t>
      </w:r>
    </w:p>
    <w:p>
      <w:pPr>
        <w:pStyle w:val="Text1"/>
        <w:ind w:left="0"/>
        <w:rPr>
          <w:noProof/>
        </w:rPr>
      </w:pPr>
      <w:r>
        <w:rPr>
          <w:noProof/>
        </w:rPr>
        <w:t>ЕИСК (докладчик: г-н Doz Orrit) прие своето становище по време на пленарното заседание, проведено на 23 и 24 януари 2019 г., като отхвърли предложението на Комисията. На този етап Комисията запази първоначалното си предложение. Комитетът на регионите не излезе със становище по предложението.</w:t>
      </w:r>
    </w:p>
    <w:p>
      <w:pPr>
        <w:pStyle w:val="ManualHeading1"/>
        <w:rPr>
          <w:noProof/>
        </w:rPr>
      </w:pPr>
      <w:r>
        <w:rPr>
          <w:noProof/>
        </w:rPr>
        <w:t>4.</w:t>
      </w:r>
      <w:r>
        <w:rPr>
          <w:noProof/>
        </w:rPr>
        <w:tab/>
        <w:t>Коментари относно позицията на Европейския парламент</w:t>
      </w:r>
    </w:p>
    <w:p>
      <w:pPr>
        <w:widowControl w:val="0"/>
        <w:rPr>
          <w:noProof/>
        </w:rPr>
      </w:pPr>
      <w:r>
        <w:rPr>
          <w:noProof/>
        </w:rPr>
        <w:t>Европейският парламент прие позицията си на първо четене на 4 април 2019 г. Парламентът представи едно изменение, с цел равнищата на годишното предварително финансиране за годините 2021—2023 да се намалят на 2 %, а не на 1 %, както е предложено от Комисията. На този етап Комисията запази първоначалното си предложение.</w:t>
      </w:r>
    </w:p>
    <w:p>
      <w:pPr>
        <w:pStyle w:val="ManualHeading1"/>
        <w:rPr>
          <w:noProof/>
        </w:rPr>
      </w:pPr>
      <w:r>
        <w:rPr>
          <w:noProof/>
        </w:rPr>
        <w:lastRenderedPageBreak/>
        <w:t>5.</w:t>
      </w:r>
      <w:r>
        <w:rPr>
          <w:noProof/>
        </w:rPr>
        <w:tab/>
        <w:t>Коментари относно позицията на Съвета</w:t>
      </w:r>
    </w:p>
    <w:p>
      <w:pPr>
        <w:widowControl w:val="0"/>
        <w:rPr>
          <w:noProof/>
        </w:rPr>
      </w:pPr>
      <w:r>
        <w:rPr>
          <w:noProof/>
        </w:rPr>
        <w:t>Позицията на Съвета, основаваща се на заключенията на Европейския съвет от 21 юли 2020 г., отразява позицията на Европейския парламент на първо четене.</w:t>
      </w:r>
    </w:p>
    <w:p>
      <w:pPr>
        <w:widowControl w:val="0"/>
        <w:rPr>
          <w:noProof/>
        </w:rPr>
      </w:pPr>
      <w:r>
        <w:rPr>
          <w:noProof/>
        </w:rPr>
        <w:t xml:space="preserve">С единственото внесено от Съвета изменение равнищата на годишното предварително финансиране за годините 2021—2023 се намаляват на 2 %, вместо на предложения 1 %. Представители на службите на Комисията оказаха помощ при изчисленията, довели до достигнатото по време на Европейския съвет заключение, и договорената ставка беше счетена за постижима. </w:t>
      </w:r>
    </w:p>
    <w:p>
      <w:pPr>
        <w:pStyle w:val="ManualHeading1"/>
        <w:rPr>
          <w:noProof/>
        </w:rPr>
      </w:pPr>
      <w:r>
        <w:rPr>
          <w:noProof/>
        </w:rPr>
        <w:t>6.</w:t>
      </w:r>
      <w:r>
        <w:rPr>
          <w:noProof/>
        </w:rPr>
        <w:tab/>
        <w:t>Заключение</w:t>
      </w:r>
    </w:p>
    <w:p>
      <w:pPr>
        <w:keepNext/>
        <w:rPr>
          <w:noProof/>
        </w:rPr>
      </w:pPr>
      <w:r>
        <w:rPr>
          <w:noProof/>
        </w:rPr>
        <w:t>Комисията приема промените, направени от Съвета и Европейския парламент.</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542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6A6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D01C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FE56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3A80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BC5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265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3C02B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8 12:26: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044220-7963-4578-9601-6B0BD431BEC9"/>
    <w:docVar w:name="LW_COVERPAGE_TYPE" w:val="1"/>
    <w:docVar w:name="LW_CROSSREFERENCE" w:val="&lt;UNUSED&gt;"/>
    <w:docVar w:name="LW_DocType" w:val="COM"/>
    <w:docVar w:name="LW_EMISSION" w:val="8.10.2020"/>
    <w:docVar w:name="LW_EMISSION_ISODATE" w:val="2020-10-08"/>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2"/>
    <w:docVar w:name="LW_REF.II.NEW.CP_YEAR" w:val="2018"/>
    <w:docVar w:name="LW_REF.INST.NEW" w:val="COM"/>
    <w:docVar w:name="LW_REF.INST.NEW_ADOPTED" w:val="final"/>
    <w:docVar w:name="LW_REF.INST.NEW_TEXT" w:val="(2020)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0?\u1079?\u1084?\u1077?\u1085?\u1077?\u1085?\u1080?\u1077? \u1085?\u1072? \u1056?\u1077?\u1075?\u1083?\u1072?\u1084?\u1077?\u1085?\u1090? (\u1045?\u1057?) \u8470? 1303/2013 \u1079?\u1072? \u1072?\u1076?\u1072?\u1087?\u1090?\u1080?\u1088?\u1072?\u1085?\u1077? \u1085?\u1072? \u1088?\u1072?\u1074?\u1085?\u1080?\u1097?\u1077?\u1090?\u1086? \u1085?\u1072? \u1075?\u1086?\u1076?\u1080?\u1096?\u1085?\u1086?\u1090?\u1086? \u1087?\u1088?\u1077?\u1076?\u1074?\u1072?\u1088?\u1080?\u1090?\u1077?\u1083?\u1085?\u1086? \u1092?\u1080?\u1085?\u1072?\u1085?\u1089?\u1080?\u1088?\u1072?\u1085?\u1077? \u1079?\u1072? \u1087?\u1077?\u1088?\u1080?\u1086?\u1076?\u1072? 2021\u8212?2023 \u1075?."/>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before="0" w:after="200"/>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before="0" w:after="200"/>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B91A-D622-4C0C-946A-09A504A4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420</Words>
  <Characters>2447</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2020-10-08T07:43:00Z</dcterms:created>
  <dcterms:modified xsi:type="dcterms:W3CDTF">2020-10-08T10:26:00Z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