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F55391A9-1775-4F67-AC51-436AC3304820" style="width:450.7pt;height:40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2018/0322 (COD)</w:t>
      </w:r>
    </w:p>
    <w:p>
      <w:pPr>
        <w:pStyle w:val="Typedudocument"/>
        <w:rPr>
          <w:noProof/>
        </w:rPr>
      </w:pPr>
      <w:r>
        <w:rPr>
          <w:noProof/>
        </w:rPr>
        <w:t>COMMUNICATION DE LA COMMISSION AU PARLEMENT EUROPÉEN</w:t>
      </w:r>
      <w:r>
        <w:rPr>
          <w:noProof/>
        </w:rPr>
        <w:br/>
      </w:r>
      <w:r>
        <w:rPr>
          <w:noProof/>
        </w:rPr>
        <w:br/>
        <w:t>conformément à l’article 294, paragraphe 6, du traité sur le fonctionnement de l’Union européenne</w:t>
      </w:r>
      <w:r>
        <w:rPr>
          <w:noProof/>
        </w:rPr>
        <w:br/>
      </w:r>
      <w:r>
        <w:rPr>
          <w:noProof/>
        </w:rPr>
        <w:br/>
        <w:t>concernant la</w:t>
      </w:r>
    </w:p>
    <w:p>
      <w:pPr>
        <w:pStyle w:val="Titreobjet"/>
        <w:rPr>
          <w:noProof/>
        </w:rPr>
      </w:pPr>
      <w:r>
        <w:rPr>
          <w:noProof/>
        </w:rPr>
        <w:t>position du Conseil sur l’adoption d’un règlement du Parlement européen et du Conseil modifiant le règlement (UE) nº 1303/2013 en ce qui concerne l’ajustement du préfinancement annuel pour les années 2021 à 2023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Contexte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5"/>
      </w:tblGrid>
      <w:tr>
        <w:tc>
          <w:tcPr>
            <w:tcW w:w="6912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Date de transmission de la proposition au Parlement européen et au Conseil [document COM(2018) 614 final - 2018/0322 (COD)]:</w:t>
            </w:r>
          </w:p>
        </w:tc>
        <w:tc>
          <w:tcPr>
            <w:tcW w:w="2375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7.9.2018</w:t>
            </w:r>
          </w:p>
        </w:tc>
      </w:tr>
      <w:tr>
        <w:tc>
          <w:tcPr>
            <w:tcW w:w="691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Date de la position du Parlement européen en première lecture:</w:t>
            </w:r>
          </w:p>
        </w:tc>
        <w:tc>
          <w:tcPr>
            <w:tcW w:w="2375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4.4.2019</w:t>
            </w:r>
          </w:p>
        </w:tc>
      </w:tr>
      <w:tr>
        <w:tc>
          <w:tcPr>
            <w:tcW w:w="6912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Date de l’adoption de la position du Conseil:</w:t>
            </w:r>
          </w:p>
        </w:tc>
        <w:tc>
          <w:tcPr>
            <w:tcW w:w="2375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7.10.2020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Objet de la proposition de la Commission</w:t>
      </w:r>
    </w:p>
    <w:p>
      <w:pPr>
        <w:rPr>
          <w:noProof/>
          <w:sz w:val="23"/>
          <w:szCs w:val="23"/>
        </w:rPr>
      </w:pPr>
      <w:r>
        <w:rPr>
          <w:noProof/>
          <w:sz w:val="23"/>
          <w:szCs w:val="23"/>
        </w:rPr>
        <w:t>L’objectif de la proposition de la Commission était de réduire les niveaux annuels de préfinancement pour les ramener à 1 % par rapport aux 3 % actuels pour les années 2021-2023, pour la période de programmation 2014-2020. La proposition visait à accroître la transparence et à contribuer à la prévisibilité de la planification budgétaire ainsi qu’à l’établissement d’un profil de paiement plus stable et plus prévisible. La réduction a été proposée pour les trois dernières années de la période de programmation actuelle (années 2021-2023), qui coïncident avec la prochaine période de programmation, débutant en 2021. Cette approche a également tenu compte des besoins en matière de paiements découlant des modalités de préfinancement proposées pour les programmes de la période 2021-2027, où seul le préfinancement initial serait versé en six tranches annuelles.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Observations sur les avis du Comité économique et social européen et du Comité des régions.</w:t>
      </w:r>
    </w:p>
    <w:p>
      <w:pPr>
        <w:pStyle w:val="Text1"/>
        <w:ind w:left="0"/>
        <w:rPr>
          <w:noProof/>
        </w:rPr>
      </w:pPr>
      <w:r>
        <w:rPr>
          <w:noProof/>
        </w:rPr>
        <w:t>Le CESE (rapporteur: M. Doz Orrit) a adopté son avis lors de la session plénière des 23 et 24 janvier 2019, rejetant la proposition de la Commission. La Commission a maintenu sa proposition initiale à ce stade. Le Comité des régions n’a pas rendu d’avis.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Observations sur la position du Parlement européen</w:t>
      </w:r>
    </w:p>
    <w:p>
      <w:pPr>
        <w:widowControl w:val="0"/>
        <w:rPr>
          <w:noProof/>
        </w:rPr>
      </w:pPr>
      <w:r>
        <w:rPr>
          <w:noProof/>
        </w:rPr>
        <w:t>Le Parlement européen a approuvé sa position en première lecture le 4 avril 2019. Le Parlement a présenté un amendement visant à ramener à 2 % les niveaux annuels de préfinancement pour la période 2021-2023, au lieu de 1 % comme l’a proposé la Commission. La Commission a maintenu sa proposition initiale à ce stade.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>Observations sur la position du Conseil</w:t>
      </w:r>
    </w:p>
    <w:p>
      <w:pPr>
        <w:widowControl w:val="0"/>
        <w:rPr>
          <w:noProof/>
        </w:rPr>
      </w:pPr>
      <w:r>
        <w:rPr>
          <w:noProof/>
        </w:rPr>
        <w:t>La position du Conseil, fondée sur les conclusions du Conseil européen du 21 juillet 2020, reflète la position du Parlement européen en première lecture.</w:t>
      </w:r>
    </w:p>
    <w:p>
      <w:pPr>
        <w:widowControl w:val="0"/>
        <w:rPr>
          <w:noProof/>
        </w:rPr>
      </w:pPr>
      <w:r>
        <w:rPr>
          <w:noProof/>
        </w:rPr>
        <w:t>L’unique amendement du Conseil vise à ramener à 2 % les niveaux annuels de préfinancement pour la période 2021-2023, au lieu de les ramener à 1 % comme proposé. Les services de la Commission ont contribué aux calculs qui ont conduit aux conclusions du Conseil européen et le taux convenu a été jugé réalisable.</w:t>
      </w:r>
    </w:p>
    <w:p>
      <w:pPr>
        <w:pStyle w:val="ManualHeading1"/>
        <w:rPr>
          <w:noProof/>
        </w:rPr>
      </w:pPr>
      <w:r>
        <w:rPr>
          <w:noProof/>
        </w:rPr>
        <w:t>6.</w:t>
      </w:r>
      <w:r>
        <w:rPr>
          <w:noProof/>
        </w:rPr>
        <w:tab/>
        <w:t>Conclusion</w:t>
      </w:r>
    </w:p>
    <w:p>
      <w:pPr>
        <w:keepNext/>
        <w:rPr>
          <w:noProof/>
        </w:rPr>
      </w:pPr>
      <w:r>
        <w:rPr>
          <w:noProof/>
        </w:rPr>
        <w:t>La Commission accepte les modifications apportées par le Conseil et le Parlement européen.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F5421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586A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D01C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8FE56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23A80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FBC53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E026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C02B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21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21"/>
  </w:num>
  <w:num w:numId="27">
    <w:abstractNumId w:val="11"/>
  </w:num>
  <w:num w:numId="28">
    <w:abstractNumId w:val="14"/>
  </w:num>
  <w:num w:numId="29">
    <w:abstractNumId w:val="9"/>
  </w:num>
  <w:num w:numId="30">
    <w:abstractNumId w:val="20"/>
  </w:num>
  <w:num w:numId="31">
    <w:abstractNumId w:val="8"/>
  </w:num>
  <w:num w:numId="32">
    <w:abstractNumId w:val="15"/>
  </w:num>
  <w:num w:numId="33">
    <w:abstractNumId w:val="17"/>
  </w:num>
  <w:num w:numId="34">
    <w:abstractNumId w:val="18"/>
  </w:num>
  <w:num w:numId="35">
    <w:abstractNumId w:val="10"/>
  </w:num>
  <w:num w:numId="36">
    <w:abstractNumId w:val="16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08 12:26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55391A9-1775-4F67-AC51-436AC3304820"/>
    <w:docVar w:name="LW_COVERPAGE_TYPE" w:val="1"/>
    <w:docVar w:name="LW_CROSSREFERENCE" w:val="&lt;UNUSED&gt;"/>
    <w:docVar w:name="LW_DocType" w:val="COM"/>
    <w:docVar w:name="LW_EMISSION" w:val="8.10.2020"/>
    <w:docVar w:name="LW_EMISSION_ISODATE" w:val="2020-10-08"/>
    <w:docVar w:name="LW_EMISSION_LOCATION" w:val="BRX"/>
    <w:docVar w:name="LW_EMISSION_PREFIX" w:val="Bruxelles, le "/>
    <w:docVar w:name="LW_EMISSION_SUFFIX" w:val=" 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322"/>
    <w:docVar w:name="LW_REF.II.NEW.CP_YEAR" w:val="2018"/>
    <w:docVar w:name="LW_REF.INST.NEW" w:val="COM"/>
    <w:docVar w:name="LW_REF.INST.NEW_ADOPTED" w:val="final"/>
    <w:docVar w:name="LW_REF.INST.NEW_TEXT" w:val="(2020) 6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position du Conseil sur l\u8217?adoption d\u8217?un règlement du Parlement européen et du Conseil modifiant le règlement (UE) nº 1303/2013 en ce qui concerne l\u8217?ajustement du préfinancement annuel pour les années 2021 à 2023"/>
    <w:docVar w:name="LW_TYPE.DOC.CP" w:val="COMMUNICATION DE LA COMMISSION AU PARLEMENT EUROPÉEN_x000b__x000b_conformément à l\u8217?article 294, paragraphe 6, du traité sur le fonctionnement de l\u8217?Union européenne_x000b__x000b_concernant l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before="0" w:after="20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before="0" w:after="20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640A-639C-48B2-BDDC-EDFAA6B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3</Pages>
  <Words>464</Words>
  <Characters>2455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2020-10-07T10:44:00Z</dcterms:created>
  <dcterms:modified xsi:type="dcterms:W3CDTF">2020-10-08T10:26:00Z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