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CBDA16-4B26-46CD-8DD0-99337D001322" style="width:450.75pt;height:567pt">
            <v:imagedata r:id="rId8" o:title=""/>
          </v:shape>
        </w:pict>
      </w:r>
    </w:p>
    <w:bookmarkEnd w:id="0"/>
    <w:p>
      <w:p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240" w:lineRule="auto"/>
        <w:jc w:val="both"/>
        <w:rPr>
          <w:rFonts w:ascii="Times New Roman" w:hAnsi="Times New Roman" w:cs="Times New Roman"/>
          <w:sz w:val="24"/>
          <w:lang w:eastAsia="fr-FR"/>
        </w:rPr>
      </w:pPr>
      <w:bookmarkStart w:id="1" w:name="_GoBack"/>
      <w:bookmarkEnd w:id="1"/>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smallCaps/>
          <w:sz w:val="24"/>
          <w:szCs w:val="24"/>
          <w:u w:val="single"/>
        </w:rPr>
      </w:pPr>
      <w:r>
        <w:rPr>
          <w:rFonts w:ascii="Times New Roman" w:hAnsi="Times New Roman"/>
          <w:b/>
          <w:smallCaps/>
          <w:sz w:val="24"/>
          <w:szCs w:val="24"/>
          <w:u w:val="single"/>
        </w:rPr>
        <w:t>Резюме</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caps/>
          <w:u w:val="single"/>
        </w:rPr>
      </w:pPr>
      <w:r>
        <w:rPr>
          <w:rFonts w:ascii="Times New Roman" w:hAnsi="Times New Roman"/>
          <w:sz w:val="24"/>
          <w:szCs w:val="20"/>
        </w:rPr>
        <w:t xml:space="preserve">През последните години бяха положени усилия за подобряване на качеството и ефикасността на словашката правосъдна система, които започнаха да дават обещаващи резултати. Правосъдната система обаче се характеризира с много ниско равнище на усещането за независимост на съдебната власт както сред широката общественост, така и сред предприятията. От 2019 г. насам този проблем се изостря от сериозни опасения за цялостния интегритет (почтеност) на съдебната власт и прокуратурата. Правителството, назначено през март 2020 г., обяви редица реформи в чувствителни области, като например процедурите за назначаване на членове на Съдебния съвет, Конституционния съд и Върховния съд, както и на главния прокурор, и въвеждане на определена възраст за пенсиониране на съдиите.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sz w:val="24"/>
          <w:szCs w:val="20"/>
        </w:rPr>
      </w:pPr>
      <w:r>
        <w:rPr>
          <w:rFonts w:ascii="Times New Roman" w:hAnsi="Times New Roman"/>
          <w:sz w:val="24"/>
          <w:szCs w:val="20"/>
        </w:rPr>
        <w:t>Борбата с корупцията е определена като един от ключовите приоритети в политическата програма на новото правителство, което обяви редица реформи за подобряване на ситуацията. Капацитетът за разкриване, разследване и наказателно преследване на корупционни престъпления е възпрепятстван от липсата на ресурси и специализиран аналитичен експертен опит както в Специалната прокуратура, така и в Националната агенция за борба с престъпността, а също така от трудностите при получаването на доказателства. Лобистките дейности не са регламентирани, а разпоредбите за „кадрова въртележка между държавния и частния сектор“ са слаби.</w:t>
      </w:r>
      <w:r>
        <w:rPr>
          <w:rFonts w:ascii="Times New Roman" w:hAnsi="Times New Roman"/>
        </w:rPr>
        <w:t xml:space="preserve"> </w:t>
      </w:r>
      <w:r>
        <w:rPr>
          <w:rFonts w:ascii="Times New Roman" w:hAnsi="Times New Roman"/>
          <w:sz w:val="24"/>
          <w:szCs w:val="20"/>
        </w:rPr>
        <w:t>В началото на 2020 г. влезе в сила новото законодателство относно декларациите за имуществено състояние и конфликт на интереси на членовете на правителството и другите лица, заемащи публични длъжности.</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sz w:val="24"/>
          <w:szCs w:val="20"/>
        </w:rPr>
      </w:pPr>
      <w:r>
        <w:rPr>
          <w:rFonts w:ascii="Times New Roman" w:hAnsi="Times New Roman"/>
          <w:sz w:val="24"/>
          <w:szCs w:val="20"/>
        </w:rPr>
        <w:t xml:space="preserve">Конституцията и вторичното законодателство на Словакия осигуряват стабилна правна уредба за защита на свободата на изразяване на мнение, правото на достъп до обществена информация, създаването на структури за осигуряване на медиен плурализъм и правата на печата. Въпреки това беше изразена загриженост поради липсата на стабилни правила за осигуряване на прозрачност на собствеността върху медиите, за предотвратяване на конфликти на интереси между собствениците на медии и политическите партии и за създаване на рамка за разпространение на държавната реклама. Счита се, че убийството на разследващия журналист Ян Куцяк и неговата годеница през 2018 г. бележи истински поврат в словашкото общество и че е довело до повишаване на обществената осведоменост относно необходимостта да се подобри безопасността на журналистите.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sz w:val="24"/>
          <w:szCs w:val="20"/>
        </w:rPr>
      </w:pPr>
      <w:r>
        <w:rPr>
          <w:rFonts w:ascii="Times New Roman" w:hAnsi="Times New Roman"/>
          <w:sz w:val="24"/>
          <w:szCs w:val="20"/>
        </w:rPr>
        <w:t>Що се отнася до системата за взаимозависимост и взаимоограничаване в Словакия, необходимо е законодателният процес да бъде подобрен, като се засили участието на заинтересованите страни и гражданското общество, а съществуващата рамка за оценка на въздействието се използва по-добре. Независими органи като Националния център за правата на човека или обществения защитник на правата играят важна роля за осигуряване на взаимозависимост и взаимоограничаване, но трябва да разполагат с пълния набор от правомощия, за да изпълняват ефективно своите роли. Правителството обяви планове за реформи, които да укрепят върховенството на закона, по-специално реформи за разширяване на правомощията на Конституционния съд. Върховенството на закона, като предмет на публични дебати, през последните години има все по-голямо значение, което може да насърчи създаването на по-силна култура на върховенство на закона.</w:t>
      </w:r>
      <w:r>
        <w:br w:type="page"/>
      </w:r>
    </w:p>
    <w:p>
      <w:pPr>
        <w:numPr>
          <w:ilvl w:val="0"/>
          <w:numId w:val="1"/>
        </w:numPr>
        <w:spacing w:after="240" w:line="240" w:lineRule="auto"/>
        <w:ind w:left="284" w:hanging="284"/>
        <w:jc w:val="both"/>
        <w:rPr>
          <w:rFonts w:ascii="Times New Roman" w:eastAsia="Times New Roman" w:hAnsi="Times New Roman" w:cs="Times New Roman"/>
          <w:b/>
          <w:smallCaps/>
          <w:sz w:val="24"/>
          <w:szCs w:val="24"/>
          <w:u w:val="single"/>
        </w:rPr>
      </w:pPr>
      <w:r>
        <w:rPr>
          <w:rFonts w:ascii="Times New Roman" w:hAnsi="Times New Roman"/>
          <w:b/>
          <w:smallCaps/>
          <w:sz w:val="24"/>
          <w:szCs w:val="24"/>
          <w:u w:val="single"/>
        </w:rPr>
        <w:t>Правосъдна система</w:t>
      </w:r>
    </w:p>
    <w:p>
      <w:pPr>
        <w:spacing w:after="240" w:line="240" w:lineRule="auto"/>
        <w:jc w:val="both"/>
        <w:rPr>
          <w:rFonts w:ascii="Times New Roman" w:eastAsia="Times New Roman" w:hAnsi="Times New Roman" w:cs="Times New Roman"/>
          <w:sz w:val="24"/>
          <w:szCs w:val="20"/>
        </w:rPr>
      </w:pPr>
      <w:r>
        <w:rPr>
          <w:rFonts w:ascii="Times New Roman" w:hAnsi="Times New Roman"/>
          <w:sz w:val="24"/>
          <w:szCs w:val="20"/>
        </w:rPr>
        <w:t>Съдебната система на Словашката република се състои от 54 окръжни съдилища, 8 регионални съдилища, Специализиран наказателен съд, Върховен съд и словашки Конституционен съд</w:t>
      </w:r>
      <w:r>
        <w:rPr>
          <w:rFonts w:ascii="Times New Roman" w:eastAsia="Times New Roman" w:hAnsi="Times New Roman" w:cs="Times New Roman"/>
          <w:sz w:val="24"/>
          <w:szCs w:val="20"/>
          <w:vertAlign w:val="superscript"/>
          <w:lang w:eastAsia="fr-FR"/>
        </w:rPr>
        <w:footnoteReference w:id="1"/>
      </w:r>
      <w:r>
        <w:rPr>
          <w:rFonts w:ascii="Times New Roman" w:hAnsi="Times New Roman"/>
          <w:sz w:val="24"/>
          <w:szCs w:val="20"/>
        </w:rPr>
        <w:t>. В Словакия няма отделен клон на административните съдилища. Регионалните съдилища функционират като апелативни съдилища по граждански, търговски и наказателни дела, като същевременно изпълняват функции на първоинстанционни съдилища по административни въпроси. Специализираният наказателен съд е компетентен да разглежда сериозните наказателни дела, посочени в съответната разпоредба на Наказателно-процесуалния кодекс</w:t>
      </w:r>
      <w:r>
        <w:rPr>
          <w:rFonts w:ascii="Times New Roman" w:eastAsia="Times New Roman" w:hAnsi="Times New Roman" w:cs="Times New Roman"/>
          <w:sz w:val="24"/>
          <w:szCs w:val="20"/>
          <w:vertAlign w:val="superscript"/>
          <w:lang w:eastAsia="fr-FR"/>
        </w:rPr>
        <w:footnoteReference w:id="2"/>
      </w:r>
      <w:r>
        <w:rPr>
          <w:rFonts w:ascii="Times New Roman" w:hAnsi="Times New Roman"/>
          <w:sz w:val="24"/>
          <w:szCs w:val="20"/>
        </w:rPr>
        <w:t>. Съдебният съвет играе централна роля в самоуправлението на съдебната власт и при назначаването, временното отстраняване и освобождаването от длъжност на съдии, както и при поддържането на съдебната етика. Към момента половината от членовете му (9 от 18) са съдии, избрани от своите колеги. Някои от останалите членове на Съдебния съвет в сегашния му състав се назначават от президента, парламента и правителството на Словакия</w:t>
      </w:r>
      <w:r>
        <w:rPr>
          <w:rFonts w:ascii="Times New Roman" w:eastAsia="Times New Roman" w:hAnsi="Times New Roman" w:cs="Times New Roman"/>
          <w:sz w:val="24"/>
          <w:szCs w:val="20"/>
          <w:vertAlign w:val="superscript"/>
          <w:lang w:eastAsia="fr-FR"/>
        </w:rPr>
        <w:footnoteReference w:id="3"/>
      </w:r>
      <w:r>
        <w:rPr>
          <w:rFonts w:ascii="Times New Roman" w:hAnsi="Times New Roman"/>
          <w:sz w:val="24"/>
          <w:szCs w:val="20"/>
        </w:rPr>
        <w:t xml:space="preserve">. Прокуратурата на Словакия е независим държавен орган, оглавяван от </w:t>
      </w:r>
      <w:r>
        <w:rPr>
          <w:rFonts w:ascii="Times New Roman" w:hAnsi="Times New Roman"/>
          <w:bCs/>
          <w:sz w:val="24"/>
          <w:szCs w:val="20"/>
        </w:rPr>
        <w:t>главния прокурор</w:t>
      </w:r>
      <w:r>
        <w:rPr>
          <w:rFonts w:ascii="Times New Roman" w:eastAsia="Times New Roman" w:hAnsi="Times New Roman" w:cs="Times New Roman"/>
          <w:sz w:val="24"/>
          <w:szCs w:val="20"/>
          <w:vertAlign w:val="superscript"/>
          <w:lang w:eastAsia="fr-FR"/>
        </w:rPr>
        <w:footnoteReference w:id="4"/>
      </w:r>
      <w:r>
        <w:rPr>
          <w:rFonts w:ascii="Times New Roman" w:hAnsi="Times New Roman"/>
          <w:bCs/>
          <w:sz w:val="24"/>
          <w:szCs w:val="20"/>
        </w:rPr>
        <w:t>.</w:t>
      </w:r>
      <w:r>
        <w:rPr>
          <w:rFonts w:ascii="Times New Roman" w:hAnsi="Times New Roman"/>
          <w:i/>
          <w:sz w:val="24"/>
          <w:szCs w:val="20"/>
        </w:rPr>
        <w:t xml:space="preserve"> </w:t>
      </w:r>
      <w:r>
        <w:rPr>
          <w:rFonts w:ascii="Times New Roman" w:hAnsi="Times New Roman"/>
          <w:sz w:val="24"/>
          <w:szCs w:val="20"/>
        </w:rPr>
        <w:t>Словашката адвокатска колегия е независима самоуправляваща се професионална организация</w:t>
      </w:r>
      <w:r>
        <w:rPr>
          <w:rFonts w:ascii="Times New Roman" w:eastAsia="Times New Roman" w:hAnsi="Times New Roman" w:cs="Times New Roman"/>
          <w:sz w:val="24"/>
          <w:szCs w:val="20"/>
          <w:vertAlign w:val="superscript"/>
          <w:lang w:eastAsia="fr-FR"/>
        </w:rPr>
        <w:footnoteReference w:id="5"/>
      </w:r>
      <w:r>
        <w:rPr>
          <w:rFonts w:ascii="Times New Roman" w:hAnsi="Times New Roman"/>
          <w:sz w:val="24"/>
          <w:szCs w:val="20"/>
        </w:rPr>
        <w:t>.</w:t>
      </w:r>
    </w:p>
    <w:p>
      <w:pPr>
        <w:spacing w:after="240" w:line="240" w:lineRule="auto"/>
        <w:jc w:val="both"/>
        <w:rPr>
          <w:rFonts w:ascii="Times New Roman" w:eastAsia="Times New Roman" w:hAnsi="Times New Roman" w:cs="Times New Roman"/>
          <w:i/>
          <w:sz w:val="24"/>
          <w:szCs w:val="20"/>
        </w:rPr>
      </w:pPr>
      <w:r>
        <w:rPr>
          <w:rFonts w:ascii="Times New Roman" w:hAnsi="Times New Roman"/>
          <w:b/>
          <w:sz w:val="24"/>
          <w:szCs w:val="20"/>
        </w:rPr>
        <w:t>Независимост</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4"/>
        </w:rPr>
        <w:t>От август 2019 г. продължават да се засилват отдавнашни опасения относно независимостта и интегритета на словашката правосъдна система.</w:t>
      </w:r>
      <w:r>
        <w:rPr>
          <w:rFonts w:ascii="Times New Roman" w:hAnsi="Times New Roman"/>
          <w:sz w:val="24"/>
          <w:szCs w:val="24"/>
        </w:rPr>
        <w:t xml:space="preserve"> Разкритията и констатациите от наказателните разследвания показват наличието на редица случаи на корупция по високите етажи на властта. Това включва опасения относно евентуалното упражняване на неправомерно влияние и наличието на тайни споразумения между отделни членове на изпълнителната власт и други политици над и с членове на съдебната власт, включително високопоставени съдии</w:t>
      </w:r>
      <w:r>
        <w:rPr>
          <w:rFonts w:ascii="Times New Roman" w:hAnsi="Times New Roman" w:cs="Times New Roman"/>
          <w:sz w:val="24"/>
          <w:szCs w:val="24"/>
          <w:vertAlign w:val="superscript"/>
        </w:rPr>
        <w:footnoteReference w:id="6"/>
      </w:r>
      <w:r>
        <w:rPr>
          <w:rFonts w:ascii="Times New Roman" w:hAnsi="Times New Roman"/>
          <w:sz w:val="24"/>
          <w:szCs w:val="24"/>
        </w:rPr>
        <w:t>. Освен това възникнаха подозрения по отношение на отделни случаи на злоупотреба със служебно положение от страна на съдии и прокурори, сред които и бивш главен прокурор</w:t>
      </w:r>
      <w:r>
        <w:rPr>
          <w:rFonts w:ascii="Times New Roman" w:hAnsi="Times New Roman" w:cs="Times New Roman"/>
          <w:sz w:val="24"/>
          <w:szCs w:val="24"/>
          <w:vertAlign w:val="superscript"/>
        </w:rPr>
        <w:footnoteReference w:id="7"/>
      </w:r>
      <w:r>
        <w:rPr>
          <w:rFonts w:ascii="Times New Roman" w:hAnsi="Times New Roman"/>
          <w:sz w:val="24"/>
          <w:szCs w:val="24"/>
        </w:rPr>
        <w:t>. През есента на 2019 г. тези събития предизвикаха обществени протести и засилиха призивите към органите за полагане на допълнителни усилия за намаляване на корупцията в словашката правосъдна система. Срещу съдии и прокурори, някои от които са били временно отстранени от длъжност или са подали оставка, са образувани редица дисциплинарни производства, както и наказателни разследвания. В някои случаи продължаващите наказателни разследвания водят и до задържане на съдии и прокурори</w:t>
      </w:r>
      <w:r>
        <w:rPr>
          <w:rFonts w:ascii="Times New Roman" w:hAnsi="Times New Roman" w:cs="Times New Roman"/>
          <w:sz w:val="24"/>
          <w:szCs w:val="24"/>
          <w:vertAlign w:val="superscript"/>
        </w:rPr>
        <w:footnoteReference w:id="8"/>
      </w:r>
      <w:r>
        <w:rPr>
          <w:rFonts w:ascii="Times New Roman" w:hAnsi="Times New Roman"/>
          <w:sz w:val="24"/>
          <w:szCs w:val="24"/>
        </w:rPr>
        <w:t>.</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Равнището на усещане за независимост на съдебната власт в Словакия остава много ниско, въпреки усилията в миналото за укрепване на нейната независимост и прозрачност</w:t>
      </w:r>
      <w:r>
        <w:rPr>
          <w:rFonts w:ascii="Times New Roman" w:hAnsi="Times New Roman"/>
          <w:sz w:val="24"/>
          <w:szCs w:val="20"/>
        </w:rPr>
        <w:t xml:space="preserve">. Равнището на усещане за независимост на съдилищата и съдиите сред широката общественост в Словакия остава много ниско, като е очевидно, че малка част както от общото население, така и от дружествата възприемат равнището на независимост на съдебната власт като </w:t>
      </w:r>
      <w:r>
        <w:rPr>
          <w:rFonts w:ascii="Times New Roman" w:hAnsi="Times New Roman"/>
          <w:i/>
          <w:sz w:val="24"/>
          <w:szCs w:val="20"/>
        </w:rPr>
        <w:t xml:space="preserve">„относително добро или много добро“ </w:t>
      </w:r>
      <w:r>
        <w:rPr>
          <w:rFonts w:ascii="Times New Roman" w:hAnsi="Times New Roman"/>
          <w:sz w:val="24"/>
          <w:szCs w:val="20"/>
        </w:rPr>
        <w:t>(26 % от</w:t>
      </w:r>
      <w:r>
        <w:rPr>
          <w:rFonts w:ascii="Times New Roman" w:hAnsi="Times New Roman"/>
          <w:i/>
          <w:sz w:val="24"/>
          <w:szCs w:val="20"/>
        </w:rPr>
        <w:t xml:space="preserve"> </w:t>
      </w:r>
      <w:r>
        <w:rPr>
          <w:rFonts w:ascii="Times New Roman" w:hAnsi="Times New Roman"/>
          <w:sz w:val="24"/>
          <w:szCs w:val="20"/>
        </w:rPr>
        <w:t>обществеността и 15 % от дружествата).</w:t>
      </w:r>
      <w:r>
        <w:rPr>
          <w:rFonts w:ascii="Times New Roman" w:hAnsi="Times New Roman"/>
          <w:sz w:val="24"/>
          <w:szCs w:val="24"/>
        </w:rPr>
        <w:t xml:space="preserve"> Причината, поради която най-често се посочва усещането за липса на независимост на съдебната власт, е свързана с намеса или натиск от страна на правителството и политиците</w:t>
      </w:r>
      <w:r>
        <w:rPr>
          <w:rFonts w:ascii="Times New Roman" w:eastAsia="Times New Roman" w:hAnsi="Times New Roman" w:cs="Times New Roman"/>
          <w:sz w:val="24"/>
          <w:szCs w:val="20"/>
          <w:vertAlign w:val="superscript"/>
          <w:lang w:eastAsia="fr-FR"/>
        </w:rPr>
        <w:footnoteReference w:id="9"/>
      </w:r>
      <w:r>
        <w:rPr>
          <w:rFonts w:ascii="Times New Roman" w:hAnsi="Times New Roman"/>
          <w:sz w:val="24"/>
          <w:szCs w:val="24"/>
        </w:rPr>
        <w:t>.</w:t>
      </w:r>
      <w:r>
        <w:rPr>
          <w:rFonts w:ascii="Times New Roman" w:hAnsi="Times New Roman"/>
          <w:sz w:val="24"/>
          <w:szCs w:val="20"/>
        </w:rPr>
        <w:t xml:space="preserve"> Заслужава да се отбележи, че това сравнително ниско равнище на усещането за независимост на съдебната власт се запазва за продължителен период</w:t>
      </w:r>
      <w:r>
        <w:rPr>
          <w:rFonts w:ascii="Times New Roman" w:eastAsia="Times New Roman" w:hAnsi="Times New Roman" w:cs="Times New Roman"/>
          <w:sz w:val="24"/>
          <w:szCs w:val="20"/>
          <w:vertAlign w:val="superscript"/>
          <w:lang w:eastAsia="fr-FR"/>
        </w:rPr>
        <w:footnoteReference w:id="10"/>
      </w:r>
      <w:r>
        <w:rPr>
          <w:rFonts w:ascii="Times New Roman" w:hAnsi="Times New Roman"/>
          <w:sz w:val="24"/>
          <w:szCs w:val="20"/>
        </w:rPr>
        <w:t>, което се признава и от словашките органи</w:t>
      </w:r>
      <w:r>
        <w:rPr>
          <w:rFonts w:ascii="Times New Roman" w:eastAsia="Times New Roman" w:hAnsi="Times New Roman" w:cs="Times New Roman"/>
          <w:sz w:val="24"/>
          <w:szCs w:val="20"/>
          <w:vertAlign w:val="superscript"/>
          <w:lang w:eastAsia="fr-FR"/>
        </w:rPr>
        <w:footnoteReference w:id="11"/>
      </w:r>
      <w:r>
        <w:rPr>
          <w:rFonts w:ascii="Times New Roman" w:hAnsi="Times New Roman"/>
          <w:sz w:val="24"/>
          <w:szCs w:val="20"/>
        </w:rPr>
        <w:t xml:space="preserve">. </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 xml:space="preserve">Правителството обяви планове за реформа за укрепване на независимостта на съдебната власт и интегритета. </w:t>
      </w:r>
      <w:r>
        <w:rPr>
          <w:rFonts w:ascii="Times New Roman" w:hAnsi="Times New Roman"/>
          <w:sz w:val="24"/>
          <w:szCs w:val="20"/>
        </w:rPr>
        <w:t>В този контекст е необходимо да се припомнят опитите на предишни правителства да се справят с някои отдавнашни опасения относно интегритета на съдиите, което доведе до промяна на Конституцията на Словакия и включваше въвеждане на противоречиви</w:t>
      </w:r>
      <w:r>
        <w:rPr>
          <w:rFonts w:ascii="Times New Roman" w:hAnsi="Times New Roman"/>
          <w:sz w:val="16"/>
          <w:szCs w:val="16"/>
        </w:rPr>
        <w:t xml:space="preserve"> </w:t>
      </w:r>
      <w:r>
        <w:rPr>
          <w:rFonts w:ascii="Times New Roman" w:hAnsi="Times New Roman"/>
          <w:sz w:val="24"/>
          <w:szCs w:val="24"/>
        </w:rPr>
        <w:t>задължителни проверки на съдиите и кандидатите за съдии въз основа на информация от словашкия орган за национална сигурност</w:t>
      </w:r>
      <w:r>
        <w:rPr>
          <w:rFonts w:ascii="Times New Roman" w:eastAsia="Times New Roman" w:hAnsi="Times New Roman" w:cs="Times New Roman"/>
          <w:sz w:val="24"/>
          <w:szCs w:val="20"/>
          <w:vertAlign w:val="superscript"/>
          <w:lang w:eastAsia="fr-FR"/>
        </w:rPr>
        <w:footnoteReference w:id="12"/>
      </w:r>
      <w:r>
        <w:rPr>
          <w:rFonts w:ascii="Times New Roman" w:hAnsi="Times New Roman"/>
          <w:sz w:val="24"/>
          <w:szCs w:val="24"/>
        </w:rPr>
        <w:t>.</w:t>
      </w:r>
      <w:r>
        <w:rPr>
          <w:rFonts w:ascii="Times New Roman" w:hAnsi="Times New Roman"/>
          <w:sz w:val="24"/>
          <w:szCs w:val="20"/>
        </w:rPr>
        <w:t xml:space="preserve"> В знаково решение от 30 януари 2019 г.</w:t>
      </w:r>
      <w:r>
        <w:rPr>
          <w:rFonts w:ascii="Times New Roman" w:eastAsia="Times New Roman" w:hAnsi="Times New Roman" w:cs="Times New Roman"/>
          <w:sz w:val="24"/>
          <w:szCs w:val="20"/>
          <w:vertAlign w:val="superscript"/>
          <w:lang w:eastAsia="fr-FR"/>
        </w:rPr>
        <w:footnoteReference w:id="13"/>
      </w:r>
      <w:r>
        <w:rPr>
          <w:rFonts w:ascii="Times New Roman" w:hAnsi="Times New Roman"/>
          <w:sz w:val="24"/>
          <w:szCs w:val="20"/>
        </w:rPr>
        <w:t xml:space="preserve"> словашкият Конституционен съд постанови, че тези проверки са в нарушение на принципа на независимост на съдебната власт и че изменението на Конституцията от 2014 г. е противоконституционно</w:t>
      </w:r>
      <w:r>
        <w:rPr>
          <w:rFonts w:ascii="Times New Roman" w:eastAsia="Times New Roman" w:hAnsi="Times New Roman" w:cs="Times New Roman"/>
          <w:sz w:val="24"/>
          <w:szCs w:val="20"/>
          <w:vertAlign w:val="superscript"/>
          <w:lang w:eastAsia="fr-FR"/>
        </w:rPr>
        <w:footnoteReference w:id="14"/>
      </w:r>
      <w:r>
        <w:rPr>
          <w:rFonts w:ascii="Times New Roman" w:hAnsi="Times New Roman"/>
          <w:sz w:val="24"/>
          <w:szCs w:val="20"/>
        </w:rPr>
        <w:t xml:space="preserve">. </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Правителството обяви планове за реформи, насочени към промяна на настоящия състав на Съдебния съвет</w:t>
      </w:r>
      <w:r>
        <w:rPr>
          <w:rFonts w:ascii="Times New Roman" w:hAnsi="Times New Roman"/>
          <w:sz w:val="24"/>
          <w:szCs w:val="20"/>
        </w:rPr>
        <w:t>. Тези планове включват процеса на назначаване, наред с другото, за да се гарантира регионално представителство и да се засили контролът върху декларациите за имуществено състояние на съдиите</w:t>
      </w:r>
      <w:r>
        <w:rPr>
          <w:rFonts w:ascii="Times New Roman" w:eastAsia="Times New Roman" w:hAnsi="Times New Roman" w:cs="Times New Roman"/>
          <w:sz w:val="24"/>
          <w:szCs w:val="20"/>
          <w:vertAlign w:val="superscript"/>
          <w:lang w:eastAsia="fr-FR"/>
        </w:rPr>
        <w:footnoteReference w:id="15"/>
      </w:r>
      <w:r>
        <w:rPr>
          <w:rFonts w:ascii="Times New Roman" w:hAnsi="Times New Roman"/>
          <w:sz w:val="24"/>
          <w:szCs w:val="20"/>
        </w:rPr>
        <w:t>. Бяха назначени шестима нови членове — на 23 април 2020 г., 26 април 2020 г. и 20 май 2020 г.</w:t>
      </w:r>
      <w:r>
        <w:rPr>
          <w:rFonts w:ascii="Times New Roman" w:eastAsia="Times New Roman" w:hAnsi="Times New Roman" w:cs="Times New Roman"/>
          <w:sz w:val="24"/>
          <w:szCs w:val="20"/>
          <w:vertAlign w:val="superscript"/>
          <w:lang w:eastAsia="fr-FR"/>
        </w:rPr>
        <w:footnoteReference w:id="16"/>
      </w:r>
      <w:r>
        <w:rPr>
          <w:rFonts w:ascii="Times New Roman" w:hAnsi="Times New Roman"/>
          <w:sz w:val="24"/>
          <w:szCs w:val="20"/>
        </w:rPr>
        <w:t>, а новият председател на Съдебния съвет беше избран на 29 юни 2020 г.</w:t>
      </w:r>
      <w:r>
        <w:rPr>
          <w:rFonts w:ascii="Times New Roman" w:eastAsia="Times New Roman" w:hAnsi="Times New Roman" w:cs="Times New Roman"/>
          <w:sz w:val="24"/>
          <w:szCs w:val="20"/>
          <w:vertAlign w:val="superscript"/>
          <w:lang w:eastAsia="fr-FR"/>
        </w:rPr>
        <w:footnoteReference w:id="17"/>
      </w:r>
      <w:r>
        <w:rPr>
          <w:rFonts w:ascii="Times New Roman" w:hAnsi="Times New Roman"/>
          <w:sz w:val="24"/>
          <w:szCs w:val="20"/>
        </w:rPr>
        <w:t>, след оставката на някои от неговите членове на 23 март 2020 г.</w:t>
      </w:r>
      <w:r>
        <w:rPr>
          <w:rFonts w:ascii="Times New Roman" w:eastAsia="Times New Roman" w:hAnsi="Times New Roman" w:cs="Times New Roman"/>
          <w:sz w:val="24"/>
          <w:szCs w:val="20"/>
          <w:vertAlign w:val="superscript"/>
          <w:lang w:eastAsia="fr-FR"/>
        </w:rPr>
        <w:footnoteReference w:id="18"/>
      </w:r>
      <w:r>
        <w:rPr>
          <w:rFonts w:ascii="Times New Roman" w:hAnsi="Times New Roman"/>
          <w:sz w:val="24"/>
          <w:szCs w:val="20"/>
        </w:rPr>
        <w:t xml:space="preserve"> и оставката на бившия председател на 23 юни 2020 г.</w:t>
      </w:r>
      <w:r>
        <w:rPr>
          <w:rFonts w:ascii="Times New Roman" w:eastAsia="Times New Roman" w:hAnsi="Times New Roman" w:cs="Times New Roman"/>
          <w:sz w:val="24"/>
          <w:szCs w:val="20"/>
          <w:vertAlign w:val="superscript"/>
          <w:lang w:eastAsia="fr-FR"/>
        </w:rPr>
        <w:footnoteReference w:id="19"/>
      </w:r>
      <w:r>
        <w:rPr>
          <w:rFonts w:ascii="Times New Roman" w:hAnsi="Times New Roman"/>
          <w:sz w:val="24"/>
          <w:szCs w:val="20"/>
        </w:rPr>
        <w:t>.</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 xml:space="preserve">Правителството също така обяви планове за подобряване на процеса на назначаване на членове на Конституционния съд. </w:t>
      </w:r>
      <w:r>
        <w:rPr>
          <w:rFonts w:ascii="Times New Roman" w:hAnsi="Times New Roman"/>
          <w:sz w:val="24"/>
          <w:szCs w:val="20"/>
        </w:rPr>
        <w:t>През последните години назначаването на нови съдии в Конституционния съд многократно е ставало обект на спорове между правителството, парламента и словашкия президент, в резултат на което процесът на назначаване редовно е отлаган за продължителни периоди, като дори е застрашавано правилното функциониране на Съда. Всъщност през 2019 г. са били назначени само четирима от предвидените 13 съдии</w:t>
      </w:r>
      <w:r>
        <w:rPr>
          <w:rFonts w:ascii="Times New Roman" w:eastAsia="Times New Roman" w:hAnsi="Times New Roman" w:cs="Times New Roman"/>
          <w:sz w:val="24"/>
          <w:szCs w:val="20"/>
          <w:vertAlign w:val="superscript"/>
          <w:lang w:eastAsia="fr-FR"/>
        </w:rPr>
        <w:footnoteReference w:id="20"/>
      </w:r>
      <w:r>
        <w:rPr>
          <w:rFonts w:ascii="Times New Roman" w:hAnsi="Times New Roman"/>
          <w:sz w:val="24"/>
          <w:szCs w:val="20"/>
        </w:rPr>
        <w:t>, тъй като процедурата за подбор и назначаване на останалите съдии не е била приключена</w:t>
      </w:r>
      <w:r>
        <w:rPr>
          <w:rFonts w:ascii="Times New Roman" w:eastAsia="Times New Roman" w:hAnsi="Times New Roman" w:cs="Times New Roman"/>
          <w:sz w:val="24"/>
          <w:szCs w:val="20"/>
          <w:vertAlign w:val="superscript"/>
          <w:lang w:eastAsia="fr-FR"/>
        </w:rPr>
        <w:footnoteReference w:id="21"/>
      </w:r>
      <w:r>
        <w:rPr>
          <w:rFonts w:ascii="Times New Roman" w:hAnsi="Times New Roman"/>
          <w:sz w:val="24"/>
          <w:szCs w:val="20"/>
        </w:rPr>
        <w:t>. Този въпрос е разгледан в съответна за държавата препоръка в контекста на европейския семестър през 2019 г.</w:t>
      </w:r>
      <w:r>
        <w:rPr>
          <w:rFonts w:ascii="Times New Roman" w:eastAsia="Times New Roman" w:hAnsi="Times New Roman" w:cs="Times New Roman"/>
          <w:sz w:val="24"/>
          <w:szCs w:val="20"/>
          <w:vertAlign w:val="superscript"/>
          <w:lang w:eastAsia="fr-FR"/>
        </w:rPr>
        <w:footnoteReference w:id="22"/>
      </w:r>
      <w:r>
        <w:rPr>
          <w:rFonts w:ascii="Times New Roman" w:hAnsi="Times New Roman"/>
          <w:sz w:val="24"/>
          <w:szCs w:val="20"/>
        </w:rPr>
        <w:t xml:space="preserve">. Положителното е, че през октомври 2019 г. словашкият президент назначи останалите съдии в Конституционния съд, като сложи край на безизходицата, която съществуваше от февруари 2019 г. </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Освен това правителството обяви, че ще въведе определена възраст за пенсиониране на съдиите.</w:t>
      </w:r>
      <w:r>
        <w:rPr>
          <w:rFonts w:ascii="Times New Roman" w:hAnsi="Times New Roman"/>
          <w:sz w:val="24"/>
          <w:szCs w:val="20"/>
        </w:rPr>
        <w:t xml:space="preserve"> Плановете включват въвеждане на определена възраст за пенсиониране от 65 години за съдиите и 70 години за съдиите от Конституционния съд</w:t>
      </w:r>
      <w:r>
        <w:rPr>
          <w:rFonts w:ascii="Times New Roman" w:eastAsia="Times New Roman" w:hAnsi="Times New Roman" w:cs="Times New Roman"/>
          <w:sz w:val="24"/>
          <w:szCs w:val="20"/>
          <w:vertAlign w:val="superscript"/>
          <w:lang w:eastAsia="fr-FR"/>
        </w:rPr>
        <w:footnoteReference w:id="23"/>
      </w:r>
      <w:r>
        <w:rPr>
          <w:rFonts w:ascii="Times New Roman" w:hAnsi="Times New Roman"/>
          <w:sz w:val="24"/>
          <w:szCs w:val="20"/>
        </w:rPr>
        <w:t>, тъй като в момента в Словакия не съществува определена възраст за пенсиониране на съдиите</w:t>
      </w:r>
      <w:r>
        <w:rPr>
          <w:rFonts w:ascii="Times New Roman" w:eastAsia="Times New Roman" w:hAnsi="Times New Roman" w:cs="Times New Roman"/>
          <w:sz w:val="24"/>
          <w:szCs w:val="20"/>
          <w:vertAlign w:val="superscript"/>
          <w:lang w:eastAsia="fr-FR"/>
        </w:rPr>
        <w:footnoteReference w:id="24"/>
      </w:r>
      <w:r>
        <w:rPr>
          <w:rFonts w:ascii="Times New Roman" w:hAnsi="Times New Roman"/>
          <w:sz w:val="24"/>
          <w:szCs w:val="20"/>
        </w:rPr>
        <w:t xml:space="preserve">. </w:t>
      </w:r>
      <w:r>
        <w:rPr>
          <w:rFonts w:ascii="Times New Roman" w:hAnsi="Times New Roman"/>
          <w:sz w:val="24"/>
          <w:szCs w:val="24"/>
        </w:rPr>
        <w:t>Важно е тази предвидена реформа да бъде в съответствие с изискванията</w:t>
      </w:r>
      <w:r>
        <w:rPr>
          <w:rFonts w:ascii="Times New Roman" w:hAnsi="Times New Roman" w:cs="Times New Roman"/>
          <w:sz w:val="24"/>
          <w:szCs w:val="24"/>
          <w:vertAlign w:val="superscript"/>
        </w:rPr>
        <w:footnoteReference w:id="25"/>
      </w:r>
      <w:r>
        <w:rPr>
          <w:rFonts w:ascii="Times New Roman" w:hAnsi="Times New Roman"/>
          <w:sz w:val="24"/>
          <w:szCs w:val="24"/>
        </w:rPr>
        <w:t xml:space="preserve"> на законодателството на ЕС, както и да се вземат предвид препоръките на Съвета на Европа, свързани с независимостта на съдебната власт</w:t>
      </w:r>
      <w:r>
        <w:rPr>
          <w:rFonts w:ascii="Times New Roman" w:eastAsia="Times New Roman" w:hAnsi="Times New Roman" w:cs="Times New Roman"/>
          <w:sz w:val="24"/>
          <w:szCs w:val="24"/>
          <w:vertAlign w:val="superscript"/>
          <w:lang w:eastAsia="fr-FR"/>
        </w:rPr>
        <w:footnoteReference w:id="26"/>
      </w:r>
      <w:r>
        <w:rPr>
          <w:rFonts w:ascii="Times New Roman" w:hAnsi="Times New Roman"/>
          <w:sz w:val="24"/>
          <w:szCs w:val="24"/>
        </w:rPr>
        <w:t>.</w:t>
      </w:r>
    </w:p>
    <w:p>
      <w:pPr>
        <w:spacing w:after="240" w:line="240" w:lineRule="auto"/>
        <w:jc w:val="both"/>
        <w:rPr>
          <w:rFonts w:ascii="Times New Roman" w:eastAsia="Times New Roman" w:hAnsi="Times New Roman" w:cs="Times New Roman"/>
          <w:b/>
          <w:sz w:val="24"/>
          <w:szCs w:val="20"/>
        </w:rPr>
      </w:pPr>
      <w:r>
        <w:rPr>
          <w:rFonts w:ascii="Times New Roman" w:hAnsi="Times New Roman"/>
          <w:b/>
          <w:sz w:val="24"/>
          <w:szCs w:val="20"/>
        </w:rPr>
        <w:t>Качество</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През последните години усилията за подобряване на качеството на словашката правосъдна система се увеличиха.</w:t>
      </w:r>
      <w:r>
        <w:rPr>
          <w:rFonts w:ascii="Times New Roman" w:hAnsi="Times New Roman"/>
          <w:sz w:val="24"/>
          <w:szCs w:val="20"/>
        </w:rPr>
        <w:t xml:space="preserve"> На фона на поредица специфични за всяка държава препоръки в контекста на европейския семестър през 2014, 2016 и 2017 г. за подобряване на ефикасността и качеството на словашката правосъдна система</w:t>
      </w:r>
      <w:r>
        <w:rPr>
          <w:rFonts w:ascii="Times New Roman" w:eastAsia="Times New Roman" w:hAnsi="Times New Roman" w:cs="Times New Roman"/>
          <w:sz w:val="24"/>
          <w:szCs w:val="20"/>
          <w:vertAlign w:val="superscript"/>
          <w:lang w:eastAsia="fr-FR"/>
        </w:rPr>
        <w:footnoteReference w:id="27"/>
      </w:r>
      <w:r>
        <w:rPr>
          <w:rFonts w:ascii="Times New Roman" w:hAnsi="Times New Roman"/>
          <w:sz w:val="24"/>
          <w:szCs w:val="20"/>
        </w:rPr>
        <w:t xml:space="preserve"> словашките органи започнаха да осъществяват редица реформи, насочени към подобряване както на ефикасността, така и на качеството на словашката правосъдна система. Този процес се основава и на цялостен функционален преглед на словашката правосъдна система</w:t>
      </w:r>
      <w:r>
        <w:rPr>
          <w:rFonts w:ascii="Times New Roman" w:eastAsia="Times New Roman" w:hAnsi="Times New Roman" w:cs="Times New Roman"/>
          <w:sz w:val="24"/>
          <w:szCs w:val="20"/>
          <w:vertAlign w:val="superscript"/>
          <w:lang w:eastAsia="fr-FR"/>
        </w:rPr>
        <w:footnoteReference w:id="28"/>
      </w:r>
      <w:r>
        <w:rPr>
          <w:rFonts w:ascii="Times New Roman" w:hAnsi="Times New Roman"/>
          <w:sz w:val="24"/>
          <w:szCs w:val="20"/>
        </w:rPr>
        <w:t>, в който са набелязани редица области за реформите</w:t>
      </w:r>
      <w:r>
        <w:rPr>
          <w:rFonts w:ascii="Times New Roman" w:eastAsia="Times New Roman" w:hAnsi="Times New Roman" w:cs="Times New Roman"/>
          <w:sz w:val="24"/>
          <w:szCs w:val="20"/>
          <w:vertAlign w:val="superscript"/>
          <w:lang w:eastAsia="fr-FR"/>
        </w:rPr>
        <w:footnoteReference w:id="29"/>
      </w:r>
      <w:r>
        <w:rPr>
          <w:rFonts w:ascii="Times New Roman" w:hAnsi="Times New Roman"/>
          <w:sz w:val="24"/>
          <w:szCs w:val="20"/>
        </w:rPr>
        <w:t xml:space="preserve"> и са предвидени 62 препоръки за подобряване на ефикасността и качеството на словашката правосъдна система.</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 xml:space="preserve">Реформите на правосъдната система са приети и се прилагат, като същевременно са обявени допълнителни реформи. </w:t>
      </w:r>
      <w:r>
        <w:rPr>
          <w:rFonts w:ascii="Times New Roman" w:hAnsi="Times New Roman"/>
          <w:sz w:val="24"/>
          <w:szCs w:val="20"/>
        </w:rPr>
        <w:t xml:space="preserve">Това включва по-специално въвеждането на така наречените „летящи“ или гост-съдии за справяне с временните затруднения при значително натоварване в отделни съдилища, законодателни мерки за отписване на стари и неактивни изпълнителни дела, които са представлявали източване на ресурси, и текущи проекти за преценяване на тежестта на делата, както и определяне на времеви рамки. </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 xml:space="preserve">Словакия активно се ангажира с напредъка на цифровизацията на съдебната си система. </w:t>
      </w:r>
      <w:r>
        <w:rPr>
          <w:rFonts w:ascii="Times New Roman" w:hAnsi="Times New Roman"/>
          <w:sz w:val="24"/>
          <w:szCs w:val="20"/>
        </w:rPr>
        <w:t>Правителството обяви, че възнамерява да насърчи допълнително по-широкото използване на информационните технологии в съдилищата</w:t>
      </w:r>
      <w:r>
        <w:rPr>
          <w:rFonts w:ascii="Times New Roman" w:eastAsia="Times New Roman" w:hAnsi="Times New Roman" w:cs="Times New Roman"/>
          <w:sz w:val="24"/>
          <w:szCs w:val="20"/>
          <w:vertAlign w:val="superscript"/>
          <w:lang w:eastAsia="fr-FR"/>
        </w:rPr>
        <w:footnoteReference w:id="30"/>
      </w:r>
      <w:r>
        <w:rPr>
          <w:rFonts w:ascii="Times New Roman" w:hAnsi="Times New Roman"/>
          <w:sz w:val="24"/>
          <w:szCs w:val="20"/>
        </w:rPr>
        <w:t>.</w:t>
      </w:r>
      <w:r>
        <w:rPr>
          <w:rFonts w:ascii="Times New Roman" w:hAnsi="Times New Roman"/>
        </w:rPr>
        <w:t xml:space="preserve"> </w:t>
      </w:r>
      <w:r>
        <w:rPr>
          <w:rFonts w:ascii="Times New Roman" w:hAnsi="Times New Roman"/>
          <w:sz w:val="24"/>
          <w:szCs w:val="20"/>
        </w:rPr>
        <w:t>Това би допълнило текущите усилия за надграждане на наличните ИТ инструменти и аналитичния капацитет</w:t>
      </w:r>
      <w:r>
        <w:rPr>
          <w:rFonts w:ascii="Times New Roman" w:eastAsia="Times New Roman" w:hAnsi="Times New Roman" w:cs="Times New Roman"/>
          <w:sz w:val="24"/>
          <w:szCs w:val="20"/>
          <w:vertAlign w:val="superscript"/>
          <w:lang w:eastAsia="fr-FR"/>
        </w:rPr>
        <w:footnoteReference w:id="31"/>
      </w:r>
      <w:r>
        <w:rPr>
          <w:rFonts w:ascii="Times New Roman" w:hAnsi="Times New Roman"/>
          <w:sz w:val="24"/>
          <w:szCs w:val="20"/>
        </w:rPr>
        <w:t>. По-специално един обещаващ пример е завършеният проект за табла за изпълнението за всички словашки съдилища с цел повишаване на прозрачността и визуализиране на ключовите показатели за изпълнението</w:t>
      </w:r>
      <w:r>
        <w:rPr>
          <w:rFonts w:ascii="Times New Roman" w:eastAsia="Times New Roman" w:hAnsi="Times New Roman" w:cs="Times New Roman"/>
          <w:sz w:val="24"/>
          <w:szCs w:val="20"/>
          <w:vertAlign w:val="superscript"/>
          <w:lang w:eastAsia="fr-FR"/>
        </w:rPr>
        <w:footnoteReference w:id="32"/>
      </w:r>
      <w:r>
        <w:rPr>
          <w:rFonts w:ascii="Times New Roman" w:hAnsi="Times New Roman"/>
          <w:sz w:val="24"/>
          <w:szCs w:val="20"/>
        </w:rPr>
        <w:t>, като той вече е привлякъл интереса на заинтересовани страни извън Словакия. Определени ИТ проекти получават техническа подкрепа на европейско равнище</w:t>
      </w:r>
      <w:r>
        <w:rPr>
          <w:rFonts w:ascii="Times New Roman" w:eastAsia="Times New Roman" w:hAnsi="Times New Roman" w:cs="Times New Roman"/>
          <w:sz w:val="24"/>
          <w:szCs w:val="20"/>
          <w:vertAlign w:val="superscript"/>
          <w:lang w:eastAsia="fr-FR"/>
        </w:rPr>
        <w:footnoteReference w:id="33"/>
      </w:r>
      <w:r>
        <w:rPr>
          <w:rFonts w:ascii="Times New Roman" w:hAnsi="Times New Roman"/>
          <w:sz w:val="24"/>
          <w:szCs w:val="20"/>
        </w:rPr>
        <w:t>. В проучване от 2018 г. е направено заключението, че в словашката съдебна система вече се наблюдават сравнително високи равнища на прозрачност</w:t>
      </w:r>
      <w:r>
        <w:rPr>
          <w:rFonts w:ascii="Times New Roman" w:eastAsia="Times New Roman" w:hAnsi="Times New Roman" w:cs="Times New Roman"/>
          <w:sz w:val="24"/>
          <w:szCs w:val="20"/>
          <w:vertAlign w:val="superscript"/>
          <w:lang w:eastAsia="fr-FR"/>
        </w:rPr>
        <w:footnoteReference w:id="34"/>
      </w:r>
      <w:r>
        <w:rPr>
          <w:rFonts w:ascii="Times New Roman" w:hAnsi="Times New Roman"/>
          <w:sz w:val="24"/>
          <w:szCs w:val="20"/>
        </w:rPr>
        <w:t xml:space="preserve">. </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 xml:space="preserve">По отношение на достъпа до правосъдие и потенциално високите съдебни такси остават някои предизвикателства. </w:t>
      </w:r>
      <w:r>
        <w:rPr>
          <w:rFonts w:ascii="Times New Roman" w:hAnsi="Times New Roman"/>
          <w:sz w:val="24"/>
          <w:szCs w:val="20"/>
        </w:rPr>
        <w:t>Правната помощ за лица в риск от бедност все още не е напълно достъпна, а съдебните такси при специални търговски спорове са сред най-високите в ЕС</w:t>
      </w:r>
      <w:r>
        <w:rPr>
          <w:rFonts w:ascii="Times New Roman" w:eastAsia="Times New Roman" w:hAnsi="Times New Roman" w:cs="Times New Roman"/>
          <w:sz w:val="24"/>
          <w:szCs w:val="20"/>
          <w:vertAlign w:val="superscript"/>
          <w:lang w:eastAsia="fr-FR"/>
        </w:rPr>
        <w:footnoteReference w:id="35"/>
      </w:r>
      <w:r>
        <w:rPr>
          <w:rFonts w:ascii="Times New Roman" w:hAnsi="Times New Roman"/>
          <w:sz w:val="24"/>
          <w:szCs w:val="20"/>
        </w:rPr>
        <w:t>. Правителството обяви, че ще бъде направен преглед на съществуващата система за правна помощ, за да бъдат преразгледани съществуващите съдебни такси</w:t>
      </w:r>
      <w:r>
        <w:rPr>
          <w:rFonts w:ascii="Times New Roman" w:eastAsia="Times New Roman" w:hAnsi="Times New Roman" w:cs="Times New Roman"/>
          <w:sz w:val="24"/>
          <w:szCs w:val="20"/>
          <w:vertAlign w:val="superscript"/>
          <w:lang w:eastAsia="fr-FR"/>
        </w:rPr>
        <w:footnoteReference w:id="36"/>
      </w:r>
      <w:r>
        <w:rPr>
          <w:rFonts w:ascii="Times New Roman" w:hAnsi="Times New Roman"/>
          <w:sz w:val="24"/>
          <w:szCs w:val="20"/>
        </w:rPr>
        <w:t xml:space="preserve"> и да бъде обхваната по-голяма група от хора с ниски доходи, които не могат да получат достъп до правосъдие по друг начин.</w:t>
      </w:r>
    </w:p>
    <w:p>
      <w:pPr>
        <w:spacing w:after="240" w:line="240" w:lineRule="auto"/>
        <w:jc w:val="both"/>
        <w:rPr>
          <w:rFonts w:ascii="Times New Roman" w:eastAsia="Times New Roman" w:hAnsi="Times New Roman" w:cs="Times New Roman"/>
          <w:b/>
          <w:sz w:val="24"/>
          <w:szCs w:val="20"/>
        </w:rPr>
      </w:pPr>
      <w:r>
        <w:rPr>
          <w:rFonts w:ascii="Times New Roman" w:hAnsi="Times New Roman"/>
          <w:b/>
          <w:sz w:val="24"/>
          <w:szCs w:val="20"/>
        </w:rPr>
        <w:t>Ефикасност</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Ориентираните към ефикасност реформи, предприети през последните години, започнаха да дават резултати и до този момент словашката правосъдна система до голяма степен успява да се справи с натоварването си.</w:t>
      </w:r>
      <w:r>
        <w:rPr>
          <w:rFonts w:ascii="Times New Roman" w:hAnsi="Times New Roman"/>
          <w:sz w:val="24"/>
          <w:szCs w:val="20"/>
        </w:rPr>
        <w:t xml:space="preserve"> По-специално съдилищата продължават да се представят ефикасно по отношение на продължителността на производствата по граждански и търговски съдебни спорове на първа инстанция (157 дни през 2018 г. спрямо 171 дни през 2017 г.) и дела на приключените производства (130,6 % през 2018 г.), като същевременно е намалял броят на новите дела. Резултатите на съдилищата по административните дела обаче са спаднали, като делът на приключените производства е намалял (96,1 % през 2018 г. спрямо 118,1 % през 2017 г.), а продължителността на съдебните производства допълнително се е увеличила (401 дни през 2018 г. спрямо 317 дни през 2017 г.)</w:t>
      </w:r>
      <w:r>
        <w:rPr>
          <w:rFonts w:ascii="Times New Roman" w:eastAsia="Times New Roman" w:hAnsi="Times New Roman" w:cs="Times New Roman"/>
          <w:sz w:val="24"/>
          <w:szCs w:val="20"/>
          <w:vertAlign w:val="superscript"/>
          <w:lang w:eastAsia="fr-FR"/>
        </w:rPr>
        <w:footnoteReference w:id="37"/>
      </w:r>
      <w:r>
        <w:rPr>
          <w:rFonts w:ascii="Times New Roman" w:hAnsi="Times New Roman"/>
          <w:sz w:val="24"/>
          <w:szCs w:val="20"/>
        </w:rPr>
        <w:t>.</w:t>
      </w:r>
      <w:r>
        <w:rPr>
          <w:rFonts w:ascii="Times New Roman" w:hAnsi="Times New Roman"/>
          <w:sz w:val="24"/>
          <w:szCs w:val="20"/>
          <w:vertAlign w:val="superscript"/>
        </w:rPr>
        <w:t xml:space="preserve"> </w:t>
      </w:r>
      <w:r>
        <w:rPr>
          <w:rFonts w:ascii="Times New Roman" w:hAnsi="Times New Roman"/>
          <w:sz w:val="24"/>
          <w:szCs w:val="20"/>
        </w:rPr>
        <w:t>Властите посочиха също, че все още са налице някои предизвикателства, свързани с по-ефикасното разрешаване на по-стари дела, т.е. онези, които се разглеждат повече от две години. Правителството обяви планове за създаване на нов Върховен административен съд, за реформа на съдебната карта на Словакия и за повишаване на специализацията на съдиите</w:t>
      </w:r>
      <w:r>
        <w:rPr>
          <w:rFonts w:ascii="Times New Roman" w:eastAsia="Times New Roman" w:hAnsi="Times New Roman" w:cs="Times New Roman"/>
          <w:sz w:val="24"/>
          <w:szCs w:val="20"/>
          <w:vertAlign w:val="superscript"/>
          <w:lang w:eastAsia="fr-FR"/>
        </w:rPr>
        <w:footnoteReference w:id="38"/>
      </w:r>
      <w:r>
        <w:rPr>
          <w:rFonts w:ascii="Times New Roman" w:hAnsi="Times New Roman"/>
          <w:sz w:val="24"/>
          <w:szCs w:val="20"/>
        </w:rPr>
        <w:t>.</w:t>
      </w:r>
    </w:p>
    <w:p>
      <w:pPr>
        <w:rPr>
          <w:rFonts w:ascii="Times New Roman" w:eastAsia="Times New Roman" w:hAnsi="Times New Roman" w:cs="Times New Roman"/>
          <w:b/>
          <w:smallCaps/>
          <w:sz w:val="24"/>
          <w:szCs w:val="24"/>
          <w:u w:val="single"/>
        </w:rPr>
      </w:pPr>
      <w:r>
        <w:br w:type="page"/>
      </w:r>
    </w:p>
    <w:p>
      <w:pPr>
        <w:numPr>
          <w:ilvl w:val="0"/>
          <w:numId w:val="1"/>
        </w:numPr>
        <w:spacing w:after="240" w:line="240" w:lineRule="auto"/>
        <w:ind w:left="426" w:hanging="426"/>
        <w:jc w:val="both"/>
        <w:rPr>
          <w:rFonts w:ascii="Times New Roman" w:eastAsia="Times New Roman" w:hAnsi="Times New Roman" w:cs="Times New Roman"/>
          <w:b/>
          <w:smallCaps/>
          <w:sz w:val="24"/>
          <w:szCs w:val="24"/>
          <w:u w:val="single"/>
        </w:rPr>
      </w:pPr>
      <w:r>
        <w:rPr>
          <w:rFonts w:ascii="Times New Roman" w:hAnsi="Times New Roman"/>
          <w:b/>
          <w:smallCaps/>
          <w:sz w:val="24"/>
          <w:szCs w:val="24"/>
          <w:u w:val="single"/>
        </w:rPr>
        <w:t>Уредба за борба с корупцията</w:t>
      </w:r>
    </w:p>
    <w:p>
      <w:pPr>
        <w:spacing w:after="240" w:line="240" w:lineRule="auto"/>
        <w:jc w:val="both"/>
        <w:rPr>
          <w:rFonts w:ascii="Times New Roman" w:hAnsi="Times New Roman" w:cs="Times New Roman"/>
          <w:sz w:val="24"/>
          <w:szCs w:val="24"/>
        </w:rPr>
      </w:pPr>
      <w:r>
        <w:rPr>
          <w:rFonts w:ascii="Times New Roman" w:hAnsi="Times New Roman"/>
          <w:sz w:val="24"/>
          <w:szCs w:val="24"/>
        </w:rPr>
        <w:t>Правната и институционалната уредба за предотвратяване, разследване и наказателно преследване на корупцията до голяма степен е налице. Компетентността за предотвратяване, разкриване и наказателно преследване на корупцията се споделят между няколко органа. Правителствената служба е централният орган за координация на предотвратяването на корупцията. Националната агенция за борба с престъпността към Президиума на полицейските сили отговаря за разкриването и разследването на корупционни престъпления, с изключение на корупционни престъпления, извършени от полицейски служители и някои правоприлагащи органи, които попадат в сферата на компетентност на Бюрото за инспекция. Специалната прокуратура е компетентна за разследването на престъпления.</w:t>
      </w:r>
      <w:r>
        <w:rPr>
          <w:rFonts w:ascii="Times New Roman" w:hAnsi="Times New Roman"/>
        </w:rPr>
        <w:t xml:space="preserve"> </w:t>
      </w:r>
      <w:r>
        <w:rPr>
          <w:rFonts w:ascii="Times New Roman" w:hAnsi="Times New Roman"/>
          <w:sz w:val="24"/>
          <w:szCs w:val="24"/>
        </w:rPr>
        <w:t xml:space="preserve">Понастоящем контролът върху декларациите за имуществено състояние на национално равнище се извършва от парламентарна комисия, а на местно равнище — от комисия на местния съвет. </w:t>
      </w:r>
    </w:p>
    <w:p>
      <w:pPr>
        <w:spacing w:after="240" w:line="240" w:lineRule="auto"/>
        <w:jc w:val="both"/>
        <w:rPr>
          <w:rFonts w:ascii="Times New Roman" w:hAnsi="Times New Roman" w:cs="Times New Roman"/>
          <w:sz w:val="24"/>
          <w:szCs w:val="24"/>
        </w:rPr>
      </w:pPr>
      <w:r>
        <w:rPr>
          <w:rFonts w:ascii="Times New Roman" w:hAnsi="Times New Roman"/>
          <w:b/>
          <w:sz w:val="24"/>
          <w:szCs w:val="24"/>
        </w:rPr>
        <w:t>През последните три поредни години Словакия постигна резултат от 50/100 по Индекса за възприятие на корупцията на „Прозрачност без граници“, като се нареди на 16-то място в Европейския съюз и на 59-то в световен мащаб</w:t>
      </w:r>
      <w:r>
        <w:rPr>
          <w:rFonts w:ascii="Times New Roman" w:hAnsi="Times New Roman" w:cs="Times New Roman"/>
          <w:sz w:val="24"/>
          <w:szCs w:val="24"/>
          <w:vertAlign w:val="superscript"/>
          <w:lang w:eastAsia="fr-FR"/>
        </w:rPr>
        <w:footnoteReference w:id="39"/>
      </w:r>
      <w:r>
        <w:rPr>
          <w:rFonts w:ascii="Times New Roman" w:hAnsi="Times New Roman"/>
          <w:sz w:val="24"/>
          <w:szCs w:val="24"/>
        </w:rPr>
        <w:t>. 87 % от респондентите считат, че корупцията е широко разпространена (средната стойност за ЕС е 71 %), а 41 % от хората се чувстват лично засегнати от корупцията в ежедневието си (средната стойност за ЕС 26 %)</w:t>
      </w:r>
      <w:r>
        <w:rPr>
          <w:rFonts w:ascii="Times New Roman" w:hAnsi="Times New Roman" w:cs="Times New Roman"/>
          <w:sz w:val="24"/>
          <w:szCs w:val="24"/>
          <w:vertAlign w:val="superscript"/>
          <w:lang w:eastAsia="fr-FR"/>
        </w:rPr>
        <w:footnoteReference w:id="40"/>
      </w:r>
      <w:r>
        <w:rPr>
          <w:rFonts w:ascii="Times New Roman" w:hAnsi="Times New Roman"/>
          <w:sz w:val="24"/>
          <w:szCs w:val="24"/>
        </w:rPr>
        <w:t>. Според проучванията 88 % от дружествата възприемат корупцията като широко разпространена (средната стойност за ЕС е 63 %), а 53 % от дружествата считат, че корупцията е проблем за извършването на стопанска дейност (средната стойност за ЕС е 37 %). Според 37 % от хората има достатъчно на брой успешно приключили наказателни преследвания, за да се възпрат хората от корупционни практики (средната стойност за ЕС е 36 %), а 13 % от представителите на дружествата са отговорили, че физическите лица и предприятията, заловени за подкуп на висш служител, са получили подходящо наказание (средната стойност за ЕС е 31 %)</w:t>
      </w:r>
      <w:r>
        <w:rPr>
          <w:rFonts w:ascii="Times New Roman" w:hAnsi="Times New Roman" w:cs="Times New Roman"/>
          <w:sz w:val="24"/>
          <w:szCs w:val="24"/>
          <w:vertAlign w:val="superscript"/>
          <w:lang w:eastAsia="fr-FR"/>
        </w:rPr>
        <w:footnoteReference w:id="41"/>
      </w:r>
      <w:r>
        <w:rPr>
          <w:rFonts w:ascii="Times New Roman" w:hAnsi="Times New Roman"/>
          <w:sz w:val="24"/>
          <w:szCs w:val="24"/>
        </w:rPr>
        <w:t>.</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Борбата с корупцията е определена като един от ключовите приоритети в политическата програма на новото правителство</w:t>
      </w:r>
      <w:r>
        <w:rPr>
          <w:rFonts w:ascii="Times New Roman" w:hAnsi="Times New Roman"/>
          <w:sz w:val="24"/>
          <w:szCs w:val="20"/>
        </w:rPr>
        <w:t>, което обяви редица реформи в тази област. Това е в отговор на общественото недоволство по повод разкритията, направени в контекста на разследването на убийството на журналиста Ян Куцяк и неговата годеница Мартина Кушнирова, че висш олигарх е оказал значително влияние върху политиците, правоприлагащите органи и съдебната власт. През март 2019 г. тези разкрития предизвикаха, наред с другото, оставката на главния прокурор</w:t>
      </w:r>
      <w:r>
        <w:rPr>
          <w:rFonts w:ascii="Times New Roman" w:eastAsia="Times New Roman" w:hAnsi="Times New Roman" w:cs="Times New Roman"/>
          <w:sz w:val="24"/>
          <w:szCs w:val="20"/>
          <w:vertAlign w:val="superscript"/>
          <w:lang w:eastAsia="fr-FR"/>
        </w:rPr>
        <w:footnoteReference w:id="42"/>
      </w:r>
      <w:r>
        <w:rPr>
          <w:rFonts w:ascii="Times New Roman" w:hAnsi="Times New Roman"/>
          <w:sz w:val="24"/>
          <w:szCs w:val="20"/>
        </w:rPr>
        <w:t xml:space="preserve">. </w:t>
      </w:r>
    </w:p>
    <w:p>
      <w:pPr>
        <w:spacing w:after="240" w:line="240" w:lineRule="auto"/>
        <w:jc w:val="both"/>
        <w:rPr>
          <w:rFonts w:ascii="Times New Roman" w:hAnsi="Times New Roman" w:cs="Times New Roman"/>
          <w:sz w:val="24"/>
          <w:szCs w:val="24"/>
        </w:rPr>
      </w:pPr>
      <w:r>
        <w:rPr>
          <w:rFonts w:ascii="Times New Roman" w:hAnsi="Times New Roman"/>
          <w:b/>
          <w:sz w:val="24"/>
          <w:szCs w:val="24"/>
        </w:rPr>
        <w:t>Наказателноправната уредба за борба с корупцията до голяма степен е налице, като са създадени специализирани институции.</w:t>
      </w:r>
      <w:r>
        <w:rPr>
          <w:rFonts w:ascii="Times New Roman" w:hAnsi="Times New Roman"/>
          <w:sz w:val="24"/>
          <w:szCs w:val="24"/>
        </w:rPr>
        <w:t xml:space="preserve"> Криминализирани са всички форми на активна, пасивна, пряка и непряка корупция. В резултат на третия кръг на оценка на прилагането на Конвенцията на ОИСР за борба с подкупването</w:t>
      </w:r>
      <w:r>
        <w:rPr>
          <w:rFonts w:ascii="Times New Roman" w:hAnsi="Times New Roman" w:cs="Times New Roman"/>
          <w:sz w:val="24"/>
          <w:szCs w:val="24"/>
          <w:vertAlign w:val="superscript"/>
          <w:lang w:eastAsia="fr-FR"/>
        </w:rPr>
        <w:footnoteReference w:id="43"/>
      </w:r>
      <w:r>
        <w:rPr>
          <w:rFonts w:ascii="Times New Roman" w:hAnsi="Times New Roman"/>
          <w:sz w:val="24"/>
          <w:szCs w:val="24"/>
        </w:rPr>
        <w:t xml:space="preserve"> бяха изменени националните разпоредби относно престъпленията, свързани с подкупване на чуждо длъжностно лице. Словакия прие ново законодателство относно наказателната отговорност, в което са уредени санкциите, приложими към юридическите лица</w:t>
      </w:r>
      <w:r>
        <w:rPr>
          <w:rFonts w:ascii="Times New Roman" w:eastAsia="Times New Roman" w:hAnsi="Times New Roman" w:cs="Times New Roman"/>
          <w:sz w:val="24"/>
          <w:szCs w:val="24"/>
          <w:vertAlign w:val="superscript"/>
          <w:lang w:eastAsia="sk-SK"/>
        </w:rPr>
        <w:footnoteReference w:id="44"/>
      </w:r>
      <w:r>
        <w:rPr>
          <w:rFonts w:ascii="Times New Roman" w:hAnsi="Times New Roman"/>
          <w:sz w:val="24"/>
          <w:szCs w:val="24"/>
        </w:rPr>
        <w:t xml:space="preserve">. </w:t>
      </w:r>
    </w:p>
    <w:p>
      <w:pPr>
        <w:spacing w:after="240" w:line="240" w:lineRule="auto"/>
        <w:jc w:val="both"/>
        <w:rPr>
          <w:rFonts w:ascii="Times New Roman" w:hAnsi="Times New Roman" w:cs="Times New Roman"/>
          <w:sz w:val="24"/>
          <w:szCs w:val="24"/>
        </w:rPr>
      </w:pPr>
      <w:r>
        <w:rPr>
          <w:rFonts w:ascii="Times New Roman" w:hAnsi="Times New Roman"/>
          <w:b/>
          <w:sz w:val="24"/>
          <w:szCs w:val="24"/>
        </w:rPr>
        <w:t xml:space="preserve">Компетентността за предотвратяване, разкриване и наказателно преследване на корупцията се споделят между няколко органа. </w:t>
      </w:r>
      <w:r>
        <w:rPr>
          <w:rFonts w:ascii="Times New Roman" w:hAnsi="Times New Roman"/>
          <w:sz w:val="24"/>
          <w:szCs w:val="24"/>
        </w:rPr>
        <w:t>Правителствената служба е централният орган за координация на предотвратяването на корупцията, като включва секторни координатори за борба с корупцията, които съществуват към всеки централен административен орган от 2019 г. насам. През декември 2019 г. Правителствената служба въведе специален софтуерен инструмент за повишаване на ефективността на управлението на риска от корупция. Националната агенция за борба с престъпността към Президиума на полицейските сили (NAKA) отговаря за разкриването и разследването на корупционни престъпления, с изключение на корупционни престъпления, извършени от представители на полицията и някои правоприлагащи агенции</w:t>
      </w:r>
      <w:r>
        <w:rPr>
          <w:rFonts w:ascii="Times New Roman" w:hAnsi="Times New Roman" w:cs="Times New Roman"/>
          <w:sz w:val="24"/>
          <w:szCs w:val="24"/>
          <w:vertAlign w:val="superscript"/>
          <w:lang w:eastAsia="fr-FR"/>
        </w:rPr>
        <w:footnoteReference w:id="45"/>
      </w:r>
      <w:r>
        <w:rPr>
          <w:rFonts w:ascii="Times New Roman" w:hAnsi="Times New Roman"/>
          <w:sz w:val="24"/>
          <w:szCs w:val="24"/>
        </w:rPr>
        <w:t xml:space="preserve">, които попадат в сферата на компетентност на Бюрото за инспекция. Специалната прокуратура е компетентна за разследването на престъпления в рамките на материалната компетентност на Специализирания наказателен съд (SCC), който представлява първоинстанционен съд, създаден през 2009 г. </w:t>
      </w:r>
    </w:p>
    <w:p>
      <w:pPr>
        <w:spacing w:after="240" w:line="240" w:lineRule="auto"/>
        <w:jc w:val="both"/>
        <w:rPr>
          <w:rFonts w:ascii="Times New Roman" w:hAnsi="Times New Roman" w:cs="Times New Roman"/>
          <w:sz w:val="24"/>
          <w:szCs w:val="24"/>
        </w:rPr>
      </w:pPr>
      <w:r>
        <w:rPr>
          <w:rFonts w:ascii="Times New Roman" w:hAnsi="Times New Roman"/>
          <w:b/>
          <w:sz w:val="24"/>
          <w:szCs w:val="24"/>
        </w:rPr>
        <w:t>През последните години са разследвани и са обект на наказателно преследване едва няколко случая на корупция по високите етажи на властта.</w:t>
      </w:r>
      <w:r>
        <w:rPr>
          <w:rFonts w:ascii="Times New Roman" w:hAnsi="Times New Roman"/>
          <w:sz w:val="24"/>
          <w:szCs w:val="24"/>
        </w:rPr>
        <w:t xml:space="preserve"> През 2018 г., според статистиката на Специалната прокуратура, обвинените в корупция лица са били едва 48, което е най-ниският брой от 2009 г. насам, докато споразумения с прокуратурата са сключили 63 лица. В адресираната до Словакия специфична за държавата препоръка в контекста на европейския семестър през 2019 г. се посочва, че корупцията продължава да представлява предизвикателство, тъй като Словакия разполага с ограничен капацитет за разследване и наказателно преследване на случаи на корупция по високите етажи на властта</w:t>
      </w:r>
      <w:r>
        <w:rPr>
          <w:rFonts w:ascii="Times New Roman" w:hAnsi="Times New Roman" w:cs="Times New Roman"/>
          <w:sz w:val="24"/>
          <w:szCs w:val="24"/>
          <w:vertAlign w:val="superscript"/>
          <w:lang w:eastAsia="fr-FR"/>
        </w:rPr>
        <w:footnoteReference w:id="46"/>
      </w:r>
      <w:r>
        <w:rPr>
          <w:rFonts w:ascii="Times New Roman" w:hAnsi="Times New Roman"/>
          <w:sz w:val="24"/>
          <w:szCs w:val="24"/>
        </w:rPr>
        <w:t xml:space="preserve">. По тази причина от Специализирания наказателен съд са били разглеждани много малко дела за корупция по високите етажи на властта. В това отношение представлява проблем слабата защита, предлагана на лицата, сигнализиращи за нередности. Разкриването на корупционни престъпления продължава да се осъществява на много ниско равнище, като наказателно преследваните случаи на корупция по високите етажи на властта са малобройни. </w:t>
      </w:r>
    </w:p>
    <w:p>
      <w:pPr>
        <w:spacing w:after="240" w:line="240" w:lineRule="auto"/>
        <w:jc w:val="both"/>
        <w:rPr>
          <w:rFonts w:ascii="Times New Roman" w:hAnsi="Times New Roman" w:cs="Times New Roman"/>
          <w:sz w:val="24"/>
          <w:szCs w:val="24"/>
        </w:rPr>
      </w:pPr>
      <w:r>
        <w:rPr>
          <w:rFonts w:ascii="Times New Roman" w:hAnsi="Times New Roman"/>
          <w:b/>
          <w:sz w:val="24"/>
          <w:szCs w:val="24"/>
        </w:rPr>
        <w:t xml:space="preserve">Ефективността на специализираните институции за борба с корупцията представлява сериозно предизвикателство. </w:t>
      </w:r>
      <w:r>
        <w:rPr>
          <w:rFonts w:ascii="Times New Roman" w:hAnsi="Times New Roman"/>
          <w:sz w:val="24"/>
          <w:szCs w:val="24"/>
        </w:rPr>
        <w:t>През 2019 г. Националната агенция за борба с престъпността (NAKA) беше реорганизирана, но ресурсите ѝ не са увеличени. Едно от ключовите предизвикателства, установени от заинтересованите страни по отношение на разкриването и наказателното преследване на корупцията, включително по високите етажи на властта, е капацитетът за разследване. По-специално капацитетът за установяване на първите признаци на корупция е затруднен от липсата на ресурси и на специфичен експертен опит</w:t>
      </w:r>
      <w:r>
        <w:rPr>
          <w:rFonts w:ascii="Times New Roman" w:hAnsi="Times New Roman" w:cs="Times New Roman"/>
          <w:sz w:val="24"/>
          <w:szCs w:val="24"/>
          <w:vertAlign w:val="superscript"/>
          <w:lang w:eastAsia="fr-FR"/>
        </w:rPr>
        <w:footnoteReference w:id="47"/>
      </w:r>
      <w:r>
        <w:rPr>
          <w:rFonts w:ascii="Times New Roman" w:hAnsi="Times New Roman"/>
          <w:sz w:val="24"/>
          <w:szCs w:val="24"/>
        </w:rPr>
        <w:t xml:space="preserve">. Специалната прокуратура е изразила безпокойство по отношение на ресурсите, с които разполага. Там работят един прокурор на длъжността ръководител на отдел за борба с корупцията в прокуратурата и още четирима прокурори. Всеки прокурор отговаря средно за приблизително 80 дела едновременно, което поставя под въпрос ефективното наблюдение на разследванията. Специалната прокуратура е поискала повече ресурси, но засега, изглежда, няма планове за увеличаване на броя на прокурорите. </w:t>
      </w:r>
    </w:p>
    <w:p>
      <w:pPr>
        <w:spacing w:after="240" w:line="240" w:lineRule="auto"/>
        <w:jc w:val="both"/>
        <w:rPr>
          <w:rFonts w:ascii="Times New Roman" w:hAnsi="Times New Roman" w:cs="Times New Roman"/>
          <w:sz w:val="24"/>
          <w:szCs w:val="24"/>
        </w:rPr>
      </w:pPr>
      <w:r>
        <w:rPr>
          <w:rFonts w:ascii="Times New Roman" w:hAnsi="Times New Roman"/>
          <w:b/>
          <w:sz w:val="24"/>
          <w:szCs w:val="24"/>
        </w:rPr>
        <w:t>Законът от 2019 г. за защита на лицата, сигнализиращи за нередности, има за цел увеличаване на мерките за защита чрез създаване на независима служба за подаване за жалби, но засега прилагането му се забавя.</w:t>
      </w:r>
      <w:r>
        <w:rPr>
          <w:rFonts w:ascii="Times New Roman" w:hAnsi="Times New Roman"/>
          <w:sz w:val="24"/>
          <w:szCs w:val="24"/>
        </w:rPr>
        <w:t xml:space="preserve"> Законът е приет през януари 2019 г.</w:t>
      </w:r>
      <w:r>
        <w:rPr>
          <w:rFonts w:ascii="Times New Roman" w:hAnsi="Times New Roman" w:cs="Times New Roman"/>
          <w:sz w:val="24"/>
          <w:szCs w:val="24"/>
          <w:vertAlign w:val="superscript"/>
          <w:lang w:eastAsia="fr-FR"/>
        </w:rPr>
        <w:footnoteReference w:id="48"/>
      </w:r>
      <w:r>
        <w:rPr>
          <w:rFonts w:ascii="Times New Roman" w:hAnsi="Times New Roman"/>
          <w:sz w:val="24"/>
          <w:szCs w:val="24"/>
        </w:rPr>
        <w:t>, но към септември 2020 г. ръководителят на службата не е назначен и тя все още не е започнала да изпълнява своите функции.</w:t>
      </w:r>
      <w:r>
        <w:rPr>
          <w:rFonts w:ascii="Times New Roman" w:hAnsi="Times New Roman"/>
          <w:b/>
          <w:sz w:val="24"/>
          <w:szCs w:val="24"/>
        </w:rPr>
        <w:t xml:space="preserve"> </w:t>
      </w:r>
      <w:r>
        <w:rPr>
          <w:rFonts w:ascii="Times New Roman" w:hAnsi="Times New Roman"/>
          <w:sz w:val="24"/>
          <w:szCs w:val="24"/>
        </w:rPr>
        <w:t>Целта на новия закон е да се отговори на опасенията, изразени в предходната рамка, а именно несигурността, произтичаща от изискването за добросъвестно подаване на сигнал, несъответствията в защитата, предоставяна на различните категории длъжностни лица, и липсата на едновременни вътрешни и външни канали за сигнализиране за нередности</w:t>
      </w:r>
      <w:r>
        <w:rPr>
          <w:rFonts w:ascii="Times New Roman" w:hAnsi="Times New Roman" w:cs="Times New Roman"/>
          <w:sz w:val="24"/>
          <w:szCs w:val="24"/>
          <w:vertAlign w:val="superscript"/>
        </w:rPr>
        <w:footnoteReference w:id="49"/>
      </w:r>
      <w:r>
        <w:rPr>
          <w:rFonts w:ascii="Times New Roman" w:hAnsi="Times New Roman"/>
          <w:sz w:val="24"/>
          <w:szCs w:val="24"/>
        </w:rPr>
        <w:t xml:space="preserve">. </w:t>
      </w:r>
    </w:p>
    <w:p>
      <w:pPr>
        <w:spacing w:after="240" w:line="240" w:lineRule="auto"/>
        <w:jc w:val="both"/>
        <w:rPr>
          <w:rFonts w:ascii="Times New Roman" w:hAnsi="Times New Roman" w:cs="Times New Roman"/>
          <w:spacing w:val="-6"/>
          <w:sz w:val="24"/>
          <w:szCs w:val="24"/>
        </w:rPr>
      </w:pPr>
      <w:r>
        <w:rPr>
          <w:rFonts w:ascii="Times New Roman" w:hAnsi="Times New Roman"/>
          <w:b/>
          <w:spacing w:val="-6"/>
          <w:sz w:val="24"/>
          <w:szCs w:val="24"/>
        </w:rPr>
        <w:t>Понастоящем лобирането не е регламентирано в Словакия, а ограниченията след напускане на работа са слаби.</w:t>
      </w:r>
      <w:r>
        <w:rPr>
          <w:rFonts w:ascii="Times New Roman" w:hAnsi="Times New Roman"/>
          <w:spacing w:val="-6"/>
          <w:sz w:val="24"/>
          <w:szCs w:val="24"/>
        </w:rPr>
        <w:t xml:space="preserve"> Частични мерки и правила, като ограничения за подаръците, получавани от държавни служители във връзка с публичните им функции, се уреждат от Закона за конфликта на интереси</w:t>
      </w:r>
      <w:r>
        <w:rPr>
          <w:rFonts w:ascii="Times New Roman" w:hAnsi="Times New Roman" w:cs="Times New Roman"/>
          <w:spacing w:val="-6"/>
          <w:sz w:val="24"/>
          <w:szCs w:val="24"/>
          <w:vertAlign w:val="superscript"/>
          <w:lang w:eastAsia="fr-FR"/>
        </w:rPr>
        <w:footnoteReference w:id="50"/>
      </w:r>
      <w:r>
        <w:rPr>
          <w:rFonts w:ascii="Times New Roman" w:hAnsi="Times New Roman"/>
          <w:spacing w:val="-6"/>
          <w:sz w:val="24"/>
          <w:szCs w:val="24"/>
        </w:rPr>
        <w:t>. Програмата на новото правителство съдържа и ангажимент за приемане на закон за лобирането, който да съчетава законодателни мерки, задължителен регистър на лобистите, кодекс за поведение и създаването на специален регистър (относно областите на предвидено лобиране, информацията за клиентите на лобистите, разходите и възнаграждението за лобистка дейност)</w:t>
      </w:r>
      <w:r>
        <w:rPr>
          <w:rFonts w:ascii="Times New Roman" w:hAnsi="Times New Roman" w:cs="Times New Roman"/>
          <w:spacing w:val="-6"/>
          <w:sz w:val="24"/>
          <w:szCs w:val="24"/>
          <w:vertAlign w:val="superscript"/>
          <w:lang w:eastAsia="fr-FR"/>
        </w:rPr>
        <w:footnoteReference w:id="51"/>
      </w:r>
      <w:r>
        <w:rPr>
          <w:rFonts w:ascii="Times New Roman" w:hAnsi="Times New Roman"/>
          <w:spacing w:val="-6"/>
          <w:sz w:val="24"/>
          <w:szCs w:val="24"/>
        </w:rPr>
        <w:t>. В тази връзка в плана за борба с корупцията, приет през септември 2019 г., вече се предвижда министерството на правосъдието да представи законопроект на правителството до края на 2021 г. Що се отнася до „кадровата въртележка“ между държавния и частния сектор, разпоредбите относно положението след напускане на работа са включени в Закона за конфликта на интереси. Той се отнася изключително за държавни служители, които са заемали изпълнителни длъжности, или за членове на колективен орган за вземане на решения, но не и за съветници и висши държавни служители, тясно свързани с висшите изпълнителни функции. Ограниченията след заемане на публична длъжност (период на прекъсване) се прилагат за срок от една година след изтичането на мандата (в случай че лицето е имало правомощия за вземане на решения относно подкрепа, обезщетения или освобождаване от задължения за период от две години преди края на своя мандат или е сключило договор за обществена поръчка по време на своя мандат). В това отношение Групата държави срещу корупцията (GRECO) отбеляза доста ограничения обхват на разпоредбите и препоръча по-широки ограничения, които да включват и висши държавни служители на висши изпълнителни длъжности, както и въвеждането на правила за предотвратяване на лобирането от страна на бивши висши служители след напускането им</w:t>
      </w:r>
      <w:r>
        <w:rPr>
          <w:rFonts w:ascii="Times New Roman" w:hAnsi="Times New Roman" w:cs="Times New Roman"/>
          <w:spacing w:val="-6"/>
          <w:sz w:val="24"/>
          <w:szCs w:val="24"/>
          <w:vertAlign w:val="superscript"/>
          <w:lang w:eastAsia="fr-FR"/>
        </w:rPr>
        <w:footnoteReference w:id="52"/>
      </w:r>
      <w:r>
        <w:rPr>
          <w:rFonts w:ascii="Times New Roman" w:hAnsi="Times New Roman"/>
          <w:spacing w:val="-6"/>
          <w:sz w:val="24"/>
          <w:szCs w:val="24"/>
        </w:rPr>
        <w:t>.</w:t>
      </w:r>
    </w:p>
    <w:p>
      <w:pPr>
        <w:spacing w:after="240" w:line="240" w:lineRule="auto"/>
        <w:jc w:val="both"/>
        <w:rPr>
          <w:rFonts w:ascii="Times New Roman" w:hAnsi="Times New Roman" w:cs="Times New Roman"/>
          <w:sz w:val="24"/>
          <w:szCs w:val="24"/>
        </w:rPr>
      </w:pPr>
      <w:r>
        <w:rPr>
          <w:rFonts w:ascii="Times New Roman" w:hAnsi="Times New Roman"/>
          <w:b/>
          <w:sz w:val="24"/>
          <w:szCs w:val="24"/>
        </w:rPr>
        <w:t>Новото законодателство относно декларациите за имуществено състояние и конфликт на интереси на членовете на правителството и другите лица, заемащи публични длъжности, влезе в сила на 1 януари 2020 г.</w:t>
      </w:r>
      <w:r>
        <w:rPr>
          <w:rFonts w:ascii="Times New Roman" w:hAnsi="Times New Roman"/>
          <w:sz w:val="24"/>
          <w:szCs w:val="24"/>
        </w:rPr>
        <w:t xml:space="preserve"> С новия закон</w:t>
      </w:r>
      <w:r>
        <w:rPr>
          <w:rFonts w:ascii="Times New Roman" w:hAnsi="Times New Roman" w:cs="Times New Roman"/>
          <w:sz w:val="24"/>
          <w:szCs w:val="24"/>
          <w:vertAlign w:val="superscript"/>
          <w:lang w:eastAsia="fr-FR"/>
        </w:rPr>
        <w:footnoteReference w:id="53"/>
      </w:r>
      <w:r>
        <w:rPr>
          <w:rFonts w:ascii="Times New Roman" w:hAnsi="Times New Roman"/>
          <w:sz w:val="24"/>
          <w:szCs w:val="24"/>
        </w:rPr>
        <w:t xml:space="preserve"> беше разширен обхватът на имуществото, което трябва да бъде декларирано от държавните служители (за да бъдат включени използването на движимо и недвижимо имущество, принадлежащо на трети лица, и спецификация на получените подаръци). Целта на новия закон е да се отстранят недостатъците на законодателството, изтъкнати в препоръките на GRECO</w:t>
      </w:r>
      <w:r>
        <w:rPr>
          <w:rFonts w:ascii="Times New Roman" w:hAnsi="Times New Roman" w:cs="Times New Roman"/>
          <w:sz w:val="24"/>
          <w:szCs w:val="24"/>
          <w:vertAlign w:val="superscript"/>
          <w:lang w:eastAsia="fr-FR"/>
        </w:rPr>
        <w:footnoteReference w:id="54"/>
      </w:r>
      <w:r>
        <w:rPr>
          <w:rFonts w:ascii="Times New Roman" w:hAnsi="Times New Roman"/>
          <w:sz w:val="24"/>
          <w:szCs w:val="24"/>
          <w:vertAlign w:val="superscript"/>
        </w:rPr>
        <w:t>.</w:t>
      </w:r>
      <w:r>
        <w:rPr>
          <w:rFonts w:ascii="Times New Roman" w:hAnsi="Times New Roman"/>
          <w:sz w:val="24"/>
          <w:szCs w:val="24"/>
        </w:rPr>
        <w:t xml:space="preserve"> Със Закон № 66/2019 се разширява кръгът на държавните служители, обхванати от Конституционния закон за конфликт на интереси, така че да включва президента и членовете на надзорни съвети на юридически лица, в които държавата има мажоритарно участие, както и кметовете на градове</w:t>
      </w:r>
      <w:r>
        <w:rPr>
          <w:rFonts w:ascii="Times New Roman" w:hAnsi="Times New Roman" w:cs="Times New Roman"/>
          <w:sz w:val="24"/>
          <w:szCs w:val="24"/>
          <w:vertAlign w:val="superscript"/>
          <w:lang w:eastAsia="fr-FR"/>
        </w:rPr>
        <w:footnoteReference w:id="55"/>
      </w:r>
      <w:r>
        <w:rPr>
          <w:rFonts w:ascii="Times New Roman" w:hAnsi="Times New Roman"/>
          <w:sz w:val="24"/>
          <w:szCs w:val="24"/>
        </w:rPr>
        <w:t xml:space="preserve">. </w:t>
      </w:r>
    </w:p>
    <w:p>
      <w:pPr>
        <w:spacing w:after="240" w:line="240" w:lineRule="auto"/>
        <w:jc w:val="both"/>
        <w:rPr>
          <w:rFonts w:ascii="Times New Roman" w:hAnsi="Times New Roman" w:cs="Times New Roman"/>
          <w:sz w:val="24"/>
          <w:szCs w:val="24"/>
        </w:rPr>
      </w:pPr>
      <w:r>
        <w:rPr>
          <w:rFonts w:ascii="Times New Roman" w:hAnsi="Times New Roman"/>
          <w:b/>
          <w:sz w:val="24"/>
          <w:szCs w:val="24"/>
        </w:rPr>
        <w:t>Понастоящем контролът върху декларациите за имуществено състояние на национално равнище се извършва от парламентарна комисия, а на местно равнище — от комисия на местния съвет.</w:t>
      </w:r>
      <w:r>
        <w:rPr>
          <w:rFonts w:ascii="Times New Roman" w:hAnsi="Times New Roman"/>
          <w:sz w:val="24"/>
          <w:szCs w:val="24"/>
        </w:rPr>
        <w:t xml:space="preserve"> Новото правителство се ангажира да създаде независима институция, която не само да проверява декларациите за имуществено състояние, но и да отговаря за етичните въпроси. В националния план за действие се изисква правителствената служба и други съответни органи да преразгледат механизма за декларациите за имущественото състояние. Създадена е специална работна група с представители на съответните държавни органи, включително Съдебния съвет, Главната прокуратура и Националния съвет, както и две неправителствени организации (НПО)</w:t>
      </w:r>
      <w:r>
        <w:rPr>
          <w:rFonts w:ascii="Times New Roman" w:hAnsi="Times New Roman" w:cs="Times New Roman"/>
          <w:sz w:val="24"/>
          <w:szCs w:val="24"/>
          <w:vertAlign w:val="superscript"/>
          <w:lang w:eastAsia="fr-FR"/>
        </w:rPr>
        <w:footnoteReference w:id="56"/>
      </w:r>
      <w:r>
        <w:rPr>
          <w:rFonts w:ascii="Times New Roman" w:hAnsi="Times New Roman"/>
          <w:sz w:val="24"/>
          <w:szCs w:val="24"/>
        </w:rPr>
        <w:t xml:space="preserve">. </w:t>
      </w:r>
    </w:p>
    <w:p>
      <w:pPr>
        <w:spacing w:after="240" w:line="240" w:lineRule="auto"/>
        <w:jc w:val="both"/>
        <w:rPr>
          <w:rFonts w:ascii="Times New Roman" w:hAnsi="Times New Roman" w:cs="Times New Roman"/>
          <w:sz w:val="24"/>
          <w:szCs w:val="24"/>
        </w:rPr>
      </w:pPr>
      <w:r>
        <w:rPr>
          <w:rFonts w:ascii="Times New Roman" w:hAnsi="Times New Roman"/>
          <w:b/>
          <w:sz w:val="24"/>
          <w:szCs w:val="24"/>
        </w:rPr>
        <w:t>Системите относно почтеността (интегритета) в публичната администрация са подобрени чрез изменение на Закона за държавния служител.</w:t>
      </w:r>
      <w:r>
        <w:rPr>
          <w:rFonts w:ascii="Times New Roman" w:hAnsi="Times New Roman"/>
        </w:rPr>
        <w:t xml:space="preserve"> </w:t>
      </w:r>
      <w:r>
        <w:rPr>
          <w:rFonts w:ascii="Times New Roman" w:hAnsi="Times New Roman"/>
          <w:sz w:val="24"/>
          <w:szCs w:val="24"/>
        </w:rPr>
        <w:t>Това се отнася до държавните служители, включително министри, държавни секретари и ръководители на централни органи на държавната администрация. Тези законодателни промени включват етичен кодекс за държавния служител</w:t>
      </w:r>
      <w:r>
        <w:rPr>
          <w:rFonts w:ascii="Times New Roman" w:hAnsi="Times New Roman" w:cs="Times New Roman"/>
          <w:sz w:val="24"/>
          <w:szCs w:val="24"/>
          <w:vertAlign w:val="superscript"/>
        </w:rPr>
        <w:footnoteReference w:id="57"/>
      </w:r>
      <w:r>
        <w:rPr>
          <w:rFonts w:ascii="Times New Roman" w:hAnsi="Times New Roman"/>
          <w:sz w:val="24"/>
          <w:szCs w:val="24"/>
        </w:rPr>
        <w:t xml:space="preserve"> и система за оценка на съответствието на действията на държавния служител с кодекса. С кодекса се утвърждават основните етични ценности за държавните служители: политическа неутралност, безпристрастност, обществен интерес, достойнство и уважение в междуличностните отношения.</w:t>
      </w:r>
    </w:p>
    <w:p>
      <w:pPr>
        <w:numPr>
          <w:ilvl w:val="0"/>
          <w:numId w:val="1"/>
        </w:numPr>
        <w:spacing w:after="240" w:line="240" w:lineRule="auto"/>
        <w:ind w:left="426" w:hanging="426"/>
        <w:jc w:val="both"/>
        <w:rPr>
          <w:rFonts w:ascii="Times New Roman" w:eastAsia="Times New Roman" w:hAnsi="Times New Roman" w:cs="Times New Roman"/>
          <w:b/>
          <w:smallCaps/>
          <w:sz w:val="24"/>
          <w:szCs w:val="24"/>
          <w:u w:val="single"/>
        </w:rPr>
      </w:pPr>
      <w:r>
        <w:rPr>
          <w:rFonts w:ascii="Times New Roman" w:hAnsi="Times New Roman"/>
          <w:b/>
          <w:smallCaps/>
          <w:sz w:val="24"/>
          <w:szCs w:val="24"/>
          <w:u w:val="single"/>
        </w:rPr>
        <w:t>Медиен плурализъм</w:t>
      </w:r>
    </w:p>
    <w:p>
      <w:pPr>
        <w:spacing w:after="240" w:line="240" w:lineRule="auto"/>
        <w:jc w:val="both"/>
        <w:rPr>
          <w:rFonts w:ascii="Times New Roman" w:hAnsi="Times New Roman" w:cs="Times New Roman"/>
          <w:sz w:val="24"/>
          <w:szCs w:val="24"/>
        </w:rPr>
      </w:pPr>
      <w:r>
        <w:rPr>
          <w:rFonts w:ascii="Times New Roman" w:hAnsi="Times New Roman"/>
          <w:sz w:val="24"/>
          <w:szCs w:val="24"/>
        </w:rPr>
        <w:t>В Конституцията на Словакия се прогласяват свободата на изразяване на мнение, правото на достъп до информация и правото на изразяване на мнение с думи, в печатна форма, чрез изображения или по друг начин, както и правото на търсене, получаване и разпространение на идеи и информация. Правото на достъп до информация е намерило правен израз в Закона за свобода на информацията</w:t>
      </w:r>
      <w:r>
        <w:rPr>
          <w:rFonts w:ascii="Times New Roman" w:hAnsi="Times New Roman" w:cs="Times New Roman"/>
          <w:sz w:val="24"/>
          <w:szCs w:val="24"/>
          <w:vertAlign w:val="superscript"/>
        </w:rPr>
        <w:footnoteReference w:id="58"/>
      </w:r>
      <w:r>
        <w:rPr>
          <w:rFonts w:ascii="Times New Roman" w:hAnsi="Times New Roman"/>
          <w:sz w:val="24"/>
          <w:szCs w:val="24"/>
        </w:rPr>
        <w:t>. Законът за излъчването и препредаването</w:t>
      </w:r>
      <w:r>
        <w:rPr>
          <w:rFonts w:ascii="Times New Roman" w:hAnsi="Times New Roman" w:cs="Times New Roman"/>
          <w:sz w:val="24"/>
          <w:szCs w:val="24"/>
          <w:vertAlign w:val="superscript"/>
        </w:rPr>
        <w:footnoteReference w:id="59"/>
      </w:r>
      <w:r>
        <w:rPr>
          <w:rFonts w:ascii="Times New Roman" w:hAnsi="Times New Roman"/>
          <w:sz w:val="24"/>
          <w:szCs w:val="24"/>
        </w:rPr>
        <w:t xml:space="preserve"> цели осигуряване на плурализъм на информацията, докато в Закона за печата</w:t>
      </w:r>
      <w:r>
        <w:rPr>
          <w:rFonts w:ascii="Times New Roman" w:hAnsi="Times New Roman" w:cs="Times New Roman"/>
          <w:sz w:val="24"/>
          <w:szCs w:val="24"/>
          <w:vertAlign w:val="superscript"/>
        </w:rPr>
        <w:footnoteReference w:id="60"/>
      </w:r>
      <w:r>
        <w:rPr>
          <w:rFonts w:ascii="Times New Roman" w:hAnsi="Times New Roman"/>
          <w:sz w:val="24"/>
          <w:szCs w:val="24"/>
        </w:rPr>
        <w:t xml:space="preserve"> са установени правилата, свързани с печата и журналистите. Въпреки че свободата на изразяване на мнение като цяло се счита за надеждно защитена в Словакия, в наказателното законодателство е предвидено най-строгото наказание за клевета измежду всички държави — членки на ЕС — лишаване от свобода до 8 години. Правителството обяви намерението си да реформира правната уредба за някои онлайн медийни услуги, както и финансовите ресурси, които се отпускат на съответните регулаторни органи</w:t>
      </w:r>
      <w:r>
        <w:rPr>
          <w:rFonts w:ascii="Times New Roman" w:eastAsia="Times New Roman" w:hAnsi="Times New Roman" w:cs="Times New Roman"/>
          <w:sz w:val="24"/>
          <w:szCs w:val="20"/>
          <w:vertAlign w:val="superscript"/>
          <w:lang w:eastAsia="fr-FR"/>
        </w:rPr>
        <w:footnoteReference w:id="61"/>
      </w:r>
      <w:r>
        <w:rPr>
          <w:rFonts w:ascii="Times New Roman" w:hAnsi="Times New Roman"/>
          <w:sz w:val="24"/>
          <w:szCs w:val="24"/>
        </w:rPr>
        <w:t>.</w:t>
      </w:r>
    </w:p>
    <w:p>
      <w:pPr>
        <w:spacing w:after="240" w:line="240" w:lineRule="auto"/>
        <w:jc w:val="both"/>
        <w:rPr>
          <w:rFonts w:ascii="Times New Roman" w:hAnsi="Times New Roman" w:cs="Times New Roman"/>
          <w:sz w:val="24"/>
          <w:szCs w:val="24"/>
        </w:rPr>
      </w:pPr>
      <w:r>
        <w:rPr>
          <w:rFonts w:ascii="Times New Roman" w:hAnsi="Times New Roman"/>
          <w:b/>
          <w:sz w:val="24"/>
          <w:szCs w:val="24"/>
        </w:rPr>
        <w:t>Съществува Съвет за излъчването и препредаването, който има ясни правомощия и отговорности.</w:t>
      </w:r>
      <w:r>
        <w:rPr>
          <w:rFonts w:ascii="Times New Roman" w:hAnsi="Times New Roman"/>
          <w:sz w:val="24"/>
          <w:szCs w:val="24"/>
        </w:rPr>
        <w:t xml:space="preserve"> Мисията на този съвет е да се засили общественият интерес към упражняването на правото на информация, свободата на изразяване на мнение, както и правото на достъп до културни ценности и образование. Освен това Съветът има за задача да прилага държавните разпоредби в областта на излъчването, препредаването и предоставянето на аудиовизуални медийни услуги. Съветът, наред с другото, издава лицензи за излъчване, разглежда всички съответни жалби, може да разпореди спиране на препредаване, налага санкции на излъчващи оператори, препредаващи оператори и доставчици на аудиовизуални медийни услуги по заявка и осигурява сътрудничество със саморегулиращите се органи. Органът разполага със собствен бюджет и разпределените ресурси се считат за достатъчни за изпълнението на неговите задачи</w:t>
      </w:r>
      <w:r>
        <w:rPr>
          <w:rFonts w:ascii="Times New Roman" w:hAnsi="Times New Roman" w:cs="Times New Roman"/>
          <w:sz w:val="24"/>
          <w:szCs w:val="24"/>
          <w:vertAlign w:val="superscript"/>
        </w:rPr>
        <w:footnoteReference w:id="62"/>
      </w:r>
      <w:r>
        <w:rPr>
          <w:rFonts w:ascii="Times New Roman" w:hAnsi="Times New Roman"/>
          <w:sz w:val="24"/>
          <w:szCs w:val="24"/>
        </w:rPr>
        <w:t>. Със закон</w:t>
      </w:r>
      <w:r>
        <w:rPr>
          <w:rFonts w:ascii="Times New Roman" w:hAnsi="Times New Roman" w:cs="Times New Roman"/>
          <w:sz w:val="24"/>
          <w:szCs w:val="24"/>
          <w:vertAlign w:val="superscript"/>
        </w:rPr>
        <w:footnoteReference w:id="63"/>
      </w:r>
      <w:r>
        <w:rPr>
          <w:rFonts w:ascii="Times New Roman" w:hAnsi="Times New Roman"/>
          <w:sz w:val="24"/>
          <w:szCs w:val="24"/>
        </w:rPr>
        <w:t xml:space="preserve"> са установени ясни правила за назначаване и освобождаване на членовете на Съвета. При мониторинга на медийния плурализъм за 2020 г.</w:t>
      </w:r>
      <w:r>
        <w:rPr>
          <w:rFonts w:ascii="Times New Roman" w:hAnsi="Times New Roman" w:cs="Times New Roman"/>
          <w:sz w:val="24"/>
          <w:szCs w:val="24"/>
          <w:vertAlign w:val="superscript"/>
        </w:rPr>
        <w:footnoteReference w:id="64"/>
      </w:r>
      <w:r>
        <w:rPr>
          <w:rFonts w:ascii="Times New Roman" w:hAnsi="Times New Roman"/>
          <w:sz w:val="24"/>
          <w:szCs w:val="24"/>
        </w:rPr>
        <w:t xml:space="preserve"> се стига до заключението, че независимостта на Съвета като цяло е гарантирана, като рисковият фактор остава стабилен и нисък, но като нов проблем се посочва нарастващото номиниране на политически фигури. Организации на гражданското общество се оплакват, че през последния изборен период Съветът не е извършил правилен мониторинг на обществената телевизия</w:t>
      </w:r>
      <w:r>
        <w:rPr>
          <w:rFonts w:ascii="Times New Roman" w:hAnsi="Times New Roman" w:cs="Times New Roman"/>
          <w:sz w:val="24"/>
          <w:szCs w:val="24"/>
          <w:vertAlign w:val="superscript"/>
        </w:rPr>
        <w:footnoteReference w:id="65"/>
      </w:r>
      <w:r>
        <w:rPr>
          <w:rFonts w:ascii="Times New Roman" w:hAnsi="Times New Roman"/>
          <w:sz w:val="24"/>
          <w:szCs w:val="24"/>
        </w:rPr>
        <w:t xml:space="preserve">. </w:t>
      </w:r>
    </w:p>
    <w:p>
      <w:pPr>
        <w:spacing w:after="240" w:line="240" w:lineRule="auto"/>
        <w:jc w:val="both"/>
        <w:rPr>
          <w:rFonts w:ascii="Times New Roman" w:hAnsi="Times New Roman" w:cs="Times New Roman"/>
          <w:sz w:val="24"/>
          <w:szCs w:val="24"/>
        </w:rPr>
      </w:pPr>
      <w:r>
        <w:rPr>
          <w:rFonts w:ascii="Times New Roman" w:hAnsi="Times New Roman"/>
          <w:b/>
          <w:sz w:val="24"/>
          <w:szCs w:val="24"/>
        </w:rPr>
        <w:t>В Словакия не е въведена систематична регулаторна рамка, която да позволява прозрачност на собствеността върху медиите</w:t>
      </w:r>
      <w:r>
        <w:rPr>
          <w:rFonts w:ascii="Times New Roman" w:hAnsi="Times New Roman"/>
          <w:sz w:val="24"/>
          <w:szCs w:val="24"/>
        </w:rPr>
        <w:t>. Ето защо при мониторинга на медийния плурализъм за 2020 г. се стига до заключението, че това представлява най-рисковата област за държавата. При Мониторинга на медийния плурализъм за 2020 г. се посочва още, че макар в Закона за регистъра на партньорите от публичния сектор</w:t>
      </w:r>
      <w:r>
        <w:rPr>
          <w:rFonts w:ascii="Times New Roman" w:hAnsi="Times New Roman" w:cs="Times New Roman"/>
          <w:sz w:val="24"/>
          <w:szCs w:val="24"/>
          <w:vertAlign w:val="superscript"/>
        </w:rPr>
        <w:footnoteReference w:id="66"/>
      </w:r>
      <w:r>
        <w:rPr>
          <w:rFonts w:ascii="Times New Roman" w:hAnsi="Times New Roman"/>
          <w:sz w:val="24"/>
          <w:szCs w:val="24"/>
        </w:rPr>
        <w:t xml:space="preserve"> да се допуска непряко оповестяване на действителните собственици на основни медии, медиите, които не работят с държавата или не получават публично финансиране, не са посочени в него. Съветът за излъчването и препредаването и министерството на културата събират частична информация за собствениците на традиционните медии, но не разполагат с правните инструменти за получаване на информация по отношение на действителните собственици и бенефициери. Словашките органи посочиха, че това поражда съществен проблем по отношение на електронните медии и че въпросът се очаква да бъде разрешен чрез законодателна намеса. В този контекст следва също да се припомни, че с преразгледаната Директива за аудиовизуалните медийни услуги държавите членки се насърчават да приемат законодателни мерки, в които се предвижда доставчиците на медийни услуги под тяхна юрисдикция да предоставят достъп до информация относно тяхната структура на собственост, включително действителните собственици.</w:t>
      </w:r>
    </w:p>
    <w:p>
      <w:pPr>
        <w:spacing w:after="240" w:line="240" w:lineRule="auto"/>
        <w:jc w:val="both"/>
        <w:rPr>
          <w:rFonts w:ascii="Times New Roman" w:hAnsi="Times New Roman" w:cs="Times New Roman"/>
          <w:sz w:val="24"/>
          <w:szCs w:val="24"/>
        </w:rPr>
      </w:pPr>
      <w:r>
        <w:rPr>
          <w:rFonts w:ascii="Times New Roman" w:hAnsi="Times New Roman"/>
          <w:b/>
          <w:sz w:val="24"/>
          <w:szCs w:val="24"/>
        </w:rPr>
        <w:t>По отношение на политическата независимост в Словакия липсват правните гаранции, които по ефективен начин биха предотвратили конфликт на интереси между собствениците на медии и управляващите партии, пристрастни групи или политици.</w:t>
      </w:r>
      <w:r>
        <w:rPr>
          <w:rFonts w:ascii="Times New Roman" w:hAnsi="Times New Roman"/>
          <w:sz w:val="24"/>
          <w:szCs w:val="24"/>
        </w:rPr>
        <w:t xml:space="preserve"> Този проблем изглежда особено остър в местните публикации през изборните периоди, като се има предвид, че повечето местни медии се финансират или притежават съвместно от местни общински органи. От друга страна, големите вестници и информационни агенции продължават да показват устойчивост на политически натиск.</w:t>
      </w:r>
    </w:p>
    <w:p>
      <w:pPr>
        <w:spacing w:after="240" w:line="240" w:lineRule="auto"/>
        <w:jc w:val="both"/>
        <w:rPr>
          <w:rFonts w:ascii="Times New Roman" w:hAnsi="Times New Roman" w:cs="Times New Roman"/>
          <w:sz w:val="24"/>
          <w:szCs w:val="24"/>
        </w:rPr>
      </w:pPr>
      <w:r>
        <w:rPr>
          <w:rFonts w:ascii="Times New Roman" w:hAnsi="Times New Roman"/>
          <w:b/>
          <w:sz w:val="24"/>
          <w:szCs w:val="24"/>
        </w:rPr>
        <w:t>Към момента не съществува рамка за регулиране на разпространението на държавната реклама.</w:t>
      </w:r>
      <w:r>
        <w:rPr>
          <w:rFonts w:ascii="Times New Roman" w:hAnsi="Times New Roman"/>
          <w:sz w:val="24"/>
          <w:szCs w:val="24"/>
        </w:rPr>
        <w:t xml:space="preserve"> Словашките органи посочиха, че в Закона за излъчването и препредаването не се дава определение на понятието „държавна реклама“. Всички договори между държавния и частния сектор обаче се регистрират в централния регистър на договорите. Този регистър е публично достъпен и съответно осигурява известна степен на прозрачност в това отношение. Редакционната автономия зависи от саморегулирането, за което в мониторинга на медийния плурализъм за 2020 г. се посочва, че е обикновено ефективно при субектите, прилагащи етичния кодекс</w:t>
      </w:r>
      <w:r>
        <w:rPr>
          <w:rFonts w:ascii="Times New Roman" w:hAnsi="Times New Roman"/>
        </w:rPr>
        <w:t xml:space="preserve"> </w:t>
      </w:r>
      <w:r>
        <w:rPr>
          <w:rFonts w:ascii="Times New Roman" w:hAnsi="Times New Roman"/>
          <w:sz w:val="24"/>
          <w:szCs w:val="24"/>
        </w:rPr>
        <w:t xml:space="preserve">на словашкия синдикат на журналистите. </w:t>
      </w:r>
    </w:p>
    <w:p>
      <w:pPr>
        <w:spacing w:after="240" w:line="240" w:lineRule="auto"/>
        <w:jc w:val="both"/>
        <w:rPr>
          <w:rFonts w:ascii="Times New Roman" w:hAnsi="Times New Roman" w:cs="Times New Roman"/>
          <w:sz w:val="24"/>
          <w:szCs w:val="24"/>
        </w:rPr>
      </w:pPr>
      <w:r>
        <w:rPr>
          <w:rFonts w:ascii="Times New Roman" w:hAnsi="Times New Roman"/>
          <w:b/>
          <w:sz w:val="24"/>
          <w:szCs w:val="24"/>
        </w:rPr>
        <w:t xml:space="preserve">Убийството на журналиста Ян Куцяк и годеницата му Мартина Кушнирова през 2018 г. предизвика широк дебат в словашкото общество относно безопасността на журналистите. </w:t>
      </w:r>
      <w:r>
        <w:rPr>
          <w:rFonts w:ascii="Times New Roman" w:hAnsi="Times New Roman"/>
          <w:sz w:val="24"/>
          <w:szCs w:val="24"/>
        </w:rPr>
        <w:t>Дебатът беше съсредоточен върху съобщените случаи на незаконно шпиониране на журналисти, наред с другото, от бивш член на държавната служба за сигурност, липсата на полицейска реакция след подаването на сигнали за заплахи за убийство срещу журналисти и разкритията, че висш олигарх е оказал значително влияние върху политици</w:t>
      </w:r>
      <w:r>
        <w:rPr>
          <w:rFonts w:ascii="Times New Roman" w:eastAsia="Times New Roman" w:hAnsi="Times New Roman" w:cs="Times New Roman"/>
          <w:sz w:val="24"/>
          <w:szCs w:val="20"/>
          <w:vertAlign w:val="superscript"/>
          <w:lang w:eastAsia="fr-FR"/>
        </w:rPr>
        <w:footnoteReference w:id="67"/>
      </w:r>
      <w:r>
        <w:rPr>
          <w:rFonts w:ascii="Times New Roman" w:hAnsi="Times New Roman"/>
          <w:sz w:val="24"/>
          <w:szCs w:val="24"/>
        </w:rPr>
        <w:t xml:space="preserve">. </w:t>
      </w:r>
    </w:p>
    <w:p>
      <w:pPr>
        <w:spacing w:after="240" w:line="240" w:lineRule="auto"/>
        <w:jc w:val="both"/>
        <w:rPr>
          <w:rFonts w:ascii="Times New Roman" w:hAnsi="Times New Roman" w:cs="Times New Roman"/>
          <w:sz w:val="24"/>
          <w:szCs w:val="24"/>
        </w:rPr>
      </w:pPr>
      <w:r>
        <w:rPr>
          <w:rFonts w:ascii="Times New Roman" w:hAnsi="Times New Roman"/>
          <w:b/>
          <w:sz w:val="24"/>
          <w:szCs w:val="24"/>
        </w:rPr>
        <w:t>Всеобщо признато е, че словашкото гражданско общество, политическата класа и съответните органи са реагирали остро след покушението и в последвалия го период.</w:t>
      </w:r>
      <w:r>
        <w:rPr>
          <w:rFonts w:ascii="Times New Roman" w:hAnsi="Times New Roman"/>
          <w:sz w:val="24"/>
          <w:szCs w:val="24"/>
        </w:rPr>
        <w:t xml:space="preserve"> Гражданското общество и журналистическите организации ясно дадоха да се разбере, че покушението представлява истинска повратна точка в държавата, не на последно място по отношение на положението на разследващата журналистика в словашкото общество</w:t>
      </w:r>
      <w:r>
        <w:rPr>
          <w:rFonts w:ascii="Times New Roman" w:hAnsi="Times New Roman" w:cs="Times New Roman"/>
          <w:sz w:val="24"/>
          <w:szCs w:val="24"/>
          <w:vertAlign w:val="superscript"/>
        </w:rPr>
        <w:footnoteReference w:id="68"/>
      </w:r>
      <w:r>
        <w:rPr>
          <w:rFonts w:ascii="Times New Roman" w:hAnsi="Times New Roman"/>
          <w:sz w:val="24"/>
          <w:szCs w:val="24"/>
        </w:rPr>
        <w:t xml:space="preserve">. </w:t>
      </w:r>
    </w:p>
    <w:p>
      <w:pPr>
        <w:spacing w:after="240" w:line="240" w:lineRule="auto"/>
        <w:jc w:val="both"/>
        <w:rPr>
          <w:rFonts w:ascii="Times New Roman" w:hAnsi="Times New Roman" w:cs="Times New Roman"/>
          <w:sz w:val="24"/>
          <w:szCs w:val="24"/>
        </w:rPr>
      </w:pPr>
      <w:r>
        <w:rPr>
          <w:rFonts w:ascii="Times New Roman" w:hAnsi="Times New Roman"/>
          <w:b/>
          <w:sz w:val="24"/>
          <w:szCs w:val="24"/>
        </w:rPr>
        <w:t xml:space="preserve">Срещу журналистите обаче продължава да се упражнява известна степен на тормоз. </w:t>
      </w:r>
      <w:r>
        <w:rPr>
          <w:rFonts w:ascii="Times New Roman" w:hAnsi="Times New Roman"/>
          <w:sz w:val="24"/>
          <w:szCs w:val="24"/>
        </w:rPr>
        <w:t>През 2019 г. в платформата на Съвета на Европа за насърчаване на защитата на журналистиката и безопасността на журналистите бяха публикувани четири сигнала за Словакия</w:t>
      </w:r>
      <w:r>
        <w:rPr>
          <w:rFonts w:ascii="Times New Roman" w:hAnsi="Times New Roman" w:cs="Times New Roman"/>
          <w:sz w:val="24"/>
          <w:szCs w:val="24"/>
          <w:vertAlign w:val="superscript"/>
        </w:rPr>
        <w:footnoteReference w:id="69"/>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Сигналите се отнасяха до вербални атаки и кампании с негативни послания срещу журналисти, наблюдение на журналисти, както и закон, постановяващ право на отговор на политиците</w:t>
      </w:r>
      <w:r>
        <w:rPr>
          <w:rFonts w:ascii="Times New Roman" w:hAnsi="Times New Roman" w:cs="Times New Roman"/>
          <w:sz w:val="24"/>
          <w:szCs w:val="24"/>
          <w:vertAlign w:val="superscript"/>
        </w:rPr>
        <w:footnoteReference w:id="70"/>
      </w:r>
      <w:r>
        <w:rPr>
          <w:rFonts w:ascii="Times New Roman" w:hAnsi="Times New Roman"/>
          <w:sz w:val="24"/>
          <w:szCs w:val="24"/>
        </w:rPr>
        <w:t>. През 2020 г. в платформата са получени два сигнала, свързани с обвинения в клевета срещу автор на редакционни статии във вестник и заплаха срещу журналист</w:t>
      </w:r>
      <w:r>
        <w:rPr>
          <w:rFonts w:ascii="Times New Roman" w:hAnsi="Times New Roman" w:cs="Times New Roman"/>
          <w:sz w:val="24"/>
          <w:szCs w:val="24"/>
          <w:vertAlign w:val="superscript"/>
        </w:rPr>
        <w:footnoteReference w:id="71"/>
      </w:r>
      <w:r>
        <w:rPr>
          <w:rFonts w:ascii="Times New Roman" w:hAnsi="Times New Roman"/>
          <w:sz w:val="24"/>
          <w:szCs w:val="24"/>
        </w:rPr>
        <w:t>.</w:t>
      </w:r>
    </w:p>
    <w:p>
      <w:pPr>
        <w:numPr>
          <w:ilvl w:val="0"/>
          <w:numId w:val="1"/>
        </w:numPr>
        <w:spacing w:after="240" w:line="240" w:lineRule="auto"/>
        <w:ind w:left="426" w:hanging="426"/>
        <w:jc w:val="both"/>
        <w:rPr>
          <w:rFonts w:ascii="Times New Roman" w:eastAsia="Times New Roman" w:hAnsi="Times New Roman" w:cs="Times New Roman"/>
          <w:b/>
          <w:smallCaps/>
          <w:sz w:val="24"/>
          <w:szCs w:val="24"/>
          <w:u w:val="single"/>
        </w:rPr>
      </w:pPr>
      <w:r>
        <w:rPr>
          <w:rFonts w:ascii="Times New Roman" w:hAnsi="Times New Roman"/>
          <w:b/>
          <w:smallCaps/>
          <w:sz w:val="24"/>
          <w:szCs w:val="24"/>
          <w:u w:val="single"/>
        </w:rPr>
        <w:t>Други институционални въпроси, свързани с принципа на взаимозависимост и взаимоограничаване</w:t>
      </w:r>
    </w:p>
    <w:p>
      <w:pPr>
        <w:spacing w:after="240" w:line="240" w:lineRule="auto"/>
        <w:jc w:val="both"/>
        <w:rPr>
          <w:rFonts w:ascii="Times New Roman" w:eastAsia="Times New Roman" w:hAnsi="Times New Roman" w:cs="Times New Roman"/>
          <w:sz w:val="24"/>
          <w:szCs w:val="20"/>
        </w:rPr>
      </w:pPr>
      <w:r>
        <w:rPr>
          <w:rFonts w:ascii="Times New Roman" w:hAnsi="Times New Roman"/>
          <w:sz w:val="24"/>
          <w:szCs w:val="20"/>
        </w:rPr>
        <w:t>Словакия е парламентарна република, в която Националният съвет (парламентът) е единственият конституционен и законодателен орган</w:t>
      </w:r>
      <w:r>
        <w:rPr>
          <w:rFonts w:ascii="Times New Roman" w:eastAsia="Times New Roman" w:hAnsi="Times New Roman" w:cs="Times New Roman"/>
          <w:sz w:val="24"/>
          <w:szCs w:val="20"/>
          <w:vertAlign w:val="superscript"/>
          <w:lang w:eastAsia="fr-FR"/>
        </w:rPr>
        <w:footnoteReference w:id="72"/>
      </w:r>
      <w:r>
        <w:rPr>
          <w:rFonts w:ascii="Times New Roman" w:hAnsi="Times New Roman"/>
          <w:sz w:val="24"/>
          <w:szCs w:val="20"/>
        </w:rPr>
        <w:t>. Право да представят законодателни актове имат комисиите на парламента, отделните членове на парламента и правителството</w:t>
      </w:r>
      <w:r>
        <w:rPr>
          <w:rFonts w:ascii="Times New Roman" w:eastAsia="Times New Roman" w:hAnsi="Times New Roman" w:cs="Times New Roman"/>
          <w:sz w:val="24"/>
          <w:szCs w:val="20"/>
          <w:vertAlign w:val="superscript"/>
          <w:lang w:eastAsia="fr-FR"/>
        </w:rPr>
        <w:footnoteReference w:id="73"/>
      </w:r>
      <w:r>
        <w:rPr>
          <w:rFonts w:ascii="Times New Roman" w:hAnsi="Times New Roman"/>
          <w:sz w:val="24"/>
          <w:szCs w:val="20"/>
        </w:rPr>
        <w:t xml:space="preserve">. </w:t>
      </w:r>
      <w:r>
        <w:rPr>
          <w:rFonts w:ascii="Times New Roman" w:hAnsi="Times New Roman"/>
          <w:sz w:val="24"/>
          <w:szCs w:val="24"/>
        </w:rPr>
        <w:t xml:space="preserve">Конституционният съд взема решение относно съответствието на законите с Конституцията, конституционните актове и международните споразумения и гарантира зачитане на основните и конституционните права. Независимите органи също играят роля в защитата на основните права. </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Обявени са подобрения по отношение на процеса на изготвяне и приемане на закони.</w:t>
      </w:r>
      <w:r>
        <w:rPr>
          <w:rFonts w:ascii="Times New Roman" w:hAnsi="Times New Roman"/>
          <w:sz w:val="24"/>
          <w:szCs w:val="20"/>
        </w:rPr>
        <w:t xml:space="preserve"> Правителството, назначено през март 2020 г., посочи, че има за цел да подобри стабилността и предвидимостта на регулаторната рамка чрез действия като подобряване на планирането и прозрачността на законодателния процес. </w:t>
      </w:r>
      <w:r>
        <w:rPr>
          <w:rFonts w:ascii="Times New Roman" w:hAnsi="Times New Roman"/>
          <w:sz w:val="24"/>
          <w:szCs w:val="24"/>
        </w:rPr>
        <w:t>Освен това правителството декларира намерението си да засили спазването на съществуващото законодателство</w:t>
      </w:r>
      <w:r>
        <w:rPr>
          <w:rFonts w:ascii="Times New Roman" w:eastAsia="Times New Roman" w:hAnsi="Times New Roman" w:cs="Times New Roman"/>
          <w:sz w:val="24"/>
          <w:szCs w:val="24"/>
          <w:vertAlign w:val="superscript"/>
          <w:lang w:eastAsia="en-GB"/>
        </w:rPr>
        <w:footnoteReference w:id="74"/>
      </w:r>
      <w:r>
        <w:rPr>
          <w:rFonts w:ascii="Times New Roman" w:hAnsi="Times New Roman"/>
          <w:sz w:val="24"/>
          <w:szCs w:val="24"/>
        </w:rPr>
        <w:t xml:space="preserve"> и да укрепи аналитичните звена</w:t>
      </w:r>
      <w:r>
        <w:rPr>
          <w:rFonts w:ascii="Times New Roman" w:eastAsia="Times New Roman" w:hAnsi="Times New Roman" w:cs="Times New Roman"/>
          <w:sz w:val="24"/>
          <w:szCs w:val="20"/>
          <w:vertAlign w:val="superscript"/>
          <w:lang w:eastAsia="fr-FR"/>
        </w:rPr>
        <w:footnoteReference w:id="75"/>
      </w:r>
      <w:r>
        <w:rPr>
          <w:rFonts w:ascii="Times New Roman" w:hAnsi="Times New Roman"/>
          <w:sz w:val="24"/>
          <w:szCs w:val="24"/>
        </w:rPr>
        <w:t>.</w:t>
      </w:r>
      <w:r>
        <w:rPr>
          <w:rFonts w:ascii="Times New Roman" w:hAnsi="Times New Roman"/>
          <w:sz w:val="24"/>
          <w:szCs w:val="20"/>
        </w:rPr>
        <w:t xml:space="preserve"> </w:t>
      </w:r>
      <w:r>
        <w:rPr>
          <w:rFonts w:ascii="Times New Roman" w:hAnsi="Times New Roman"/>
          <w:sz w:val="24"/>
          <w:szCs w:val="24"/>
        </w:rPr>
        <w:t>Понастоящем извършването на оценка на въздействието и консултациите със заинтересованите страни все още не са добре установена практика при приемането на законодателство в Словакия.</w:t>
      </w:r>
      <w:r>
        <w:rPr>
          <w:rFonts w:ascii="Times New Roman" w:hAnsi="Times New Roman"/>
          <w:sz w:val="24"/>
          <w:szCs w:val="20"/>
        </w:rPr>
        <w:t xml:space="preserve"> Въпреки че процесът на създаване на политики формално се основава на консултации и доказателства, политическите приоритети на партиите в правителството и реалното участие на социалните партньори са ограничени</w:t>
      </w:r>
      <w:r>
        <w:rPr>
          <w:rFonts w:ascii="Times New Roman" w:eastAsia="Times New Roman" w:hAnsi="Times New Roman" w:cs="Times New Roman"/>
          <w:sz w:val="24"/>
          <w:szCs w:val="20"/>
          <w:vertAlign w:val="superscript"/>
          <w:lang w:eastAsia="fr-FR"/>
        </w:rPr>
        <w:footnoteReference w:id="76"/>
      </w:r>
      <w:r>
        <w:rPr>
          <w:rFonts w:ascii="Times New Roman" w:hAnsi="Times New Roman"/>
          <w:sz w:val="24"/>
          <w:szCs w:val="20"/>
        </w:rPr>
        <w:t>. Законодателните инициативи на министерствата са подчинени на ясни писмени правила и подлежат на оценка на въздействието, но редовното използване на бързи парламентарни процедури възпрепятства изготвянето на политики, основани на доказателства, като например не се допускат подходяща оценка на въздействието и консултации със заинтересованите страни</w:t>
      </w:r>
      <w:r>
        <w:rPr>
          <w:rFonts w:ascii="Times New Roman" w:eastAsia="Times New Roman" w:hAnsi="Times New Roman" w:cs="Times New Roman"/>
          <w:sz w:val="24"/>
          <w:szCs w:val="20"/>
          <w:vertAlign w:val="superscript"/>
          <w:lang w:eastAsia="fr-FR"/>
        </w:rPr>
        <w:footnoteReference w:id="77"/>
      </w:r>
      <w:r>
        <w:rPr>
          <w:rFonts w:ascii="Times New Roman" w:hAnsi="Times New Roman"/>
          <w:sz w:val="24"/>
          <w:szCs w:val="20"/>
        </w:rPr>
        <w:t>. Освен това аналитичният капацитет на министерствата е слаб и понижава ефективността на разработването на политики</w:t>
      </w:r>
      <w:r>
        <w:rPr>
          <w:rFonts w:ascii="Times New Roman" w:eastAsia="Times New Roman" w:hAnsi="Times New Roman" w:cs="Times New Roman"/>
          <w:sz w:val="24"/>
          <w:szCs w:val="20"/>
          <w:vertAlign w:val="superscript"/>
          <w:lang w:eastAsia="fr-FR"/>
        </w:rPr>
        <w:footnoteReference w:id="78"/>
      </w:r>
      <w:r>
        <w:rPr>
          <w:rFonts w:ascii="Times New Roman" w:hAnsi="Times New Roman"/>
          <w:sz w:val="24"/>
          <w:szCs w:val="20"/>
        </w:rPr>
        <w:t>. В Стратегията за по-добро регулиране е установен цялостен държавен подход към изготвянето на регулаторната политика, който спомогна за укрепването на методичната основа за оценка на икономическото въздействие на регулирането. Досега тази стратегия не е дала очакваните резултати, тъй като оценките на въздействието се прилагат само за законодателни мерки, инициирани от правителството</w:t>
      </w:r>
      <w:r>
        <w:rPr>
          <w:rFonts w:ascii="Times New Roman" w:eastAsia="Times New Roman" w:hAnsi="Times New Roman" w:cs="Times New Roman"/>
          <w:sz w:val="24"/>
          <w:szCs w:val="20"/>
          <w:vertAlign w:val="superscript"/>
          <w:lang w:eastAsia="fr-FR"/>
        </w:rPr>
        <w:footnoteReference w:id="79"/>
      </w:r>
      <w:r>
        <w:rPr>
          <w:rFonts w:ascii="Times New Roman" w:hAnsi="Times New Roman"/>
          <w:sz w:val="24"/>
          <w:szCs w:val="20"/>
        </w:rPr>
        <w:t xml:space="preserve">. </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Правителството обмисля да засили правомощията на Конституционния съд.</w:t>
      </w:r>
      <w:r>
        <w:rPr>
          <w:rFonts w:ascii="Times New Roman" w:hAnsi="Times New Roman"/>
          <w:sz w:val="24"/>
          <w:szCs w:val="20"/>
        </w:rPr>
        <w:t xml:space="preserve"> Това би включвало засилване на правомощията на Конституционния съд по отношение на оценката на съответствието на законите с Конституцията и производствата по конституционни жалби относно нарушения на основните права, както и чрез индивидуален контрол за конституционност. Правителството обмисля и възможността за въвеждане на предварителен контрол за съответствие на законите с Конституцията</w:t>
      </w:r>
      <w:r>
        <w:rPr>
          <w:rFonts w:ascii="Times New Roman" w:eastAsia="Times New Roman" w:hAnsi="Times New Roman" w:cs="Times New Roman"/>
          <w:sz w:val="24"/>
          <w:szCs w:val="20"/>
          <w:vertAlign w:val="superscript"/>
          <w:lang w:eastAsia="fr-FR"/>
        </w:rPr>
        <w:footnoteReference w:id="80"/>
      </w:r>
      <w:r>
        <w:rPr>
          <w:rFonts w:ascii="Times New Roman" w:hAnsi="Times New Roman"/>
          <w:sz w:val="24"/>
          <w:szCs w:val="20"/>
        </w:rPr>
        <w:t>.</w:t>
      </w:r>
    </w:p>
    <w:p>
      <w:pPr>
        <w:spacing w:after="240" w:line="240" w:lineRule="auto"/>
        <w:jc w:val="both"/>
        <w:rPr>
          <w:rFonts w:ascii="Times New Roman" w:eastAsia="Times New Roman" w:hAnsi="Times New Roman" w:cs="Times New Roman"/>
          <w:sz w:val="24"/>
          <w:szCs w:val="24"/>
        </w:rPr>
      </w:pPr>
      <w:r>
        <w:rPr>
          <w:rFonts w:ascii="Times New Roman" w:hAnsi="Times New Roman"/>
          <w:b/>
          <w:sz w:val="24"/>
          <w:szCs w:val="24"/>
        </w:rPr>
        <w:t xml:space="preserve">Необходими са допълнителни усилия за укрепване на прозрачността, ефикасността и отчетността на публичната администрация. </w:t>
      </w:r>
      <w:r>
        <w:rPr>
          <w:rFonts w:ascii="Times New Roman" w:hAnsi="Times New Roman"/>
          <w:sz w:val="24"/>
          <w:szCs w:val="24"/>
        </w:rPr>
        <w:t>Въпреки че са въведени механизми за координация, изразеният бюрократизъм представлява предизвикателство за координацията и ефикасното планиране</w:t>
      </w:r>
      <w:r>
        <w:rPr>
          <w:rFonts w:ascii="Times New Roman" w:hAnsi="Times New Roman" w:cs="Times New Roman"/>
          <w:sz w:val="24"/>
          <w:szCs w:val="24"/>
          <w:vertAlign w:val="superscript"/>
        </w:rPr>
        <w:footnoteReference w:id="81"/>
      </w:r>
      <w:r>
        <w:rPr>
          <w:rFonts w:ascii="Times New Roman" w:hAnsi="Times New Roman"/>
          <w:sz w:val="24"/>
          <w:szCs w:val="24"/>
        </w:rPr>
        <w:t>. Създаването на Национален стратегически план</w:t>
      </w:r>
      <w:r>
        <w:rPr>
          <w:rFonts w:ascii="Times New Roman" w:eastAsia="Times New Roman" w:hAnsi="Times New Roman" w:cs="Times New Roman"/>
          <w:sz w:val="24"/>
          <w:szCs w:val="24"/>
          <w:vertAlign w:val="superscript"/>
          <w:lang w:eastAsia="en-GB"/>
        </w:rPr>
        <w:footnoteReference w:id="82"/>
      </w:r>
      <w:r>
        <w:rPr>
          <w:rFonts w:ascii="Times New Roman" w:hAnsi="Times New Roman"/>
          <w:sz w:val="24"/>
          <w:szCs w:val="24"/>
        </w:rPr>
        <w:t>, както е предложено от новото правителство, би могло да подобри вътрешната координация.</w:t>
      </w:r>
      <w:r>
        <w:rPr>
          <w:rFonts w:ascii="Times New Roman" w:hAnsi="Times New Roman"/>
          <w:sz w:val="21"/>
          <w:szCs w:val="21"/>
        </w:rPr>
        <w:t xml:space="preserve"> </w:t>
      </w:r>
      <w:r>
        <w:rPr>
          <w:rFonts w:ascii="Times New Roman" w:hAnsi="Times New Roman"/>
          <w:sz w:val="24"/>
          <w:szCs w:val="24"/>
        </w:rPr>
        <w:t>Политическият цикъл оказва силно въздействие върху текучеството на персонала</w:t>
      </w:r>
      <w:r>
        <w:rPr>
          <w:rFonts w:ascii="Times New Roman" w:hAnsi="Times New Roman" w:cs="Times New Roman"/>
          <w:sz w:val="24"/>
          <w:szCs w:val="24"/>
          <w:vertAlign w:val="superscript"/>
        </w:rPr>
        <w:footnoteReference w:id="83"/>
      </w:r>
      <w:r>
        <w:rPr>
          <w:rFonts w:ascii="Times New Roman" w:hAnsi="Times New Roman"/>
          <w:sz w:val="24"/>
          <w:szCs w:val="24"/>
        </w:rPr>
        <w:t>. Новото правителство посочи, че има за цел да укрепи държавната служба, като направи прозрачността и етиката ключови елементи на тази реформа</w:t>
      </w:r>
      <w:r>
        <w:rPr>
          <w:rFonts w:ascii="Times New Roman" w:eastAsia="Times New Roman" w:hAnsi="Times New Roman" w:cs="Times New Roman"/>
          <w:sz w:val="24"/>
          <w:szCs w:val="24"/>
          <w:vertAlign w:val="superscript"/>
          <w:lang w:eastAsia="en-GB"/>
        </w:rPr>
        <w:footnoteReference w:id="84"/>
      </w:r>
      <w:r>
        <w:rPr>
          <w:rFonts w:ascii="Times New Roman" w:hAnsi="Times New Roman"/>
          <w:sz w:val="24"/>
          <w:szCs w:val="24"/>
        </w:rPr>
        <w:t xml:space="preserve">. </w:t>
      </w:r>
    </w:p>
    <w:p>
      <w:pPr>
        <w:spacing w:after="240" w:line="240" w:lineRule="auto"/>
        <w:jc w:val="both"/>
        <w:rPr>
          <w:rFonts w:ascii="Times New Roman" w:eastAsia="Times New Roman" w:hAnsi="Times New Roman" w:cs="Times New Roman"/>
          <w:sz w:val="24"/>
          <w:szCs w:val="24"/>
        </w:rPr>
      </w:pPr>
      <w:r>
        <w:rPr>
          <w:rFonts w:ascii="Times New Roman" w:hAnsi="Times New Roman"/>
          <w:b/>
          <w:sz w:val="24"/>
          <w:szCs w:val="24"/>
        </w:rPr>
        <w:t>На 16 март 2020 г. правителството обяви извънредно положение в системата на здравеопазването, за да се справи с пандемията от COVID-19</w:t>
      </w:r>
      <w:r>
        <w:rPr>
          <w:rFonts w:ascii="Times New Roman" w:eastAsia="Times New Roman" w:hAnsi="Times New Roman" w:cs="Times New Roman"/>
          <w:sz w:val="24"/>
          <w:szCs w:val="24"/>
          <w:vertAlign w:val="superscript"/>
          <w:lang w:eastAsia="en-GB"/>
        </w:rPr>
        <w:footnoteReference w:id="85"/>
      </w:r>
      <w:r>
        <w:rPr>
          <w:rFonts w:ascii="Times New Roman" w:hAnsi="Times New Roman"/>
          <w:sz w:val="24"/>
          <w:szCs w:val="24"/>
        </w:rPr>
        <w:t xml:space="preserve">. След одобрение от правителството на 10 юни националното извънредно положение официално приключи на 13 юни. На 13 май 2020 г. Конституционният съд частично спря прилагането на противоречивото законодателство, свързано с проследяването на информацията, събрана по време на пандемията. </w:t>
      </w:r>
    </w:p>
    <w:p>
      <w:pPr>
        <w:spacing w:after="240" w:line="240" w:lineRule="auto"/>
        <w:jc w:val="both"/>
        <w:rPr>
          <w:rFonts w:ascii="Times New Roman" w:eastAsia="Times New Roman" w:hAnsi="Times New Roman" w:cs="Times New Roman"/>
          <w:iCs/>
          <w:sz w:val="24"/>
          <w:szCs w:val="20"/>
        </w:rPr>
      </w:pPr>
      <w:r>
        <w:rPr>
          <w:rFonts w:ascii="Times New Roman" w:hAnsi="Times New Roman"/>
          <w:b/>
          <w:sz w:val="24"/>
          <w:szCs w:val="20"/>
        </w:rPr>
        <w:t xml:space="preserve">Независимите органи имат роля за защита на основните права, но би било от полза да разполагат с по-ясни правомощия, както и с пълноправен статут и достатъчно ресурси, за да упражняват ефективно своите функции. </w:t>
      </w:r>
      <w:r>
        <w:rPr>
          <w:rFonts w:ascii="Times New Roman" w:hAnsi="Times New Roman"/>
          <w:sz w:val="24"/>
          <w:szCs w:val="20"/>
        </w:rPr>
        <w:t>Словашкият национален център за правата на човека е компетентната национална институция по правата на човека, както и органът по въпросите на равенството в Словакия. Той изготвя и публикува годишен доклад за спазването на правата на човека, включително принципа на равно третиране.</w:t>
      </w:r>
      <w:r>
        <w:rPr>
          <w:rFonts w:ascii="Times New Roman" w:hAnsi="Times New Roman"/>
          <w:i/>
          <w:sz w:val="24"/>
          <w:szCs w:val="20"/>
        </w:rPr>
        <w:t xml:space="preserve"> </w:t>
      </w:r>
      <w:r>
        <w:rPr>
          <w:rFonts w:ascii="Times New Roman" w:hAnsi="Times New Roman"/>
          <w:sz w:val="24"/>
          <w:szCs w:val="20"/>
        </w:rPr>
        <w:t>Продължават да съществуват някои опасения относно независимостта на Националния център за правата на човека и през 2018 г. министерството на правосъдието публикува проект за изменение на правната уредба, за да се гарантира, че Центърът изцяло спазва Принципите на ООН за статута на националните институции („Парижки принципи“)</w:t>
      </w:r>
      <w:r>
        <w:rPr>
          <w:rFonts w:ascii="Times New Roman" w:eastAsia="Times New Roman" w:hAnsi="Times New Roman" w:cs="Times New Roman"/>
          <w:sz w:val="24"/>
          <w:szCs w:val="20"/>
          <w:vertAlign w:val="superscript"/>
          <w:lang w:eastAsia="fr-FR"/>
        </w:rPr>
        <w:footnoteReference w:id="86"/>
      </w:r>
      <w:r>
        <w:rPr>
          <w:rFonts w:ascii="Times New Roman" w:hAnsi="Times New Roman"/>
          <w:sz w:val="24"/>
          <w:szCs w:val="20"/>
        </w:rPr>
        <w:t>.</w:t>
      </w:r>
      <w:r>
        <w:rPr>
          <w:rFonts w:ascii="Times New Roman" w:hAnsi="Times New Roman"/>
          <w:iCs/>
          <w:sz w:val="24"/>
          <w:szCs w:val="20"/>
        </w:rPr>
        <w:t xml:space="preserve"> Проектът за изменение получи критики от Бюрото за демократични институции и права на човека</w:t>
      </w:r>
      <w:r>
        <w:rPr>
          <w:rFonts w:ascii="Times New Roman" w:eastAsia="Times New Roman" w:hAnsi="Times New Roman" w:cs="Times New Roman"/>
          <w:iCs/>
          <w:sz w:val="24"/>
          <w:szCs w:val="20"/>
          <w:vertAlign w:val="superscript"/>
          <w:lang w:eastAsia="fr-FR"/>
        </w:rPr>
        <w:footnoteReference w:id="87"/>
      </w:r>
      <w:r>
        <w:rPr>
          <w:rFonts w:ascii="Times New Roman" w:hAnsi="Times New Roman"/>
          <w:iCs/>
          <w:sz w:val="24"/>
          <w:szCs w:val="20"/>
        </w:rPr>
        <w:t xml:space="preserve"> на ОССЕ и законодателните предложения не бяха приети през юни 2019 г.</w:t>
      </w:r>
      <w:r>
        <w:rPr>
          <w:rFonts w:ascii="Times New Roman" w:eastAsia="Times New Roman" w:hAnsi="Times New Roman" w:cs="Times New Roman"/>
          <w:iCs/>
          <w:sz w:val="24"/>
          <w:szCs w:val="20"/>
          <w:vertAlign w:val="superscript"/>
          <w:lang w:eastAsia="fr-FR"/>
        </w:rPr>
        <w:footnoteReference w:id="88"/>
      </w:r>
      <w:r>
        <w:rPr>
          <w:rFonts w:ascii="Times New Roman" w:hAnsi="Times New Roman"/>
          <w:iCs/>
          <w:sz w:val="24"/>
          <w:szCs w:val="20"/>
        </w:rPr>
        <w:t xml:space="preserve"> Финансирането на Словашкия национален център за правата на човека е сред най-ниските при сравнение в европейски мащаб, а липсата на компетентност за издаване на правно обвързващи решения или налагане на санкции повдига въпроси относно ефективността му като цяло</w:t>
      </w:r>
      <w:r>
        <w:rPr>
          <w:rFonts w:ascii="Times New Roman" w:eastAsia="Times New Roman" w:hAnsi="Times New Roman" w:cs="Times New Roman"/>
          <w:iCs/>
          <w:sz w:val="24"/>
          <w:szCs w:val="20"/>
          <w:vertAlign w:val="superscript"/>
          <w:lang w:eastAsia="fr-FR"/>
        </w:rPr>
        <w:footnoteReference w:id="89"/>
      </w:r>
      <w:r>
        <w:rPr>
          <w:rFonts w:ascii="Times New Roman" w:hAnsi="Times New Roman"/>
          <w:iCs/>
          <w:sz w:val="24"/>
          <w:szCs w:val="20"/>
        </w:rPr>
        <w:t xml:space="preserve">. </w:t>
      </w:r>
    </w:p>
    <w:p>
      <w:pPr>
        <w:spacing w:after="240" w:line="240" w:lineRule="auto"/>
        <w:jc w:val="both"/>
        <w:rPr>
          <w:rFonts w:ascii="Times New Roman" w:eastAsia="Times New Roman" w:hAnsi="Times New Roman" w:cs="Times New Roman"/>
          <w:iCs/>
          <w:sz w:val="24"/>
          <w:szCs w:val="20"/>
        </w:rPr>
      </w:pPr>
      <w:r>
        <w:rPr>
          <w:rFonts w:ascii="Times New Roman" w:hAnsi="Times New Roman"/>
          <w:iCs/>
          <w:sz w:val="24"/>
          <w:szCs w:val="20"/>
        </w:rPr>
        <w:t>Словашкият обществен защитник на правата е независим орган с мандат да защитава основните права и свободи на физически и юридически лица в производства пред публичната администрация и други публични органи, ако дейностите, вземането на решения или бездействието</w:t>
      </w:r>
      <w:r>
        <w:rPr>
          <w:rFonts w:ascii="Times New Roman" w:hAnsi="Times New Roman"/>
          <w:i/>
          <w:iCs/>
          <w:sz w:val="24"/>
          <w:szCs w:val="20"/>
        </w:rPr>
        <w:t xml:space="preserve"> </w:t>
      </w:r>
      <w:r>
        <w:rPr>
          <w:rFonts w:ascii="Times New Roman" w:hAnsi="Times New Roman"/>
          <w:iCs/>
          <w:sz w:val="24"/>
          <w:szCs w:val="20"/>
        </w:rPr>
        <w:t>на органите са в противоречие с правния ред в Словакия. Той може също да подаде жалба до словашкия Конституционен съд, ако основните права или свободи на физическо или юридическо лице са нарушени от задължителен акт с общо действие. Освен това общественият защитник на правата представя годишен доклад за дейността и има правомощието да представи извънреден доклад, ако установи, че нарушението на основните права и свободи е значително или се отнася до по-голям брой лица</w:t>
      </w:r>
      <w:r>
        <w:rPr>
          <w:rFonts w:ascii="Times New Roman" w:eastAsia="Times New Roman" w:hAnsi="Times New Roman" w:cs="Times New Roman"/>
          <w:iCs/>
          <w:sz w:val="24"/>
          <w:szCs w:val="20"/>
          <w:vertAlign w:val="superscript"/>
          <w:lang w:eastAsia="fr-FR"/>
        </w:rPr>
        <w:footnoteReference w:id="90"/>
      </w:r>
      <w:r>
        <w:rPr>
          <w:rFonts w:ascii="Times New Roman" w:hAnsi="Times New Roman"/>
          <w:iCs/>
          <w:sz w:val="24"/>
          <w:szCs w:val="20"/>
        </w:rPr>
        <w:t>. В доклада си за дейността за 2019 г. общественият защитник на правата е посочил, че бюджетните ресурси са недостатъчни за адекватното изпълнение на всичките му задачи</w:t>
      </w:r>
      <w:r>
        <w:rPr>
          <w:rFonts w:ascii="Times New Roman" w:eastAsia="Times New Roman" w:hAnsi="Times New Roman" w:cs="Times New Roman"/>
          <w:iCs/>
          <w:sz w:val="24"/>
          <w:szCs w:val="20"/>
          <w:vertAlign w:val="superscript"/>
          <w:lang w:eastAsia="fr-FR"/>
        </w:rPr>
        <w:footnoteReference w:id="91"/>
      </w:r>
      <w:r>
        <w:rPr>
          <w:rFonts w:ascii="Times New Roman" w:hAnsi="Times New Roman"/>
          <w:iCs/>
          <w:sz w:val="24"/>
          <w:szCs w:val="20"/>
        </w:rPr>
        <w:t>. В своето правно становище относно Словашкия национален център за правата на човека Бюрото за демократични институции и права на човека към ОССЕ препоръча да се определи връзката между обществения защитник на правата и Националния център за правата на човека, да се изясни разделението на компетенциите между тях и да се насърчи сътрудничеството с цел избягване на припокриването на правомощия</w:t>
      </w:r>
      <w:r>
        <w:rPr>
          <w:rFonts w:ascii="Times New Roman" w:eastAsia="Times New Roman" w:hAnsi="Times New Roman" w:cs="Times New Roman"/>
          <w:iCs/>
          <w:sz w:val="24"/>
          <w:szCs w:val="20"/>
          <w:vertAlign w:val="superscript"/>
          <w:lang w:eastAsia="fr-FR"/>
        </w:rPr>
        <w:footnoteReference w:id="92"/>
      </w:r>
      <w:r>
        <w:rPr>
          <w:rFonts w:ascii="Times New Roman" w:hAnsi="Times New Roman"/>
          <w:iCs/>
          <w:sz w:val="24"/>
          <w:szCs w:val="20"/>
        </w:rPr>
        <w:t>.</w:t>
      </w:r>
    </w:p>
    <w:p>
      <w:pPr>
        <w:spacing w:after="240" w:line="240" w:lineRule="auto"/>
        <w:jc w:val="both"/>
        <w:rPr>
          <w:rFonts w:ascii="Times New Roman" w:eastAsia="Times New Roman" w:hAnsi="Times New Roman" w:cs="Times New Roman"/>
          <w:sz w:val="24"/>
          <w:szCs w:val="24"/>
        </w:rPr>
      </w:pPr>
      <w:r>
        <w:rPr>
          <w:rFonts w:ascii="Times New Roman" w:hAnsi="Times New Roman"/>
          <w:b/>
          <w:sz w:val="24"/>
          <w:szCs w:val="24"/>
        </w:rPr>
        <w:t>Върховната сметна палата на Словакия е друг ключов орган, натоварен с надзора на отчетността, качеството и работата на публичните органи.</w:t>
      </w:r>
      <w:r>
        <w:rPr>
          <w:rFonts w:ascii="Times New Roman" w:hAnsi="Times New Roman"/>
          <w:sz w:val="24"/>
          <w:szCs w:val="24"/>
        </w:rPr>
        <w:t xml:space="preserve"> Целта на Върховната сметна палата е да посочва наличието на неикономично, неефикасно и неефективно използване на средства в държавни и местни управленски организации, държавни предприятия, държавни съвместни дружества с акции или образувания, в които държавата има дялово участие или които действат в обществен интерес</w:t>
      </w:r>
      <w:r>
        <w:rPr>
          <w:rFonts w:ascii="Times New Roman" w:hAnsi="Times New Roman" w:cs="Times New Roman"/>
          <w:sz w:val="24"/>
          <w:szCs w:val="24"/>
          <w:vertAlign w:val="superscript"/>
        </w:rPr>
        <w:footnoteReference w:id="93"/>
      </w:r>
      <w:r>
        <w:rPr>
          <w:rFonts w:ascii="Times New Roman" w:hAnsi="Times New Roman"/>
          <w:sz w:val="24"/>
          <w:szCs w:val="24"/>
        </w:rPr>
        <w:t>. През последните години Върховната сметна палата е подобрила честотата и качеството на своите одити на резултатите, но въздействието им засега е ограничено, тъй като тя може да налага само ограничени промени</w:t>
      </w:r>
      <w:r>
        <w:rPr>
          <w:rFonts w:ascii="Times New Roman" w:hAnsi="Times New Roman" w:cs="Times New Roman"/>
          <w:sz w:val="24"/>
          <w:szCs w:val="24"/>
          <w:vertAlign w:val="superscript"/>
        </w:rPr>
        <w:footnoteReference w:id="94"/>
      </w:r>
      <w:r>
        <w:rPr>
          <w:rFonts w:ascii="Times New Roman" w:hAnsi="Times New Roman"/>
          <w:sz w:val="24"/>
          <w:szCs w:val="24"/>
        </w:rPr>
        <w:t>. Правителството обяви намерението си да засили нейните компетенции</w:t>
      </w:r>
      <w:r>
        <w:rPr>
          <w:rFonts w:ascii="Times New Roman" w:hAnsi="Times New Roman"/>
          <w:sz w:val="21"/>
          <w:szCs w:val="21"/>
        </w:rPr>
        <w:t xml:space="preserve"> </w:t>
      </w:r>
      <w:r>
        <w:rPr>
          <w:rFonts w:ascii="Times New Roman" w:hAnsi="Times New Roman"/>
          <w:sz w:val="24"/>
          <w:szCs w:val="24"/>
        </w:rPr>
        <w:t>и обмисля възможността за налагане на санкции, в случай че органът не отстрани установените при проверката недостатъци.</w:t>
      </w:r>
    </w:p>
    <w:p>
      <w:pPr>
        <w:spacing w:after="240" w:line="240" w:lineRule="auto"/>
        <w:jc w:val="both"/>
        <w:rPr>
          <w:rFonts w:ascii="Times New Roman" w:eastAsia="Times New Roman" w:hAnsi="Times New Roman" w:cs="Times New Roman"/>
          <w:iCs/>
          <w:sz w:val="24"/>
          <w:szCs w:val="20"/>
        </w:rPr>
      </w:pPr>
      <w:r>
        <w:rPr>
          <w:rFonts w:ascii="Times New Roman" w:hAnsi="Times New Roman"/>
          <w:b/>
          <w:iCs/>
          <w:sz w:val="24"/>
          <w:szCs w:val="20"/>
        </w:rPr>
        <w:t>Достъпът до информация, включително до административни решения, е гарантиран от законодателството на Словакия относно достъпа до държавна информация</w:t>
      </w:r>
      <w:r>
        <w:rPr>
          <w:rFonts w:ascii="Times New Roman" w:hAnsi="Times New Roman"/>
          <w:iCs/>
          <w:sz w:val="24"/>
          <w:szCs w:val="20"/>
        </w:rPr>
        <w:t>. Към тази политика е подходящо да се приложи холистичен подход, в който да бъдат включени също отчетност и действия за борба с корупцията</w:t>
      </w:r>
      <w:r>
        <w:rPr>
          <w:rFonts w:ascii="Times New Roman" w:eastAsia="Times New Roman" w:hAnsi="Times New Roman" w:cs="Times New Roman"/>
          <w:iCs/>
          <w:sz w:val="24"/>
          <w:szCs w:val="20"/>
          <w:vertAlign w:val="superscript"/>
          <w:lang w:eastAsia="fr-FR"/>
        </w:rPr>
        <w:footnoteReference w:id="95"/>
      </w:r>
      <w:r>
        <w:rPr>
          <w:rFonts w:ascii="Times New Roman" w:hAnsi="Times New Roman"/>
          <w:iCs/>
          <w:sz w:val="24"/>
          <w:szCs w:val="20"/>
        </w:rPr>
        <w:t>. Ако бъдат приложени изцяло, обявените от правителството планове за разширяване на достъпа до информация и на прилагането на открито управление</w:t>
      </w:r>
      <w:r>
        <w:rPr>
          <w:rFonts w:ascii="Times New Roman" w:eastAsia="Times New Roman" w:hAnsi="Times New Roman" w:cs="Times New Roman"/>
          <w:iCs/>
          <w:sz w:val="24"/>
          <w:szCs w:val="20"/>
          <w:vertAlign w:val="superscript"/>
          <w:lang w:eastAsia="fr-FR"/>
        </w:rPr>
        <w:footnoteReference w:id="96"/>
      </w:r>
      <w:r>
        <w:rPr>
          <w:rFonts w:ascii="Times New Roman" w:hAnsi="Times New Roman"/>
          <w:iCs/>
          <w:sz w:val="24"/>
          <w:szCs w:val="20"/>
        </w:rPr>
        <w:t xml:space="preserve">, могат допълнително да засилят политиката прозрачност на Словакия. </w:t>
      </w:r>
    </w:p>
    <w:p>
      <w:pPr>
        <w:spacing w:after="240" w:line="240" w:lineRule="auto"/>
        <w:jc w:val="both"/>
        <w:rPr>
          <w:rFonts w:ascii="Times New Roman" w:eastAsia="Times New Roman" w:hAnsi="Times New Roman" w:cs="Times New Roman"/>
          <w:sz w:val="24"/>
          <w:szCs w:val="20"/>
        </w:rPr>
      </w:pPr>
      <w:r>
        <w:rPr>
          <w:rFonts w:ascii="Times New Roman" w:hAnsi="Times New Roman"/>
          <w:b/>
          <w:sz w:val="24"/>
          <w:szCs w:val="20"/>
        </w:rPr>
        <w:t>Въпреки че Словакия разполага с благоприятна рамка за гражданското общество, правителството обяви политика за по-нататъшно укрепване на гражданското общество</w:t>
      </w:r>
      <w:r>
        <w:rPr>
          <w:rFonts w:ascii="Times New Roman" w:eastAsia="Times New Roman" w:hAnsi="Times New Roman" w:cs="Times New Roman"/>
          <w:sz w:val="24"/>
          <w:szCs w:val="20"/>
          <w:vertAlign w:val="superscript"/>
          <w:lang w:eastAsia="fr-FR"/>
        </w:rPr>
        <w:footnoteReference w:id="97"/>
      </w:r>
      <w:r>
        <w:rPr>
          <w:rFonts w:ascii="Times New Roman" w:hAnsi="Times New Roman"/>
          <w:sz w:val="24"/>
          <w:szCs w:val="20"/>
        </w:rPr>
        <w:t>. В своя политически манифест словашкото правителство обяви, че възнамерява да укрепи системата за финансиране на НПО и да подкрепи организации, занимаващи се със защита и насърчаване на правата на човека, изграждане на демократично гражданство, премахване на всички форми на дискриминация и, наред с другото, разкриване на корупция</w:t>
      </w:r>
      <w:r>
        <w:rPr>
          <w:rFonts w:ascii="Times New Roman" w:eastAsia="Times New Roman" w:hAnsi="Times New Roman" w:cs="Times New Roman"/>
          <w:sz w:val="24"/>
          <w:szCs w:val="20"/>
          <w:vertAlign w:val="superscript"/>
          <w:lang w:eastAsia="fr-FR"/>
        </w:rPr>
        <w:footnoteReference w:id="98"/>
      </w:r>
      <w:r>
        <w:rPr>
          <w:rFonts w:ascii="Times New Roman" w:hAnsi="Times New Roman"/>
          <w:sz w:val="24"/>
          <w:szCs w:val="20"/>
        </w:rPr>
        <w:t xml:space="preserve">. </w:t>
      </w:r>
    </w:p>
    <w:p>
      <w:pPr>
        <w:spacing w:after="240" w:line="240" w:lineRule="auto"/>
        <w:jc w:val="both"/>
        <w:rPr>
          <w:rFonts w:ascii="Times New Roman" w:eastAsia="Times New Roman" w:hAnsi="Times New Roman" w:cs="Times New Roman"/>
          <w:sz w:val="24"/>
          <w:szCs w:val="20"/>
        </w:rPr>
      </w:pPr>
      <w:r>
        <w:rPr>
          <w:rFonts w:ascii="Times New Roman" w:hAnsi="Times New Roman"/>
          <w:b/>
          <w:bCs/>
          <w:sz w:val="24"/>
          <w:szCs w:val="20"/>
        </w:rPr>
        <w:t xml:space="preserve">В обществото нараства вниманието към темите за върховенството на закона. </w:t>
      </w:r>
      <w:r>
        <w:rPr>
          <w:rFonts w:ascii="Times New Roman" w:hAnsi="Times New Roman"/>
          <w:bCs/>
          <w:sz w:val="24"/>
          <w:szCs w:val="20"/>
        </w:rPr>
        <w:t>Убийството</w:t>
      </w:r>
      <w:r>
        <w:rPr>
          <w:rFonts w:ascii="Times New Roman" w:hAnsi="Times New Roman"/>
          <w:sz w:val="24"/>
          <w:szCs w:val="20"/>
        </w:rPr>
        <w:t xml:space="preserve"> на разследващия журналист Ян Куцяк и неговата годеница през февруари 2018 г. предизвика най-големите обществени протести в Словакия след Кадифената революция през 1989 г. Убийствата бяха възприети от мнозина като атака срещу върховенството на закона, гражданското общество и свободата на изразяване на мнение. Заинтересованите страни отбелязаха, че тези събития представляват възможност Словакия да скъса със своето минало, характеризиращо се с висока степен на политическа поляризация, която е засегнала функционирането на институциите и публичната администрация. Правителството превърна върховенството на закона в приоритет на политическата си програма, приета през април 2020 г., и включи планове за мащабни реформи в това отношение. Освен това в първото си обръщение за състоянието на републиката през юни 2020 г. президентът на Словакия подчерта значението на върховенството на закона за обществото и демокрацията</w:t>
      </w:r>
      <w:r>
        <w:rPr>
          <w:rFonts w:ascii="Times New Roman" w:eastAsia="Times New Roman" w:hAnsi="Times New Roman" w:cs="Times New Roman"/>
          <w:sz w:val="24"/>
          <w:szCs w:val="20"/>
          <w:vertAlign w:val="superscript"/>
          <w:lang w:eastAsia="fr-FR"/>
        </w:rPr>
        <w:footnoteReference w:id="99"/>
      </w:r>
      <w:r>
        <w:rPr>
          <w:rFonts w:ascii="Times New Roman" w:hAnsi="Times New Roman"/>
          <w:sz w:val="24"/>
          <w:szCs w:val="20"/>
        </w:rPr>
        <w:t>.</w:t>
      </w:r>
    </w:p>
    <w:p>
      <w:pPr>
        <w:spacing w:line="240" w:lineRule="auto"/>
        <w:rPr>
          <w:rFonts w:ascii="Times New Roman" w:eastAsia="Times New Roman" w:hAnsi="Times New Roman" w:cs="Times New Roman"/>
          <w:sz w:val="24"/>
          <w:szCs w:val="20"/>
        </w:rPr>
      </w:pPr>
      <w:r>
        <w:br w:type="page"/>
      </w:r>
    </w:p>
    <w:p>
      <w:pPr>
        <w:pageBreakBefore/>
        <w:spacing w:after="120" w:line="240" w:lineRule="auto"/>
        <w:jc w:val="both"/>
        <w:rPr>
          <w:rFonts w:ascii="Times New Roman" w:eastAsia="Times New Roman" w:hAnsi="Times New Roman" w:cs="Times New Roman"/>
          <w:b/>
        </w:rPr>
      </w:pPr>
      <w:r>
        <w:rPr>
          <w:rFonts w:ascii="Times New Roman" w:hAnsi="Times New Roman"/>
          <w:b/>
        </w:rPr>
        <w:t>Приложение I: Списък с източници по азбучен ред (на английски език)*</w:t>
      </w:r>
    </w:p>
    <w:p>
      <w:pPr>
        <w:spacing w:after="100" w:line="240" w:lineRule="auto"/>
        <w:jc w:val="both"/>
        <w:rPr>
          <w:rFonts w:ascii="Times New Roman" w:eastAsia="Times New Roman" w:hAnsi="Times New Roman" w:cs="Times New Roman"/>
        </w:rPr>
      </w:pPr>
      <w:r>
        <w:rPr>
          <w:rFonts w:ascii="Times New Roman" w:hAnsi="Times New Roman"/>
          <w:i/>
        </w:rPr>
        <w:t>* Списъкът на информацията, получена в контекста на консултацията във връзка с Доклада относно върховенството на закона за 2020 г., може да бъде намерен на (уебсайта на Комисията).</w:t>
      </w:r>
      <w:r>
        <w:rPr>
          <w:rFonts w:ascii="Times New Roman" w:hAnsi="Times New Roman"/>
          <w:b/>
        </w:rPr>
        <w:t xml:space="preserve"> </w:t>
      </w:r>
    </w:p>
    <w:p>
      <w:pPr>
        <w:spacing w:after="100" w:line="240" w:lineRule="auto"/>
        <w:ind w:left="182" w:hanging="182"/>
        <w:jc w:val="both"/>
        <w:rPr>
          <w:rFonts w:ascii="Times New Roman" w:eastAsia="Calibri" w:hAnsi="Times New Roman" w:cs="Times New Roman"/>
        </w:rPr>
      </w:pPr>
      <w:r>
        <w:rPr>
          <w:rFonts w:ascii="Times New Roman" w:hAnsi="Times New Roman"/>
        </w:rPr>
        <w:t xml:space="preserve">Център за медиен плурализъм и свобода на медиите (2020 г.), Мониторинг на медийния плурализъм за 2020 г. </w:t>
      </w:r>
      <w:hyperlink r:id="rId15" w:history="1">
        <w:r>
          <w:rPr>
            <w:rFonts w:ascii="Times New Roman" w:hAnsi="Times New Roman"/>
            <w:color w:val="0000FF" w:themeColor="hyperlink"/>
            <w:u w:val="single"/>
          </w:rPr>
          <w:t>https://cmpf.eui.eu/media-pluralism-monitor/mpm-2020/</w:t>
        </w:r>
      </w:hyperlink>
      <w:r>
        <w:rPr>
          <w:rFonts w:ascii="Times New Roman" w:hAnsi="Times New Roman"/>
        </w:rPr>
        <w:t xml:space="preserve">. </w:t>
      </w:r>
    </w:p>
    <w:p>
      <w:pPr>
        <w:spacing w:after="100" w:line="240" w:lineRule="auto"/>
        <w:ind w:left="182" w:hanging="182"/>
        <w:jc w:val="both"/>
        <w:rPr>
          <w:rFonts w:ascii="Times New Roman" w:eastAsia="Calibri" w:hAnsi="Times New Roman" w:cs="Times New Roman"/>
        </w:rPr>
      </w:pPr>
      <w:r>
        <w:rPr>
          <w:rFonts w:ascii="Times New Roman" w:hAnsi="Times New Roman"/>
        </w:rPr>
        <w:t>Европейската комисия за ефикасност на правосъдието (CEPEJ) (2017 г.), Efficiency and Quality of the Slovak Judicial System.</w:t>
      </w:r>
    </w:p>
    <w:p>
      <w:pPr>
        <w:spacing w:after="100" w:line="240" w:lineRule="auto"/>
        <w:ind w:left="182" w:hanging="182"/>
        <w:jc w:val="both"/>
        <w:rPr>
          <w:rFonts w:ascii="Times New Roman" w:eastAsia="Calibri" w:hAnsi="Times New Roman" w:cs="Times New Roman"/>
        </w:rPr>
      </w:pPr>
      <w:r>
        <w:rPr>
          <w:rFonts w:ascii="Times New Roman" w:hAnsi="Times New Roman"/>
        </w:rPr>
        <w:t>Европейската комисия за ефикасност на правосъдието (CEPEJ) (2020 г.), Study on the functioning of the judicial systems in the EU Member States.</w:t>
      </w:r>
    </w:p>
    <w:p>
      <w:pPr>
        <w:spacing w:after="100" w:line="240" w:lineRule="auto"/>
        <w:ind w:left="182" w:hanging="182"/>
        <w:jc w:val="both"/>
        <w:rPr>
          <w:rFonts w:ascii="Times New Roman" w:hAnsi="Times New Roman" w:cs="Times New Roman"/>
        </w:rPr>
      </w:pPr>
      <w:r>
        <w:rPr>
          <w:rFonts w:ascii="Times New Roman" w:hAnsi="Times New Roman"/>
        </w:rPr>
        <w:t xml:space="preserve">CIVICUS Monitor – Tracking Civic Space: Slovakia. </w:t>
      </w:r>
      <w:hyperlink r:id="rId16" w:history="1">
        <w:r>
          <w:rPr>
            <w:rFonts w:ascii="Times New Roman" w:hAnsi="Times New Roman"/>
            <w:color w:val="0000FF" w:themeColor="hyperlink"/>
            <w:u w:val="single"/>
          </w:rPr>
          <w:t>https://monitor.civicus.org/country/slovakia/</w:t>
        </w:r>
      </w:hyperlink>
      <w:r>
        <w:rPr>
          <w:rFonts w:ascii="Times New Roman" w:hAnsi="Times New Roman"/>
        </w:rPr>
        <w:t xml:space="preserve">. </w:t>
      </w:r>
    </w:p>
    <w:p>
      <w:pPr>
        <w:spacing w:after="100" w:line="240" w:lineRule="auto"/>
        <w:ind w:left="182" w:hanging="182"/>
        <w:jc w:val="both"/>
        <w:rPr>
          <w:rFonts w:ascii="Times New Roman" w:eastAsia="Calibri" w:hAnsi="Times New Roman" w:cs="Times New Roman"/>
        </w:rPr>
      </w:pPr>
      <w:r>
        <w:rPr>
          <w:rFonts w:ascii="Times New Roman" w:hAnsi="Times New Roman"/>
        </w:rPr>
        <w:t xml:space="preserve">Комитет за защита на журналистите (CPJ)(2019 г.), Mission Journal: One year on, Ján Kuciak murder seen as turning point by Slovak press. </w:t>
      </w:r>
      <w:hyperlink r:id="rId17" w:history="1">
        <w:r>
          <w:rPr>
            <w:rFonts w:ascii="Times New Roman" w:hAnsi="Times New Roman"/>
            <w:color w:val="0000FF" w:themeColor="hyperlink"/>
            <w:u w:val="single"/>
          </w:rPr>
          <w:t>https://cpj.org/2019/02/slovakia-jan-kuciak-murder-journalist-safety-anniversary/</w:t>
        </w:r>
      </w:hyperlink>
      <w:r>
        <w:rPr>
          <w:rFonts w:ascii="Times New Roman" w:hAnsi="Times New Roman"/>
        </w:rPr>
        <w:t xml:space="preserve">. </w:t>
      </w:r>
    </w:p>
    <w:p>
      <w:pPr>
        <w:spacing w:after="100" w:line="240" w:lineRule="auto"/>
        <w:ind w:left="182" w:hanging="182"/>
        <w:jc w:val="both"/>
        <w:rPr>
          <w:rFonts w:ascii="Times New Roman" w:eastAsia="Calibri" w:hAnsi="Times New Roman" w:cs="Times New Roman"/>
        </w:rPr>
      </w:pPr>
      <w:r>
        <w:rPr>
          <w:rFonts w:ascii="Times New Roman" w:hAnsi="Times New Roman"/>
        </w:rPr>
        <w:t xml:space="preserve">Съвет на Европа, Платформа за насърчаване на защитата на журналистиката и безопасността на журналистите — Словакия. https://www.coe.int/en/web/media-freedom/slovak-republic.  </w:t>
      </w:r>
    </w:p>
    <w:p>
      <w:pPr>
        <w:spacing w:after="100" w:line="240" w:lineRule="auto"/>
        <w:ind w:left="182" w:hanging="182"/>
        <w:jc w:val="both"/>
        <w:rPr>
          <w:rFonts w:ascii="Times New Roman" w:eastAsia="Calibri" w:hAnsi="Times New Roman" w:cs="Times New Roman"/>
        </w:rPr>
      </w:pPr>
      <w:r>
        <w:rPr>
          <w:rFonts w:ascii="Times New Roman" w:hAnsi="Times New Roman"/>
        </w:rPr>
        <w:t>Съвет на Европа, Препоръка CM/Rec(2010)12 на Комитета на министрите до държавите членки относно съдиите: независимост, ефективност и отговорности.</w:t>
      </w:r>
    </w:p>
    <w:p>
      <w:pPr>
        <w:spacing w:after="100" w:line="240" w:lineRule="auto"/>
        <w:ind w:left="182" w:hanging="182"/>
        <w:jc w:val="both"/>
        <w:rPr>
          <w:rFonts w:ascii="Times New Roman" w:eastAsia="Calibri" w:hAnsi="Times New Roman" w:cs="Times New Roman"/>
        </w:rPr>
      </w:pPr>
      <w:r>
        <w:rPr>
          <w:rFonts w:ascii="Times New Roman" w:hAnsi="Times New Roman"/>
        </w:rPr>
        <w:t>Съвет на Европа: Венецианска комисия (2017 г.), Slovakia – Opinion on questions related to the appointment of judges of the Constitutional Court (CDL-AD(2017)001-e).</w:t>
      </w:r>
    </w:p>
    <w:p>
      <w:pPr>
        <w:spacing w:after="100" w:line="240" w:lineRule="auto"/>
        <w:ind w:left="182" w:hanging="182"/>
        <w:jc w:val="both"/>
        <w:rPr>
          <w:rFonts w:ascii="Times New Roman" w:eastAsia="Calibri" w:hAnsi="Times New Roman" w:cs="Times New Roman"/>
        </w:rPr>
      </w:pPr>
      <w:r>
        <w:rPr>
          <w:rFonts w:ascii="Times New Roman" w:hAnsi="Times New Roman"/>
        </w:rPr>
        <w:t>Съвет на Европейския съюз (2014 г.), Препоръка на Съвета от 8 юли 2014 г. относно националната програма за реформи на Словакия за 2014 г. и съдържаща становище на Съвета по програмата за стабилност на Словакия за 2014 г. (ОВ C 247).</w:t>
      </w:r>
    </w:p>
    <w:p>
      <w:pPr>
        <w:spacing w:after="100" w:line="240" w:lineRule="auto"/>
        <w:ind w:left="182" w:hanging="182"/>
        <w:jc w:val="both"/>
        <w:rPr>
          <w:rFonts w:ascii="Times New Roman" w:eastAsia="Calibri" w:hAnsi="Times New Roman" w:cs="Times New Roman"/>
        </w:rPr>
      </w:pPr>
      <w:r>
        <w:rPr>
          <w:rFonts w:ascii="Times New Roman" w:hAnsi="Times New Roman"/>
        </w:rPr>
        <w:t>Съвет на Европейския съюз (2016 г.), Препоръка на Съвета от 12 юли 2016 г. относно националната програма за реформи на Словакия за 2016 г. и съдържаща становище на Съвета относно програмата за стабилност на Словакия за 2016 г. (ОВ C 299).</w:t>
      </w:r>
    </w:p>
    <w:p>
      <w:pPr>
        <w:spacing w:after="100" w:line="240" w:lineRule="auto"/>
        <w:ind w:left="182" w:hanging="182"/>
        <w:jc w:val="both"/>
        <w:rPr>
          <w:rFonts w:ascii="Times New Roman" w:eastAsia="Calibri" w:hAnsi="Times New Roman" w:cs="Times New Roman"/>
        </w:rPr>
      </w:pPr>
      <w:r>
        <w:rPr>
          <w:rFonts w:ascii="Times New Roman" w:hAnsi="Times New Roman"/>
        </w:rPr>
        <w:t>Съвет на Европейския съюз (2017 г.), Препоръка на Съвета от 11 юли 2017 г. относно националната програма за реформи на Словакия за 2017 г. и съдържаща становище на Съвета относно програмата за стабилност на Словакия за 2017 г. (ОВ C 261).</w:t>
      </w:r>
    </w:p>
    <w:p>
      <w:pPr>
        <w:spacing w:after="100" w:line="240" w:lineRule="auto"/>
        <w:ind w:left="182" w:hanging="182"/>
        <w:jc w:val="both"/>
        <w:rPr>
          <w:rFonts w:ascii="Times New Roman" w:eastAsia="Calibri" w:hAnsi="Times New Roman" w:cs="Times New Roman"/>
        </w:rPr>
      </w:pPr>
      <w:r>
        <w:rPr>
          <w:rFonts w:ascii="Times New Roman" w:hAnsi="Times New Roman"/>
        </w:rPr>
        <w:t>Съвет на Европейския съюз (2019 г.), Препоръка на Съвета от 9 юли 2019 г. относно националната програма за реформи на Словакия за 2019 г. и съдържаща становище на Съвета относно програмата за стабилност на Словакия за 2019 г. (ОВ C 301).</w:t>
      </w:r>
    </w:p>
    <w:p>
      <w:pPr>
        <w:spacing w:after="100" w:line="240" w:lineRule="auto"/>
        <w:ind w:left="182" w:hanging="182"/>
        <w:jc w:val="both"/>
        <w:rPr>
          <w:rFonts w:ascii="Times New Roman" w:eastAsia="Calibri" w:hAnsi="Times New Roman" w:cs="Times New Roman"/>
        </w:rPr>
      </w:pPr>
      <w:r>
        <w:rPr>
          <w:rFonts w:ascii="Times New Roman" w:hAnsi="Times New Roman"/>
        </w:rPr>
        <w:t xml:space="preserve">Съд на Европейския съюз, C-192/18, </w:t>
      </w:r>
      <w:r>
        <w:rPr>
          <w:rFonts w:ascii="Times New Roman" w:hAnsi="Times New Roman"/>
          <w:i/>
        </w:rPr>
        <w:t>Комисия/Полша (Indépendance des juridictions de droit commun)</w:t>
      </w:r>
      <w:r>
        <w:rPr>
          <w:rFonts w:ascii="Times New Roman" w:hAnsi="Times New Roman"/>
        </w:rPr>
        <w:t xml:space="preserve">. </w:t>
      </w:r>
    </w:p>
    <w:p>
      <w:pPr>
        <w:spacing w:after="100" w:line="240" w:lineRule="auto"/>
        <w:ind w:left="182" w:hanging="182"/>
        <w:jc w:val="both"/>
        <w:rPr>
          <w:rFonts w:ascii="Times New Roman" w:eastAsia="Calibri" w:hAnsi="Times New Roman" w:cs="Times New Roman"/>
          <w:i/>
        </w:rPr>
      </w:pPr>
      <w:r>
        <w:rPr>
          <w:rFonts w:ascii="Times New Roman" w:hAnsi="Times New Roman"/>
        </w:rPr>
        <w:t xml:space="preserve">Съд на Европейския съюз, </w:t>
      </w:r>
      <w:r>
        <w:rPr>
          <w:rFonts w:ascii="Times New Roman" w:hAnsi="Times New Roman"/>
          <w:i/>
        </w:rPr>
        <w:t>C-282/12, Комисия/Унгария.</w:t>
      </w:r>
    </w:p>
    <w:p>
      <w:pPr>
        <w:spacing w:after="100" w:line="240" w:lineRule="auto"/>
        <w:ind w:left="182" w:hanging="182"/>
        <w:jc w:val="both"/>
        <w:rPr>
          <w:rFonts w:ascii="Times New Roman" w:eastAsia="Calibri" w:hAnsi="Times New Roman" w:cs="Times New Roman"/>
        </w:rPr>
      </w:pPr>
      <w:r>
        <w:rPr>
          <w:rFonts w:ascii="Times New Roman" w:hAnsi="Times New Roman"/>
        </w:rPr>
        <w:t xml:space="preserve">Съд на Европейския съюз, C-619/18, </w:t>
      </w:r>
      <w:r>
        <w:rPr>
          <w:rFonts w:ascii="Times New Roman" w:hAnsi="Times New Roman"/>
          <w:i/>
        </w:rPr>
        <w:t>Комисия/Полша (Indépendance de la Cour suprême</w:t>
      </w:r>
      <w:r>
        <w:rPr>
          <w:rFonts w:ascii="Times New Roman" w:hAnsi="Times New Roman"/>
        </w:rPr>
        <w:t>).</w:t>
      </w:r>
    </w:p>
    <w:p>
      <w:pPr>
        <w:spacing w:after="100" w:line="240" w:lineRule="auto"/>
        <w:ind w:left="182" w:hanging="182"/>
        <w:jc w:val="both"/>
        <w:rPr>
          <w:rFonts w:ascii="Times New Roman" w:eastAsia="Calibri" w:hAnsi="Times New Roman" w:cs="Times New Roman"/>
        </w:rPr>
      </w:pPr>
      <w:r>
        <w:rPr>
          <w:rFonts w:ascii="Times New Roman" w:hAnsi="Times New Roman"/>
        </w:rPr>
        <w:t>Генерална дирекция „Комуникации“ (2019 г.), Експресно проучване на Евробарометър № 482: Businesses' attitudes towards corruption in the EU.</w:t>
      </w:r>
    </w:p>
    <w:p>
      <w:pPr>
        <w:spacing w:after="100" w:line="240" w:lineRule="auto"/>
        <w:ind w:left="182" w:hanging="182"/>
        <w:jc w:val="both"/>
        <w:rPr>
          <w:rFonts w:ascii="Times New Roman" w:eastAsia="Calibri" w:hAnsi="Times New Roman" w:cs="Times New Roman"/>
        </w:rPr>
      </w:pPr>
      <w:r>
        <w:rPr>
          <w:rFonts w:ascii="Times New Roman" w:hAnsi="Times New Roman"/>
        </w:rPr>
        <w:t>Генерална дирекция „Комуникации“ (2020 г.), Специално проучване на Евробарометър № 502: corruption.</w:t>
      </w:r>
    </w:p>
    <w:p>
      <w:pPr>
        <w:spacing w:after="100" w:line="240" w:lineRule="auto"/>
        <w:ind w:left="182" w:hanging="182"/>
        <w:jc w:val="both"/>
        <w:rPr>
          <w:rFonts w:ascii="Times New Roman" w:eastAsia="Calibri" w:hAnsi="Times New Roman" w:cs="Times New Roman"/>
        </w:rPr>
      </w:pPr>
      <w:r>
        <w:rPr>
          <w:rFonts w:ascii="Times New Roman" w:hAnsi="Times New Roman"/>
        </w:rPr>
        <w:t xml:space="preserve">Европейска комисия (2013 г., 2014 г., 2015 г., 2016 г., 2017 г., 2018 г., 2019 г., 2020 г.), Информационно табло на ЕС в областта на правосъдието. </w:t>
      </w:r>
    </w:p>
    <w:p>
      <w:pPr>
        <w:spacing w:after="100" w:line="240" w:lineRule="auto"/>
        <w:jc w:val="both"/>
        <w:rPr>
          <w:rFonts w:ascii="Times New Roman" w:eastAsia="Calibri" w:hAnsi="Times New Roman" w:cs="Times New Roman"/>
        </w:rPr>
      </w:pPr>
      <w:r>
        <w:rPr>
          <w:rFonts w:ascii="Times New Roman" w:hAnsi="Times New Roman"/>
        </w:rPr>
        <w:t>Европейска комисия (2015 г.), Country report Slovakia (SWD(2015) 44/2 final).</w:t>
      </w:r>
    </w:p>
    <w:p>
      <w:pPr>
        <w:spacing w:after="100" w:line="240" w:lineRule="auto"/>
        <w:ind w:left="182" w:hanging="182"/>
        <w:jc w:val="both"/>
        <w:rPr>
          <w:rFonts w:ascii="Times New Roman" w:eastAsia="Calibri" w:hAnsi="Times New Roman" w:cs="Times New Roman"/>
        </w:rPr>
      </w:pPr>
      <w:r>
        <w:rPr>
          <w:rFonts w:ascii="Times New Roman" w:hAnsi="Times New Roman"/>
        </w:rPr>
        <w:t>Европейска комисия (2018 г.), Equality bodies making a difference.</w:t>
      </w:r>
    </w:p>
    <w:p>
      <w:pPr>
        <w:spacing w:after="100" w:line="240" w:lineRule="auto"/>
        <w:ind w:left="182" w:hanging="182"/>
        <w:jc w:val="both"/>
        <w:rPr>
          <w:rFonts w:ascii="Times New Roman" w:eastAsia="Calibri" w:hAnsi="Times New Roman" w:cs="Times New Roman"/>
        </w:rPr>
      </w:pPr>
      <w:r>
        <w:rPr>
          <w:rFonts w:ascii="Times New Roman" w:hAnsi="Times New Roman"/>
        </w:rPr>
        <w:t>Европейска комисия (2019 г.), Country Report Slovakia (SWD(2019) 1024 final).</w:t>
      </w:r>
    </w:p>
    <w:p>
      <w:pPr>
        <w:spacing w:after="100" w:line="240" w:lineRule="auto"/>
        <w:ind w:left="182" w:hanging="182"/>
        <w:jc w:val="both"/>
        <w:rPr>
          <w:rFonts w:ascii="Times New Roman" w:eastAsia="Calibri" w:hAnsi="Times New Roman" w:cs="Times New Roman"/>
        </w:rPr>
      </w:pPr>
      <w:r>
        <w:rPr>
          <w:rFonts w:ascii="Times New Roman" w:hAnsi="Times New Roman"/>
        </w:rPr>
        <w:t xml:space="preserve">Европейска комисия (2019 г.), </w:t>
      </w:r>
      <w:r>
        <w:rPr>
          <w:rFonts w:ascii="Times New Roman" w:hAnsi="Times New Roman"/>
          <w:bCs/>
          <w:color w:val="000000" w:themeColor="text1"/>
        </w:rPr>
        <w:t>Public administration characteristics and performance in EU28</w:t>
      </w:r>
      <w:r>
        <w:rPr>
          <w:rFonts w:ascii="Times New Roman" w:hAnsi="Times New Roman"/>
        </w:rPr>
        <w:t>.</w:t>
      </w:r>
    </w:p>
    <w:p>
      <w:pPr>
        <w:spacing w:after="100" w:line="240" w:lineRule="auto"/>
        <w:ind w:left="182" w:hanging="182"/>
        <w:jc w:val="both"/>
        <w:rPr>
          <w:rFonts w:ascii="Times New Roman" w:eastAsia="Calibri" w:hAnsi="Times New Roman" w:cs="Times New Roman"/>
        </w:rPr>
      </w:pPr>
      <w:r>
        <w:rPr>
          <w:rFonts w:ascii="Times New Roman" w:hAnsi="Times New Roman"/>
        </w:rPr>
        <w:t>Европейска комисия (2020 г.), A comparative analysis of non-discrimination law in Europe 2019.</w:t>
      </w:r>
    </w:p>
    <w:p>
      <w:pPr>
        <w:spacing w:after="100" w:line="240" w:lineRule="auto"/>
        <w:ind w:left="182" w:hanging="182"/>
        <w:jc w:val="both"/>
        <w:rPr>
          <w:rFonts w:ascii="Times New Roman" w:eastAsia="Calibri" w:hAnsi="Times New Roman" w:cs="Times New Roman"/>
        </w:rPr>
      </w:pPr>
      <w:r>
        <w:rPr>
          <w:rFonts w:ascii="Times New Roman" w:hAnsi="Times New Roman"/>
        </w:rPr>
        <w:t>Европейска комисия (2020 г.), Country report Slovakia (SWD(2020) 524 final).</w:t>
      </w:r>
    </w:p>
    <w:p>
      <w:pPr>
        <w:spacing w:after="100" w:line="240" w:lineRule="auto"/>
        <w:ind w:left="182" w:hanging="182"/>
        <w:jc w:val="both"/>
        <w:rPr>
          <w:rFonts w:ascii="Times New Roman" w:eastAsia="Calibri" w:hAnsi="Times New Roman" w:cs="Times New Roman"/>
        </w:rPr>
      </w:pPr>
      <w:r>
        <w:rPr>
          <w:rFonts w:ascii="Times New Roman" w:hAnsi="Times New Roman"/>
        </w:rPr>
        <w:t>Европейска мрежа на националните институциите за правата на човека (ENNRHI) (2020 г.), The rule of law in the European Union.</w:t>
      </w:r>
    </w:p>
    <w:p>
      <w:pPr>
        <w:spacing w:after="100" w:line="240" w:lineRule="auto"/>
        <w:ind w:left="182" w:hanging="182"/>
        <w:jc w:val="both"/>
        <w:rPr>
          <w:rFonts w:ascii="Times New Roman" w:hAnsi="Times New Roman" w:cs="Times New Roman"/>
          <w:bCs/>
        </w:rPr>
      </w:pPr>
      <w:r>
        <w:rPr>
          <w:rFonts w:ascii="Times New Roman" w:hAnsi="Times New Roman"/>
        </w:rPr>
        <w:t>Европейска</w:t>
      </w:r>
      <w:r>
        <w:rPr>
          <w:rFonts w:ascii="Times New Roman" w:hAnsi="Times New Roman"/>
          <w:bCs/>
        </w:rPr>
        <w:t xml:space="preserve"> мрежа на съдебните съвети</w:t>
      </w:r>
      <w:r>
        <w:rPr>
          <w:rFonts w:ascii="Times New Roman" w:hAnsi="Times New Roman"/>
        </w:rPr>
        <w:t xml:space="preserve"> и Съвет на адвокатските колегии и правните общества в Европа (2020 г.), Survey among lawyers on the independence of judges 2018-2019. </w:t>
      </w:r>
      <w:hyperlink r:id="rId18" w:history="1">
        <w:r>
          <w:rPr>
            <w:rFonts w:ascii="Times New Roman" w:hAnsi="Times New Roman"/>
            <w:color w:val="0000FF" w:themeColor="hyperlink"/>
            <w:u w:val="single"/>
          </w:rPr>
          <w:t>https://pgwrk-websitemedia.s3.eu-west-1.amazonaws.com/production/pwk-web-encj2017-p/Reports/ENCJ%20Survey%20on%20Independence%20Accountability%20of%20the%20Judiciary%20among%20lawyers%20%202019.pdf</w:t>
        </w:r>
      </w:hyperlink>
      <w:r>
        <w:rPr>
          <w:rFonts w:ascii="Times New Roman" w:hAnsi="Times New Roman"/>
        </w:rPr>
        <w:t xml:space="preserve">. </w:t>
      </w:r>
    </w:p>
    <w:p>
      <w:pPr>
        <w:spacing w:after="100" w:line="240" w:lineRule="auto"/>
        <w:ind w:left="182" w:hanging="182"/>
        <w:jc w:val="both"/>
        <w:rPr>
          <w:rFonts w:ascii="Times New Roman" w:hAnsi="Times New Roman" w:cs="Times New Roman"/>
        </w:rPr>
      </w:pPr>
      <w:r>
        <w:rPr>
          <w:rFonts w:ascii="Times New Roman" w:hAnsi="Times New Roman"/>
        </w:rPr>
        <w:t xml:space="preserve">Резолюция на Европейския парламент от 28 март 2019 г. относно положението по отношение на принципите на правовата държава и борбата срещу корупцията в ЕС, по-специално в Малта и Словакия. </w:t>
      </w:r>
    </w:p>
    <w:p>
      <w:pPr>
        <w:spacing w:after="100" w:line="240" w:lineRule="auto"/>
        <w:ind w:left="182" w:hanging="182"/>
        <w:jc w:val="both"/>
        <w:rPr>
          <w:rFonts w:ascii="Times New Roman" w:eastAsia="Calibri" w:hAnsi="Times New Roman" w:cs="Times New Roman"/>
        </w:rPr>
      </w:pPr>
      <w:r>
        <w:rPr>
          <w:rFonts w:ascii="Times New Roman" w:hAnsi="Times New Roman"/>
        </w:rPr>
        <w:t>Резолюция на Европейския парламент от 19 април 2018 г. относно защитата на разследващите журналисти в Европа: случаят на словашкия журналист Ян Куцяк и Мартина Кушнирова.</w:t>
      </w:r>
    </w:p>
    <w:p>
      <w:pPr>
        <w:spacing w:after="100" w:line="240" w:lineRule="auto"/>
        <w:ind w:left="182" w:hanging="182"/>
        <w:jc w:val="both"/>
        <w:rPr>
          <w:rFonts w:ascii="Times New Roman" w:eastAsia="Calibri" w:hAnsi="Times New Roman" w:cs="Times New Roman"/>
        </w:rPr>
      </w:pPr>
      <w:r>
        <w:rPr>
          <w:rFonts w:ascii="Times New Roman" w:hAnsi="Times New Roman"/>
        </w:rPr>
        <w:t xml:space="preserve">Група държави срещу корупцията (GRECO) (2017 г.), Четвърти кръг на оценка — втори доклад за изпълнението от Словашката република, Превенция на корупцията по отношение на членовете на парламента, съдиите и прокурорите. </w:t>
      </w:r>
    </w:p>
    <w:p>
      <w:pPr>
        <w:spacing w:after="100" w:line="240" w:lineRule="auto"/>
        <w:ind w:left="181" w:hanging="181"/>
        <w:jc w:val="both"/>
        <w:rPr>
          <w:rFonts w:ascii="Times New Roman" w:eastAsia="Calibri" w:hAnsi="Times New Roman" w:cs="Times New Roman"/>
          <w:color w:val="000000" w:themeColor="text1"/>
        </w:rPr>
      </w:pPr>
      <w:r>
        <w:rPr>
          <w:rFonts w:ascii="Times New Roman" w:hAnsi="Times New Roman"/>
          <w:color w:val="000000" w:themeColor="text1"/>
        </w:rPr>
        <w:t>I-CONnect and the Clough Center for the Study of Constitutional Democracy at Boston College (2019 г.), 2018 Global Review of Constitutional Law.</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olor w:val="000000" w:themeColor="text1"/>
        </w:rPr>
        <w:t xml:space="preserve">Съдебен съвет (13 ноември 2019 г., 23 март 2020 г., 23 юни 2020 г.), Комюникета относно оставките на неговите членове. </w:t>
      </w:r>
      <w:hyperlink r:id="rId19" w:history="1">
        <w:r>
          <w:rPr>
            <w:rFonts w:ascii="Times New Roman" w:hAnsi="Times New Roman"/>
            <w:color w:val="0000FF" w:themeColor="hyperlink"/>
            <w:u w:val="single"/>
          </w:rPr>
          <w:t>http://www.sudnarada.gov.sk/sudna-rada-bude-mat-o-jedneho-clena-menej/</w:t>
        </w:r>
      </w:hyperlink>
      <w:r>
        <w:rPr>
          <w:rFonts w:ascii="Times New Roman" w:hAnsi="Times New Roman"/>
        </w:rPr>
        <w:t xml:space="preserve">. </w:t>
      </w:r>
      <w:hyperlink r:id="rId20" w:history="1">
        <w:r>
          <w:rPr>
            <w:rFonts w:ascii="Times New Roman" w:hAnsi="Times New Roman"/>
            <w:color w:val="0000FF" w:themeColor="hyperlink"/>
            <w:u w:val="single"/>
          </w:rPr>
          <w:t>http://www.sudnarada.gov.sk/clenstva-v-sudnej-rade-sa-vzdalo-pat-jej-clenov</w:t>
        </w:r>
      </w:hyperlink>
      <w:r>
        <w:rPr>
          <w:rFonts w:ascii="Times New Roman" w:hAnsi="Times New Roman"/>
          <w:color w:val="000000" w:themeColor="text1"/>
        </w:rPr>
        <w:t xml:space="preserve">. </w:t>
      </w:r>
      <w:hyperlink r:id="rId21" w:history="1">
        <w:r>
          <w:rPr>
            <w:rFonts w:ascii="Times New Roman" w:hAnsi="Times New Roman"/>
            <w:color w:val="0000FF" w:themeColor="hyperlink"/>
            <w:u w:val="single"/>
          </w:rPr>
          <w:t>http://www.sudnarada.gov.sk/predsednicka-sudnej-rady-sa-rozhodla-vzdat-svojej-funkcie/</w:t>
        </w:r>
      </w:hyperlink>
      <w:r>
        <w:rPr>
          <w:rFonts w:ascii="Times New Roman" w:hAnsi="Times New Roman"/>
        </w:rPr>
        <w:t xml:space="preserve">.  </w:t>
      </w:r>
    </w:p>
    <w:p>
      <w:pPr>
        <w:spacing w:after="100" w:line="240" w:lineRule="auto"/>
        <w:ind w:left="182" w:hanging="182"/>
        <w:jc w:val="both"/>
        <w:rPr>
          <w:rFonts w:ascii="Times New Roman" w:hAnsi="Times New Roman" w:cs="Times New Roman"/>
          <w:color w:val="000000" w:themeColor="text1"/>
        </w:rPr>
      </w:pPr>
      <w:r>
        <w:rPr>
          <w:rFonts w:ascii="Times New Roman" w:hAnsi="Times New Roman"/>
          <w:color w:val="000000" w:themeColor="text1"/>
          <w:spacing w:val="-6"/>
        </w:rPr>
        <w:t xml:space="preserve">Съдебен съвет (23 април 2020 г., 26 април 2020 г., 20 май 2020 г.), Комюникета относно назначенията на неговите членове. </w:t>
      </w:r>
      <w:hyperlink r:id="rId22" w:history="1">
        <w:r>
          <w:rPr>
            <w:rFonts w:ascii="Times New Roman" w:hAnsi="Times New Roman"/>
            <w:color w:val="0000FF" w:themeColor="hyperlink"/>
            <w:spacing w:val="-6"/>
            <w:u w:val="single"/>
          </w:rPr>
          <w:t>http://www.sudnarada.gov.sk/sudna-rada-ma-troch-novych-clenov/</w:t>
        </w:r>
      </w:hyperlink>
      <w:r>
        <w:rPr>
          <w:rFonts w:ascii="Times New Roman" w:hAnsi="Times New Roman"/>
          <w:spacing w:val="-6"/>
        </w:rPr>
        <w:t>.</w:t>
      </w:r>
      <w:r>
        <w:rPr>
          <w:rFonts w:ascii="Times New Roman" w:hAnsi="Times New Roman"/>
        </w:rPr>
        <w:t xml:space="preserve"> </w:t>
      </w:r>
      <w:hyperlink r:id="rId23" w:history="1">
        <w:r>
          <w:rPr>
            <w:rFonts w:ascii="Times New Roman" w:hAnsi="Times New Roman"/>
            <w:color w:val="0000FF" w:themeColor="hyperlink"/>
            <w:u w:val="single"/>
          </w:rPr>
          <w:t>http://www.sudnarada.gov.sk/sudna-rada-v-takmer-kompletnej-zostave/</w:t>
        </w:r>
      </w:hyperlink>
      <w:r>
        <w:rPr>
          <w:rFonts w:ascii="Times New Roman" w:hAnsi="Times New Roman"/>
        </w:rPr>
        <w:t>.</w:t>
      </w:r>
      <w:r>
        <w:rPr>
          <w:rFonts w:ascii="Times New Roman" w:hAnsi="Times New Roman"/>
          <w:color w:val="000000" w:themeColor="text1"/>
        </w:rPr>
        <w:t xml:space="preserve"> </w:t>
      </w:r>
      <w:hyperlink r:id="rId24" w:history="1">
        <w:r>
          <w:rPr>
            <w:rFonts w:ascii="Times New Roman" w:hAnsi="Times New Roman"/>
            <w:color w:val="0000FF" w:themeColor="hyperlink"/>
            <w:u w:val="single"/>
          </w:rPr>
          <w:t>http://www.sudnarada.gov.sk/sudna-rada-ma-opat-osemnast-clenov/</w:t>
        </w:r>
      </w:hyperlink>
      <w:r>
        <w:rPr>
          <w:rFonts w:ascii="Times New Roman" w:hAnsi="Times New Roman"/>
        </w:rPr>
        <w:t xml:space="preserve">.  </w:t>
      </w:r>
      <w:r>
        <w:rPr>
          <w:rFonts w:ascii="Times New Roman" w:hAnsi="Times New Roman"/>
          <w:color w:val="000000" w:themeColor="text1"/>
        </w:rPr>
        <w:t xml:space="preserve"> </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olor w:val="000000" w:themeColor="text1"/>
        </w:rPr>
        <w:t xml:space="preserve">Организация за икономическо сътрудничество и развитие (ОИСР) (2012 г.), Словакия: Доклад за етап 3 от прилагането на Конвенцията на ОИСР за борба с подкупването в Словашката република. </w:t>
      </w:r>
      <w:hyperlink r:id="rId25" w:history="1">
        <w:r>
          <w:rPr>
            <w:rFonts w:ascii="Times New Roman" w:hAnsi="Times New Roman"/>
            <w:color w:val="0000FF" w:themeColor="hyperlink"/>
            <w:u w:val="single"/>
          </w:rPr>
          <w:t>http://www.oecd.org/daf/anti-bribery/SlovakRepublicphase3reportEN.pdf</w:t>
        </w:r>
      </w:hyperlink>
      <w:r>
        <w:rPr>
          <w:rFonts w:ascii="Times New Roman" w:hAnsi="Times New Roman"/>
          <w:color w:val="000000" w:themeColor="text1"/>
        </w:rPr>
        <w:t xml:space="preserve">. </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olor w:val="000000" w:themeColor="text1"/>
        </w:rPr>
        <w:t>Бюро за демократични институции и права на човека (БДИПЧ) към Организацията за сигурност и сътрудничество в Европа (ОССЕ) (2019 г.), Opinion on the Draft Amendments to the Act on Establishment of the Slovak National Centre for Human Rights.</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olor w:val="000000" w:themeColor="text1"/>
        </w:rPr>
        <w:t>Бюро за демократични институции и права на човека (БДИПЧ) към Организацията за сигурност и сътрудничество в Европа (ОССЕ) (2020 г.), Slovak Republic – Parliamentary Elections, ODIHR Election Assessment Mission Final Report.</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rPr>
        <w:t xml:space="preserve">Президент на републиката (2020 г.), Доклад за състоянието на републиката. </w:t>
      </w:r>
      <w:hyperlink r:id="rId26" w:history="1">
        <w:r>
          <w:rPr>
            <w:rFonts w:ascii="Times New Roman" w:hAnsi="Times New Roman"/>
            <w:color w:val="0000FF" w:themeColor="hyperlink"/>
            <w:u w:val="single"/>
          </w:rPr>
          <w:t>https://www.prezident.sk/en/article/sprava-prezidentky-o-stave-republiky/</w:t>
        </w:r>
      </w:hyperlink>
      <w:r>
        <w:rPr>
          <w:rFonts w:ascii="Times New Roman" w:hAnsi="Times New Roman"/>
        </w:rPr>
        <w:t xml:space="preserve">. </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olor w:val="000000" w:themeColor="text1"/>
        </w:rPr>
        <w:t>Обществен защитник на правата (2020 г.), Доклад за дейността на обществения защитник на правата за 2019 г.</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olor w:val="000000" w:themeColor="text1"/>
        </w:rPr>
        <w:t xml:space="preserve">Репортери без граници, Словакия. </w:t>
      </w:r>
      <w:hyperlink r:id="rId27" w:history="1">
        <w:r>
          <w:rPr>
            <w:rFonts w:ascii="Times New Roman" w:hAnsi="Times New Roman"/>
            <w:color w:val="0000FF" w:themeColor="hyperlink"/>
            <w:u w:val="single"/>
          </w:rPr>
          <w:t>https://rsf.org/en/ranking</w:t>
        </w:r>
      </w:hyperlink>
      <w:r>
        <w:rPr>
          <w:rFonts w:ascii="Times New Roman" w:hAnsi="Times New Roman"/>
          <w:color w:val="000000" w:themeColor="text1"/>
        </w:rPr>
        <w:t xml:space="preserve">. </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olor w:val="000000" w:themeColor="text1"/>
        </w:rPr>
        <w:t>Словашко правителство (2020 г.), Информация, предоставена от Словакия за Доклада относно върховенството на закона за 2020 г.</w:t>
      </w:r>
    </w:p>
    <w:p>
      <w:pPr>
        <w:spacing w:after="100" w:line="240" w:lineRule="auto"/>
        <w:ind w:left="182" w:hanging="182"/>
        <w:jc w:val="both"/>
        <w:rPr>
          <w:rFonts w:ascii="Times New Roman" w:eastAsia="Calibri" w:hAnsi="Times New Roman" w:cs="Times New Roman"/>
          <w:color w:val="000000" w:themeColor="text1"/>
        </w:rPr>
      </w:pPr>
      <w:r>
        <w:rPr>
          <w:rFonts w:ascii="Times New Roman" w:hAnsi="Times New Roman"/>
          <w:color w:val="000000" w:themeColor="text1"/>
        </w:rPr>
        <w:t xml:space="preserve">Словашко правителство, (2020 г.) </w:t>
      </w:r>
      <w:r>
        <w:rPr>
          <w:rFonts w:ascii="Times New Roman" w:hAnsi="Times New Roman"/>
          <w:i/>
          <w:color w:val="000000" w:themeColor="text1"/>
        </w:rPr>
        <w:t>Programové vyhlásenie vlády Slovenskej republiky na obdobie rokov 2020—2024.</w:t>
      </w:r>
    </w:p>
    <w:p>
      <w:pPr>
        <w:spacing w:after="100" w:line="240" w:lineRule="auto"/>
        <w:ind w:left="182" w:hanging="182"/>
        <w:jc w:val="both"/>
        <w:rPr>
          <w:rFonts w:ascii="Times New Roman" w:eastAsia="Calibri" w:hAnsi="Times New Roman" w:cs="Times New Roman"/>
        </w:rPr>
      </w:pPr>
      <w:r>
        <w:rPr>
          <w:rFonts w:ascii="Times New Roman" w:hAnsi="Times New Roman"/>
        </w:rPr>
        <w:t>Върховна сметна палата на Словашката република (2019 г), Доклад за одитните дейности, Резултати през 2019 г.</w:t>
      </w:r>
    </w:p>
    <w:p>
      <w:pPr>
        <w:spacing w:after="100" w:line="240" w:lineRule="auto"/>
        <w:ind w:left="182" w:hanging="182"/>
        <w:jc w:val="both"/>
        <w:rPr>
          <w:rFonts w:ascii="Times New Roman" w:eastAsia="Calibri" w:hAnsi="Times New Roman" w:cs="Times New Roman"/>
        </w:rPr>
      </w:pPr>
      <w:r>
        <w:rPr>
          <w:rFonts w:ascii="Times New Roman" w:hAnsi="Times New Roman"/>
        </w:rPr>
        <w:t>Transparency International Slovakia („Прозрачност без граници“ Словакия) (2018 г.), Let’s judge the judges – How Slovakia opened its judiciary to unprecedented public control.</w:t>
      </w:r>
    </w:p>
    <w:p>
      <w:pPr>
        <w:spacing w:after="100" w:line="240" w:lineRule="auto"/>
        <w:ind w:left="182" w:hanging="182"/>
        <w:jc w:val="both"/>
        <w:rPr>
          <w:rFonts w:ascii="Times New Roman" w:eastAsia="Calibri" w:hAnsi="Times New Roman" w:cs="Times New Roman"/>
        </w:rPr>
      </w:pPr>
      <w:r>
        <w:rPr>
          <w:rFonts w:ascii="Times New Roman" w:hAnsi="Times New Roman"/>
        </w:rPr>
        <w:t>Виртуално посещение на Словакия в контекста на Доклада за върховенството на закона за 2020 г.</w:t>
      </w:r>
    </w:p>
    <w:p>
      <w:pPr>
        <w:spacing w:after="100" w:line="240" w:lineRule="auto"/>
        <w:ind w:left="182" w:hanging="182"/>
        <w:jc w:val="both"/>
        <w:rPr>
          <w:rFonts w:ascii="Times New Roman" w:eastAsia="Calibri" w:hAnsi="Times New Roman" w:cs="Times New Roman"/>
        </w:rPr>
      </w:pPr>
      <w:r>
        <w:rPr>
          <w:rFonts w:ascii="Times New Roman" w:hAnsi="Times New Roman"/>
        </w:rPr>
        <w:t>Световен икономически форум (2013—2020 г.), The global competitiveness report.</w:t>
      </w:r>
    </w:p>
    <w:p>
      <w:pPr>
        <w:rPr>
          <w:rFonts w:ascii="Times New Roman" w:eastAsia="Calibri" w:hAnsi="Times New Roman" w:cs="Times New Roman"/>
        </w:rPr>
      </w:pPr>
      <w:r>
        <w:rPr>
          <w:rFonts w:ascii="Times New Roman" w:eastAsia="Calibri" w:hAnsi="Times New Roman" w:cs="Times New Roman"/>
        </w:rPr>
        <w:br w:type="page"/>
      </w:r>
    </w:p>
    <w:p>
      <w:pPr>
        <w:spacing w:after="120" w:line="240" w:lineRule="auto"/>
        <w:ind w:left="181" w:hanging="181"/>
        <w:jc w:val="both"/>
        <w:rPr>
          <w:rFonts w:ascii="Times New Roman" w:eastAsia="Times New Roman" w:hAnsi="Times New Roman" w:cs="Times New Roman"/>
          <w:b/>
        </w:rPr>
      </w:pPr>
      <w:r>
        <w:rPr>
          <w:rFonts w:ascii="Times New Roman" w:hAnsi="Times New Roman"/>
          <w:b/>
        </w:rPr>
        <w:t>Приложение II: Посещение в Словакия</w:t>
      </w:r>
    </w:p>
    <w:p>
      <w:pPr>
        <w:spacing w:after="120" w:line="240" w:lineRule="auto"/>
        <w:jc w:val="both"/>
        <w:rPr>
          <w:rFonts w:ascii="Times New Roman" w:eastAsia="Times New Roman" w:hAnsi="Times New Roman" w:cs="Times New Roman"/>
        </w:rPr>
      </w:pPr>
      <w:r>
        <w:rPr>
          <w:rFonts w:ascii="Times New Roman" w:hAnsi="Times New Roman"/>
        </w:rPr>
        <w:t>През май и юни 2020 г. службите на Комисията проведоха виртуални срещи със:</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Отдела за предотвратяване на корупцията</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Министерството на правосъдието</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Министерството на вътрешните работи</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Националната агенция за борба с престъпността към полицията</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 xml:space="preserve">Главната прокуратура </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Специалната прокуратура</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Словашкия съвет за излъчване</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 xml:space="preserve">Transparency International Словакия („Прозрачност без граници“ Словакия) </w:t>
      </w:r>
    </w:p>
    <w:p>
      <w:pPr>
        <w:numPr>
          <w:ilvl w:val="0"/>
          <w:numId w:val="2"/>
        </w:numPr>
        <w:spacing w:after="0" w:line="240" w:lineRule="auto"/>
        <w:ind w:left="714" w:hanging="357"/>
        <w:contextualSpacing/>
        <w:jc w:val="both"/>
        <w:rPr>
          <w:rFonts w:ascii="Times New Roman" w:eastAsia="Times New Roman" w:hAnsi="Times New Roman" w:cs="Times New Roman"/>
        </w:rPr>
      </w:pPr>
      <w:r>
        <w:rPr>
          <w:rFonts w:ascii="Times New Roman" w:hAnsi="Times New Roman"/>
        </w:rPr>
        <w:t>Via Iuris</w:t>
      </w:r>
    </w:p>
    <w:p>
      <w:pPr>
        <w:spacing w:after="120" w:line="240" w:lineRule="auto"/>
        <w:jc w:val="both"/>
        <w:rPr>
          <w:rFonts w:ascii="Times New Roman" w:eastAsia="Times New Roman" w:hAnsi="Times New Roman" w:cs="Times New Roman"/>
          <w:lang w:eastAsia="fr-FR"/>
        </w:rPr>
      </w:pPr>
    </w:p>
    <w:p>
      <w:pPr>
        <w:spacing w:after="120" w:line="240" w:lineRule="auto"/>
        <w:jc w:val="both"/>
        <w:rPr>
          <w:rFonts w:ascii="Times New Roman" w:eastAsia="Times New Roman" w:hAnsi="Times New Roman" w:cs="Times New Roman"/>
        </w:rPr>
      </w:pPr>
      <w:r>
        <w:rPr>
          <w:rFonts w:ascii="Times New Roman" w:hAnsi="Times New Roman"/>
        </w:rPr>
        <w:t xml:space="preserve">* Комисията проведе също така поредица хоризонтални срещи със следните организации: </w:t>
      </w:r>
    </w:p>
    <w:p>
      <w:pPr>
        <w:numPr>
          <w:ilvl w:val="0"/>
          <w:numId w:val="3"/>
        </w:numPr>
        <w:spacing w:after="0" w:line="240" w:lineRule="auto"/>
        <w:ind w:left="714" w:hanging="357"/>
        <w:rPr>
          <w:rFonts w:ascii="Times New Roman" w:hAnsi="Times New Roman" w:cs="Times New Roman"/>
        </w:rPr>
      </w:pPr>
      <w:r>
        <w:rPr>
          <w:rFonts w:ascii="Times New Roman" w:hAnsi="Times New Roman"/>
        </w:rPr>
        <w:t>Amnesty International („Амнести Интернешънъл“)</w:t>
      </w:r>
    </w:p>
    <w:p>
      <w:pPr>
        <w:numPr>
          <w:ilvl w:val="0"/>
          <w:numId w:val="3"/>
        </w:numPr>
        <w:spacing w:after="0" w:line="240" w:lineRule="auto"/>
        <w:ind w:left="714" w:hanging="357"/>
        <w:rPr>
          <w:rFonts w:ascii="Times New Roman" w:hAnsi="Times New Roman" w:cs="Times New Roman"/>
        </w:rPr>
      </w:pPr>
      <w:r>
        <w:rPr>
          <w:rFonts w:ascii="Times New Roman" w:hAnsi="Times New Roman"/>
        </w:rPr>
        <w:t>Civil Liberties Union for Europe (Съюза за граждански свободи за Европа)</w:t>
      </w:r>
    </w:p>
    <w:p>
      <w:pPr>
        <w:numPr>
          <w:ilvl w:val="0"/>
          <w:numId w:val="3"/>
        </w:numPr>
        <w:spacing w:after="0" w:line="240" w:lineRule="auto"/>
        <w:ind w:left="714" w:hanging="357"/>
        <w:rPr>
          <w:rFonts w:ascii="Times New Roman" w:hAnsi="Times New Roman" w:cs="Times New Roman"/>
        </w:rPr>
      </w:pPr>
      <w:r>
        <w:rPr>
          <w:rFonts w:ascii="Times New Roman" w:hAnsi="Times New Roman"/>
        </w:rPr>
        <w:t>Civil Society Europe</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Conference of European Churches (Конференцията на европейските църкви) </w:t>
      </w:r>
    </w:p>
    <w:p>
      <w:pPr>
        <w:numPr>
          <w:ilvl w:val="0"/>
          <w:numId w:val="3"/>
        </w:numPr>
        <w:spacing w:after="0" w:line="240" w:lineRule="auto"/>
        <w:ind w:left="714" w:hanging="357"/>
        <w:rPr>
          <w:rFonts w:ascii="Times New Roman" w:hAnsi="Times New Roman" w:cs="Times New Roman"/>
        </w:rPr>
      </w:pPr>
      <w:r>
        <w:rPr>
          <w:rFonts w:ascii="Times New Roman" w:hAnsi="Times New Roman"/>
        </w:rPr>
        <w:t>EuroCommerce</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European Center for Not-for-Profit Law (Европейския център за нестопанско право) </w:t>
      </w:r>
    </w:p>
    <w:p>
      <w:pPr>
        <w:numPr>
          <w:ilvl w:val="0"/>
          <w:numId w:val="3"/>
        </w:numPr>
        <w:spacing w:after="0" w:line="240" w:lineRule="auto"/>
        <w:ind w:left="714" w:hanging="357"/>
        <w:rPr>
          <w:rFonts w:ascii="Times New Roman" w:hAnsi="Times New Roman" w:cs="Times New Roman"/>
        </w:rPr>
      </w:pPr>
      <w:r>
        <w:rPr>
          <w:rFonts w:ascii="Times New Roman" w:hAnsi="Times New Roman"/>
        </w:rPr>
        <w:t>European Centre for Press and Media Freedom (Европейския център за свобода на печата и медиите)</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Европейския граждански форум </w:t>
      </w:r>
    </w:p>
    <w:p>
      <w:pPr>
        <w:numPr>
          <w:ilvl w:val="0"/>
          <w:numId w:val="3"/>
        </w:numPr>
        <w:spacing w:after="0" w:line="240" w:lineRule="auto"/>
        <w:ind w:left="714" w:hanging="357"/>
        <w:rPr>
          <w:rFonts w:ascii="Times New Roman" w:hAnsi="Times New Roman" w:cs="Times New Roman"/>
        </w:rPr>
      </w:pPr>
      <w:r>
        <w:rPr>
          <w:rFonts w:ascii="Times New Roman" w:hAnsi="Times New Roman"/>
        </w:rPr>
        <w:t>Free Press Unlimited</w:t>
      </w:r>
    </w:p>
    <w:p>
      <w:pPr>
        <w:numPr>
          <w:ilvl w:val="0"/>
          <w:numId w:val="3"/>
        </w:numPr>
        <w:spacing w:after="0" w:line="240" w:lineRule="auto"/>
        <w:ind w:left="714" w:hanging="357"/>
        <w:rPr>
          <w:rFonts w:ascii="Times New Roman" w:hAnsi="Times New Roman" w:cs="Times New Roman"/>
        </w:rPr>
      </w:pPr>
      <w:r>
        <w:rPr>
          <w:rFonts w:ascii="Times New Roman" w:hAnsi="Times New Roman"/>
        </w:rPr>
        <w:t>Front Line Defenders (Защитници на предна линия)</w:t>
      </w:r>
    </w:p>
    <w:p>
      <w:pPr>
        <w:numPr>
          <w:ilvl w:val="0"/>
          <w:numId w:val="3"/>
        </w:numPr>
        <w:spacing w:after="0" w:line="240" w:lineRule="auto"/>
        <w:ind w:left="714" w:hanging="357"/>
        <w:rPr>
          <w:rFonts w:ascii="Times New Roman" w:hAnsi="Times New Roman" w:cs="Times New Roman"/>
        </w:rPr>
      </w:pPr>
      <w:r>
        <w:rPr>
          <w:rFonts w:ascii="Times New Roman" w:hAnsi="Times New Roman"/>
        </w:rPr>
        <w:t>ILGA-Europe</w:t>
      </w:r>
    </w:p>
    <w:p>
      <w:pPr>
        <w:numPr>
          <w:ilvl w:val="0"/>
          <w:numId w:val="3"/>
        </w:numPr>
        <w:spacing w:after="0" w:line="240" w:lineRule="auto"/>
        <w:ind w:left="714" w:hanging="357"/>
        <w:rPr>
          <w:rFonts w:ascii="Times New Roman" w:hAnsi="Times New Roman" w:cs="Times New Roman"/>
        </w:rPr>
      </w:pPr>
      <w:r>
        <w:rPr>
          <w:rFonts w:ascii="Times New Roman" w:hAnsi="Times New Roman"/>
        </w:rPr>
        <w:t>International Commission of Jurists (Международната комисия на юристите)</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International Federation for Human Rights (Международната федерация по правата на човека) </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International Press Institute (Международния институт по печата) </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Lifelong learning Platform (Платформата за учене през целия живот) </w:t>
      </w:r>
    </w:p>
    <w:p>
      <w:pPr>
        <w:numPr>
          <w:ilvl w:val="0"/>
          <w:numId w:val="3"/>
        </w:numPr>
        <w:spacing w:after="0" w:line="240" w:lineRule="auto"/>
        <w:ind w:left="714" w:hanging="357"/>
        <w:rPr>
          <w:rFonts w:ascii="Times New Roman" w:hAnsi="Times New Roman" w:cs="Times New Roman"/>
        </w:rPr>
      </w:pPr>
      <w:r>
        <w:rPr>
          <w:rFonts w:ascii="Times New Roman" w:hAnsi="Times New Roman"/>
        </w:rPr>
        <w:t>Open Society Justice Initiative/Open Society European Policy Institute (Инициативата за правосъдие на фондация „Отворено общество“/Института за европейски политики на фондация „Отворено общество“)</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Reporters without Borders („Репортери без граници“) </w:t>
      </w:r>
    </w:p>
    <w:p>
      <w:pPr>
        <w:numPr>
          <w:ilvl w:val="0"/>
          <w:numId w:val="3"/>
        </w:numPr>
        <w:spacing w:after="0" w:line="240" w:lineRule="auto"/>
        <w:ind w:left="714" w:hanging="357"/>
        <w:rPr>
          <w:rFonts w:ascii="Times New Roman" w:hAnsi="Times New Roman" w:cs="Times New Roman"/>
        </w:rPr>
      </w:pPr>
      <w:r>
        <w:rPr>
          <w:rFonts w:ascii="Times New Roman" w:hAnsi="Times New Roman"/>
        </w:rPr>
        <w:t xml:space="preserve">Transparency International EU („Прозрачност без граници“ ЕС) </w:t>
      </w:r>
    </w:p>
    <w:p>
      <w:pPr>
        <w:spacing w:after="120" w:line="240" w:lineRule="auto"/>
        <w:jc w:val="both"/>
        <w:rPr>
          <w:rFonts w:ascii="Times New Roman" w:eastAsia="Times New Roman" w:hAnsi="Times New Roman" w:cs="Times New Roman"/>
          <w:lang w:eastAsia="fr-FR"/>
        </w:rPr>
      </w:pPr>
    </w:p>
    <w:p>
      <w:pPr>
        <w:spacing w:after="100" w:line="240" w:lineRule="auto"/>
        <w:jc w:val="both"/>
        <w:rPr>
          <w:rFonts w:ascii="Times New Roman" w:eastAsia="Calibri" w:hAnsi="Times New Roman" w:cs="Times New Roman"/>
        </w:rPr>
      </w:pPr>
    </w:p>
    <w:sectPr>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8"/>
      </w:rPr>
    </w:pPr>
    <w:sdt>
      <w:sdtPr>
        <w:rPr>
          <w:sz w:val="28"/>
        </w:rPr>
        <w:id w:val="-237089857"/>
        <w:docPartObj>
          <w:docPartGallery w:val="Page Numbers (Bottom of Page)"/>
          <w:docPartUnique/>
        </w:docPartObj>
      </w:sdtPr>
      <w:sdtContent>
        <w:r>
          <w:rPr>
            <w:rFonts w:ascii="Times New Roman" w:hAnsi="Times New Roman" w:cs="Times New Roman"/>
            <w:sz w:val="20"/>
            <w:szCs w:val="16"/>
          </w:rPr>
          <w:fldChar w:fldCharType="begin"/>
        </w:r>
        <w:r>
          <w:rPr>
            <w:rFonts w:ascii="Times New Roman" w:hAnsi="Times New Roman" w:cs="Times New Roman"/>
            <w:sz w:val="20"/>
            <w:szCs w:val="16"/>
          </w:rPr>
          <w:instrText xml:space="preserve"> PAGE   \* MERGEFORMAT </w:instrText>
        </w:r>
        <w:r>
          <w:rPr>
            <w:rFonts w:ascii="Times New Roman" w:hAnsi="Times New Roman" w:cs="Times New Roman"/>
            <w:sz w:val="20"/>
            <w:szCs w:val="16"/>
          </w:rPr>
          <w:fldChar w:fldCharType="separate"/>
        </w:r>
        <w:r>
          <w:rPr>
            <w:rFonts w:ascii="Times New Roman" w:hAnsi="Times New Roman" w:cs="Times New Roman"/>
            <w:sz w:val="20"/>
            <w:szCs w:val="16"/>
          </w:rPr>
          <w:t>15</w:t>
        </w:r>
        <w:r>
          <w:rPr>
            <w:rFonts w:ascii="Times New Roman" w:hAnsi="Times New Roman" w:cs="Times New Roman"/>
            <w:sz w:val="20"/>
            <w:szCs w:val="1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034332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 описание на съдебната структура вж. напр. годишното проучване за Европейската комисия, проведено от Европейската комисия за ефикасност на правосъдието (CEPEJ).</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Словашки Наказателно-процесуален кодекс, параграф 14 (напр. умишлено убийство, корупция, тероризъм, организирана престъпност, тежки икономически престъпления, увреждане на финансовите интереси на ЕС и др.).</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Член 114а от словашката Конституция.</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Членове 149—151 от словашката Конституция; Закон № 153/2001 Сб. относно прокуратурата.</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Парламентарен закон № 586/2003, Сб. относно юридическата професия и относно изменение на Закон № 455/1991, Сб. относно услугите за икономически дейности и самостоятелна заетост (Закон за лицензиране на икономическите дейности) от 4 декември 2003 г.</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Европейска комисия, Country Report Slovakia 2020 (SWD(2020) 524 final).</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Европейска комисия, Country Report Slovakia 2020 (SWD(2020) 524 final, стр. 6, 20, 50). Европейският парламент също изрази загриженост по отношение на ситуацията в Словакия, вж. Резолюция на Европейския парламент от 28 март 2019 г. относно положението по отношение на принципите на правовата държава и борбата срещу корупцията в ЕС, по-специално в Малта и Словакия; Резолюция на Европейския парламент от 19 април 2018 г. относно защитата на разследващите журналисти в Европа: случаят на словашкия журналист Ян Куцяк и Мартина Кушнирова.</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Това бе съобщено и от словашките органи по време на изготвянето на настоящия доклад.</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Информационно табло на ЕС в областта на правосъдието за 2020 г., графики 44 и 46. Равнището на усещане за независимост на съдебната власт се категоризира, както следва: много ниско (под 30 % от респондентите възприемат равнището на независимост на съдебната власт като относително добро и много добро); ниско (между 30 и 39 %), средно (между 40 и 59 %), високо (между 60 и 75 %), много високо (над 75 %).</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Информационно табло на ЕС в областта на правосъдието за 2013—2020 г.; Световен икономически форум, 2012—2019 The Global Competitiveness Report. Трябва също да се отбележи, че словашките адвокати оценяват независимостта на съдиите в своята държава като много ниско (5,4/10 точки) в сравнително изражение (фигура 7 от проучването на Европейската мрежа на съдебните съвети (ЕМСС) и Съвета на адвокатурите и правните общества в Европа (CCBE) — Survey among lawyers on the independence of judges 2018-2019).</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Напр. информация, предоставена от Словакия за Доклада относно върховенството на закона за 2020 г., т. 10. </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Европейска комисия, Country Report Slovakia 2015 (SWD(2015) 44 final/2, стр. 35—36).</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Решение на Конституционния съд PL. ÚS 21/2014-96.</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Cs/>
        </w:rPr>
        <w:t xml:space="preserve">2018 </w:t>
      </w:r>
      <w:r>
        <w:rPr>
          <w:rFonts w:ascii="Times New Roman" w:hAnsi="Times New Roman"/>
        </w:rPr>
        <w:t>Global</w:t>
      </w:r>
      <w:r>
        <w:rPr>
          <w:rFonts w:ascii="Times New Roman" w:hAnsi="Times New Roman"/>
          <w:iCs/>
        </w:rPr>
        <w:t xml:space="preserve"> Review of Constitutional Law, стр. 272.</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Programové </w:t>
      </w:r>
      <w:r>
        <w:rPr>
          <w:rFonts w:ascii="Times New Roman" w:hAnsi="Times New Roman"/>
          <w:iCs/>
        </w:rPr>
        <w:t>vyhlásenie</w:t>
      </w:r>
      <w:r>
        <w:rPr>
          <w:rFonts w:ascii="Times New Roman" w:hAnsi="Times New Roman"/>
        </w:rPr>
        <w:t xml:space="preserve"> vlády Slovenskej republiky na obdobie rokov</w:t>
      </w:r>
      <w:r>
        <w:rPr>
          <w:rFonts w:ascii="Times New Roman" w:hAnsi="Times New Roman"/>
          <w:i/>
        </w:rPr>
        <w:t xml:space="preserve"> 2020—2024 </w:t>
      </w:r>
      <w:r>
        <w:rPr>
          <w:rFonts w:ascii="Times New Roman" w:hAnsi="Times New Roman"/>
        </w:rPr>
        <w:t>от 19 април 2020 г. (наричан по-нататък: „Политически манифест“), стр. 8.</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Комюникета на Съдебния съвет от 26 април, 30 април и 20 май 2020 г.</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Бивш съдия и председател на словашкия Конституционен съд и словашки генерален адвокат в Съда на Европейския съюз (проф. д-р Ян Мазак).</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Комюнике на Съдебния съвет от 23 март 2020 г., в което се отбелязва, че един от новите членове е заел вакантна длъжност след оставка на бивш член на 13 ноември 2019 г., Комюнике на Съдебния съвет от 13 ноември 2019 г.</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Комюнике на Съдебния съвет от 23 юни 2020 г.</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Европейска комисия, Country Report Slovakia 2019 (SWD(2019) 1024 final, стр. 47). Вж. също становището на Венецианската комисия (CDL-AD(2017)001-e).</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След изтичането на мандата на 9 съдии от Конституционния съд в началото на 2019 г. парламентът (който изготвя списъка на кандидатите) не можа да постигне съгласие относно окончателния списък на кандидатите, който да бъде представен на президента на републиката. </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Препоръка на Съвета от 9 юли 2019 г. относно националната програма за реформи на Словакия за 2019 г. и съдържаща становище на Съвета относно програмата за стабилност на Словакия за 2019 г. (ОВ C 301, 5.9.2019 г., стр. 148—153).</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Политически манифест, стр. 8.</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Съгласно член 147 от словашката Конституция съдия може да бъде отзован от президента на Словашката република по предложение на Съдебния съвет, ако е навършил 65 години.</w:t>
      </w:r>
    </w:p>
  </w:footnote>
  <w:footnote w:id="25">
    <w:p>
      <w:pPr>
        <w:pStyle w:val="FootnoteText"/>
        <w:ind w:left="284" w:hanging="284"/>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Напр. дела на Съда C-619/18, </w:t>
      </w:r>
      <w:r>
        <w:rPr>
          <w:rFonts w:ascii="Times New Roman" w:hAnsi="Times New Roman"/>
          <w:i/>
        </w:rPr>
        <w:t>Комисия/Полша (Indépendance de la Cour suprême)</w:t>
      </w:r>
      <w:r>
        <w:rPr>
          <w:rFonts w:ascii="Times New Roman" w:hAnsi="Times New Roman"/>
        </w:rPr>
        <w:t xml:space="preserve"> и C-192/18, </w:t>
      </w:r>
      <w:r>
        <w:rPr>
          <w:rFonts w:ascii="Times New Roman" w:hAnsi="Times New Roman"/>
          <w:i/>
        </w:rPr>
        <w:t>Комисия/Полша (Indépendance des juridictions de droit commun)</w:t>
      </w:r>
      <w:r>
        <w:rPr>
          <w:rFonts w:ascii="Times New Roman" w:hAnsi="Times New Roman"/>
        </w:rPr>
        <w:t>,</w:t>
      </w:r>
      <w:r>
        <w:rPr>
          <w:rFonts w:ascii="Times New Roman" w:hAnsi="Times New Roman"/>
          <w:i/>
        </w:rPr>
        <w:t xml:space="preserve"> </w:t>
      </w:r>
      <w:r>
        <w:rPr>
          <w:rFonts w:ascii="Times New Roman" w:hAnsi="Times New Roman"/>
        </w:rPr>
        <w:t xml:space="preserve">C-282/12, </w:t>
      </w:r>
      <w:r>
        <w:rPr>
          <w:rFonts w:ascii="Times New Roman" w:hAnsi="Times New Roman"/>
          <w:i/>
        </w:rPr>
        <w:t>Комисия/Унгария</w:t>
      </w:r>
      <w:r>
        <w:rPr>
          <w:rFonts w:ascii="Times New Roman" w:hAnsi="Times New Roman"/>
        </w:rPr>
        <w:t>.</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Препоръка CM/Rec(2010)12 на Комитета на министрите на до държавите членки, т. 49.</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Препоръка на Съвета от 8 юли 2014 г. (</w:t>
      </w:r>
      <w:r>
        <w:rPr>
          <w:rFonts w:ascii="Times New Roman" w:hAnsi="Times New Roman"/>
          <w:iCs/>
        </w:rPr>
        <w:t>ОВ C 247, 29.7.2014 г., стр. 122—126)</w:t>
      </w:r>
      <w:r>
        <w:rPr>
          <w:rFonts w:ascii="Times New Roman" w:hAnsi="Times New Roman"/>
        </w:rPr>
        <w:t>; от 12 юли 2016 г. (OB C 299, 18.8.2016 г., стр. 61— 64); от 11 юли 2017 г. (OB C 261, 9.8.2017 г., стр. 110—113).</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Европейска комисия за ефикасност на правосъдието (CEPEJ), Efficiency and Quality of the Slovak Judicial System. Това проучване е финансирано от европейските структурни и инвестиционни фондове по оперативна програма „Ефективна публична администрация 2014—2020 г.“.</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То включва области като организация на съдилищата, бюджетни въпроси, човешки ресурси, управление на съдилищата и ефикасност и качество на съдилищата.</w:t>
      </w:r>
    </w:p>
  </w:footnote>
  <w:footnote w:id="3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Политически манифест, стр. 10.</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Органите са постигнали напредък и при усвояването на целево финансиране от европейските структурни и инвестиционни фондове за периода на финансиране 2014—2020 г., с което е осигурена по-голямата част от финансирането за по-нататъшната реформа на правосъдната система. Освен това от 2018 г. насам Европейската комисия предоставя техническа подкрепа по програмата за подпомагане на структурните реформи на словашкото министерство на правосъдието за разработване на стратегия за ИТ архитектура и план за преход, за създаване на инструменти за оценка на изпълнението на съдилищата и за изграждане на капацитет за по-добро управление на съдилищата и делата.</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Данните могат да бъдат намерени на адрес: http://web.ac-mssr.sk/dashboard/</w:t>
      </w:r>
    </w:p>
  </w:footnote>
  <w:footnote w:id="3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Напр. CEPEJ-COOP (2017) 15, Report on the evaluation of the current state of affairs of IT tools for the Slovak judicial system and advise on their development.</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Transparency International Slovakia („Прозрачност без граници“ Словакия) (2018 г.), Let’s judge the judges – How Slovakia opened its judiciary to unprecedented public control. </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Информационно табло на ЕС в областта на правосъдието за 2020 г., графики 23 и 25.</w:t>
      </w:r>
    </w:p>
  </w:footnote>
  <w:footnote w:id="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Политически манифест, стр. 13.</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Европейска комисия за ефикасност на правосъдието (CEPEJ), Study on the functioning of judicial systems in the EU Member States, част 2, стр. 611.</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Политически манифест, стр. 8.</w:t>
      </w:r>
    </w:p>
  </w:footnote>
  <w:footnote w:id="3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„Прозрачност без граници“ (Transparency International) (2020 г.), Индекс за възприятие на корупцията за 2019 г.</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Специалeн Евробарометър № 502 (2020 г.).</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Експресно проучване на Евробарометър № 482 (2019 г.).</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 3 септември 2020 г. Специалният наказателен съд оправда две лица, обвинени в убийствата; решението се обжалва от словашката прокуратура.</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ОИСР (2012 г.), Словакия: Доклад за етап 3 от прилагането на Конвенцията на ОИСР за борба с подкупването в Словашката република.</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Закон № 91/2016 за наказателната отговорност на юридическите лица.</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Членове на въоръжени звена за сигурност, членове на съдебната охрана и корпусите на надзирателите от затвора и митнически служители.</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Препоръка на Съвета от 9 юли 2019 г. относно националната програма за реформи на Словакия за 2019 г. и съдържаща становище на Съвета относно програмата за стабилност на Словакия за 2019 г., стр. 148—153.</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Информация, предоставена от Словакия за Доклада относно върховенството на закона за 2020 г., раздел относно потенциалните пречки пред разследването и наказателното преследване на корупция по високите етажи на властта и на сложни случаи на корупция (напр. регулиране на политическия имунитет).</w:t>
      </w:r>
    </w:p>
  </w:footnote>
  <w:footnote w:id="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Закон № 54/2019 Сб. относно защитата на лицата, сигнализиращи за нередности</w:t>
      </w:r>
      <w:r>
        <w:rPr>
          <w:rStyle w:val="normaltextrun"/>
          <w:rFonts w:ascii="Times New Roman" w:hAnsi="Times New Roman"/>
          <w:color w:val="000000"/>
        </w:rPr>
        <w:t>.</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Европейска комисия, Country Report Slovakia 2020 (SWD(2020) 524 final, стр. 51).</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bCs/>
        </w:rPr>
        <w:t xml:space="preserve">Конституционен закон № 357/2004 Сб. относно защитата на обществения интерес при упражняването на функциите на </w:t>
      </w:r>
      <w:r>
        <w:rPr>
          <w:rFonts w:ascii="Times New Roman" w:hAnsi="Times New Roman"/>
        </w:rPr>
        <w:t>държавните</w:t>
      </w:r>
      <w:r>
        <w:rPr>
          <w:rFonts w:ascii="Times New Roman" w:hAnsi="Times New Roman"/>
          <w:bCs/>
        </w:rPr>
        <w:t xml:space="preserve"> служители</w:t>
      </w:r>
      <w:r>
        <w:rPr>
          <w:rFonts w:ascii="Times New Roman" w:hAnsi="Times New Roman"/>
        </w:rPr>
        <w:t xml:space="preserve"> („Закон за конфликта на интереси“).</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bCs/>
        </w:rPr>
        <w:t>Политически</w:t>
      </w:r>
      <w:r>
        <w:rPr>
          <w:rStyle w:val="normaltextrun"/>
          <w:rFonts w:ascii="Times New Roman" w:hAnsi="Times New Roman"/>
          <w:color w:val="000000"/>
        </w:rPr>
        <w:t xml:space="preserve"> манифест, стр. 4 и 14.</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Група държави срещу корупцията (GRECO), Четвърти кръг на оценка — Доклад за оценка. </w:t>
      </w:r>
    </w:p>
  </w:footnote>
  <w:footnote w:id="53">
    <w:p>
      <w:pPr>
        <w:pStyle w:val="FootnoteText"/>
        <w:ind w:left="284" w:hanging="284"/>
        <w:jc w:val="both"/>
        <w:rPr>
          <w:rFonts w:ascii="Times New Roman" w:hAnsi="Times New Roman" w:cs="Times New Roman"/>
          <w:color w:val="000000"/>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w:t>
      </w:r>
      <w:r>
        <w:rPr>
          <w:rStyle w:val="normaltextrun"/>
          <w:rFonts w:ascii="Times New Roman" w:hAnsi="Times New Roman"/>
          <w:color w:val="000000"/>
        </w:rPr>
        <w:t>кон № 66/</w:t>
      </w:r>
      <w:r>
        <w:rPr>
          <w:rFonts w:ascii="Times New Roman" w:hAnsi="Times New Roman"/>
        </w:rPr>
        <w:t>2019 г.</w:t>
      </w:r>
      <w:r>
        <w:rPr>
          <w:rStyle w:val="normaltextrun"/>
          <w:rFonts w:ascii="Times New Roman" w:hAnsi="Times New Roman"/>
          <w:color w:val="000000"/>
        </w:rPr>
        <w:t xml:space="preserve"> за изменение на Конституционен закон № 357/2004 Сб. относно защитата на обществения интерес при упражняването на функциите на държавните служители, изменен с Конституционен закон № 545/2005 Сб.</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Група държави срещу корупцията (GRECO), Четвърти кръг на оценка — Доклад за оценка. </w:t>
      </w:r>
    </w:p>
  </w:footnote>
  <w:footnote w:id="5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Преди приемането на това изменение декларациите за интереси и имуществено състояние на кметовете се подаваха единствено до комисията на общинския съвет.</w:t>
      </w:r>
    </w:p>
  </w:footnote>
  <w:footnote w:id="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Информация, предоставена от Словакия за Доклада относно върховенството на закона за 2020 г., раздел относно правната уредба относно почтеността: правила за декларациите за имущественото състояние, лобиране, кадрова въртележка между държавния и частния сектор и обща прозрачност на механизма за публично вземане на решения (включително публичен достъп до информация).</w:t>
      </w:r>
    </w:p>
  </w:footnote>
  <w:footnote w:id="57">
    <w:p>
      <w:pPr>
        <w:pStyle w:val="FootnoteText"/>
        <w:ind w:left="284" w:hanging="284"/>
        <w:jc w:val="both"/>
        <w:rPr>
          <w:rFonts w:ascii="Times New Roman" w:hAnsi="Times New Roman" w:cs="Times New Roman"/>
          <w:color w:val="000000"/>
        </w:rPr>
      </w:pPr>
      <w:r>
        <w:rPr>
          <w:rStyle w:val="FootnoteReference"/>
          <w:rFonts w:ascii="Times New Roman" w:hAnsi="Times New Roman" w:cs="Times New Roman"/>
        </w:rPr>
        <w:footnoteRef/>
      </w:r>
      <w:r>
        <w:rPr>
          <w:rFonts w:ascii="Times New Roman" w:hAnsi="Times New Roman"/>
        </w:rPr>
        <w:t xml:space="preserve"> </w:t>
      </w:r>
      <w:r>
        <w:tab/>
      </w:r>
      <w:r>
        <w:rPr>
          <w:rStyle w:val="normaltextrun"/>
          <w:rFonts w:ascii="Times New Roman" w:hAnsi="Times New Roman"/>
        </w:rPr>
        <w:t>Указ № 400/2019 относно етичния кодекс за държавния служител.</w:t>
      </w:r>
      <w:r>
        <w:rPr>
          <w:rStyle w:val="normaltextrun"/>
          <w:rFonts w:ascii="Times New Roman" w:hAnsi="Times New Roman"/>
          <w:color w:val="D13438"/>
          <w:shd w:val="clear" w:color="auto" w:fill="FFFFFF" w:themeFill="background1"/>
        </w:rPr>
        <w:t xml:space="preserve"> </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Закон 211/2000 Сб., Закон за свобода на информацията.</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Закон 308/2000 Сб., Закон за излъчването и препредаването.</w:t>
      </w:r>
    </w:p>
  </w:footnote>
  <w:footnote w:id="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Закон 167/2008 Сб., Закон за печата.</w:t>
      </w:r>
    </w:p>
  </w:footnote>
  <w:footnote w:id="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Словакия се изкачи с две позиции в Световния индекс за свобода на печата на „Репортери без граници“, като в момента заема 33-та позиция в света. „Репортери без граници“, Словакия.</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Както бе потвърдено по време на посещението в страната.</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Съветът има девет членове, които се избират и изключват от Националния съвет на Словашката република (парламента).</w:t>
      </w:r>
    </w:p>
  </w:footnote>
  <w:footnote w:id="6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Мониторинг на медийния плурализъм за 2020 г.</w:t>
      </w:r>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Напр. Бюро за демократични институции и права на човека (БДИПЧ) към Организацията за сигурност и сътрудничество в Европа (ОССЕ) (2020 г.), Slovak Republic – Parliamentary Elections, ODIHR Election Assessment Mission Final Report, стр. 14.</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Закон № 315/2016.</w:t>
      </w:r>
    </w:p>
  </w:footnote>
  <w:footnote w:id="6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също частта на главата относно борбата с корупцията (по-горе).</w:t>
      </w:r>
    </w:p>
  </w:footnote>
  <w:footnote w:id="6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Напр. Комитет за защита на журналистите (CPJ) (2019 г.), Mission Journal: One year on, Ján Kuciak murder seen as turning point by Slovak press.</w:t>
      </w:r>
    </w:p>
  </w:footnote>
  <w:footnote w:id="6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Съвет на Европа, Платформа за насърчаване на защитата на журналистиката и безопасността на журналистите. </w:t>
      </w:r>
    </w:p>
  </w:footnote>
  <w:footnote w:id="7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Първият е свързан с вербалните атаки на бившия министър-председател срещу журналисти и медии в Словакия, обвинени от него в провеждане на открита война срещу неговата партия. Вторият се отнася до разкриване на съществуването на мащабна операция за наблюдение над журналисти, проведена между март 2017 г. и февруари 2018 г. от бивш разузнавателен агент, от името на лицето, свързано с убийствата на Куцяк и Кушнирова. Медиите също съобщават, че екипът за наблюдение е получил широк достъп до официални бази данни на полицията, като е събирал лични данни за журналисти, вариращи от регистрационни табели на превозни средства до данъчна информация. Третият се отнася до законопроект, по-късно обнародван на 17 март 2019 г., с който се постановява право на отговор на политици и държавни служители, които твърдят, че тяхната чест или репутация е била накърнена от съобщения в медиите. Законопроектът е осъден от Словашката асоциация на издателите на печатни издания и други организации за свобода на медиите. И накрая, бившият словашки полицейски комисар стартира кампания с негативни послания, насочена срещу трима журналисти, отразяващи убийствата на Куцяк и Кушнирова.</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Първият засяга случай, в който словашките органи повдигнаха обвинения за клевета срещу автор на редакционни статии във вестник, обвинен в обида на религиозни вярващи, тъй като подигравал и критикувал остро католически свещеник. За обвиненията се предвижда евентуална присъда от една до три години затвор. Вторият сигнал, от 25 юни 2020 г., е във връзка със случая на работещ/публикуващ материали в словашки новинарски уебсайт разследващ журналист, който намерил куршум в пощенската кутия на апартамента си в Братислава. Журналистът е съобщил за инцидента в местното полицейско управление, започнало е разследване и са взети мерки за защита на неговата безопасност.</w:t>
      </w:r>
    </w:p>
  </w:footnote>
  <w:footnote w:id="7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Член 72 от словашката Конституция.</w:t>
      </w:r>
    </w:p>
  </w:footnote>
  <w:footnote w:id="7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Член 87 от словашката Конституция.</w:t>
      </w:r>
    </w:p>
  </w:footnote>
  <w:footnote w:id="74">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bCs/>
          <w:color w:val="000000" w:themeColor="text1"/>
        </w:rPr>
        <w:t xml:space="preserve">Политически </w:t>
      </w:r>
      <w:r>
        <w:rPr>
          <w:rFonts w:ascii="Times New Roman" w:hAnsi="Times New Roman"/>
        </w:rPr>
        <w:t>манифест</w:t>
      </w:r>
      <w:r>
        <w:rPr>
          <w:rFonts w:ascii="Times New Roman" w:hAnsi="Times New Roman"/>
          <w:bCs/>
          <w:color w:val="000000" w:themeColor="text1"/>
        </w:rPr>
        <w:t>, стр. 15—17.</w:t>
      </w:r>
    </w:p>
  </w:footnote>
  <w:footnote w:id="7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Политически манифест, стр. 14—16.</w:t>
      </w:r>
    </w:p>
  </w:footnote>
  <w:footnote w:id="76">
    <w:p>
      <w:pPr>
        <w:pStyle w:val="FootnoteText"/>
        <w:ind w:left="284" w:hanging="284"/>
        <w:jc w:val="both"/>
        <w:rPr>
          <w:rFonts w:ascii="Times New Roman" w:hAnsi="Times New Roman" w:cs="Times New Roman"/>
          <w:b/>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rPr>
        <w:t>Public</w:t>
      </w:r>
      <w:r>
        <w:rPr>
          <w:rFonts w:ascii="Times New Roman" w:hAnsi="Times New Roman"/>
          <w:bCs/>
          <w:color w:val="000000" w:themeColor="text1"/>
        </w:rPr>
        <w:t xml:space="preserve"> administration characteristics and performance in EU28</w:t>
      </w:r>
      <w:r>
        <w:rPr>
          <w:rFonts w:ascii="Times New Roman" w:hAnsi="Times New Roman"/>
          <w:color w:val="000000" w:themeColor="text1"/>
        </w:rPr>
        <w:t>, стр. 905.</w:t>
      </w:r>
    </w:p>
  </w:footnote>
  <w:footnote w:id="77">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rPr>
        <w:t>Европейска</w:t>
      </w:r>
      <w:r>
        <w:rPr>
          <w:rFonts w:ascii="Times New Roman" w:hAnsi="Times New Roman"/>
          <w:color w:val="000000" w:themeColor="text1"/>
        </w:rPr>
        <w:t xml:space="preserve"> комисия, Country Report Slovakia 2020 (SWD(2020) 524 final, стр. 48).</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 xml:space="preserve">The </w:t>
      </w:r>
      <w:r>
        <w:rPr>
          <w:rFonts w:ascii="Times New Roman" w:hAnsi="Times New Roman"/>
        </w:rPr>
        <w:t>Public</w:t>
      </w:r>
      <w:r>
        <w:rPr>
          <w:rFonts w:ascii="Times New Roman" w:hAnsi="Times New Roman"/>
          <w:color w:val="000000" w:themeColor="text1"/>
        </w:rPr>
        <w:t xml:space="preserve"> Administration </w:t>
      </w:r>
      <w:r>
        <w:rPr>
          <w:rFonts w:ascii="Times New Roman" w:hAnsi="Times New Roman"/>
        </w:rPr>
        <w:t>in the EU 27, стр. 906.</w:t>
      </w:r>
    </w:p>
  </w:footnote>
  <w:footnote w:id="7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Европейска комисия, Country Report Slovakia 2019 (SWD(2019) 1024 final, стр. 44).</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Политически манифест, стр. 8.</w:t>
      </w:r>
    </w:p>
  </w:footnote>
  <w:footnote w:id="8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Европейска комисия, Country Report Slovakia 2020 (SWD(2020) 524 final, стр. 48).</w:t>
      </w:r>
    </w:p>
  </w:footnote>
  <w:footnote w:id="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Политически манифест, стр. 77.</w:t>
      </w:r>
    </w:p>
  </w:footnote>
  <w:footnote w:id="8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Public administration characteristics and performance in EU28, стр. 902.</w:t>
      </w:r>
    </w:p>
  </w:footnote>
  <w:footnote w:id="8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Политически манифест, стр. 4—5.</w:t>
      </w:r>
    </w:p>
  </w:footnote>
  <w:footnote w:id="8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Съгласно член 5 от Конституционен закон № 227/2002 Сб.</w:t>
      </w:r>
    </w:p>
  </w:footnote>
  <w:footnote w:id="8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Европейска комисия, A comparative analysis of non-discrimination law in Europe 2019, стр. 116; вж. също Принципите за статута на националните институции (Парижките принципи), приети с Резолюция 48/134 на Общото събрание на ООН от 20 декември 1993 г.</w:t>
      </w:r>
    </w:p>
  </w:footnote>
  <w:footnote w:id="8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Бюро за демократични институции и права на човека (БДИПЧ) към Организацията за сигурност и сътрудничество в Европа (ОССЕ) (2019 г.), Opinion on the Draft Amendments to the Act on Establishment of the Slovak National Centre for Human Rights.</w:t>
      </w:r>
    </w:p>
  </w:footnote>
  <w:footnote w:id="8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Европейска мрежа на институциите за правата на човека (2020 г.), The rule of law in the European Union, стр. 192. </w:t>
      </w:r>
    </w:p>
  </w:footnote>
  <w:footnote w:id="8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Европейска комисия, Equality bodies making a difference, стр. 103, 105, 107.</w:t>
      </w:r>
    </w:p>
  </w:footnote>
  <w:footnote w:id="9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Информация, предоставена от Словакия за Доклада относно върховенството на закона за 2020 г., т. 39.</w:t>
      </w:r>
    </w:p>
  </w:footnote>
  <w:footnote w:id="9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Обществен защитник на правата, Доклад за дейността на обществения защитник на правата за 2019 г., стр. 44.</w:t>
      </w:r>
    </w:p>
  </w:footnote>
  <w:footnote w:id="92">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Бюро за демократични институции и права на човека (БДИПЧ) към Организацията за сигурност и сътрудничество в Европа (ОССЕ), Opinion on the Draft Amendments to the Act on Establishment of the Slovak National Centre for Human Rights, </w:t>
      </w:r>
      <w:r>
        <w:rPr>
          <w:rFonts w:ascii="Times New Roman" w:hAnsi="Times New Roman"/>
          <w:color w:val="000000" w:themeColor="text1"/>
        </w:rPr>
        <w:t>стр. 4, 8, 9.</w:t>
      </w:r>
    </w:p>
  </w:footnote>
  <w:footnote w:id="93">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rPr>
        <w:t>Върховна</w:t>
      </w:r>
      <w:r>
        <w:rPr>
          <w:rFonts w:ascii="Times New Roman" w:hAnsi="Times New Roman"/>
          <w:color w:val="000000" w:themeColor="text1"/>
        </w:rPr>
        <w:t xml:space="preserve"> сметна палата на Словашката република, Доклад за одитните дейности, Резултати през 2019 г.</w:t>
      </w:r>
    </w:p>
  </w:footnote>
  <w:footnote w:id="94">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bCs/>
          <w:color w:val="000000" w:themeColor="text1"/>
        </w:rPr>
        <w:t xml:space="preserve">Public </w:t>
      </w:r>
      <w:r>
        <w:rPr>
          <w:rFonts w:ascii="Times New Roman" w:hAnsi="Times New Roman"/>
        </w:rPr>
        <w:t>administration</w:t>
      </w:r>
      <w:r>
        <w:rPr>
          <w:rFonts w:ascii="Times New Roman" w:hAnsi="Times New Roman"/>
          <w:bCs/>
          <w:color w:val="000000" w:themeColor="text1"/>
        </w:rPr>
        <w:t xml:space="preserve"> characteristics and performance in EU28, стр. 899.</w:t>
      </w:r>
    </w:p>
  </w:footnote>
  <w:footnote w:id="95">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rPr>
        <w:t>Вж. предходната бележка,</w:t>
      </w:r>
      <w:r>
        <w:rPr>
          <w:rFonts w:ascii="Times New Roman" w:hAnsi="Times New Roman"/>
          <w:i/>
          <w:color w:val="000000" w:themeColor="text1"/>
        </w:rPr>
        <w:t xml:space="preserve"> </w:t>
      </w:r>
      <w:r>
        <w:rPr>
          <w:rFonts w:ascii="Times New Roman" w:hAnsi="Times New Roman"/>
          <w:color w:val="000000" w:themeColor="text1"/>
        </w:rPr>
        <w:t>стр. 909.</w:t>
      </w:r>
    </w:p>
  </w:footnote>
  <w:footnote w:id="96">
    <w:p>
      <w:pPr>
        <w:pStyle w:val="FootnoteText"/>
        <w:ind w:left="284" w:hanging="284"/>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rPr>
        <w:t>Политически</w:t>
      </w:r>
      <w:r>
        <w:rPr>
          <w:rFonts w:ascii="Times New Roman" w:hAnsi="Times New Roman"/>
          <w:color w:val="000000" w:themeColor="text1"/>
        </w:rPr>
        <w:t xml:space="preserve"> манифест, стр. 6—7.</w:t>
      </w:r>
    </w:p>
  </w:footnote>
  <w:footnote w:id="9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CIVICUS Monitor счита гражданското пространство в Словакия за „ограничено“. Вж. CIVICUS Monitor – Tracking Civic Space; оценките са по скала, включваща пет категории, определени като: отворено, ограничено, възпрепятствано, потиснато и затворено. Последната актуализация, направена от CIVICUS за Словакия, беше през 2016 г.</w:t>
      </w:r>
    </w:p>
  </w:footnote>
  <w:footnote w:id="9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Политически</w:t>
      </w:r>
      <w:r>
        <w:rPr>
          <w:rFonts w:ascii="Times New Roman" w:hAnsi="Times New Roman"/>
          <w:color w:val="000000" w:themeColor="text1"/>
        </w:rPr>
        <w:t xml:space="preserve"> манифест,</w:t>
      </w:r>
      <w:r>
        <w:rPr>
          <w:rFonts w:ascii="Times New Roman" w:hAnsi="Times New Roman"/>
        </w:rPr>
        <w:t xml:space="preserve"> стр. 17—18.</w:t>
      </w:r>
    </w:p>
  </w:footnote>
  <w:footnote w:id="9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Президент на републиката (2020 г.), Доклад за състоянието на републиката.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80"/>
        <w:tab w:val="clear" w:pos="9360"/>
      </w:tabs>
      <w:jc w:val="right"/>
      <w:rPr>
        <w:rFonts w:ascii="Times New Roman" w:hAnsi="Times New Roman" w:cs="Times New Roman"/>
        <w:i/>
        <w:color w:val="7F7F7F" w:themeColor="text1" w:themeTint="80"/>
        <w:sz w:val="24"/>
        <w:szCs w:val="24"/>
      </w:rPr>
    </w:pPr>
    <w:r>
      <w:tab/>
    </w:r>
    <w:r>
      <w:tab/>
    </w:r>
    <w:r>
      <w:tab/>
    </w:r>
  </w:p>
  <w:p>
    <w:pPr>
      <w:pStyle w:val="Header"/>
      <w:tabs>
        <w:tab w:val="clear" w:pos="9360"/>
        <w:tab w:val="left" w:pos="5040"/>
        <w:tab w:val="left" w:pos="5760"/>
        <w:tab w:val="left" w:pos="6480"/>
        <w:tab w:val="left" w:pos="7200"/>
      </w:tabs>
    </w:pPr>
  </w:p>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tabs>
        <w:tab w:val="clear" w:pos="4680"/>
        <w:tab w:val="clear" w:pos="9360"/>
      </w:tabs>
      <w:jc w:val="right"/>
      <w:rPr>
        <w:rFonts w:ascii="Times New Roman" w:hAnsi="Times New Roman" w:cs="Times New Roman"/>
        <w:i/>
        <w:color w:val="7F7F7F" w:themeColor="text1" w:themeTint="8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5795"/>
    <w:multiLevelType w:val="hybridMultilevel"/>
    <w:tmpl w:val="34C49410"/>
    <w:lvl w:ilvl="0" w:tplc="CFEE77FA">
      <w:start w:val="1"/>
      <w:numFmt w:val="upperRoman"/>
      <w:lvlText w:val="%1."/>
      <w:lvlJc w:val="left"/>
      <w:pPr>
        <w:ind w:left="720" w:hanging="72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ECCBDA16-4B26-46CD-8DD0-99337D001322"/>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5 final} - {SWD(2020) 326 final}"/>
    <w:docVar w:name="LW_DocType" w:val="NORMAL"/>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4?\u1086?\u1082?\u1083?\u1072?\u1076? \u1086?\u1090?\u1085?\u1086?\u1089?\u1085?\u1086? \u1074?\u1098?\u1088?\u1093?\u1086?\u1074?\u1077?\u1085?\u1089?\u1090?\u1074?\u1086?\u1090?\u1086? \u1085?\u1072? \u1079?\u1072?\u1082?\u1086?\u1085?\u1072? \u1079?\u1072? 2020 \u1075?.&lt;/FMT&gt;_x000d_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
    <w:docVar w:name="LW_PART_NBR" w:val="1"/>
    <w:docVar w:name="LW_PART_NBR_TOTAL" w:val="1"/>
    <w:docVar w:name="LW_REF.INST.NEW" w:val="SWD"/>
    <w:docVar w:name="LW_REF.INST.NEW_ADOPTED" w:val="final"/>
    <w:docVar w:name="LW_REF.INST.NEW_TEXT" w:val="(2020) 3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0 \u1075?.&lt;/FMT&gt;_x000d__x000d__x000d__x000b_&lt;FMT:Font=Calibri Cyr&gt;\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57?\u1083?\u1086?\u1074?\u1072?\u1082?\u1080?\u1103?&lt;/FMT&gt;_x000d__x000d__x000d__x000b_"/>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noProof w:val="0"/>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noProo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noProof/>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noProof/>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noProof/>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noProof/>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noProof/>
      <w:sz w:val="28"/>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line="240" w:lineRule="auto"/>
    </w:pPr>
    <w:rPr>
      <w:noProof w:val="0"/>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szCs w:val="20"/>
    </w:rPr>
  </w:style>
  <w:style w:type="paragraph" w:customStyle="1" w:styleId="FooterLine">
    <w:name w:val="Footer Line"/>
    <w:basedOn w:val="Footer"/>
    <w:next w:val="Footer"/>
    <w:uiPriority w:val="99"/>
    <w:pPr>
      <w:tabs>
        <w:tab w:val="clear" w:pos="4680"/>
        <w:tab w:val="clear" w:pos="9360"/>
        <w:tab w:val="right" w:pos="8646"/>
      </w:tabs>
      <w:spacing w:before="120" w:line="264" w:lineRule="auto"/>
      <w:jc w:val="both"/>
    </w:pPr>
    <w:rPr>
      <w:rFonts w:ascii="Times New Roman" w:eastAsia="Times New Roman" w:hAnsi="Times New Roman" w:cs="Times New Roman"/>
      <w:noProof w:val="0"/>
      <w:sz w:val="16"/>
      <w:szCs w:val="20"/>
      <w:lang w:eastAsia="fr-FR"/>
    </w:rPr>
  </w:style>
  <w:style w:type="character" w:styleId="FootnoteReference">
    <w:name w:val="footnote reference"/>
    <w:basedOn w:val="DefaultParagraphFont"/>
    <w:uiPriority w:val="99"/>
    <w:unhideWhenUsed/>
    <w:rPr>
      <w:vertAlign w:val="superscript"/>
    </w:rPr>
  </w:style>
  <w:style w:type="character" w:customStyle="1" w:styleId="normaltextrun">
    <w:name w:val="normaltextrun"/>
    <w:basedOn w:val="DefaultParagraphFont"/>
  </w:style>
  <w:style w:type="paragraph" w:styleId="Revision">
    <w:name w:val="Revision"/>
    <w:hidden/>
    <w:uiPriority w:val="99"/>
    <w:semiHidden/>
    <w:pPr>
      <w:spacing w:after="0" w:line="240" w:lineRule="auto"/>
    </w:pPr>
    <w:rPr>
      <w:noProo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noProo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noProof w:val="0"/>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noProo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noProof/>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noProof/>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noProof/>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noProof/>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noProof/>
      <w:sz w:val="28"/>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line="240" w:lineRule="auto"/>
    </w:pPr>
    <w:rPr>
      <w:noProof w:val="0"/>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szCs w:val="20"/>
    </w:rPr>
  </w:style>
  <w:style w:type="paragraph" w:customStyle="1" w:styleId="FooterLine">
    <w:name w:val="Footer Line"/>
    <w:basedOn w:val="Footer"/>
    <w:next w:val="Footer"/>
    <w:uiPriority w:val="99"/>
    <w:pPr>
      <w:tabs>
        <w:tab w:val="clear" w:pos="4680"/>
        <w:tab w:val="clear" w:pos="9360"/>
        <w:tab w:val="right" w:pos="8646"/>
      </w:tabs>
      <w:spacing w:before="120" w:line="264" w:lineRule="auto"/>
      <w:jc w:val="both"/>
    </w:pPr>
    <w:rPr>
      <w:rFonts w:ascii="Times New Roman" w:eastAsia="Times New Roman" w:hAnsi="Times New Roman" w:cs="Times New Roman"/>
      <w:noProof w:val="0"/>
      <w:sz w:val="16"/>
      <w:szCs w:val="20"/>
      <w:lang w:eastAsia="fr-FR"/>
    </w:rPr>
  </w:style>
  <w:style w:type="character" w:styleId="FootnoteReference">
    <w:name w:val="footnote reference"/>
    <w:basedOn w:val="DefaultParagraphFont"/>
    <w:uiPriority w:val="99"/>
    <w:unhideWhenUsed/>
    <w:rPr>
      <w:vertAlign w:val="superscript"/>
    </w:rPr>
  </w:style>
  <w:style w:type="character" w:customStyle="1" w:styleId="normaltextrun">
    <w:name w:val="normaltextrun"/>
    <w:basedOn w:val="DefaultParagraphFont"/>
  </w:style>
  <w:style w:type="paragraph" w:styleId="Revision">
    <w:name w:val="Revision"/>
    <w:hidden/>
    <w:uiPriority w:val="99"/>
    <w:semiHidden/>
    <w:pPr>
      <w:spacing w:after="0" w:line="240" w:lineRule="auto"/>
    </w:pPr>
    <w:rPr>
      <w:noProo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noProo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pgwrk-websitemedia.s3.eu-west-1.amazonaws.com/production/pwk-web-encj2017-p/Reports/ENCJ%20Survey%20on%20Independence%20Accountability%20of%20the%20Judiciary%20among%20lawyers%20%202019.pdf" TargetMode="External"/><Relationship Id="rId26" Type="http://schemas.openxmlformats.org/officeDocument/2006/relationships/hyperlink" Target="https://www.prezident.sk/en/article/sprava-prezidentky-o-stave-republiky/" TargetMode="External"/><Relationship Id="rId3" Type="http://schemas.microsoft.com/office/2007/relationships/stylesWithEffects" Target="stylesWithEffects.xml"/><Relationship Id="rId21" Type="http://schemas.openxmlformats.org/officeDocument/2006/relationships/hyperlink" Target="http://www.sudnarada.gov.sk/predsednicka-sudnej-rady-sa-rozhodla-vzdat-svojej-funkc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pj.org/2019/02/slovakia-jan-kuciak-murder-journalist-safety-anniversary/" TargetMode="External"/><Relationship Id="rId25" Type="http://schemas.openxmlformats.org/officeDocument/2006/relationships/hyperlink" Target="http://www.oecd.org/daf/anti-bribery/SlovakRepublicphase3reportEN.pdf"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monitor.civicus.org/country/slovakia/" TargetMode="External"/><Relationship Id="rId20" Type="http://schemas.openxmlformats.org/officeDocument/2006/relationships/hyperlink" Target="http://www.sudnarada.gov.sk/clenstva-v-sudnej-rade-sa-vzdalo-pat-jej-clenov"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udnarada.gov.sk/sudna-rada-ma-opat-osemnast-clenov/"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cmpf.eui.eu/media-pluralism-monitor/mpm-2020/" TargetMode="External"/><Relationship Id="rId23" Type="http://schemas.openxmlformats.org/officeDocument/2006/relationships/hyperlink" Target="http://www.sudnarada.gov.sk/sudna-rada-v-takmer-kompletnej-zostave/"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sudnarada.gov.sk/sudna-rada-bude-mat-o-jedneho-clena-menej/"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udnarada.gov.sk/sudna-rada-ma-troch-novych-clenov/" TargetMode="External"/><Relationship Id="rId27" Type="http://schemas.openxmlformats.org/officeDocument/2006/relationships/hyperlink" Target="https://rsf.org/en/ranking"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6953</Words>
  <Characters>42970</Characters>
  <Application>Microsoft Office Word</Application>
  <DocSecurity>0</DocSecurity>
  <Lines>704</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2020-09-27T09:45:00Z</dcterms:created>
  <dcterms:modified xsi:type="dcterms:W3CDTF">2020-10-07T12:41:00Z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