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CB8C41F-9AD8-4B7C-828D-785216734533" style="width:451.35pt;height:553.4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6" w:color="auto"/>
          <w:right w:val="single" w:sz="4" w:space="4" w:color="auto"/>
        </w:pBdr>
        <w:rPr>
          <w:b/>
          <w:smallCaps/>
          <w:noProof/>
          <w:szCs w:val="24"/>
          <w:u w:val="single"/>
        </w:rPr>
      </w:pPr>
      <w:bookmarkStart w:id="1" w:name="_GoBack"/>
      <w:bookmarkEnd w:id="1"/>
      <w:r>
        <w:rPr>
          <w:b/>
          <w:smallCaps/>
          <w:noProof/>
          <w:szCs w:val="24"/>
          <w:u w:val="single"/>
        </w:rPr>
        <w:lastRenderedPageBreak/>
        <w:t>Резюме</w:t>
      </w:r>
    </w:p>
    <w:p>
      <w:pPr>
        <w:pBdr>
          <w:top w:val="single" w:sz="4" w:space="1" w:color="auto"/>
          <w:left w:val="single" w:sz="4" w:space="4" w:color="auto"/>
          <w:bottom w:val="single" w:sz="4" w:space="16" w:color="auto"/>
          <w:right w:val="single" w:sz="4" w:space="4" w:color="auto"/>
        </w:pBdr>
        <w:rPr>
          <w:noProof/>
          <w:szCs w:val="24"/>
        </w:rPr>
      </w:pPr>
      <w:r>
        <w:rPr>
          <w:noProof/>
        </w:rPr>
        <w:t>Неотдавна парламентът прие с единодушие редица значителни реформи на малтийската правосъдна система. По-специално реформите в организацията на назначенията в съдебната система и по отношение на дисциплинарните производства целят подобряване на принципа на взаимозависимост и взаимоограничаване чрез ограничаване на ролята на министър-председателя и на парламента. Тези реформи са насочени към укрепване на независимостта на съдебната власт и системата на разделение на властите и представляват отговор на някои от препоръките на Венецианската комисия от декември 2018 г. и на препоръките на Европейската комисия и Съвета в рамките на европейския семестър. Венецианската комисия като цяло приветства плановете за реформи и понастоящем подготвя допълнително становище относно законодателните текстове на тези реформи. Понастоящем се създава прокуратура, подчинена на службата на главния прокурор и напълно самостоятелна от държавния адвокат. Що се отнася до ефикасността на правосъдната система, продължават да съществуват сериозни опасения, като съдебните производства отнемат много дълго време на всички равнища и при всички категории дела.</w:t>
      </w:r>
    </w:p>
    <w:p>
      <w:pPr>
        <w:pBdr>
          <w:top w:val="single" w:sz="4" w:space="1" w:color="auto"/>
          <w:left w:val="single" w:sz="4" w:space="4" w:color="auto"/>
          <w:bottom w:val="single" w:sz="4" w:space="16" w:color="auto"/>
          <w:right w:val="single" w:sz="4" w:space="4" w:color="auto"/>
        </w:pBdr>
        <w:rPr>
          <w:b/>
          <w:bCs/>
          <w:noProof/>
          <w:szCs w:val="24"/>
        </w:rPr>
      </w:pPr>
      <w:r>
        <w:rPr>
          <w:noProof/>
          <w:color w:val="000000" w:themeColor="text1"/>
          <w:szCs w:val="24"/>
        </w:rPr>
        <w:t>Разкрити бяха модели на дълбока корупция и обществеността отправи категорично искане за значително укрепване на капацитета за справяне с корупцията и за по-широкообхватни реформи, свързани с върховенството на закона. Липсват исторически резултати за постановяване на осъдителни присъди по дела за корупция по високите етажи на властта. Стартиран бе широкообхватен проект за реформи с цел отстраняване на пропуски и укрепване на институционалната уредба за борба с корупцията, включително в областта на правоприлагането и наказателното преследване. Реформата включва нови правила относно назначаването на полицейския комисар, прехвърлянето на отговорност за наказателното преследване — включително за случаи на корупция — от полицията към главния прокурор, реформа на Постоянната комисия срещу корупцията, както и нови разпоредби, които позволяват обжалване на решения на главния прокурор за отказ от наказателно преследване. Ефективното изпълнение на тези реформи ще покаже степента, до която</w:t>
      </w:r>
      <w:r>
        <w:rPr>
          <w:noProof/>
        </w:rPr>
        <w:t xml:space="preserve"> </w:t>
      </w:r>
      <w:r>
        <w:rPr>
          <w:noProof/>
          <w:color w:val="000000" w:themeColor="text1"/>
          <w:szCs w:val="24"/>
        </w:rPr>
        <w:t xml:space="preserve">са предприети действия по препоръките на Венецианската комисия и Групата държави срещу корупцията (GRECO), както и по тези на Европейската комисия. </w:t>
      </w:r>
    </w:p>
    <w:p>
      <w:pPr>
        <w:pBdr>
          <w:top w:val="single" w:sz="4" w:space="1" w:color="auto"/>
          <w:left w:val="single" w:sz="4" w:space="4" w:color="auto"/>
          <w:bottom w:val="single" w:sz="4" w:space="16" w:color="auto"/>
          <w:right w:val="single" w:sz="4" w:space="4" w:color="auto"/>
        </w:pBdr>
        <w:rPr>
          <w:bCs/>
          <w:noProof/>
          <w:szCs w:val="24"/>
        </w:rPr>
      </w:pPr>
      <w:r>
        <w:rPr>
          <w:noProof/>
        </w:rPr>
        <w:t>Конституцията на Малта предвижда свобода на словото и свобода на медиите. Убийството на водещата разследваща журналистка на Малта Дафне Каруана Галиция през октомври 2017 г. се възприе широко като атака срещу свободата на словото и породи опасения относно свободата на медиите и безопасността на журналистите в Малта. Други области, предизвикващи загриженост, включват ефективната независимост на медийния регулаторен орган, както и правни и онлайн заплахи към разследващи журналисти. Собствеността, контролът или управлението на многобройни малтийски медии и излъчващи оператори от страна на двете основни политически партии, представени в парламента, продължава да оказва сериозно влияние върху медийната среда в Малта.</w:t>
      </w:r>
    </w:p>
    <w:p>
      <w:pPr>
        <w:pBdr>
          <w:top w:val="single" w:sz="4" w:space="1" w:color="auto"/>
          <w:left w:val="single" w:sz="4" w:space="4" w:color="auto"/>
          <w:bottom w:val="single" w:sz="4" w:space="16" w:color="auto"/>
          <w:right w:val="single" w:sz="4" w:space="4" w:color="auto"/>
        </w:pBdr>
        <w:rPr>
          <w:noProof/>
          <w:szCs w:val="24"/>
        </w:rPr>
      </w:pPr>
      <w:r>
        <w:rPr>
          <w:noProof/>
        </w:rPr>
        <w:t xml:space="preserve">Що се отнася до принципа на взаимозависимост и взаимоограничаване, парламентът наскоро предприе редица реформи. По-специално бяха приети нови правила за избора и отстраняването от длъжност на президента на републиката, както и реформи за засилване на ролята на омбудсмана. Внесени бяха и други законопроекти за </w:t>
      </w:r>
      <w:r>
        <w:rPr>
          <w:noProof/>
        </w:rPr>
        <w:lastRenderedPageBreak/>
        <w:t>ограничаване на ролята на министър-председателя при назначаването на редица независими комисии. Целта на тези реформи е да се засили цялостната система за прилагане на принципа на взаимозависимост и взаимоограничаване и да се отговори на някои от препоръките на Венецианската комисия, която подготвя и допълнително становище относно законодателните текстове на тези реформи. Понастоящем се обмисля дали са необходими евентуални други конституционни реформи, включително във връзка с функционирането на парламента. Организациите на гражданското общество играят все по-голяма роля в обществените дебати.</w:t>
      </w:r>
    </w:p>
    <w:p>
      <w:pPr>
        <w:pStyle w:val="ListParagraph"/>
        <w:keepNext/>
        <w:numPr>
          <w:ilvl w:val="0"/>
          <w:numId w:val="20"/>
        </w:numPr>
        <w:spacing w:after="240"/>
        <w:ind w:left="249" w:hanging="249"/>
        <w:rPr>
          <w:rFonts w:ascii="Times New Roman" w:eastAsia="Times New Roman" w:hAnsi="Times New Roman" w:cs="Times New Roman"/>
          <w:b/>
          <w:caps/>
          <w:noProof/>
          <w:sz w:val="24"/>
          <w:szCs w:val="24"/>
          <w:u w:val="single"/>
        </w:rPr>
      </w:pPr>
      <w:r>
        <w:rPr>
          <w:rFonts w:ascii="Times New Roman" w:hAnsi="Times New Roman"/>
          <w:b/>
          <w:smallCaps/>
          <w:noProof/>
          <w:sz w:val="24"/>
          <w:szCs w:val="24"/>
          <w:u w:val="single"/>
        </w:rPr>
        <w:t>Правосъдна система</w:t>
      </w:r>
      <w:r>
        <w:rPr>
          <w:rFonts w:ascii="Times New Roman" w:hAnsi="Times New Roman"/>
          <w:b/>
          <w:caps/>
          <w:noProof/>
          <w:sz w:val="24"/>
          <w:szCs w:val="24"/>
          <w:u w:val="single"/>
        </w:rPr>
        <w:t xml:space="preserve"> </w:t>
      </w:r>
    </w:p>
    <w:p>
      <w:pPr>
        <w:rPr>
          <w:noProof/>
          <w:szCs w:val="24"/>
        </w:rPr>
      </w:pPr>
      <w:r>
        <w:rPr>
          <w:noProof/>
        </w:rPr>
        <w:t>Малтийската правосъдна система е повлияна от правните традиции както на континенталното, така и на общото право. Съдилищата се делят на висши и нисшестоящи. Висшите съдилища са съставени от съдии и включват Гражданския съд, Наказателния съд, Апелативния съд, Апелативния наказателен съд и Конституционния съд</w:t>
      </w:r>
      <w:r>
        <w:rPr>
          <w:rStyle w:val="FootnoteReference"/>
          <w:noProof/>
          <w:szCs w:val="24"/>
        </w:rPr>
        <w:footnoteReference w:id="1"/>
      </w:r>
      <w:r>
        <w:rPr>
          <w:noProof/>
        </w:rPr>
        <w:t>. Нисшестоящите съдилища са съставени от магистрати и включват Съда на магистратите (Малта) и Съда на магистратите (Гозо). Съдебната власт се оглавява от председателя на Върховния съд, който също така е председател на Конституционния съд. Независимостта на съдебната власт е залегнала в Конституцията, която гарантира сигурността на длъжностите на съдиите и магистратите. Комисията по правораздаване осъществява надзор върху работата на съдебната власт</w:t>
      </w:r>
      <w:r>
        <w:rPr>
          <w:rStyle w:val="FootnoteReference"/>
          <w:noProof/>
          <w:szCs w:val="24"/>
        </w:rPr>
        <w:footnoteReference w:id="2"/>
      </w:r>
      <w:r>
        <w:rPr>
          <w:noProof/>
        </w:rPr>
        <w:t>. Съществуват редица специализирани съдилища, които се произнасят в конкретни области. В момента се създава напълно самостоятелна прокуратура. Адвокатската колегия (Адвокатската камара) е независимият и саморегулиращ се професионален орган на юристите. През юли 2020 г. парламентът прие редица конституционни реформи в областта на правосъдието</w:t>
      </w:r>
      <w:r>
        <w:rPr>
          <w:rStyle w:val="FootnoteReference"/>
          <w:noProof/>
          <w:szCs w:val="24"/>
        </w:rPr>
        <w:footnoteReference w:id="3"/>
      </w:r>
      <w:r>
        <w:rPr>
          <w:noProof/>
        </w:rPr>
        <w:t xml:space="preserve">. </w:t>
      </w:r>
    </w:p>
    <w:p>
      <w:pPr>
        <w:rPr>
          <w:i/>
          <w:noProof/>
          <w:szCs w:val="24"/>
        </w:rPr>
      </w:pPr>
      <w:r>
        <w:rPr>
          <w:b/>
          <w:noProof/>
          <w:szCs w:val="24"/>
        </w:rPr>
        <w:t>Независимост</w:t>
      </w:r>
    </w:p>
    <w:p>
      <w:pPr>
        <w:rPr>
          <w:i/>
          <w:noProof/>
          <w:szCs w:val="24"/>
        </w:rPr>
      </w:pPr>
      <w:r>
        <w:rPr>
          <w:b/>
          <w:noProof/>
          <w:szCs w:val="24"/>
        </w:rPr>
        <w:t>Реформата на системата за назначения на съдии и магистрати беше приета през юли 2020 г.</w:t>
      </w:r>
      <w:r>
        <w:rPr>
          <w:noProof/>
        </w:rPr>
        <w:t xml:space="preserve"> През пролетта на 2020 г. правителството представи поредица от предложения за реформи, включително по отношение на системата на назначенията в съдебната система, с цел да се отговори на препоръките, отправени от Венецианската комисия през декември 2018 г.</w:t>
      </w:r>
      <w:r>
        <w:rPr>
          <w:rStyle w:val="FootnoteReference"/>
          <w:noProof/>
          <w:szCs w:val="24"/>
        </w:rPr>
        <w:footnoteReference w:id="4"/>
      </w:r>
      <w:r>
        <w:rPr>
          <w:noProof/>
        </w:rPr>
        <w:t xml:space="preserve"> Законопроектът за изменение на Конституцията бе приет от парламента на 29 юли 2020 г. Всички тези предложения бяха обсъдени с Венецианската комисия и оценени от нея</w:t>
      </w:r>
      <w:r>
        <w:rPr>
          <w:rStyle w:val="FootnoteReference"/>
          <w:noProof/>
          <w:szCs w:val="24"/>
        </w:rPr>
        <w:footnoteReference w:id="5"/>
      </w:r>
      <w:r>
        <w:rPr>
          <w:noProof/>
        </w:rPr>
        <w:t>, като все още обаче се очаква становището ѝ относно законодателните текстове. По силата на предишната правна уредба назначаването на съдии и магистрати се е извършвало от президента на Малта „в съответствие с препоръките на министър-председателя“. Комисията за назначенията в съдебната система е установявала дали кандидатите отговарят на критериите за назначаване на съдебни постове, но не ги е класирала и не е изразявала предпочитание за даден кандидат. Ролята на Комисията за назначенията в съдебната система е била да определи набор от кандидати за назначаване в съдебната власт, от които министър-председателят е разполагал със свобода на преценка при избора на кандидати, които да бъдат назначени като съдии или магистрати, докато ролята на президента е била чисто формална</w:t>
      </w:r>
      <w:r>
        <w:rPr>
          <w:rStyle w:val="FootnoteReference"/>
          <w:noProof/>
          <w:szCs w:val="24"/>
        </w:rPr>
        <w:footnoteReference w:id="6"/>
      </w:r>
      <w:r>
        <w:rPr>
          <w:noProof/>
        </w:rPr>
        <w:t>. В съответствие с новото законодателство, прието от парламента, съставът на Комисията за назначенията в съдебната система е преразгледан, като повече от половината ѝ членове понастоящем са част от съдебната власт</w:t>
      </w:r>
      <w:r>
        <w:rPr>
          <w:rStyle w:val="FootnoteReference"/>
          <w:noProof/>
          <w:szCs w:val="24"/>
        </w:rPr>
        <w:footnoteReference w:id="7"/>
      </w:r>
      <w:r>
        <w:rPr>
          <w:noProof/>
        </w:rPr>
        <w:t>. Поканите за представяне на кандидатури за отделни свободни съдебни длъжности ще бъдат публикувани. Комисията за назначенията в съдебната система ще предлага тримата най-подходящи кандидати за дадена свободна длъжност директно на президента на републиката, който ще избира съдиите или магистратите от представения му списък с кандидати</w:t>
      </w:r>
      <w:r>
        <w:rPr>
          <w:rStyle w:val="FootnoteReference"/>
          <w:noProof/>
          <w:szCs w:val="24"/>
        </w:rPr>
        <w:footnoteReference w:id="8"/>
      </w:r>
      <w:r>
        <w:rPr>
          <w:noProof/>
        </w:rPr>
        <w:t>. Критериите за оценка са залегнали в Конституцията. Тези реформи допринасят за укрепване на независимостта на съдебната власт, като се отчитат препоръките на Съвета на Европа</w:t>
      </w:r>
      <w:r>
        <w:rPr>
          <w:rStyle w:val="FootnoteReference"/>
          <w:noProof/>
          <w:szCs w:val="24"/>
        </w:rPr>
        <w:footnoteReference w:id="9"/>
      </w:r>
      <w:r>
        <w:rPr>
          <w:noProof/>
        </w:rPr>
        <w:t>. Този въпрос бе повдигнат и от Европейската комисия и Съвета в специфичната за страната препоръка в контекста на европейския семестър за 2020 г.</w:t>
      </w:r>
      <w:r>
        <w:rPr>
          <w:rStyle w:val="FootnoteReference"/>
          <w:noProof/>
          <w:szCs w:val="24"/>
        </w:rPr>
        <w:footnoteReference w:id="10"/>
      </w:r>
      <w:r>
        <w:rPr>
          <w:noProof/>
        </w:rPr>
        <w:t>, както и от Европейския парламент</w:t>
      </w:r>
      <w:r>
        <w:rPr>
          <w:rStyle w:val="FootnoteReference"/>
          <w:noProof/>
          <w:szCs w:val="24"/>
        </w:rPr>
        <w:footnoteReference w:id="11"/>
      </w:r>
      <w:r>
        <w:rPr>
          <w:noProof/>
        </w:rPr>
        <w:t>. В становището си от 19 юни 2020 г. Венецианската комисия като цяло приветства плановете за реформи по отношение на назначенията на съдии</w:t>
      </w:r>
      <w:r>
        <w:rPr>
          <w:rStyle w:val="FootnoteReference"/>
          <w:noProof/>
          <w:szCs w:val="24"/>
        </w:rPr>
        <w:footnoteReference w:id="12"/>
      </w:r>
      <w:r>
        <w:rPr>
          <w:noProof/>
        </w:rPr>
        <w:t>, като същевременно припомни необходимостта от допълнителни действия за постигане на подходяща цялостна система за прилагане на принципа на взаимозависимост и взаимоограничаване в съответствие със становището ѝ от декември 2018 г. Освен това понастоящем Венецианската комисия подготвя допълнително становище относно законодателните текстове на тези реформи</w:t>
      </w:r>
      <w:r>
        <w:rPr>
          <w:rStyle w:val="FootnoteReference"/>
          <w:noProof/>
          <w:szCs w:val="24"/>
        </w:rPr>
        <w:footnoteReference w:id="13"/>
      </w:r>
      <w:r>
        <w:rPr>
          <w:noProof/>
        </w:rPr>
        <w:t>. Що се отнася до председателя на Върховния съд, съгласно реформата назначаването трябва да бъде извършено с подкрепата на две трети от членовете на парламента</w:t>
      </w:r>
      <w:r>
        <w:rPr>
          <w:rStyle w:val="FootnoteReference"/>
          <w:noProof/>
          <w:szCs w:val="24"/>
        </w:rPr>
        <w:footnoteReference w:id="14"/>
      </w:r>
      <w:r>
        <w:rPr>
          <w:noProof/>
        </w:rPr>
        <w:t xml:space="preserve"> без участието на съдебната власт или на Комисията за назначенията в съдебната система</w:t>
      </w:r>
      <w:r>
        <w:rPr>
          <w:rStyle w:val="FootnoteReference"/>
          <w:noProof/>
          <w:szCs w:val="24"/>
        </w:rPr>
        <w:footnoteReference w:id="15"/>
      </w:r>
      <w:r>
        <w:rPr>
          <w:noProof/>
        </w:rPr>
        <w:t>. Предвид различните роли, които изпълнява председателят на Върховния съд (председател на Конституционния съд, председател на Апелативния съд, председателстващ и в двата апелативни състава), както и важните му отговорности във връзка с управлението на правосъдната система (председател на Комисията за назначенията в съдебната система, член на Комисията по правораздаване, която е отговорна за съдебната дисциплина), Венецианската комисия подчерта колко е важно назначението на председателя на Върховния съд да бъде деполитизирано във възможно най-голяма степен</w:t>
      </w:r>
      <w:r>
        <w:rPr>
          <w:rStyle w:val="FootnoteReference"/>
          <w:noProof/>
          <w:szCs w:val="24"/>
        </w:rPr>
        <w:footnoteReference w:id="16"/>
      </w:r>
      <w:r>
        <w:rPr>
          <w:noProof/>
        </w:rPr>
        <w:t xml:space="preserve">. </w:t>
      </w:r>
    </w:p>
    <w:p>
      <w:pPr>
        <w:rPr>
          <w:noProof/>
          <w:szCs w:val="24"/>
        </w:rPr>
      </w:pPr>
      <w:r>
        <w:rPr>
          <w:b/>
          <w:noProof/>
          <w:szCs w:val="24"/>
        </w:rPr>
        <w:t>Парламентът също така прие реформата, свързана с процедурата за отстраняване от длъжност на съдии и магистрати.</w:t>
      </w:r>
      <w:r>
        <w:rPr>
          <w:noProof/>
        </w:rPr>
        <w:t xml:space="preserve"> Съгласно предишната уредба решенията за отстраняване от длъжност на съдии и магистрати се вземаха от парламента. Венецианската комисия препоръча деполитизиране на процедурата</w:t>
      </w:r>
      <w:r>
        <w:rPr>
          <w:rStyle w:val="FootnoteReference"/>
          <w:noProof/>
          <w:szCs w:val="24"/>
        </w:rPr>
        <w:footnoteReference w:id="17"/>
      </w:r>
      <w:r>
        <w:rPr>
          <w:noProof/>
        </w:rPr>
        <w:t>. В съответствие с реформите решенията за отстраняване от длъжност на съдии и магистрати ще бъдат прерогатив на Комисията по правораздаване, по-голямата част от която е съставена от членове на съдебната система. Парламентът вече няма да участва в решенията за отстраняване от длъжност на съдии и магистрати. Освен това реформите предвиждат възможност за обжалване на отстраняването от длъжност пред Конституционния съд</w:t>
      </w:r>
      <w:r>
        <w:rPr>
          <w:rStyle w:val="FootnoteReference"/>
          <w:noProof/>
          <w:szCs w:val="24"/>
        </w:rPr>
        <w:footnoteReference w:id="18"/>
      </w:r>
      <w:r>
        <w:rPr>
          <w:noProof/>
        </w:rPr>
        <w:t>. Тези реформи укрепват независимостта на съдебната власт, като се отчитат препоръките на Съвета на Европа</w:t>
      </w:r>
      <w:r>
        <w:rPr>
          <w:noProof/>
          <w:szCs w:val="24"/>
          <w:vertAlign w:val="superscript"/>
        </w:rPr>
        <w:footnoteReference w:id="19"/>
      </w:r>
      <w:r>
        <w:rPr>
          <w:noProof/>
        </w:rPr>
        <w:t>. В становището си от юни 2020 г. Венецианската комисия приветства плановете за реформи</w:t>
      </w:r>
      <w:r>
        <w:rPr>
          <w:rStyle w:val="FootnoteReference"/>
          <w:noProof/>
          <w:szCs w:val="24"/>
        </w:rPr>
        <w:footnoteReference w:id="20"/>
      </w:r>
      <w:r>
        <w:rPr>
          <w:noProof/>
        </w:rPr>
        <w:t xml:space="preserve"> и понастоящем подготвя допълнително становище относно законодателните текстове на тези реформи</w:t>
      </w:r>
      <w:r>
        <w:rPr>
          <w:rStyle w:val="FootnoteReference"/>
          <w:noProof/>
          <w:szCs w:val="24"/>
        </w:rPr>
        <w:footnoteReference w:id="21"/>
      </w:r>
      <w:r>
        <w:rPr>
          <w:noProof/>
        </w:rPr>
        <w:t>.</w:t>
      </w:r>
    </w:p>
    <w:p>
      <w:pPr>
        <w:rPr>
          <w:noProof/>
          <w:szCs w:val="24"/>
        </w:rPr>
      </w:pPr>
      <w:r>
        <w:rPr>
          <w:b/>
          <w:noProof/>
          <w:szCs w:val="24"/>
        </w:rPr>
        <w:t xml:space="preserve">Равнището на усещане за независимост на съдебната власт е около средното. </w:t>
      </w:r>
      <w:r>
        <w:rPr>
          <w:noProof/>
        </w:rPr>
        <w:t>Това се отнася както за усещането за независимост на съдебната власт сред</w:t>
      </w:r>
      <w:r>
        <w:rPr>
          <w:b/>
          <w:noProof/>
          <w:szCs w:val="24"/>
        </w:rPr>
        <w:t xml:space="preserve"> </w:t>
      </w:r>
      <w:r>
        <w:rPr>
          <w:noProof/>
        </w:rPr>
        <w:t>широката общественост (52 % „относително добро или много добро“), така и за усещането сред дружествата (48 % „относително добро или много добро“)</w:t>
      </w:r>
      <w:r>
        <w:rPr>
          <w:rStyle w:val="FootnoteReference"/>
          <w:noProof/>
          <w:szCs w:val="24"/>
        </w:rPr>
        <w:footnoteReference w:id="22"/>
      </w:r>
      <w:r>
        <w:rPr>
          <w:noProof/>
        </w:rPr>
        <w:t>.</w:t>
      </w:r>
    </w:p>
    <w:p>
      <w:pPr>
        <w:rPr>
          <w:noProof/>
          <w:szCs w:val="24"/>
        </w:rPr>
      </w:pPr>
      <w:r>
        <w:rPr>
          <w:b/>
          <w:noProof/>
          <w:szCs w:val="24"/>
        </w:rPr>
        <w:t>В момента се създава напълно самостоятелна прокуратура.</w:t>
      </w:r>
      <w:r>
        <w:rPr>
          <w:noProof/>
        </w:rPr>
        <w:t xml:space="preserve"> До неотдавна повечето наказателни преследвания се извършваха от полицията, докато службата на главния прокурор се занимаваше с пряко наказателно преследване само на най-тежките престъпления</w:t>
      </w:r>
      <w:r>
        <w:rPr>
          <w:rStyle w:val="FootnoteReference"/>
          <w:noProof/>
          <w:szCs w:val="24"/>
        </w:rPr>
        <w:footnoteReference w:id="23"/>
      </w:r>
      <w:r>
        <w:rPr>
          <w:noProof/>
        </w:rPr>
        <w:t>. Освен това главният прокурор съчетаваше прокурорските функции с ролята на правен съветник на правителството, като представляваше държавата в съдебни производства, което пораждаше опасения във връзка с принципа на разделение на властите</w:t>
      </w:r>
      <w:r>
        <w:rPr>
          <w:rStyle w:val="FootnoteReference"/>
          <w:noProof/>
          <w:szCs w:val="24"/>
        </w:rPr>
        <w:footnoteReference w:id="24"/>
      </w:r>
      <w:r>
        <w:rPr>
          <w:noProof/>
        </w:rPr>
        <w:t>. През 2019 г. правителството обяви, че възнамерява да създаде самостоятелна прокуратура в отговор на препоръките на Венецианската комисия</w:t>
      </w:r>
      <w:r>
        <w:rPr>
          <w:rStyle w:val="FootnoteReference"/>
          <w:noProof/>
          <w:szCs w:val="24"/>
        </w:rPr>
        <w:footnoteReference w:id="25"/>
      </w:r>
      <w:r>
        <w:rPr>
          <w:noProof/>
        </w:rPr>
        <w:t>. Като първа стъпка от този процес бе създадена службата на държавния адвокат, която да поеме функциите извън рамките на наказателното преследване, изпълнявани преди това от главния прокурор. Държавният адвокат действа като правен съветник на правителството. Главният прокурор ще отговаря за наказателното преследване на всички престъпления. Правителството планира да внесе законопроект в парламента през октомври 2020 г. за разширяване на функциите на главния прокурор по наказателно преследване, така че те да обхващат и по-леките престъпления. Прехвърлянето на случаи от полицията към прокуратурата ще започне през лятото на 2020 г. и ще се извършва постепенно</w:t>
      </w:r>
      <w:r>
        <w:rPr>
          <w:rStyle w:val="FootnoteReference"/>
          <w:noProof/>
          <w:szCs w:val="24"/>
        </w:rPr>
        <w:footnoteReference w:id="26"/>
      </w:r>
      <w:r>
        <w:rPr>
          <w:noProof/>
        </w:rPr>
        <w:t>, като в крайна сметка следва да доведе до прехвърляне на всички случаи на наказателно преследване към главния прокурор</w:t>
      </w:r>
      <w:r>
        <w:rPr>
          <w:rStyle w:val="FootnoteReference"/>
          <w:noProof/>
          <w:szCs w:val="24"/>
        </w:rPr>
        <w:footnoteReference w:id="27"/>
      </w:r>
      <w:r>
        <w:rPr>
          <w:noProof/>
        </w:rPr>
        <w:t>. Поради това ще е необходимо известно време преди да може да се постигне пълна ефективност на реформите в прокуратурата. Що се отнася до главния прокурор, през юли 2019 г. парламентът прие закон, който предвижда нова процедура за назначаване. В закона се изисква министър-председателят да обърне надлежно внимание на препоръките на Комисията за назначение при вземането на решение за препоръката му до президента по отношение на член 91 от Конституцията за назначаването на главния прокурор. В съответствие с новата процедура на 8 септември 2020 г. министър-председателят одобри кандидата, препоръчан от Комисията за назначение, за главен прокурор на Малта. Тези промени добавят принципа на взаимозависимост и взаимоограничаване в сравнение с предходната процедура за назначаване. На практика назначаването на главния прокурор остава предимно в рамките на правомощията на министър-председателя, което бе посочено като проблем</w:t>
      </w:r>
      <w:r>
        <w:rPr>
          <w:rStyle w:val="FootnoteReference"/>
          <w:noProof/>
          <w:szCs w:val="24"/>
        </w:rPr>
        <w:footnoteReference w:id="28"/>
      </w:r>
      <w:r>
        <w:rPr>
          <w:noProof/>
        </w:rPr>
        <w:t xml:space="preserve">. </w:t>
      </w:r>
    </w:p>
    <w:p>
      <w:pPr>
        <w:rPr>
          <w:noProof/>
          <w:szCs w:val="24"/>
        </w:rPr>
      </w:pPr>
      <w:r>
        <w:rPr>
          <w:b/>
          <w:noProof/>
          <w:szCs w:val="24"/>
        </w:rPr>
        <w:t>Голям брой специализирани съдилища извършват дейност в различни области</w:t>
      </w:r>
      <w:r>
        <w:rPr>
          <w:noProof/>
        </w:rPr>
        <w:t>. Тези съдилища включват апелативния съвет по въпросите на бежанците, съда за контрол по въпроси, свързани с околната среда и планирането, съда за искове на потребители, апелативния съд по въпроси на конкуренцията и потребителите, промишления съд, апелативния съд по въпросите на информацията и защитата на данни, съда за контрол по въпроси, свързани с психичното здраве, патентния съд, съда за обжалване на разрешителни от полицията, отделенията на съдилищата за административен контрол и съда за обжалване на присъди за лишаване от свобода. Венецианската комисия изрази опасения във връзка с тези специализирани съдилища, като счете, че те не разполагат със същото равнище на независимост като това на обикновените съдилища</w:t>
      </w:r>
      <w:r>
        <w:rPr>
          <w:rStyle w:val="FootnoteReference"/>
          <w:noProof/>
          <w:szCs w:val="24"/>
        </w:rPr>
        <w:footnoteReference w:id="29"/>
      </w:r>
      <w:r>
        <w:rPr>
          <w:noProof/>
        </w:rPr>
        <w:t xml:space="preserve">. </w:t>
      </w:r>
    </w:p>
    <w:p>
      <w:pPr>
        <w:keepNext/>
        <w:rPr>
          <w:b/>
          <w:noProof/>
          <w:szCs w:val="24"/>
        </w:rPr>
      </w:pPr>
      <w:r>
        <w:rPr>
          <w:b/>
          <w:noProof/>
          <w:szCs w:val="24"/>
        </w:rPr>
        <w:t>Качество</w:t>
      </w:r>
    </w:p>
    <w:p>
      <w:pPr>
        <w:rPr>
          <w:noProof/>
          <w:szCs w:val="24"/>
        </w:rPr>
      </w:pPr>
      <w:r>
        <w:rPr>
          <w:b/>
          <w:noProof/>
          <w:szCs w:val="24"/>
        </w:rPr>
        <w:t xml:space="preserve">Приети са някои мерки за подобряване на качеството на правосъдната система. </w:t>
      </w:r>
      <w:r>
        <w:rPr>
          <w:noProof/>
        </w:rPr>
        <w:t>По-специално бяха предприети следните мерки, насочени към допълнително подобряване на използването на ИТ инструменти в съдилищата: i) подаването на документи и заплащането на такси по електронен път се разширяват, така че да обхванат повече граждански съдилища; ii) предоставя се безплатен онлайн достъп на гражданите и практикуващите юристи с цел справка с актовете, свързани с техните дела; и iii) създадена бе платформата за електронни съдилища, която предлага широка гама от свързани с правосъдието услуги за широката общественост и практикуващите юристи. Правителството подготвя цифрова стратегия и план за действие с цел да се засили използването на технологии в правосъдната система</w:t>
      </w:r>
      <w:r>
        <w:rPr>
          <w:rStyle w:val="FootnoteReference"/>
          <w:noProof/>
          <w:szCs w:val="24"/>
        </w:rPr>
        <w:footnoteReference w:id="30"/>
      </w:r>
      <w:r>
        <w:rPr>
          <w:noProof/>
        </w:rPr>
        <w:t>. Що се отнася до съдебното обучение, бюджетът на Комитета за съдебно обучение бе увеличен</w:t>
      </w:r>
      <w:r>
        <w:rPr>
          <w:rStyle w:val="FootnoteReference"/>
          <w:noProof/>
          <w:szCs w:val="24"/>
        </w:rPr>
        <w:footnoteReference w:id="31"/>
      </w:r>
      <w:r>
        <w:rPr>
          <w:noProof/>
        </w:rPr>
        <w:t>, което ще позволи да се разшири обхватът и да се повиши качеството на услугите за обучение. През 2018 г. не бяха регистрирани съдебни обучения по отношение на редица важни съдебни умения</w:t>
      </w:r>
      <w:r>
        <w:rPr>
          <w:rStyle w:val="FootnoteReference"/>
          <w:noProof/>
          <w:szCs w:val="24"/>
        </w:rPr>
        <w:footnoteReference w:id="32"/>
      </w:r>
      <w:r>
        <w:rPr>
          <w:noProof/>
        </w:rPr>
        <w:t>. Липсата на обучение по съдебна етика продължава да бъде проблем</w:t>
      </w:r>
      <w:r>
        <w:rPr>
          <w:rStyle w:val="FootnoteReference"/>
          <w:noProof/>
          <w:szCs w:val="24"/>
        </w:rPr>
        <w:footnoteReference w:id="33"/>
      </w:r>
      <w:r>
        <w:rPr>
          <w:noProof/>
        </w:rPr>
        <w:t xml:space="preserve">. </w:t>
      </w:r>
    </w:p>
    <w:p>
      <w:pPr>
        <w:rPr>
          <w:noProof/>
          <w:szCs w:val="24"/>
        </w:rPr>
      </w:pPr>
      <w:r>
        <w:rPr>
          <w:b/>
          <w:noProof/>
          <w:szCs w:val="24"/>
        </w:rPr>
        <w:t>Понастоящем се извършва преглед на системата за разпределяне на делата</w:t>
      </w:r>
      <w:r>
        <w:rPr>
          <w:noProof/>
        </w:rPr>
        <w:t xml:space="preserve">. Съгласно действащата уредба секретарят разпределя делата по указания на председателя на Върховния съд. Целта на прегледа е да се установи нова система, която отразява сложността на регистрираните дела и позволява по-добро разпределяне на работното натоварване и повишено ниво на ефикасност. </w:t>
      </w:r>
    </w:p>
    <w:p>
      <w:pPr>
        <w:rPr>
          <w:noProof/>
          <w:szCs w:val="24"/>
        </w:rPr>
      </w:pPr>
    </w:p>
    <w:p>
      <w:pPr>
        <w:rPr>
          <w:b/>
          <w:noProof/>
          <w:szCs w:val="24"/>
        </w:rPr>
      </w:pPr>
      <w:r>
        <w:rPr>
          <w:b/>
          <w:noProof/>
          <w:szCs w:val="24"/>
        </w:rPr>
        <w:t xml:space="preserve">Ефикасност </w:t>
      </w:r>
    </w:p>
    <w:p>
      <w:pPr>
        <w:rPr>
          <w:noProof/>
          <w:szCs w:val="24"/>
        </w:rPr>
      </w:pPr>
      <w:r>
        <w:rPr>
          <w:b/>
          <w:noProof/>
          <w:szCs w:val="24"/>
        </w:rPr>
        <w:t>Продължителността на съдебните производства остава сред най-дългите в ЕС.</w:t>
      </w:r>
      <w:r>
        <w:rPr>
          <w:noProof/>
        </w:rPr>
        <w:t xml:space="preserve"> Въпреки че са отчетени известни подобрения през последните години, продължителността на производствата на всички равнища и по всички категории дела остава много дълга</w:t>
      </w:r>
      <w:r>
        <w:rPr>
          <w:rStyle w:val="FootnoteReference"/>
          <w:noProof/>
          <w:szCs w:val="24"/>
        </w:rPr>
        <w:footnoteReference w:id="34"/>
      </w:r>
      <w:r>
        <w:rPr>
          <w:noProof/>
        </w:rPr>
        <w:t>. Що се отнася до граждански и търговски съдебни спорове на първа инстанция, през 2018 г. приключването на дело в съдилищата е отнемало средно 440 дни, което е сред най-дългите срокове за постановяване на решение в ЕС</w:t>
      </w:r>
      <w:r>
        <w:rPr>
          <w:noProof/>
          <w:szCs w:val="24"/>
          <w:vertAlign w:val="superscript"/>
        </w:rPr>
        <w:footnoteReference w:id="35"/>
      </w:r>
      <w:r>
        <w:rPr>
          <w:noProof/>
        </w:rPr>
        <w:t>. Този проблем се изостря допълнително от продължителните производства на втора инстанция (средно 1 120 дни)</w:t>
      </w:r>
      <w:r>
        <w:rPr>
          <w:rStyle w:val="FootnoteReference"/>
          <w:noProof/>
          <w:szCs w:val="24"/>
        </w:rPr>
        <w:footnoteReference w:id="36"/>
      </w:r>
      <w:r>
        <w:rPr>
          <w:noProof/>
        </w:rPr>
        <w:t>. По подобен начин продължава да поражда опасения продължителността на производствата в административните съдилища (средно 1 057 дни), въпреки че са отчетени известни подобрения през последните години. Делът на приключените производства също така показва, че понастоящем съдилищата работят на ръба на възможностите си</w:t>
      </w:r>
      <w:r>
        <w:rPr>
          <w:noProof/>
          <w:szCs w:val="24"/>
          <w:vertAlign w:val="superscript"/>
        </w:rPr>
        <w:footnoteReference w:id="37"/>
      </w:r>
      <w:r>
        <w:rPr>
          <w:noProof/>
        </w:rPr>
        <w:t>, като Малта е сред държавите членки с най-малък брой съдии на глава от населението</w:t>
      </w:r>
      <w:r>
        <w:rPr>
          <w:rStyle w:val="FootnoteReference"/>
          <w:noProof/>
          <w:szCs w:val="24"/>
        </w:rPr>
        <w:footnoteReference w:id="38"/>
      </w:r>
      <w:r>
        <w:rPr>
          <w:noProof/>
        </w:rPr>
        <w:t>. Особена тревога буди и средната продължителност на делата за изпиране на пари на първа инстанция (над 2 000 дни), като тя продължи да се влошава през 2018 г.</w:t>
      </w:r>
      <w:r>
        <w:rPr>
          <w:rStyle w:val="FootnoteReference"/>
          <w:noProof/>
          <w:szCs w:val="24"/>
        </w:rPr>
        <w:footnoteReference w:id="39"/>
      </w:r>
      <w:r>
        <w:rPr>
          <w:noProof/>
        </w:rPr>
        <w:t xml:space="preserve"> Като част от спешните мерки в отговор на пандемията от COVID-19 със заповед на Главната инспекция по обществено здраве от 16 март 2020 г. съдилищата бяха затворени, а сроковете — спрени</w:t>
      </w:r>
      <w:r>
        <w:rPr>
          <w:rStyle w:val="FootnoteReference"/>
          <w:noProof/>
          <w:szCs w:val="24"/>
        </w:rPr>
        <w:footnoteReference w:id="40"/>
      </w:r>
      <w:r>
        <w:rPr>
          <w:noProof/>
        </w:rPr>
        <w:t>. Тази заповед бе отменена на 5 юни 2020 г.</w:t>
      </w:r>
      <w:r>
        <w:rPr>
          <w:rStyle w:val="FootnoteReference"/>
          <w:noProof/>
          <w:szCs w:val="24"/>
        </w:rPr>
        <w:footnoteReference w:id="41"/>
      </w:r>
      <w:r>
        <w:rPr>
          <w:noProof/>
        </w:rPr>
        <w:t xml:space="preserve"> </w:t>
      </w:r>
    </w:p>
    <w:p>
      <w:pPr>
        <w:pStyle w:val="ListParagraph"/>
        <w:numPr>
          <w:ilvl w:val="0"/>
          <w:numId w:val="20"/>
        </w:numPr>
        <w:spacing w:after="240"/>
        <w:ind w:left="252" w:hanging="252"/>
        <w:rPr>
          <w:rFonts w:ascii="Times New Roman" w:eastAsia="Times New Roman" w:hAnsi="Times New Roman" w:cs="Times New Roman"/>
          <w:b/>
          <w:smallCaps/>
          <w:noProof/>
          <w:sz w:val="24"/>
          <w:szCs w:val="24"/>
          <w:u w:val="single"/>
        </w:rPr>
      </w:pPr>
      <w:r>
        <w:rPr>
          <w:rFonts w:ascii="Times New Roman" w:hAnsi="Times New Roman"/>
          <w:b/>
          <w:smallCaps/>
          <w:noProof/>
          <w:sz w:val="24"/>
          <w:szCs w:val="24"/>
        </w:rPr>
        <w:t xml:space="preserve"> </w:t>
      </w:r>
      <w:r>
        <w:rPr>
          <w:rFonts w:ascii="Times New Roman" w:hAnsi="Times New Roman"/>
          <w:b/>
          <w:smallCaps/>
          <w:noProof/>
          <w:sz w:val="24"/>
          <w:szCs w:val="24"/>
          <w:u w:val="single"/>
        </w:rPr>
        <w:t>Уредба за борба с корупцията</w:t>
      </w:r>
    </w:p>
    <w:p>
      <w:pPr>
        <w:autoSpaceDE w:val="0"/>
        <w:autoSpaceDN w:val="0"/>
        <w:adjustRightInd w:val="0"/>
        <w:rPr>
          <w:noProof/>
          <w:szCs w:val="24"/>
          <w:shd w:val="clear" w:color="auto" w:fill="FFFFFF"/>
        </w:rPr>
      </w:pPr>
      <w:r>
        <w:rPr>
          <w:noProof/>
          <w:szCs w:val="24"/>
          <w:shd w:val="clear" w:color="auto" w:fill="FFFFFF"/>
        </w:rPr>
        <w:t>Институционалната уредба за борба с корупцията се състои от няколко органа. Постоянната комисия срещу корупцията е отговорна за предотвратяване на корупцията и провеждане на административни разследвания във връзка с корупционни практики. Комисарят по стандартите в обществения живот може да проучва дали министри, парламентарни секретари или други членове на парламента са действали по начин, който е в разрез със закона, нарушава етично или друго задължение или който представлява злоупотреба с власт. Досега разследването и наказателното преследване на корупционни престъпления бяха отговорност предимно на полицията (звеното за борба с икономическите престъпления); в резултат на провежданите реформи обаче (вж. раздел I) главният прокурор ще поеме наказателното преследване на всички престъпления, които се наказват с повече от две години лишаване от свобода, включително икономически престъпления, корупция и изпиране на пари. Други органи, които участват в борбата с корупцията, са отделът за анализ на данните от финансовото разузнаване (FIAU) и департаментът за вътрешен одит и разследвания. Последният провежда вътрешни одити и разследвания в рамките на всички правителствени департаменти и агенции. Корупционните престъпленията са включени в Наказателния кодекс</w:t>
      </w:r>
      <w:r>
        <w:rPr>
          <w:rStyle w:val="FootnoteReference"/>
          <w:noProof/>
          <w:szCs w:val="24"/>
          <w:shd w:val="clear" w:color="auto" w:fill="FFFFFF"/>
        </w:rPr>
        <w:footnoteReference w:id="42"/>
      </w:r>
      <w:r>
        <w:rPr>
          <w:noProof/>
          <w:szCs w:val="24"/>
          <w:shd w:val="clear" w:color="auto" w:fill="FFFFFF"/>
        </w:rPr>
        <w:t>. През юли 2020 г. парламентът прие редица реформи във връзка с уредбата за борба с корупцията</w:t>
      </w:r>
      <w:r>
        <w:rPr>
          <w:rStyle w:val="FootnoteReference"/>
          <w:noProof/>
          <w:szCs w:val="24"/>
          <w:shd w:val="clear" w:color="auto" w:fill="FFFFFF"/>
        </w:rPr>
        <w:footnoteReference w:id="43"/>
      </w:r>
      <w:r>
        <w:rPr>
          <w:noProof/>
          <w:szCs w:val="24"/>
          <w:shd w:val="clear" w:color="auto" w:fill="FFFFFF"/>
        </w:rPr>
        <w:t xml:space="preserve">. </w:t>
      </w:r>
      <w:r>
        <w:rPr>
          <w:noProof/>
          <w:color w:val="000000" w:themeColor="text1"/>
          <w:szCs w:val="24"/>
        </w:rPr>
        <w:t xml:space="preserve">Продължаващото разследване и отделното публично разследване във връзка с убийството на разследващата журналистка </w:t>
      </w:r>
      <w:hyperlink r:id="rId19" w:history="1">
        <w:r>
          <w:rPr>
            <w:rStyle w:val="Hyperlink"/>
            <w:noProof/>
            <w:color w:val="000000" w:themeColor="text1"/>
            <w:szCs w:val="24"/>
            <w:u w:val="none"/>
          </w:rPr>
          <w:t>Дафне Каруана Галиция</w:t>
        </w:r>
      </w:hyperlink>
      <w:r>
        <w:rPr>
          <w:noProof/>
          <w:color w:val="000000" w:themeColor="text1"/>
        </w:rPr>
        <w:t xml:space="preserve"> разкриха модели на дълбока корупция и обществеността отправи категорично искане за значително укрепване на капацитета за справяне с корупцията и за по-широкообхватни реформи в областта на върховенството на закона.</w:t>
      </w:r>
    </w:p>
    <w:p>
      <w:pPr>
        <w:pStyle w:val="paragraph"/>
        <w:spacing w:before="0" w:beforeAutospacing="0" w:after="240" w:afterAutospacing="0"/>
        <w:jc w:val="both"/>
        <w:textAlignment w:val="baseline"/>
        <w:rPr>
          <w:rFonts w:eastAsiaTheme="minorHAnsi"/>
          <w:noProof/>
        </w:rPr>
      </w:pPr>
      <w:r>
        <w:rPr>
          <w:b/>
          <w:noProof/>
        </w:rPr>
        <w:t>Малта е с 54 от 100 пункта в Индекса за възприятие на корупцията, изготвен от „Прозрачност без граници“, и се нарежда на 14-о място в ЕС и 50-о място в световен план</w:t>
      </w:r>
      <w:r>
        <w:rPr>
          <w:rFonts w:eastAsiaTheme="minorHAnsi"/>
          <w:noProof/>
          <w:vertAlign w:val="superscript"/>
          <w:lang w:eastAsia="en-US"/>
        </w:rPr>
        <w:footnoteReference w:id="44"/>
      </w:r>
      <w:r>
        <w:rPr>
          <w:noProof/>
        </w:rPr>
        <w:t>. 89 % от малтийските респонденти в проучване на Евробарометър считат, че корупцията е широко разпространена в Малта (при средно 71 % за ЕС), а 54 % от хората се чувстват лично засегнати от корупцията в ежедневието си (средната стойност за ЕС е 26 %)</w:t>
      </w:r>
      <w:r>
        <w:rPr>
          <w:rStyle w:val="FootnoteReference"/>
          <w:rFonts w:eastAsiaTheme="minorHAnsi"/>
          <w:noProof/>
          <w:lang w:eastAsia="en-US"/>
        </w:rPr>
        <w:footnoteReference w:id="45"/>
      </w:r>
      <w:r>
        <w:rPr>
          <w:noProof/>
        </w:rPr>
        <w:t>. Що се отнася до предприятията, 76 % от дружествата считат, че корупцията е широко разпространена (при средно 63 % за ЕС), а за 60 % от дружествата корупцията представлява проблем при развиването на бизнес в страната (средната стойност за ЕС е 37%). Същевременно 37 % от респондентите са на мнение, че са налице достатъчно на брой успешно приключили наказателни преследвания, за да се възпрат хората от корупционни практики (при средно 36 % за ЕС), докато 45 % от представителите на дружествата считат, че физическите лица и предприятията, заловени за подкуп на висш служител, са получили подходящо наказание (при средно 31% за ЕС)</w:t>
      </w:r>
      <w:r>
        <w:rPr>
          <w:rFonts w:eastAsiaTheme="minorHAnsi"/>
          <w:noProof/>
          <w:vertAlign w:val="superscript"/>
          <w:lang w:eastAsia="en-US"/>
        </w:rPr>
        <w:footnoteReference w:id="46"/>
      </w:r>
      <w:r>
        <w:rPr>
          <w:noProof/>
        </w:rPr>
        <w:t xml:space="preserve">. </w:t>
      </w:r>
    </w:p>
    <w:p>
      <w:pPr>
        <w:pStyle w:val="Default"/>
        <w:spacing w:after="240"/>
        <w:jc w:val="both"/>
        <w:rPr>
          <w:noProof/>
          <w:color w:val="auto"/>
        </w:rPr>
      </w:pPr>
      <w:r>
        <w:rPr>
          <w:b/>
          <w:noProof/>
          <w:color w:val="auto"/>
        </w:rPr>
        <w:t>Приети са промени по отношение на Постоянната комисия срещу корупцията (PCAC)</w:t>
      </w:r>
      <w:r>
        <w:rPr>
          <w:noProof/>
        </w:rPr>
        <w:t xml:space="preserve">, </w:t>
      </w:r>
      <w:r>
        <w:rPr>
          <w:b/>
          <w:noProof/>
          <w:color w:val="auto"/>
        </w:rPr>
        <w:t xml:space="preserve">като са отстранени структурни слабости и е намалена ролята на министър-председателя при назначаването на членовете ѝ. </w:t>
      </w:r>
      <w:r>
        <w:rPr>
          <w:noProof/>
          <w:color w:val="auto"/>
        </w:rPr>
        <w:t xml:space="preserve">PCAC отговаря за предотвратяване на корупцията и за административни разследвания по свързани с корупция доклади. Тя провежда разследвания по своя инициатива или след получаване на доклади. </w:t>
      </w:r>
      <w:r>
        <w:rPr>
          <w:noProof/>
        </w:rPr>
        <w:t>Съгласно предишната система PCAC докладваше констатациите от своите разследвания на министъра на правосъдието, като по закон не се изискваше последващо принудително изпълнение или наказателно преследване. Като източник на опасения бе посочена и прозрачността по отношение на това кои случаи разследва Постоянната комисия срещу корупцията и какви препоръки е отправила</w:t>
      </w:r>
      <w:r>
        <w:rPr>
          <w:rStyle w:val="FootnoteReference"/>
          <w:noProof/>
        </w:rPr>
        <w:footnoteReference w:id="47"/>
      </w:r>
      <w:r>
        <w:rPr>
          <w:noProof/>
        </w:rPr>
        <w:t xml:space="preserve">. </w:t>
      </w:r>
      <w:r>
        <w:rPr>
          <w:noProof/>
          <w:color w:val="auto"/>
        </w:rPr>
        <w:t>Европейската комисия, Венецианската комисия и GRECO изразиха опасения във връзка с ограничената ефективност на разследванията, провеждани от PCAC, както и по отношение на факта, че назначаването на членовете ѝ зависи от министър-председателя</w:t>
      </w:r>
      <w:r>
        <w:rPr>
          <w:rStyle w:val="FootnoteReference"/>
          <w:noProof/>
          <w:color w:val="auto"/>
        </w:rPr>
        <w:footnoteReference w:id="48"/>
      </w:r>
      <w:r>
        <w:rPr>
          <w:noProof/>
          <w:color w:val="auto"/>
        </w:rPr>
        <w:t>.</w:t>
      </w:r>
      <w:r>
        <w:rPr>
          <w:noProof/>
        </w:rPr>
        <w:t xml:space="preserve"> </w:t>
      </w:r>
      <w:r>
        <w:rPr>
          <w:noProof/>
          <w:color w:val="auto"/>
        </w:rPr>
        <w:t>През пролетта на 2020 г. правителството представи предложения за промяна на процедурата за назначаване. Тези предложения бяха приети от парламента на 29 юли 2020 г. В съответствие с новата процедура председателят на Постоянната комисия срещу корупцията трябва да бъде назначен от президента на републиката в съответствие с резолюция на парламента, приета с мнозинство от две трети</w:t>
      </w:r>
      <w:r>
        <w:rPr>
          <w:rStyle w:val="FootnoteReference"/>
          <w:noProof/>
          <w:color w:val="auto"/>
        </w:rPr>
        <w:footnoteReference w:id="49"/>
      </w:r>
      <w:r>
        <w:rPr>
          <w:noProof/>
          <w:color w:val="auto"/>
        </w:rPr>
        <w:t>. Другите двама членове на PCAC трябва да бъдат назначени от президента, който взема предвид съответно препоръките на министър-председателя и съветите на лидера на опозицията. Съгласно новите правила компетентността за разследвания на PCAC е разширена, така че да обхваща по-широка гама от корупционни практики. По-специално в новото законодателство се предвижда, че когато според PCAC разследваното поведение е корупционно, свързано е с корупционни практики или благоприятства такива, то докладът с резултатите от разследването се предава на главния прокурор</w:t>
      </w:r>
      <w:r>
        <w:rPr>
          <w:rStyle w:val="FootnoteReference"/>
          <w:noProof/>
        </w:rPr>
        <w:footnoteReference w:id="50"/>
      </w:r>
      <w:r>
        <w:rPr>
          <w:noProof/>
        </w:rPr>
        <w:t xml:space="preserve">. С тези промени PCAC, заедно с омбудсмана, комисаря по стандартите в обществения живот и генералния одитор, ще могат да обжалват издадено от главния прокурор решение да не се провежда наказателно преследване. При все това </w:t>
      </w:r>
      <w:r>
        <w:rPr>
          <w:noProof/>
          <w:color w:val="auto"/>
        </w:rPr>
        <w:t>средствата</w:t>
      </w:r>
      <w:r>
        <w:rPr>
          <w:rStyle w:val="FootnoteReference"/>
          <w:noProof/>
          <w:color w:val="auto"/>
        </w:rPr>
        <w:footnoteReference w:id="51"/>
      </w:r>
      <w:r>
        <w:rPr>
          <w:noProof/>
          <w:color w:val="auto"/>
        </w:rPr>
        <w:t xml:space="preserve"> на PCAC остават ограничени, което поставя под въпрос нейния капацитет за провеждане на значими разследвания. Венецианската комисия</w:t>
      </w:r>
      <w:r>
        <w:rPr>
          <w:noProof/>
        </w:rPr>
        <w:t xml:space="preserve"> </w:t>
      </w:r>
      <w:r>
        <w:rPr>
          <w:noProof/>
          <w:color w:val="auto"/>
        </w:rPr>
        <w:t>приветства плановете за реформи в своето становище от юни 2020 г. и понастоящем подготвя допълнително становище относно законодателните текстове на реформите</w:t>
      </w:r>
      <w:r>
        <w:rPr>
          <w:rStyle w:val="FootnoteReference"/>
          <w:noProof/>
          <w:color w:val="auto"/>
        </w:rPr>
        <w:footnoteReference w:id="52"/>
      </w:r>
      <w:r>
        <w:rPr>
          <w:noProof/>
          <w:color w:val="auto"/>
        </w:rPr>
        <w:t>.</w:t>
      </w:r>
    </w:p>
    <w:p>
      <w:pPr>
        <w:autoSpaceDE w:val="0"/>
        <w:autoSpaceDN w:val="0"/>
        <w:adjustRightInd w:val="0"/>
        <w:rPr>
          <w:noProof/>
          <w:color w:val="000000"/>
          <w:szCs w:val="24"/>
        </w:rPr>
      </w:pPr>
      <w:r>
        <w:rPr>
          <w:b/>
          <w:noProof/>
          <w:color w:val="000000"/>
          <w:szCs w:val="24"/>
        </w:rPr>
        <w:t xml:space="preserve">Третирането </w:t>
      </w:r>
      <w:r>
        <w:rPr>
          <w:b/>
          <w:noProof/>
          <w:szCs w:val="24"/>
          <w:shd w:val="clear" w:color="auto" w:fill="FFFFFF"/>
        </w:rPr>
        <w:t xml:space="preserve">на случаите на корупция по високите етажи на властта съдържа недостатъци. </w:t>
      </w:r>
      <w:r>
        <w:rPr>
          <w:noProof/>
          <w:szCs w:val="24"/>
          <w:shd w:val="clear" w:color="auto" w:fill="FFFFFF"/>
        </w:rPr>
        <w:t>По-специално се твърди, че наказателните досиета срещу лица, заемащи висши изпълнителни длъжности, остават на ранните етапи от наказателните производства. Въпреки предоставянето на нови доказателства по такива случаи остава неясно дали се дава ход на съответните процеси по разследване</w:t>
      </w:r>
      <w:r>
        <w:rPr>
          <w:noProof/>
          <w:szCs w:val="24"/>
          <w:shd w:val="clear" w:color="auto" w:fill="FFFFFF"/>
          <w:vertAlign w:val="superscript"/>
        </w:rPr>
        <w:footnoteReference w:id="53"/>
      </w:r>
      <w:r>
        <w:rPr>
          <w:noProof/>
          <w:szCs w:val="24"/>
          <w:shd w:val="clear" w:color="auto" w:fill="FFFFFF"/>
        </w:rPr>
        <w:t xml:space="preserve">. </w:t>
      </w:r>
      <w:r>
        <w:rPr>
          <w:noProof/>
          <w:color w:val="000000"/>
          <w:szCs w:val="24"/>
        </w:rPr>
        <w:t>Наказателното преследване на престъпления, свързани с корупция, се осъществява от служители на звеното за борба с икономическите престъпления към изпълнителния департамент на полицията на Малта. Както бе отбелязано в доклада за Малта в контекста на европейския семестър за 2020 г.</w:t>
      </w:r>
      <w:r>
        <w:rPr>
          <w:rStyle w:val="FootnoteReference"/>
          <w:noProof/>
          <w:color w:val="000000"/>
          <w:szCs w:val="24"/>
        </w:rPr>
        <w:footnoteReference w:id="54"/>
      </w:r>
      <w:r>
        <w:rPr>
          <w:noProof/>
          <w:color w:val="000000"/>
          <w:szCs w:val="24"/>
        </w:rPr>
        <w:t xml:space="preserve"> и в резолюциите на Европейския парламент</w:t>
      </w:r>
      <w:r>
        <w:rPr>
          <w:rStyle w:val="FootnoteReference"/>
          <w:noProof/>
          <w:color w:val="000000"/>
          <w:szCs w:val="24"/>
        </w:rPr>
        <w:footnoteReference w:id="55"/>
      </w:r>
      <w:r>
        <w:rPr>
          <w:noProof/>
          <w:color w:val="000000"/>
          <w:szCs w:val="24"/>
        </w:rPr>
        <w:t>, провежданите разследвания от страна на полицията се считат за фрагментирани и не се осъществява ефективно наказателно преследване на престъпленията, свързани с корупция и злоупотреба с власт. Според властите през 2019 г. е съобщено за седем текущи разследвания на корупция с участието на публични служители, две от които касаят случаи на корупция по високите етажи на властта.</w:t>
      </w:r>
      <w:r>
        <w:rPr>
          <w:noProof/>
          <w:color w:val="000000"/>
        </w:rPr>
        <w:t xml:space="preserve"> </w:t>
      </w:r>
      <w:r>
        <w:rPr>
          <w:noProof/>
          <w:color w:val="000000"/>
          <w:szCs w:val="24"/>
        </w:rPr>
        <w:t>Макар вече да съществува възможност за обжалване на решенията на полицията за отказ от наказателно преследване, бе въведена нова разпоредба, която позволява обжалването на аналогични решения на главния прокурор</w:t>
      </w:r>
      <w:r>
        <w:rPr>
          <w:noProof/>
          <w:color w:val="000000"/>
          <w:szCs w:val="24"/>
          <w:vertAlign w:val="superscript"/>
        </w:rPr>
        <w:footnoteReference w:id="56"/>
      </w:r>
      <w:r>
        <w:rPr>
          <w:noProof/>
          <w:color w:val="000000"/>
          <w:szCs w:val="24"/>
        </w:rPr>
        <w:t>.</w:t>
      </w:r>
    </w:p>
    <w:p>
      <w:pPr>
        <w:autoSpaceDE w:val="0"/>
        <w:autoSpaceDN w:val="0"/>
        <w:adjustRightInd w:val="0"/>
        <w:rPr>
          <w:noProof/>
          <w:color w:val="000000"/>
          <w:szCs w:val="24"/>
        </w:rPr>
      </w:pPr>
      <w:r>
        <w:rPr>
          <w:b/>
          <w:noProof/>
          <w:color w:val="000000"/>
          <w:szCs w:val="24"/>
        </w:rPr>
        <w:t>Извършена е реформа на процеса за подбор и назначаване на полицейския комисар</w:t>
      </w:r>
      <w:r>
        <w:rPr>
          <w:rStyle w:val="FootnoteReference"/>
          <w:noProof/>
          <w:color w:val="000000"/>
          <w:szCs w:val="24"/>
        </w:rPr>
        <w:footnoteReference w:id="57"/>
      </w:r>
      <w:r>
        <w:rPr>
          <w:noProof/>
        </w:rPr>
        <w:t xml:space="preserve">, </w:t>
      </w:r>
      <w:r>
        <w:rPr>
          <w:b/>
          <w:noProof/>
          <w:color w:val="000000"/>
          <w:szCs w:val="24"/>
        </w:rPr>
        <w:t>като този въпрос също беше подчертан в становището на Венецианската комисия от декември 2018 г.</w:t>
      </w:r>
      <w:r>
        <w:rPr>
          <w:noProof/>
          <w:color w:val="000000"/>
          <w:szCs w:val="24"/>
        </w:rPr>
        <w:t xml:space="preserve"> На 1 април 2020 г. парламентът прие законопроект за изменение на процеса за подбор и назначаване на полицейския комисар</w:t>
      </w:r>
      <w:r>
        <w:rPr>
          <w:rStyle w:val="FootnoteReference"/>
          <w:noProof/>
          <w:color w:val="000000"/>
          <w:szCs w:val="24"/>
        </w:rPr>
        <w:footnoteReference w:id="58"/>
      </w:r>
      <w:r>
        <w:rPr>
          <w:noProof/>
          <w:color w:val="000000"/>
          <w:szCs w:val="24"/>
        </w:rPr>
        <w:t xml:space="preserve">. Комисията за държавната администрация ще има задължение да обяви публична покана за представяне на кандидатури по напълно независим и автономен начин и ще предложи на министерския съвет двама кандидати. Кабинетът тогава трябва да избере един от двамата предварително подбрани кандидати. Новопредложеният метод също така предвижда, че в крайна сметка предварително подбраните кандидати ще се явяват пред парламентарната комисия за назначенията на държавни служители с цел осъществяване на парламентарен контрол. </w:t>
      </w:r>
    </w:p>
    <w:p>
      <w:pPr>
        <w:autoSpaceDE w:val="0"/>
        <w:autoSpaceDN w:val="0"/>
        <w:adjustRightInd w:val="0"/>
        <w:rPr>
          <w:noProof/>
          <w:szCs w:val="24"/>
        </w:rPr>
      </w:pPr>
      <w:r>
        <w:rPr>
          <w:b/>
          <w:noProof/>
          <w:color w:val="000000"/>
          <w:szCs w:val="24"/>
        </w:rPr>
        <w:t xml:space="preserve">Ресурсите и капацитетът на звеното за борба с икономическите престъпления към полицията са увеличени. </w:t>
      </w:r>
      <w:r>
        <w:rPr>
          <w:noProof/>
          <w:color w:val="000000"/>
          <w:szCs w:val="24"/>
        </w:rPr>
        <w:t>Между декември 2019 г. и септември 2020 г. в звеното за борба с икономическите престъпления</w:t>
      </w:r>
      <w:r>
        <w:rPr>
          <w:noProof/>
        </w:rPr>
        <w:t xml:space="preserve"> </w:t>
      </w:r>
      <w:r>
        <w:rPr>
          <w:noProof/>
          <w:color w:val="000000"/>
          <w:szCs w:val="24"/>
        </w:rPr>
        <w:t xml:space="preserve">е реализирано значително увеличение на броя на полицейските служители: от 58 на 98. Акцент се поставя върху областите, в които полицията не е разполагала с капацитет да се справя в миналото, включително икономически и финансови престъпления. Други области, в които се очаква повишаване на капацитета, са </w:t>
      </w:r>
      <w:r>
        <w:rPr>
          <w:noProof/>
        </w:rPr>
        <w:t>възможностите за анализ на блокови вериги, разширяването на инструмента за анализ на разузнавателна информация и достъпът до допълнителни бази данни</w:t>
      </w:r>
      <w:r>
        <w:rPr>
          <w:rStyle w:val="FootnoteReference"/>
          <w:noProof/>
          <w:szCs w:val="24"/>
        </w:rPr>
        <w:footnoteReference w:id="59"/>
      </w:r>
      <w:r>
        <w:rPr>
          <w:noProof/>
        </w:rPr>
        <w:t xml:space="preserve">. </w:t>
      </w:r>
    </w:p>
    <w:p>
      <w:pPr>
        <w:autoSpaceDE w:val="0"/>
        <w:autoSpaceDN w:val="0"/>
        <w:adjustRightInd w:val="0"/>
        <w:rPr>
          <w:noProof/>
          <w:szCs w:val="24"/>
        </w:rPr>
      </w:pPr>
      <w:r>
        <w:rPr>
          <w:b/>
          <w:noProof/>
          <w:szCs w:val="24"/>
        </w:rPr>
        <w:t xml:space="preserve">През 2013 г. влезе в сила Законът за защита на лицата, сигнализиращи за нередности. </w:t>
      </w:r>
      <w:r>
        <w:rPr>
          <w:noProof/>
        </w:rPr>
        <w:t>Той съдържа разпоредби за процедури, чрез които се сигнализира за неправомерни практики както в частния сектор, така и в държавната администрация</w:t>
      </w:r>
      <w:r>
        <w:rPr>
          <w:rStyle w:val="FootnoteReference"/>
          <w:noProof/>
          <w:szCs w:val="24"/>
        </w:rPr>
        <w:footnoteReference w:id="60"/>
      </w:r>
      <w:r>
        <w:rPr>
          <w:noProof/>
        </w:rPr>
        <w:t xml:space="preserve">. Всеки работодател, включително всички министерства, трябва да определят служител, отговорен за приемането на сигнали за нередности, който да получава сигнали от служители, желаещи да направят защитено оповестяване на неправомерна практика. Служителят, отговорен за приемането на сигнали за нередности, трябва на свой ред да предприеме мерки или — ако действията, за които е сигнализирано, представляват престъпления — да съобщи на полицията в рамките на разумен срок. Сигнали за нередности могат да се подават във връзка с действия, извършени както преди, така и след влизането в сила на закона. Този законодателен акт осигурява закрила на лицата, които действат добросъвестно. Досега обаче броят на подадените сигнали за нередности е доста ограничен. </w:t>
      </w:r>
    </w:p>
    <w:p>
      <w:pPr>
        <w:autoSpaceDE w:val="0"/>
        <w:autoSpaceDN w:val="0"/>
        <w:adjustRightInd w:val="0"/>
        <w:rPr>
          <w:noProof/>
          <w:szCs w:val="24"/>
        </w:rPr>
      </w:pPr>
      <w:r>
        <w:rPr>
          <w:b/>
          <w:noProof/>
          <w:szCs w:val="24"/>
        </w:rPr>
        <w:t xml:space="preserve">Внесени са предложения във връзка с назначаването на лица, изпълняващи висши изпълнителни длъжности. </w:t>
      </w:r>
      <w:r>
        <w:rPr>
          <w:noProof/>
        </w:rPr>
        <w:t>Внесени са предложения за изменения, с които да се гарантира, че Комисията за държавната администрация, която представлява независим конституционен орган, отправя препоръки до президента на републиката във връзка с назначаването и отстраняването от длъжност на постоянните секретари въз основа на ясни и предварително установени изисквания. Що се отнася до доверените лица, внесени са предложения за изменения на Закона за публичната администрация и Закона за стандартите в обществения живот</w:t>
      </w:r>
      <w:r>
        <w:rPr>
          <w:rStyle w:val="FootnoteReference"/>
          <w:noProof/>
          <w:szCs w:val="24"/>
        </w:rPr>
        <w:footnoteReference w:id="61"/>
      </w:r>
      <w:r>
        <w:rPr>
          <w:noProof/>
        </w:rPr>
        <w:t>, като се установява ясно правно основание за тяхното назначаване. По този начин се следват препоръките на Венецианската комисия и GRECO</w:t>
      </w:r>
      <w:r>
        <w:rPr>
          <w:rStyle w:val="FootnoteReference"/>
          <w:noProof/>
          <w:szCs w:val="24"/>
        </w:rPr>
        <w:footnoteReference w:id="62"/>
      </w:r>
      <w:r>
        <w:rPr>
          <w:noProof/>
        </w:rPr>
        <w:t xml:space="preserve"> за постоянните секретари</w:t>
      </w:r>
      <w:r>
        <w:rPr>
          <w:noProof/>
          <w:szCs w:val="24"/>
          <w:vertAlign w:val="superscript"/>
        </w:rPr>
        <w:footnoteReference w:id="63"/>
      </w:r>
      <w:r>
        <w:rPr>
          <w:noProof/>
        </w:rPr>
        <w:t xml:space="preserve"> и доверените лица</w:t>
      </w:r>
      <w:r>
        <w:rPr>
          <w:noProof/>
          <w:szCs w:val="24"/>
          <w:vertAlign w:val="superscript"/>
        </w:rPr>
        <w:footnoteReference w:id="64"/>
      </w:r>
      <w:r>
        <w:rPr>
          <w:noProof/>
        </w:rPr>
        <w:t>. Венецианската комисия подготвя допълнително становище относно законодателните текстове, внесени в парламента</w:t>
      </w:r>
      <w:r>
        <w:rPr>
          <w:rStyle w:val="FootnoteReference"/>
          <w:noProof/>
          <w:szCs w:val="24"/>
        </w:rPr>
        <w:footnoteReference w:id="65"/>
      </w:r>
      <w:r>
        <w:rPr>
          <w:noProof/>
        </w:rPr>
        <w:t>.</w:t>
      </w:r>
    </w:p>
    <w:p>
      <w:pPr>
        <w:autoSpaceDE w:val="0"/>
        <w:autoSpaceDN w:val="0"/>
        <w:adjustRightInd w:val="0"/>
        <w:rPr>
          <w:noProof/>
          <w:szCs w:val="24"/>
        </w:rPr>
      </w:pPr>
      <w:r>
        <w:rPr>
          <w:b/>
          <w:noProof/>
          <w:szCs w:val="24"/>
        </w:rPr>
        <w:t xml:space="preserve">Беше инициирана обществена консултация с цел да се въведат мерки за регулиране на лобирането, каквито понастоящем липсват. </w:t>
      </w:r>
      <w:r>
        <w:rPr>
          <w:noProof/>
        </w:rPr>
        <w:t>Комисарят по стандартите в обществения живот публикува консултативен документ с предложения за мерки за регулиране на лобирането</w:t>
      </w:r>
      <w:r>
        <w:rPr>
          <w:rStyle w:val="FootnoteReference"/>
          <w:noProof/>
          <w:szCs w:val="24"/>
        </w:rPr>
        <w:footnoteReference w:id="66"/>
      </w:r>
      <w:r>
        <w:rPr>
          <w:noProof/>
        </w:rPr>
        <w:t>. Комисарят възнамерява да отправи препоръки за промени в етичните кодекси за министрите и членовете на парламента, определени в Закона за стандартите в обществения живот</w:t>
      </w:r>
      <w:r>
        <w:rPr>
          <w:rStyle w:val="FootnoteReference"/>
          <w:noProof/>
          <w:szCs w:val="24"/>
        </w:rPr>
        <w:footnoteReference w:id="67"/>
      </w:r>
      <w:r>
        <w:rPr>
          <w:noProof/>
        </w:rPr>
        <w:t>. Министерството на околната среда, изменението на климата и планирането създаде платформа за регистър за прозрачност, която вече се използва като пилотен проект.</w:t>
      </w:r>
    </w:p>
    <w:p>
      <w:pPr>
        <w:autoSpaceDE w:val="0"/>
        <w:autoSpaceDN w:val="0"/>
        <w:adjustRightInd w:val="0"/>
        <w:rPr>
          <w:noProof/>
        </w:rPr>
      </w:pPr>
      <w:r>
        <w:rPr>
          <w:b/>
          <w:noProof/>
        </w:rPr>
        <w:t xml:space="preserve">Комисарят по стандартите в обществения живот изрази опасения относно конфликт на интереси от страна на </w:t>
      </w:r>
      <w:r>
        <w:rPr>
          <w:b/>
          <w:noProof/>
          <w:szCs w:val="24"/>
        </w:rPr>
        <w:t>членове на</w:t>
      </w:r>
      <w:r>
        <w:rPr>
          <w:b/>
          <w:noProof/>
        </w:rPr>
        <w:t xml:space="preserve"> п</w:t>
      </w:r>
      <w:r>
        <w:rPr>
          <w:b/>
          <w:noProof/>
          <w:szCs w:val="24"/>
        </w:rPr>
        <w:t>арламента</w:t>
      </w:r>
      <w:r>
        <w:rPr>
          <w:noProof/>
        </w:rPr>
        <w:t>. Декларациите за имуществено състояние на членовете на парламента подлежат на контрол от 2018 г. насам, когато започна работа комисарят по стандартите в обществения живот.</w:t>
      </w:r>
      <w:r>
        <w:rPr>
          <w:b/>
          <w:noProof/>
        </w:rPr>
        <w:t xml:space="preserve"> </w:t>
      </w:r>
      <w:r>
        <w:rPr>
          <w:noProof/>
        </w:rPr>
        <w:t>Това представлява резултат от Закона за стандартите в обществения живот, който влезе в сила на 30 октомври 2018 г.</w:t>
      </w:r>
      <w:r>
        <w:rPr>
          <w:b/>
          <w:noProof/>
        </w:rPr>
        <w:t xml:space="preserve"> </w:t>
      </w:r>
      <w:r>
        <w:rPr>
          <w:noProof/>
        </w:rPr>
        <w:t>Комисарят ще извърши проверка на декларациите и също така ще предложи да се преразгледат данните, които подлежат на деклариране. Въпреки това декларациите не се оповестяват публично, с изключение на тези на министрите и парламентарните секретари. Що се отнася до конфликта на интереси, комисарят прие решение по жалба, отправена от член на парламента през юли 2019 г., във връзка с евентуалния конфликт на интереси от страна на членове на парламента, които заемат позиции в рамките на публичния сектор или предоставят услуги по договор в него. В своя доклад по случая</w:t>
      </w:r>
      <w:r>
        <w:rPr>
          <w:rStyle w:val="FootnoteReference"/>
          <w:rFonts w:eastAsiaTheme="minorHAnsi"/>
          <w:noProof/>
          <w:lang w:eastAsia="en-US"/>
        </w:rPr>
        <w:footnoteReference w:id="68"/>
      </w:r>
      <w:r>
        <w:rPr>
          <w:noProof/>
        </w:rPr>
        <w:t xml:space="preserve"> комисарят констатира, че две трети от редовите членове на парламента са назначени или са сключили договори в публичния сектор, и заключи, че ангажирането на редови членове от правителството е фундаментално погрешно, като призова за преустановяване на тази практика. В контекста на процеса за конституционна реформа се обмисля и евентуална реформа на правилника за членовете на парламента</w:t>
      </w:r>
      <w:r>
        <w:rPr>
          <w:rStyle w:val="FootnoteReference"/>
          <w:rFonts w:eastAsiaTheme="minorHAnsi"/>
          <w:noProof/>
          <w:lang w:eastAsia="en-US"/>
        </w:rPr>
        <w:footnoteReference w:id="69"/>
      </w:r>
      <w:r>
        <w:rPr>
          <w:noProof/>
        </w:rPr>
        <w:t>.</w:t>
      </w:r>
      <w:r>
        <w:rPr>
          <w:b/>
          <w:noProof/>
        </w:rPr>
        <w:t xml:space="preserve"> </w:t>
      </w:r>
      <w:r>
        <w:rPr>
          <w:noProof/>
        </w:rPr>
        <w:t>Що се отнася до лицата, на които са поверени висши изпълнителни функции, като например постоянни секретари и доверени лица, те не са обхванати от същите задължения за подаване на декларации като членовете на парламента. Те са длъжни да представят основната информация съгласно етичния кодекс за държавните служители, включен в приложение към Закона за публичната администрация</w:t>
      </w:r>
      <w:r>
        <w:rPr>
          <w:noProof/>
          <w:szCs w:val="24"/>
          <w:vertAlign w:val="superscript"/>
        </w:rPr>
        <w:footnoteReference w:id="70"/>
      </w:r>
      <w:r>
        <w:rPr>
          <w:noProof/>
        </w:rPr>
        <w:t>. Доверените лица подлежат на контрол от комисаря по стандартите в обществения живот</w:t>
      </w:r>
      <w:r>
        <w:rPr>
          <w:noProof/>
          <w:szCs w:val="24"/>
          <w:vertAlign w:val="superscript"/>
        </w:rPr>
        <w:footnoteReference w:id="71"/>
      </w:r>
      <w:r>
        <w:rPr>
          <w:noProof/>
        </w:rPr>
        <w:t>.</w:t>
      </w:r>
    </w:p>
    <w:p>
      <w:pPr>
        <w:pStyle w:val="ListParagraph"/>
        <w:keepNext/>
        <w:numPr>
          <w:ilvl w:val="0"/>
          <w:numId w:val="20"/>
        </w:numPr>
        <w:spacing w:after="240"/>
        <w:ind w:left="249" w:hanging="249"/>
        <w:rPr>
          <w:rFonts w:ascii="Times New Roman" w:eastAsia="Times New Roman" w:hAnsi="Times New Roman" w:cs="Times New Roman"/>
          <w:b/>
          <w:smallCaps/>
          <w:noProof/>
          <w:sz w:val="24"/>
          <w:szCs w:val="24"/>
          <w:u w:val="single"/>
        </w:rPr>
      </w:pPr>
      <w:r>
        <w:rPr>
          <w:rFonts w:ascii="Times New Roman" w:hAnsi="Times New Roman"/>
          <w:b/>
          <w:smallCaps/>
          <w:noProof/>
          <w:sz w:val="24"/>
          <w:szCs w:val="24"/>
          <w:u w:val="single"/>
        </w:rPr>
        <w:t>Медиен плурализъм</w:t>
      </w:r>
    </w:p>
    <w:p>
      <w:pPr>
        <w:pStyle w:val="Default"/>
        <w:spacing w:after="240"/>
        <w:jc w:val="both"/>
        <w:rPr>
          <w:bCs/>
          <w:noProof/>
          <w:color w:val="auto"/>
        </w:rPr>
      </w:pPr>
      <w:r>
        <w:rPr>
          <w:bCs/>
          <w:noProof/>
          <w:color w:val="auto"/>
        </w:rPr>
        <w:t>Свободата на словото е залегнала в Конституцията на Малта</w:t>
      </w:r>
      <w:r>
        <w:rPr>
          <w:rStyle w:val="FootnoteReference"/>
          <w:bCs/>
          <w:noProof/>
          <w:color w:val="auto"/>
        </w:rPr>
        <w:footnoteReference w:id="72"/>
      </w:r>
      <w:r>
        <w:rPr>
          <w:bCs/>
          <w:noProof/>
          <w:color w:val="auto"/>
        </w:rPr>
        <w:t>, както и в Закона за Европейската конвенция (глава 319 от Законите на Малта). Със Закона за медиите и клеветата от 14 май 2018 г. бе отменен Законът за печата от 1974 г., като бяха преработени основно законите относно клеветата. Независимостта на органа за радио- и телевизионно разпръскване е гарантирана от Конституцията. Собствеността или редакторският контрол върху многобройни медии от страна на двете основни</w:t>
      </w:r>
      <w:r>
        <w:rPr>
          <w:noProof/>
        </w:rPr>
        <w:t xml:space="preserve"> </w:t>
      </w:r>
      <w:r>
        <w:rPr>
          <w:bCs/>
          <w:noProof/>
          <w:color w:val="auto"/>
        </w:rPr>
        <w:t>политически партии продължават да формират облика на малтийската медийна среда.</w:t>
      </w:r>
      <w:r>
        <w:rPr>
          <w:noProof/>
          <w:color w:val="auto"/>
        </w:rPr>
        <w:t xml:space="preserve"> </w:t>
      </w:r>
      <w:r>
        <w:rPr>
          <w:bCs/>
          <w:noProof/>
          <w:color w:val="auto"/>
        </w:rPr>
        <w:t xml:space="preserve">Убийството на разследващата журналистка Дафне Каруана Галиция през октомври 2017 г. бе широко </w:t>
      </w:r>
      <w:r>
        <w:rPr>
          <w:noProof/>
        </w:rPr>
        <w:t xml:space="preserve">възприето като атака срещу свободата на словото и </w:t>
      </w:r>
      <w:r>
        <w:rPr>
          <w:noProof/>
          <w:color w:val="auto"/>
        </w:rPr>
        <w:t>породи опасения относно свободата на медиите и безопасността на журналистите в Малта</w:t>
      </w:r>
      <w:r>
        <w:rPr>
          <w:rStyle w:val="FootnoteReference"/>
          <w:bCs/>
          <w:noProof/>
          <w:color w:val="auto"/>
        </w:rPr>
        <w:footnoteReference w:id="73"/>
      </w:r>
      <w:r>
        <w:rPr>
          <w:noProof/>
          <w:color w:val="auto"/>
        </w:rPr>
        <w:t>.</w:t>
      </w:r>
      <w:r>
        <w:rPr>
          <w:bCs/>
          <w:noProof/>
          <w:color w:val="auto"/>
        </w:rPr>
        <w:t xml:space="preserve"> </w:t>
      </w:r>
    </w:p>
    <w:p>
      <w:pPr>
        <w:pStyle w:val="Default"/>
        <w:spacing w:after="240"/>
        <w:jc w:val="both"/>
        <w:rPr>
          <w:noProof/>
          <w:color w:val="auto"/>
        </w:rPr>
      </w:pPr>
      <w:r>
        <w:rPr>
          <w:b/>
          <w:noProof/>
          <w:color w:val="auto"/>
        </w:rPr>
        <w:t>Независимостта на органа за радио- и телевизионно разпръскване е залегнала в Конституцията</w:t>
      </w:r>
      <w:r>
        <w:rPr>
          <w:rStyle w:val="FootnoteReference"/>
          <w:noProof/>
          <w:color w:val="auto"/>
        </w:rPr>
        <w:footnoteReference w:id="74"/>
      </w:r>
      <w:r>
        <w:rPr>
          <w:b/>
          <w:noProof/>
          <w:color w:val="auto"/>
        </w:rPr>
        <w:t xml:space="preserve">. </w:t>
      </w:r>
      <w:r>
        <w:rPr>
          <w:noProof/>
          <w:color w:val="auto"/>
        </w:rPr>
        <w:t>В Конституцията са установени критериите за допустимост и изключване на членовете на органа за радио- и телевизионно разпръскване, както и начинът, по който се назначават. Както е уточнено допълнително във вторичното законодателство, този орган представлява корпоративен орган с отделна правосубектност, който е правно и функционално независим от правителството и от който и да е частен или публичен орган</w:t>
      </w:r>
      <w:r>
        <w:rPr>
          <w:rStyle w:val="FootnoteReference"/>
          <w:noProof/>
          <w:color w:val="auto"/>
        </w:rPr>
        <w:footnoteReference w:id="75"/>
      </w:r>
      <w:r>
        <w:rPr>
          <w:noProof/>
          <w:color w:val="auto"/>
        </w:rPr>
        <w:t>. Решенията на органа могат да се обжалват пред Апелативния съд, както и пред Конституционния съд. Органът се финансира от консолидирания държавен фонд, от който се изплащат заплатите на служителите</w:t>
      </w:r>
      <w:r>
        <w:rPr>
          <w:rStyle w:val="FootnoteReference"/>
          <w:noProof/>
          <w:color w:val="auto"/>
        </w:rPr>
        <w:footnoteReference w:id="76"/>
      </w:r>
      <w:r>
        <w:rPr>
          <w:noProof/>
          <w:color w:val="auto"/>
        </w:rPr>
        <w:t xml:space="preserve">. Отделно от това органът финансира своите разходи чрез събиране на лицензионни такси и налагане на глоби на излъчващите оператори. </w:t>
      </w:r>
    </w:p>
    <w:p>
      <w:pPr>
        <w:pStyle w:val="Default"/>
        <w:spacing w:after="240"/>
        <w:jc w:val="both"/>
        <w:rPr>
          <w:noProof/>
        </w:rPr>
      </w:pPr>
      <w:r>
        <w:rPr>
          <w:b/>
          <w:noProof/>
          <w:color w:val="auto"/>
        </w:rPr>
        <w:t>Членовете на органа за радио- и телевизионно разпръскване се назначават от президента,</w:t>
      </w:r>
      <w:r>
        <w:rPr>
          <w:noProof/>
          <w:color w:val="auto"/>
        </w:rPr>
        <w:t xml:space="preserve"> </w:t>
      </w:r>
      <w:r>
        <w:rPr>
          <w:b/>
          <w:noProof/>
          <w:color w:val="auto"/>
        </w:rPr>
        <w:t>който действа в съответствие с препоръките на министър-председателя след провеждане на консултация с лидера на опозицията</w:t>
      </w:r>
      <w:r>
        <w:rPr>
          <w:noProof/>
          <w:color w:val="auto"/>
        </w:rPr>
        <w:t xml:space="preserve">. Съгласно мониторинга на медийния плурализъм за 2020 г. („ММП 2020“) независимостта и ефективността на органа за радио- и телевизионно разпръскване се оценява като среднорискова, тъй като и петимата членове на съвета на практика представляват политически назначения. Те се подбират от двете основни политически партии на Малта, а председателят обикновено се избира по взаимно съгласие между тези две партии. В ММП 2020 се изтъква, че на практика органът основно осъществява мониторинг и регулира обществените медии (т.е. обществените услуги за радио- и телевизионно разпръскване) и същевременно фактически позволява на двата други основни излъчващи оператора — притежавани съответно от лейбъристката партия и от националистическата партия — „да се балансират взаимно в редакционно отношение“. </w:t>
      </w:r>
      <w:r>
        <w:rPr>
          <w:noProof/>
        </w:rPr>
        <w:t>В преработената Директива за аудиовизуалните медийни услуги (ДАВМУ)</w:t>
      </w:r>
      <w:r>
        <w:rPr>
          <w:rStyle w:val="FootnoteReference"/>
          <w:noProof/>
        </w:rPr>
        <w:footnoteReference w:id="77"/>
      </w:r>
      <w:r>
        <w:rPr>
          <w:noProof/>
        </w:rPr>
        <w:t xml:space="preserve"> се определят редица конкретни гаранции за независимостта и ефективността на националните медийни регулаторни органи. Понастоящем в парламента се обсъжда законопроект за транспонирането на тази директива</w:t>
      </w:r>
      <w:r>
        <w:rPr>
          <w:rStyle w:val="FootnoteReference"/>
          <w:noProof/>
        </w:rPr>
        <w:footnoteReference w:id="78"/>
      </w:r>
      <w:r>
        <w:rPr>
          <w:noProof/>
        </w:rPr>
        <w:t>.</w:t>
      </w:r>
    </w:p>
    <w:p>
      <w:pPr>
        <w:pStyle w:val="Default"/>
        <w:spacing w:after="240"/>
        <w:jc w:val="both"/>
        <w:rPr>
          <w:noProof/>
          <w:color w:val="auto"/>
        </w:rPr>
      </w:pPr>
      <w:r>
        <w:rPr>
          <w:b/>
          <w:noProof/>
          <w:color w:val="auto"/>
        </w:rPr>
        <w:t>Институтът на малтийските журналисти (IGM) е основан през 1989 г. като асоциация, обединяваща професионалистите в медиите</w:t>
      </w:r>
      <w:r>
        <w:rPr>
          <w:noProof/>
          <w:color w:val="auto"/>
        </w:rPr>
        <w:t>. IGM прие кодекс за журналистическа етика</w:t>
      </w:r>
      <w:r>
        <w:rPr>
          <w:rStyle w:val="FootnoteReference"/>
          <w:noProof/>
          <w:color w:val="auto"/>
        </w:rPr>
        <w:footnoteReference w:id="79"/>
      </w:r>
      <w:r>
        <w:rPr>
          <w:noProof/>
          <w:color w:val="auto"/>
        </w:rPr>
        <w:t xml:space="preserve"> и осъществи надзор при създаването на етична комисия в сферата на печата (PEC), която разглежда жалби срещу журналисти въз основа на кодекса. IGM изигра решаваща роля при приемането на изменения в малтийския Закон за печата, който понастоящем обхваща поверителността на източниците, условна привилегия, правото на информация и правото на отговор. В ММП 2020 се подчертава, че Институтът на малтийските журналисти, който е единствената професионална организация на журналистите в страната, като цяло не се счита за достатъчно ефективен при опазването на редакторската независимост и, изглежда, не разполага с достатъчно решаващ глас, за да гарантира цялостното благополучие на своите членове</w:t>
      </w:r>
      <w:r>
        <w:rPr>
          <w:rStyle w:val="FootnoteReference"/>
          <w:noProof/>
          <w:color w:val="auto"/>
        </w:rPr>
        <w:footnoteReference w:id="80"/>
      </w:r>
      <w:r>
        <w:rPr>
          <w:noProof/>
          <w:color w:val="auto"/>
        </w:rPr>
        <w:t>.</w:t>
      </w:r>
    </w:p>
    <w:p>
      <w:pPr>
        <w:pStyle w:val="Default"/>
        <w:spacing w:after="240"/>
        <w:jc w:val="both"/>
        <w:rPr>
          <w:noProof/>
          <w:color w:val="auto"/>
        </w:rPr>
      </w:pPr>
      <w:r>
        <w:rPr>
          <w:b/>
          <w:noProof/>
          <w:color w:val="auto"/>
        </w:rPr>
        <w:t xml:space="preserve">Органът за радио- и телевизионно разпръскване събира информация за собствеността върху медиите, но не съществуват задължения тази информация да бъде лесно достъпна за обществеността. </w:t>
      </w:r>
      <w:r>
        <w:rPr>
          <w:noProof/>
          <w:color w:val="auto"/>
        </w:rPr>
        <w:t>Това включва радио- и телевизионните станции, притежавани от политическите партии, които се третират като търговски излъчващи оператори. Органът трябва да бъде уведомен при промяна на дяловото участие в медийното дружество, след което органът извършва проверка за дължима грижа. Информация за регистрацията на дружествата и за собствеността е достъпна в онлайн регистъра, поддържан от търговския регистър на Малта. Не съществуват специфични правни задължения за медийните дружества да публикуват информация за структурата си на собственост по начин, който би направил тази информация лесно достъпна за обществеността. Освен това, макар че органът за радио- и телевизионно разпръскване има право да получи от притежателите на лицензии всякакъв вид информация, която счита за необходима, той не публикува тази информация. В съответствие с това, въпреки че се твърди, че като цяло обществеността е наясно кой притежава медийните дружества в страната, в ММП 2020 е отчетен среден риск от гледна точка на прозрачността по отношение на собствеността върху медиите</w:t>
      </w:r>
      <w:r>
        <w:rPr>
          <w:rStyle w:val="FootnoteReference"/>
          <w:noProof/>
          <w:color w:val="auto"/>
        </w:rPr>
        <w:footnoteReference w:id="81"/>
      </w:r>
      <w:r>
        <w:rPr>
          <w:noProof/>
          <w:color w:val="auto"/>
        </w:rPr>
        <w:t xml:space="preserve">. </w:t>
      </w:r>
    </w:p>
    <w:p>
      <w:pPr>
        <w:pStyle w:val="Default"/>
        <w:spacing w:after="240"/>
        <w:jc w:val="both"/>
        <w:rPr>
          <w:noProof/>
          <w:color w:val="auto"/>
        </w:rPr>
      </w:pPr>
      <w:r>
        <w:rPr>
          <w:b/>
          <w:noProof/>
          <w:color w:val="auto"/>
        </w:rPr>
        <w:t>На политическите партии изрично е позволено да притежават, контролират или да отговарят в редакционно отношение за общонационални телевизионни и радиоуслуги.</w:t>
      </w:r>
      <w:r>
        <w:rPr>
          <w:noProof/>
          <w:color w:val="auto"/>
        </w:rPr>
        <w:t xml:space="preserve"> Това право е залегнало в Закона за радио- и телевизионно разпръскване. В Малта двете основни политически партии, представени в парламента, притежават, контролират или управляват </w:t>
      </w:r>
      <w:r>
        <w:rPr>
          <w:noProof/>
        </w:rPr>
        <w:t>множество</w:t>
      </w:r>
      <w:r>
        <w:rPr>
          <w:noProof/>
          <w:color w:val="auto"/>
        </w:rPr>
        <w:t xml:space="preserve"> малтийски доставчици на медийни услуги и излъчващи оператори. В резултат на това в ММП 2020 се отчита, че политическата независимост на медиите е изложена на изключително висок риск, като същевременно се посочва, че „</w:t>
      </w:r>
      <w:r>
        <w:rPr>
          <w:i/>
          <w:noProof/>
          <w:color w:val="auto"/>
        </w:rPr>
        <w:t>не съществуват общи регулаторни предпазни мерки по отношение на назначаването или отстраняването от длъжност на редактори, поради което, тъй като политическите партии притежават множество медии, политическото влияние при такива назначения или уволнения е неизбежно</w:t>
      </w:r>
      <w:r>
        <w:rPr>
          <w:noProof/>
          <w:color w:val="auto"/>
        </w:rPr>
        <w:t>“</w:t>
      </w:r>
      <w:r>
        <w:rPr>
          <w:rStyle w:val="FootnoteReference"/>
          <w:noProof/>
          <w:color w:val="auto"/>
        </w:rPr>
        <w:footnoteReference w:id="82"/>
      </w:r>
      <w:r>
        <w:rPr>
          <w:noProof/>
          <w:color w:val="auto"/>
        </w:rPr>
        <w:t xml:space="preserve">. </w:t>
      </w:r>
    </w:p>
    <w:p>
      <w:pPr>
        <w:pStyle w:val="Default"/>
        <w:spacing w:after="240"/>
        <w:jc w:val="both"/>
        <w:rPr>
          <w:noProof/>
          <w:color w:val="auto"/>
        </w:rPr>
      </w:pPr>
      <w:r>
        <w:rPr>
          <w:b/>
          <w:noProof/>
          <w:color w:val="auto"/>
        </w:rPr>
        <w:t xml:space="preserve">Не съществува правна уредба за регулиране на държавната реклама. </w:t>
      </w:r>
      <w:r>
        <w:rPr>
          <w:noProof/>
        </w:rPr>
        <w:t>Това поражда определени рискове от</w:t>
      </w:r>
      <w:r>
        <w:rPr>
          <w:b/>
          <w:noProof/>
          <w:color w:val="auto"/>
        </w:rPr>
        <w:t xml:space="preserve"> </w:t>
      </w:r>
      <w:r>
        <w:rPr>
          <w:noProof/>
          <w:color w:val="auto"/>
        </w:rPr>
        <w:t>злоупотреба както от страна на правителството, така и от страна на отделни политици</w:t>
      </w:r>
      <w:r>
        <w:rPr>
          <w:rStyle w:val="FootnoteReference"/>
          <w:noProof/>
        </w:rPr>
        <w:footnoteReference w:id="83"/>
      </w:r>
      <w:r>
        <w:rPr>
          <w:noProof/>
        </w:rPr>
        <w:t>.</w:t>
      </w:r>
      <w:r>
        <w:rPr>
          <w:noProof/>
          <w:color w:val="auto"/>
        </w:rPr>
        <w:t xml:space="preserve"> Правителството използва държавната реклама като форма на непряка политическа реклама целогодишно и особено в месеците преди избори. В неотдавнашно разследване на малтийския комисар по стандартите в обществения живот бе заключено, че е широко разпространена практика министрите да използват публични ресурси за генериране на съдържание за техните лични страници в социалните медии. Поради това комисарят предложи насоки относно използването на социалните медии от министрите и парламентарните секретари, като в доклада му се посочва, че правителството се е съгласило да бъде обвързано от тях </w:t>
      </w:r>
      <w:r>
        <w:rPr>
          <w:rStyle w:val="FootnoteReference"/>
          <w:noProof/>
        </w:rPr>
        <w:footnoteReference w:id="84"/>
      </w:r>
      <w:r>
        <w:rPr>
          <w:noProof/>
        </w:rPr>
        <w:t xml:space="preserve">. </w:t>
      </w:r>
      <w:r>
        <w:rPr>
          <w:noProof/>
          <w:color w:val="auto"/>
        </w:rPr>
        <w:t>Въз основа на тези фактори в ММП 2020 е отчетен среден риск по отношение на държавното регулиране на ресурсите и подпомагането на медийния сектор.</w:t>
      </w:r>
    </w:p>
    <w:p>
      <w:pPr>
        <w:pStyle w:val="Default"/>
        <w:spacing w:after="240"/>
        <w:jc w:val="both"/>
        <w:rPr>
          <w:noProof/>
          <w:color w:val="auto"/>
        </w:rPr>
      </w:pPr>
      <w:r>
        <w:rPr>
          <w:b/>
          <w:noProof/>
          <w:color w:val="auto"/>
        </w:rPr>
        <w:t xml:space="preserve">В Закона за свобода на информацията се установява правната уредба за достъп до информация, съхранявана от публичните органи. </w:t>
      </w:r>
      <w:r>
        <w:rPr>
          <w:noProof/>
          <w:color w:val="auto"/>
        </w:rPr>
        <w:t>В Закона се установява, че</w:t>
      </w:r>
      <w:r>
        <w:rPr>
          <w:b/>
          <w:noProof/>
          <w:color w:val="auto"/>
        </w:rPr>
        <w:t xml:space="preserve"> </w:t>
      </w:r>
      <w:r>
        <w:rPr>
          <w:noProof/>
          <w:color w:val="auto"/>
        </w:rPr>
        <w:t>малтийските граждани, гражданите на ЕС и хората, които са пребивавали в Малта в продължение на поне пет години, отговарят на условията да поискат достъп до такава информация</w:t>
      </w:r>
      <w:r>
        <w:rPr>
          <w:rStyle w:val="FootnoteReference"/>
          <w:noProof/>
          <w:color w:val="auto"/>
        </w:rPr>
        <w:footnoteReference w:id="85"/>
      </w:r>
      <w:r>
        <w:rPr>
          <w:noProof/>
          <w:color w:val="auto"/>
        </w:rPr>
        <w:t xml:space="preserve">. </w:t>
      </w:r>
      <w:r>
        <w:rPr>
          <w:noProof/>
        </w:rPr>
        <w:t>Всеки отказ да се предостави достъп трябва да бъде обоснован и може да бъде обжалван. При все това широкообхватното определение на основанията за отказ и административните разходи за процедурата често възпрепятстват достъпа до обществена информация</w:t>
      </w:r>
      <w:r>
        <w:rPr>
          <w:rStyle w:val="FootnoteReference"/>
          <w:noProof/>
        </w:rPr>
        <w:footnoteReference w:id="86"/>
      </w:r>
      <w:r>
        <w:rPr>
          <w:noProof/>
        </w:rPr>
        <w:t>.</w:t>
      </w:r>
      <w:r>
        <w:rPr>
          <w:noProof/>
          <w:sz w:val="22"/>
          <w:szCs w:val="22"/>
        </w:rPr>
        <w:t xml:space="preserve"> </w:t>
      </w:r>
      <w:r>
        <w:rPr>
          <w:noProof/>
        </w:rPr>
        <w:t>Журналистите често съобщават за случаи, в които се натъкват на трудности при искане на такъв достъп поради значителни забавяния и липса на отговор</w:t>
      </w:r>
      <w:r>
        <w:rPr>
          <w:rStyle w:val="FootnoteReference"/>
          <w:noProof/>
          <w:color w:val="auto"/>
        </w:rPr>
        <w:footnoteReference w:id="87"/>
      </w:r>
      <w:r>
        <w:rPr>
          <w:noProof/>
          <w:color w:val="auto"/>
        </w:rPr>
        <w:t xml:space="preserve">. Поради тези причини в ММП 2020 е посочено, че достъпът до информация е изложен на среден риск. Това буди особена тревога предвид значимостта на това право. Понастоящем правителството обмисля възможни мерки, чрез които да отпадне ограничителното тълкуване на оповестяването в полза на обществения интерес, за да изпълни препоръките на GRECO. </w:t>
      </w:r>
    </w:p>
    <w:p>
      <w:pPr>
        <w:pStyle w:val="Default"/>
        <w:spacing w:after="240"/>
        <w:jc w:val="both"/>
        <w:rPr>
          <w:bCs/>
          <w:noProof/>
          <w:color w:val="auto"/>
        </w:rPr>
      </w:pPr>
      <w:r>
        <w:rPr>
          <w:b/>
          <w:noProof/>
          <w:color w:val="auto"/>
        </w:rPr>
        <w:t>Понастоящем се провежда публично разследване, ръководено от бивш съдия, във връзка с убийството на журналистката Дафне Каруана Галиция.</w:t>
      </w:r>
      <w:r>
        <w:rPr>
          <w:noProof/>
          <w:color w:val="auto"/>
        </w:rPr>
        <w:t xml:space="preserve"> През септември 2019 г. започна публично разследване, след като бе оказан значителен натиск от семейството на журналистката, както и от малтийското гражданско общество и европейски и международни сдружения на печатни медии.</w:t>
      </w:r>
      <w:r>
        <w:rPr>
          <w:b/>
          <w:noProof/>
          <w:color w:val="auto"/>
        </w:rPr>
        <w:t xml:space="preserve"> </w:t>
      </w:r>
      <w:r>
        <w:rPr>
          <w:noProof/>
          <w:color w:val="auto"/>
        </w:rPr>
        <w:t>В резолюция на Парламентарната асамблея на Съвета на Европа бе отправен конкретен призив за образуването на такова разследване</w:t>
      </w:r>
      <w:r>
        <w:rPr>
          <w:rStyle w:val="FootnoteReference"/>
          <w:noProof/>
          <w:color w:val="auto"/>
        </w:rPr>
        <w:footnoteReference w:id="88"/>
      </w:r>
      <w:r>
        <w:rPr>
          <w:noProof/>
          <w:color w:val="auto"/>
        </w:rPr>
        <w:t xml:space="preserve">. Целта на публичното разследване е да се установи дали държавата е изпълнила своите задължения да предприеме превантивни оперативни мерки за защита на лицата, чийто живот е изложен на риск от престъпни деяния, по-специално по отношение на журналисти, както и да разследва конкретно всички обстоятелства около убийството на г-жа Каруана Галиция. </w:t>
      </w:r>
      <w:r>
        <w:rPr>
          <w:bCs/>
          <w:noProof/>
          <w:color w:val="auto"/>
        </w:rPr>
        <w:t>Дотук публичното разследване разкри редица елементи, които бяха окачествени от организациите за свобода на печата като „</w:t>
      </w:r>
      <w:r>
        <w:rPr>
          <w:bCs/>
          <w:i/>
          <w:noProof/>
          <w:color w:val="auto"/>
        </w:rPr>
        <w:t>обезпокоителни разкрития за държавна корупция и безнаказаност във връзка със случая […], с които се подчертават слабостите в областта на върховенството на закона в Малта, както и вкоренена безнаказаност както по отношение на убийството на Каруана Галиция, така и по отношение на разследваните от нея злоупотреби с власт на високо равнище</w:t>
      </w:r>
      <w:r>
        <w:rPr>
          <w:bCs/>
          <w:noProof/>
          <w:color w:val="auto"/>
        </w:rPr>
        <w:t>“</w:t>
      </w:r>
      <w:r>
        <w:rPr>
          <w:rStyle w:val="FootnoteReference"/>
          <w:bCs/>
          <w:noProof/>
          <w:color w:val="auto"/>
        </w:rPr>
        <w:footnoteReference w:id="89"/>
      </w:r>
      <w:r>
        <w:rPr>
          <w:bCs/>
          <w:noProof/>
          <w:color w:val="auto"/>
        </w:rPr>
        <w:t xml:space="preserve">. Според ММП 2020 журналистическата професия, стандартите и областта на защита в сферата на журналистиката са изложени на среден риск, като се подчертава, че </w:t>
      </w:r>
      <w:r>
        <w:rPr>
          <w:bCs/>
          <w:i/>
          <w:noProof/>
          <w:color w:val="auto"/>
        </w:rPr>
        <w:t>„с оглед на текущите развития и разкрития във връзка със случая Каруана Галиция, както и продължаващите разследвания от независими журналисти по отношение на корупция по високите етажи на властта, е безспорно, че работещите в тази професия се чувстват застрашени“</w:t>
      </w:r>
      <w:r>
        <w:rPr>
          <w:bCs/>
          <w:noProof/>
          <w:color w:val="auto"/>
        </w:rPr>
        <w:t xml:space="preserve">. В ММП 2020 се посочват редица подбуждащи към омраза кампании срещу </w:t>
      </w:r>
      <w:r>
        <w:rPr>
          <w:noProof/>
        </w:rPr>
        <w:t>критични</w:t>
      </w:r>
      <w:r>
        <w:rPr>
          <w:noProof/>
          <w:color w:val="auto"/>
        </w:rPr>
        <w:t xml:space="preserve"> към държавата разследващи журналисти, разкрити вследствие на разследване от независимата онлайн платформа „The Shift News“</w:t>
      </w:r>
      <w:r>
        <w:rPr>
          <w:rStyle w:val="FootnoteReference"/>
          <w:bCs/>
          <w:noProof/>
          <w:color w:val="auto"/>
        </w:rPr>
        <w:footnoteReference w:id="90"/>
      </w:r>
      <w:r>
        <w:rPr>
          <w:noProof/>
          <w:color w:val="auto"/>
        </w:rPr>
        <w:t>.</w:t>
      </w:r>
      <w:r>
        <w:rPr>
          <w:bCs/>
          <w:noProof/>
          <w:color w:val="auto"/>
        </w:rPr>
        <w:t xml:space="preserve"> Европейската комисия многократно подчерта, че лицата, отговорни за убийството на г-жа Каруана Галиция, трябва да бъдат подведени под отговорност без никаква политическа намеса</w:t>
      </w:r>
      <w:r>
        <w:rPr>
          <w:rStyle w:val="FootnoteReference"/>
          <w:bCs/>
          <w:noProof/>
          <w:color w:val="auto"/>
        </w:rPr>
        <w:footnoteReference w:id="91"/>
      </w:r>
      <w:r>
        <w:rPr>
          <w:noProof/>
        </w:rPr>
        <w:t xml:space="preserve">. </w:t>
      </w:r>
    </w:p>
    <w:p>
      <w:pPr>
        <w:pStyle w:val="Default"/>
        <w:spacing w:after="240"/>
        <w:jc w:val="both"/>
        <w:rPr>
          <w:noProof/>
          <w:color w:val="auto"/>
        </w:rPr>
      </w:pPr>
      <w:r>
        <w:rPr>
          <w:b/>
          <w:noProof/>
          <w:color w:val="auto"/>
        </w:rPr>
        <w:t xml:space="preserve">Ефектът от убийството на водещата разследваща журналистка на Малта продължава да се усеща в страната. </w:t>
      </w:r>
      <w:r>
        <w:rPr>
          <w:noProof/>
        </w:rPr>
        <w:t>Платформата на Съвета на Европа за насърчаване на защитата на журналистиката и безопасността на журналистите</w:t>
      </w:r>
      <w:r>
        <w:rPr>
          <w:noProof/>
          <w:color w:val="auto"/>
        </w:rPr>
        <w:t xml:space="preserve"> </w:t>
      </w:r>
      <w:r>
        <w:rPr>
          <w:noProof/>
        </w:rPr>
        <w:t>съобщи за три сигнала през 2019 г.</w:t>
      </w:r>
      <w:r>
        <w:rPr>
          <w:rStyle w:val="FootnoteReference"/>
          <w:noProof/>
          <w:color w:val="auto"/>
        </w:rPr>
        <w:footnoteReference w:id="92"/>
      </w:r>
      <w:r>
        <w:rPr>
          <w:noProof/>
          <w:color w:val="auto"/>
        </w:rPr>
        <w:t>, които тепърва предстои да бъдат разгледани. Държавата е предоставила отговор по два от сигналите. Първият сигнал е свързан с кибератака срещу независимата онлайн медийна платформа за разследваща журналистика Тhe Shift News. Вторият и третият сигнал се отнасят съответно до сплашване по правен път на трима журналисти, извършващи разследване за книга относно убийството на г-жа Каруана Галиция, и до третирането на журналисти след пресконференция, проведена в кабинета на министър-председателя</w:t>
      </w:r>
      <w:r>
        <w:rPr>
          <w:rStyle w:val="FootnoteReference"/>
          <w:noProof/>
          <w:color w:val="auto"/>
        </w:rPr>
        <w:footnoteReference w:id="93"/>
      </w:r>
      <w:r>
        <w:rPr>
          <w:noProof/>
          <w:color w:val="auto"/>
        </w:rPr>
        <w:t>. През 2020 г. платформата докладва за един сигнал във връзка с мярка, наподобяваща SLAPP</w:t>
      </w:r>
      <w:r>
        <w:rPr>
          <w:rStyle w:val="FootnoteReference"/>
          <w:noProof/>
          <w:color w:val="auto"/>
        </w:rPr>
        <w:footnoteReference w:id="94"/>
      </w:r>
      <w:r>
        <w:rPr>
          <w:noProof/>
          <w:color w:val="auto"/>
        </w:rPr>
        <w:t xml:space="preserve">, инициирана от бизнесмен срещу Тhe Shift News. </w:t>
      </w:r>
    </w:p>
    <w:p>
      <w:pPr>
        <w:pStyle w:val="ListParagraph"/>
        <w:keepNext/>
        <w:numPr>
          <w:ilvl w:val="0"/>
          <w:numId w:val="20"/>
        </w:numPr>
        <w:spacing w:after="240"/>
        <w:ind w:left="249" w:hanging="249"/>
        <w:rPr>
          <w:rFonts w:ascii="Times New Roman" w:eastAsia="Times New Roman" w:hAnsi="Times New Roman" w:cs="Times New Roman"/>
          <w:b/>
          <w:smallCaps/>
          <w:noProof/>
          <w:sz w:val="24"/>
          <w:szCs w:val="24"/>
          <w:u w:val="single"/>
        </w:rPr>
      </w:pPr>
      <w:r>
        <w:rPr>
          <w:rFonts w:ascii="Times New Roman" w:hAnsi="Times New Roman"/>
          <w:b/>
          <w:smallCaps/>
          <w:noProof/>
          <w:sz w:val="24"/>
          <w:szCs w:val="24"/>
          <w:u w:val="single"/>
        </w:rPr>
        <w:t>Други институционални въпроси, свързани с принципа на взаимозависимост и взаимоограничаване</w:t>
      </w:r>
    </w:p>
    <w:p>
      <w:pPr>
        <w:rPr>
          <w:noProof/>
          <w:szCs w:val="24"/>
        </w:rPr>
      </w:pPr>
      <w:r>
        <w:rPr>
          <w:noProof/>
        </w:rPr>
        <w:t>Малта е парламентарна република, в която законодателната власт е поверена на Камарата на представителите — еднокамарен парламент, който се избира за петгодишен мандат. Изпълнителната власт е поверена на президента, който се избира от парламента, и на кабинета, оглавяван от министър-председателя. Всички министри в правителството, включително министър-председателят, трябва да бъдат членове на парламента. Конституционните дела се разглеждат от Конституционния съд. С Конституцията са установени редица независими органи, включително службата на омбудсмана. През юли 2020 г. парламентът извърши редица конституционни реформи</w:t>
      </w:r>
      <w:r>
        <w:rPr>
          <w:rStyle w:val="FootnoteReference"/>
          <w:noProof/>
          <w:szCs w:val="24"/>
          <w:lang w:bidi="en-US"/>
        </w:rPr>
        <w:footnoteReference w:id="95"/>
      </w:r>
      <w:r>
        <w:rPr>
          <w:noProof/>
        </w:rPr>
        <w:t>.</w:t>
      </w:r>
    </w:p>
    <w:p>
      <w:pPr>
        <w:rPr>
          <w:noProof/>
          <w:szCs w:val="24"/>
        </w:rPr>
      </w:pPr>
      <w:r>
        <w:rPr>
          <w:b/>
          <w:noProof/>
          <w:szCs w:val="24"/>
        </w:rPr>
        <w:t>Проведена бе конституционна реформа на процедурата за избиране на президент на Малта</w:t>
      </w:r>
      <w:r>
        <w:rPr>
          <w:noProof/>
        </w:rPr>
        <w:t>. Приетата на 29 юли 2020 г. реформа предвижда, че президентът на Малта ще се избира с парламентарно мнозинство от две трети, а не с обикновено мнозинство, което е в съответствие със становището на Венецианската комисия от юни 2020 г. В съответствие с новите правила, ако не бъде постигнато мнозинство от две трети в парламента, лицето, което заема длъжността президент, остава на служба. Отстраняването от длъжност на президента също ще изисква парламентарно мнозинство от две трети. Венецианската комисия препоръча процедура за избиране и отстраняване от длъжност на президента с парламентарно мнозинство от две трети</w:t>
      </w:r>
      <w:r>
        <w:rPr>
          <w:rStyle w:val="FootnoteReference"/>
          <w:noProof/>
          <w:szCs w:val="24"/>
        </w:rPr>
        <w:footnoteReference w:id="96"/>
      </w:r>
      <w:r>
        <w:rPr>
          <w:noProof/>
        </w:rPr>
        <w:t>, която би могла да допринесе за укрепване на ролята на президента за контролиране на правителството</w:t>
      </w:r>
      <w:r>
        <w:rPr>
          <w:i/>
          <w:noProof/>
          <w:szCs w:val="24"/>
        </w:rPr>
        <w:t xml:space="preserve">. </w:t>
      </w:r>
      <w:r>
        <w:rPr>
          <w:noProof/>
        </w:rPr>
        <w:t>Понастоящем Венецианската комисия подготвя допълнително становище относно законодателния текст на тази реформа</w:t>
      </w:r>
      <w:r>
        <w:rPr>
          <w:rStyle w:val="FootnoteReference"/>
          <w:noProof/>
          <w:szCs w:val="24"/>
        </w:rPr>
        <w:footnoteReference w:id="97"/>
      </w:r>
      <w:r>
        <w:rPr>
          <w:noProof/>
        </w:rPr>
        <w:t>.</w:t>
      </w:r>
    </w:p>
    <w:p>
      <w:pPr>
        <w:rPr>
          <w:noProof/>
          <w:szCs w:val="24"/>
        </w:rPr>
      </w:pPr>
      <w:r>
        <w:rPr>
          <w:b/>
          <w:noProof/>
          <w:szCs w:val="24"/>
        </w:rPr>
        <w:t>Освен това бе одобрена конституционна реформа за укрепване на ролята на омбудсмана, като същевременно в парламента се обсъжда предложение за създаване на институция относно правата на човека</w:t>
      </w:r>
      <w:r>
        <w:rPr>
          <w:noProof/>
        </w:rPr>
        <w:t>. Омбудсманът има функцията да разследва предприети от правителството или друг орган действия, предвидени по закон, и може да провежда разследвания по своя инициатива или въз основа на жалба. С приетата от парламента на 29 юли 2020 г. реформа на Конституцията в нея се включва методиката за назначаване и отстраняване от длъжност на омбудсмана</w:t>
      </w:r>
      <w:r>
        <w:rPr>
          <w:rStyle w:val="FootnoteReference"/>
          <w:noProof/>
          <w:szCs w:val="24"/>
          <w:lang w:bidi="en-US"/>
        </w:rPr>
        <w:footnoteReference w:id="98"/>
      </w:r>
      <w:r>
        <w:rPr>
          <w:noProof/>
        </w:rPr>
        <w:t>, както и правото му на достъп до информация. В реформата също така се предвижда, че ако по време на разследване или след приключването му омбудсманът е на мнение, че има доказателства за корупционна практика съгласно определението в Закона за Постоянната комисия срещу корупцията, той може да представи своите констатации директно на главния прокурор. Целта на реформата е да се отговори на препоръките на Венецианската комисия</w:t>
      </w:r>
      <w:r>
        <w:rPr>
          <w:rStyle w:val="FootnoteReference"/>
          <w:noProof/>
          <w:szCs w:val="24"/>
          <w:lang w:bidi="en-US"/>
        </w:rPr>
        <w:footnoteReference w:id="99"/>
      </w:r>
      <w:r>
        <w:rPr>
          <w:noProof/>
        </w:rPr>
        <w:t>. Следва да се отбележи, че ООН също така препоръча да се засили независимостта на службата на комисаря по въпросите на децата, като се гарантират подходящи, конкретни и отделни човешки, технически и финансови ресурси, както и необходимият имунитет с цел ефективно осъществяване на нейната функция</w:t>
      </w:r>
      <w:r>
        <w:rPr>
          <w:rStyle w:val="FootnoteReference"/>
          <w:noProof/>
          <w:szCs w:val="24"/>
          <w:lang w:bidi="en-US"/>
        </w:rPr>
        <w:footnoteReference w:id="100"/>
      </w:r>
      <w:r>
        <w:rPr>
          <w:noProof/>
        </w:rPr>
        <w:t>. През 2019 г. в парламента бе представено предложение за създаване на институция за правата на човека. Законопроектът за създаване на комисия за правата на човека и равенството понастоящем се обсъжда в съответните парламентарни комисии</w:t>
      </w:r>
      <w:r>
        <w:rPr>
          <w:rStyle w:val="FootnoteReference"/>
          <w:noProof/>
          <w:szCs w:val="24"/>
          <w:lang w:bidi="en-US"/>
        </w:rPr>
        <w:footnoteReference w:id="101"/>
      </w:r>
      <w:r>
        <w:rPr>
          <w:noProof/>
        </w:rPr>
        <w:t xml:space="preserve">. </w:t>
      </w:r>
    </w:p>
    <w:p>
      <w:pPr>
        <w:rPr>
          <w:noProof/>
          <w:szCs w:val="24"/>
        </w:rPr>
      </w:pPr>
      <w:r>
        <w:rPr>
          <w:b/>
          <w:noProof/>
          <w:szCs w:val="24"/>
        </w:rPr>
        <w:t>В парламента е внесена конституционна реформа относно назначенията в определени независими комисии</w:t>
      </w:r>
      <w:r>
        <w:rPr>
          <w:noProof/>
        </w:rPr>
        <w:t>. Правителството предложи правомощията във връзка с назначаването на редица независими комисии да се прехвърлят от министър-председателя на министерския съвет, включително по отношение на Централната банка на Малта и комисаря по информацията и защитата на личните данни. В становището си от юни 2020 г. Венецианската комисия приветства намерението на правителството да обсъди допълнително назначаването на други независими органи, като например Избирателната комисия, Комисията за държавната администрация и органа за радио- и телевизионно разпръскване, в рамките на Конституционен конвент, ръководен от президента</w:t>
      </w:r>
      <w:r>
        <w:rPr>
          <w:rStyle w:val="FootnoteReference"/>
          <w:noProof/>
          <w:szCs w:val="24"/>
        </w:rPr>
        <w:footnoteReference w:id="102"/>
      </w:r>
      <w:r>
        <w:rPr>
          <w:noProof/>
        </w:rPr>
        <w:t xml:space="preserve">. </w:t>
      </w:r>
    </w:p>
    <w:p>
      <w:pPr>
        <w:rPr>
          <w:noProof/>
          <w:szCs w:val="24"/>
        </w:rPr>
      </w:pPr>
      <w:r>
        <w:rPr>
          <w:b/>
          <w:noProof/>
          <w:szCs w:val="24"/>
        </w:rPr>
        <w:t>Освен това бе иницииран процес на размисъл по отношение на ролята на парламента</w:t>
      </w:r>
      <w:r>
        <w:rPr>
          <w:noProof/>
        </w:rPr>
        <w:t>. Обмислят се реформи по отношение на правилника за членовете на парламента, макар и все още да не са предложени конкретни мерки</w:t>
      </w:r>
      <w:r>
        <w:rPr>
          <w:rStyle w:val="FootnoteReference"/>
          <w:noProof/>
          <w:szCs w:val="24"/>
        </w:rPr>
        <w:footnoteReference w:id="103"/>
      </w:r>
      <w:r>
        <w:rPr>
          <w:noProof/>
        </w:rPr>
        <w:t>. Венецианската комисия констатира, че е необходимо укрепване на малтийския парламент, за да представлява той ефективен фактор за взаимозависимост и взаимоограничаване спрямо правителството</w:t>
      </w:r>
      <w:r>
        <w:rPr>
          <w:rStyle w:val="FootnoteReference"/>
          <w:noProof/>
          <w:szCs w:val="24"/>
        </w:rPr>
        <w:footnoteReference w:id="104"/>
      </w:r>
      <w:r>
        <w:rPr>
          <w:noProof/>
        </w:rPr>
        <w:t xml:space="preserve">, и препоръча системата да се промени, така че да се осигури работа и заплащане на пълно работно време за членовете. Освен това тя препоръча членовете да могат да се възползват от безпартиен капацитет за проучвания и/или от старши консултативен орган. Също така следва да се избягва широкообхватно използване на делегирано законодателство. </w:t>
      </w:r>
    </w:p>
    <w:p>
      <w:pPr>
        <w:rPr>
          <w:noProof/>
          <w:szCs w:val="24"/>
        </w:rPr>
      </w:pPr>
      <w:r>
        <w:rPr>
          <w:b/>
          <w:noProof/>
          <w:szCs w:val="24"/>
        </w:rPr>
        <w:t xml:space="preserve">Решенията на Конституционния съд нямат действие </w:t>
      </w:r>
      <w:r>
        <w:rPr>
          <w:b/>
          <w:i/>
          <w:noProof/>
          <w:szCs w:val="24"/>
        </w:rPr>
        <w:t>erga omnes</w:t>
      </w:r>
      <w:r>
        <w:rPr>
          <w:noProof/>
        </w:rPr>
        <w:t>. Парламентът е този, който трябва да отмени или измени съответните закони, в случай че една или повече разпоредби от тях са обявени за противоконституционни с решение на Конституционния съд. Венецианската комисия отбеляза, че изглежда, че на практика това не се случва във всички случаи, което води до продължаване на прилагането на разпоредбите, обявени за противоконституционни</w:t>
      </w:r>
      <w:r>
        <w:rPr>
          <w:rStyle w:val="FootnoteReference"/>
          <w:noProof/>
          <w:szCs w:val="24"/>
        </w:rPr>
        <w:footnoteReference w:id="105"/>
      </w:r>
      <w:r>
        <w:rPr>
          <w:noProof/>
        </w:rPr>
        <w:t xml:space="preserve">. </w:t>
      </w:r>
    </w:p>
    <w:p>
      <w:pPr>
        <w:rPr>
          <w:noProof/>
          <w:color w:val="1F497D"/>
          <w:szCs w:val="24"/>
        </w:rPr>
      </w:pPr>
      <w:r>
        <w:rPr>
          <w:b/>
          <w:noProof/>
          <w:szCs w:val="24"/>
        </w:rPr>
        <w:t>Продължават да съществуват предизвикателства по отношение на ограниченото използване на основани на доказателства инструменти и на ефективността на обществените консултации в законотворческия процес</w:t>
      </w:r>
      <w:r>
        <w:rPr>
          <w:noProof/>
        </w:rPr>
        <w:t>. Въпреки наличието на различни канали за консултация с обществеността съществува известна свобода на преценка дали да се инициират широкомащабни обществени консултации или не, както и голям брой изключения. Резултатите от процедурите за обществена консултация невинаги се публикуват онлайн своевременно и по лесно достъпен начин</w:t>
      </w:r>
      <w:r>
        <w:rPr>
          <w:rStyle w:val="FootnoteReference"/>
          <w:noProof/>
          <w:szCs w:val="24"/>
        </w:rPr>
        <w:footnoteReference w:id="106"/>
      </w:r>
      <w:r>
        <w:rPr>
          <w:noProof/>
        </w:rPr>
        <w:t>. Освен това според Организацията за икономическо сътрудничество и развитие (ОИСР) Малта не прилага систематичен подход за извършване на преглед дали законите и подзаконовите актове са постигнали желаните цели на политиката</w:t>
      </w:r>
      <w:r>
        <w:rPr>
          <w:noProof/>
          <w:szCs w:val="24"/>
          <w:vertAlign w:val="superscript"/>
        </w:rPr>
        <w:footnoteReference w:id="107"/>
      </w:r>
      <w:r>
        <w:rPr>
          <w:noProof/>
        </w:rPr>
        <w:t>. Планирани са инициативи във връзка с онлайн консултация и платформа за електронно участие, като част от стратегическия план за цифровата трансформация на публичната администрация за периода 2019—2021 г.</w:t>
      </w:r>
    </w:p>
    <w:p>
      <w:pPr>
        <w:rPr>
          <w:noProof/>
          <w:szCs w:val="24"/>
        </w:rPr>
      </w:pPr>
      <w:r>
        <w:rPr>
          <w:b/>
          <w:noProof/>
          <w:szCs w:val="24"/>
        </w:rPr>
        <w:t>В рамките на състоянието на извънредна ситуация за общественото здраве бяха приети мерки в отговор на пандемията</w:t>
      </w:r>
      <w:r>
        <w:rPr>
          <w:noProof/>
        </w:rPr>
        <w:t>. Съгласно Закона за общественото здраве Главната инспекция по обществено здраве разполага с правомощия да издава, променя и отменя заповеди в случай на епидемии и заразни болести, като същевременно е възможен съдебен контрол</w:t>
      </w:r>
      <w:r>
        <w:rPr>
          <w:rStyle w:val="FootnoteReference"/>
          <w:noProof/>
          <w:szCs w:val="24"/>
        </w:rPr>
        <w:footnoteReference w:id="108"/>
      </w:r>
      <w:r>
        <w:rPr>
          <w:noProof/>
        </w:rPr>
        <w:t>. Главната инспекция по обществено здраве обяви състояние на извънредна ситуация за общественото здраве на 1 април 2020 г., с обратно действие от 7 март 2020 г.</w:t>
      </w:r>
      <w:r>
        <w:rPr>
          <w:rStyle w:val="FootnoteReference"/>
          <w:noProof/>
          <w:szCs w:val="24"/>
        </w:rPr>
        <w:footnoteReference w:id="109"/>
      </w:r>
      <w:r>
        <w:rPr>
          <w:noProof/>
        </w:rPr>
        <w:t>, което бе отменено на 30 юни 2020 г.</w:t>
      </w:r>
    </w:p>
    <w:p>
      <w:pPr>
        <w:rPr>
          <w:noProof/>
          <w:szCs w:val="24"/>
        </w:rPr>
      </w:pPr>
      <w:r>
        <w:rPr>
          <w:b/>
          <w:noProof/>
          <w:szCs w:val="24"/>
        </w:rPr>
        <w:t>Организациите на гражданското общество играят все по-голяма роля в обществените дебати.</w:t>
      </w:r>
      <w:r>
        <w:rPr>
          <w:noProof/>
        </w:rPr>
        <w:t xml:space="preserve"> Гражданското пространство се счита за ограничено с оглед на горепосочените условия във връзка с журналистите</w:t>
      </w:r>
      <w:r>
        <w:rPr>
          <w:noProof/>
          <w:szCs w:val="24"/>
          <w:vertAlign w:val="superscript"/>
        </w:rPr>
        <w:footnoteReference w:id="110"/>
      </w:r>
      <w:r>
        <w:rPr>
          <w:noProof/>
        </w:rPr>
        <w:t>. Същевременно след убийството на разследващата журналистка Дафне Каруана Галиция организациите на гражданското общество участват все по-активно в обществените дебати. Основният закон, с който се регулира уредбата за гражданското общество, е Законът за доброволческите организации</w:t>
      </w:r>
      <w:r>
        <w:rPr>
          <w:rStyle w:val="FootnoteReference"/>
          <w:noProof/>
          <w:szCs w:val="24"/>
        </w:rPr>
        <w:footnoteReference w:id="111"/>
      </w:r>
      <w:r>
        <w:rPr>
          <w:noProof/>
        </w:rPr>
        <w:t>, в който се предвижда, че организациите на гражданското общество са доброволчески организации, които са независими и автономни от правителството, като техният статут трябва да се зачита от правителството във всеки момент. Макар че структурите за ангажиране и участие на гражданското общество биха могли да се подобрят, през последните няколко години организациите на гражданското общество участват все по-активно в обсъждания на въпроси, свързани с върховенството на закона, включително относно необходимостта от реформи във връзка с организацията на правосъдната система и борбата с корупцията</w:t>
      </w:r>
      <w:r>
        <w:rPr>
          <w:rStyle w:val="FootnoteReference"/>
          <w:noProof/>
          <w:szCs w:val="24"/>
        </w:rPr>
        <w:footnoteReference w:id="112"/>
      </w:r>
      <w:r>
        <w:rPr>
          <w:noProof/>
        </w:rPr>
        <w:t>. Правителството се ангажира да измени различни законодателни актове, за да гарантира, че се предприемат действия във връзка с уязвимостта на доброволческите организации</w:t>
      </w:r>
      <w:r>
        <w:rPr>
          <w:rStyle w:val="FootnoteReference"/>
          <w:noProof/>
          <w:szCs w:val="24"/>
        </w:rPr>
        <w:footnoteReference w:id="113"/>
      </w:r>
      <w:r>
        <w:rPr>
          <w:noProof/>
        </w:rPr>
        <w:t>.</w:t>
      </w:r>
    </w:p>
    <w:p>
      <w:pPr>
        <w:pageBreakBefore/>
        <w:spacing w:after="120"/>
        <w:ind w:left="181" w:hanging="181"/>
        <w:rPr>
          <w:b/>
          <w:noProof/>
          <w:sz w:val="22"/>
          <w:szCs w:val="22"/>
        </w:rPr>
      </w:pPr>
      <w:r>
        <w:rPr>
          <w:b/>
          <w:noProof/>
          <w:sz w:val="22"/>
          <w:szCs w:val="22"/>
        </w:rPr>
        <w:t>Приложение I: Списък на източниците по азбучен ред (на английски език).*</w:t>
      </w:r>
    </w:p>
    <w:p>
      <w:pPr>
        <w:spacing w:after="120"/>
        <w:ind w:left="181" w:hanging="181"/>
        <w:rPr>
          <w:noProof/>
          <w:sz w:val="22"/>
          <w:szCs w:val="22"/>
        </w:rPr>
      </w:pPr>
      <w:r>
        <w:rPr>
          <w:i/>
          <w:noProof/>
          <w:sz w:val="22"/>
          <w:szCs w:val="22"/>
        </w:rPr>
        <w:t>* Списъкът на получената информация в контекста на консултацията във връзка с Доклада относно върховенството на закона за 2020 г. може да бъде намерен на (уебсайта на Комисията).</w:t>
      </w:r>
    </w:p>
    <w:p>
      <w:pPr>
        <w:spacing w:after="120"/>
        <w:ind w:left="181" w:hanging="181"/>
        <w:rPr>
          <w:noProof/>
          <w:sz w:val="22"/>
          <w:szCs w:val="22"/>
        </w:rPr>
      </w:pPr>
      <w:r>
        <w:rPr>
          <w:noProof/>
          <w:sz w:val="22"/>
          <w:szCs w:val="22"/>
        </w:rPr>
        <w:t xml:space="preserve">Център за медиен плурализъм и медийна свобода (2020 г.), Мониторинг на медийния плурализъм за 2020 г. </w:t>
      </w:r>
      <w:hyperlink r:id="rId20" w:history="1">
        <w:r>
          <w:rPr>
            <w:rStyle w:val="Hyperlink"/>
            <w:noProof/>
            <w:sz w:val="22"/>
            <w:szCs w:val="22"/>
          </w:rPr>
          <w:t>https://cmpf.eui.eu/media-pluralism-monitor/mpm-2020</w:t>
        </w:r>
      </w:hyperlink>
      <w:r>
        <w:rPr>
          <w:noProof/>
          <w:sz w:val="22"/>
          <w:szCs w:val="22"/>
        </w:rPr>
        <w:t xml:space="preserve">  </w:t>
      </w:r>
    </w:p>
    <w:p>
      <w:pPr>
        <w:spacing w:after="120"/>
        <w:ind w:left="181" w:hanging="181"/>
        <w:rPr>
          <w:noProof/>
          <w:sz w:val="22"/>
          <w:szCs w:val="22"/>
        </w:rPr>
      </w:pPr>
      <w:r>
        <w:rPr>
          <w:noProof/>
          <w:sz w:val="22"/>
          <w:szCs w:val="22"/>
        </w:rPr>
        <w:t xml:space="preserve">CIVICUS, Monitor tracking civic space, Malta. </w:t>
      </w:r>
      <w:hyperlink r:id="rId21" w:history="1">
        <w:r>
          <w:rPr>
            <w:rStyle w:val="Hyperlink"/>
            <w:noProof/>
            <w:sz w:val="22"/>
            <w:szCs w:val="22"/>
          </w:rPr>
          <w:t>https://monitor.civicus.org/country/malta/</w:t>
        </w:r>
      </w:hyperlink>
    </w:p>
    <w:p>
      <w:pPr>
        <w:spacing w:after="120"/>
        <w:ind w:left="181" w:hanging="181"/>
        <w:rPr>
          <w:noProof/>
          <w:sz w:val="22"/>
          <w:szCs w:val="22"/>
        </w:rPr>
      </w:pPr>
      <w:r>
        <w:rPr>
          <w:noProof/>
          <w:sz w:val="22"/>
          <w:szCs w:val="22"/>
        </w:rPr>
        <w:t>Комисар по стандартите в обществения живот (2020 г.), Towards the Regulation of Lobbying in Malta.</w:t>
      </w:r>
    </w:p>
    <w:p>
      <w:pPr>
        <w:spacing w:after="120"/>
        <w:ind w:left="181" w:hanging="181"/>
        <w:rPr>
          <w:noProof/>
          <w:sz w:val="22"/>
          <w:szCs w:val="22"/>
        </w:rPr>
      </w:pPr>
      <w:r>
        <w:rPr>
          <w:noProof/>
          <w:sz w:val="22"/>
          <w:szCs w:val="22"/>
        </w:rPr>
        <w:t>Комисар по стандартите в обществения живот (2019 г.), Доклад по случай № K/002.</w:t>
      </w:r>
    </w:p>
    <w:p>
      <w:pPr>
        <w:spacing w:after="120"/>
        <w:ind w:left="181" w:hanging="181"/>
        <w:rPr>
          <w:noProof/>
          <w:sz w:val="22"/>
          <w:szCs w:val="22"/>
        </w:rPr>
      </w:pPr>
      <w:r>
        <w:rPr>
          <w:noProof/>
          <w:sz w:val="22"/>
          <w:szCs w:val="22"/>
        </w:rPr>
        <w:t>Съвет на Европа: Комитет на министрите (2010 г.), Препоръка CM/Rec(2010)12 на Комитета на министрите до държавите членки относно съдиите: независимост, ефективност и отговорности.</w:t>
      </w:r>
    </w:p>
    <w:p>
      <w:pPr>
        <w:spacing w:after="120"/>
        <w:ind w:left="181" w:hanging="181"/>
        <w:rPr>
          <w:noProof/>
          <w:sz w:val="22"/>
          <w:szCs w:val="22"/>
        </w:rPr>
      </w:pPr>
      <w:r>
        <w:rPr>
          <w:noProof/>
          <w:sz w:val="22"/>
          <w:szCs w:val="22"/>
        </w:rPr>
        <w:t>Съвет на Европа: Комитет на министрите (2016 г.), Препоръка CM/Rec(2016)4 на Комитета на министрите до държавите членки относно защитата на журналистиката и безопасността на журналистите и другите работещи в медиите лица.</w:t>
      </w:r>
    </w:p>
    <w:p>
      <w:pPr>
        <w:spacing w:after="120"/>
        <w:ind w:left="181" w:hanging="181"/>
        <w:rPr>
          <w:noProof/>
          <w:sz w:val="22"/>
          <w:szCs w:val="22"/>
        </w:rPr>
      </w:pPr>
      <w:r>
        <w:rPr>
          <w:noProof/>
          <w:sz w:val="22"/>
          <w:szCs w:val="22"/>
        </w:rPr>
        <w:t>Съвет на Европа: Парламентарна асамблея (2019 г.), Резолюция № 2293 (2019 г.) на Парламентарната асамблея: Daphne Caruana Galizia’s assassination and the rule of law in Malta and beyond: ensuring that the whole truth emerges.</w:t>
      </w:r>
    </w:p>
    <w:p>
      <w:pPr>
        <w:spacing w:after="120"/>
        <w:ind w:left="181" w:hanging="181"/>
        <w:rPr>
          <w:noProof/>
          <w:sz w:val="22"/>
          <w:szCs w:val="22"/>
        </w:rPr>
      </w:pPr>
      <w:r>
        <w:rPr>
          <w:noProof/>
          <w:sz w:val="22"/>
          <w:szCs w:val="22"/>
        </w:rPr>
        <w:t xml:space="preserve">Съвет на Европа, Platform to promote the protection of journalism and safety of journalists – Malta. </w:t>
      </w:r>
      <w:hyperlink r:id="rId22" w:history="1">
        <w:r>
          <w:rPr>
            <w:rStyle w:val="Hyperlink"/>
            <w:noProof/>
            <w:sz w:val="22"/>
            <w:szCs w:val="22"/>
          </w:rPr>
          <w:t>https://www.coe.int/en/web/media-freedom/malta</w:t>
        </w:r>
      </w:hyperlink>
    </w:p>
    <w:p>
      <w:pPr>
        <w:spacing w:after="120"/>
        <w:ind w:left="181" w:hanging="181"/>
        <w:rPr>
          <w:noProof/>
          <w:sz w:val="22"/>
          <w:szCs w:val="22"/>
        </w:rPr>
      </w:pPr>
      <w:r>
        <w:rPr>
          <w:noProof/>
          <w:sz w:val="22"/>
          <w:szCs w:val="22"/>
        </w:rPr>
        <w:t>Съвет на Европа: Венецианска комисия (2010 г.), Report on the Independence of the Judicial System Part I: The Independence of Judges (CDL-AD(2010)004).</w:t>
      </w:r>
    </w:p>
    <w:p>
      <w:pPr>
        <w:spacing w:after="120"/>
        <w:ind w:left="181" w:hanging="181"/>
        <w:rPr>
          <w:noProof/>
          <w:sz w:val="22"/>
          <w:szCs w:val="22"/>
        </w:rPr>
      </w:pPr>
      <w:r>
        <w:rPr>
          <w:noProof/>
          <w:sz w:val="22"/>
          <w:szCs w:val="22"/>
        </w:rPr>
        <w:t>Съвет на Европа: Венецианска комисия (2016 г.), Списък на критериите за правова държава (CDL-AD(2016)017).</w:t>
      </w:r>
    </w:p>
    <w:p>
      <w:pPr>
        <w:spacing w:after="120"/>
        <w:ind w:left="181" w:hanging="181"/>
        <w:rPr>
          <w:noProof/>
          <w:sz w:val="22"/>
          <w:szCs w:val="22"/>
        </w:rPr>
      </w:pPr>
      <w:r>
        <w:rPr>
          <w:noProof/>
          <w:sz w:val="22"/>
          <w:szCs w:val="22"/>
        </w:rPr>
        <w:t>Съвет на Европа: Венецианска комисия (2018 г.), Malta – Opinion on constitutional arrangements and separation of powers and the independence of the judiciary and law enforcement (CDL-AD(2018)028).</w:t>
      </w:r>
    </w:p>
    <w:p>
      <w:pPr>
        <w:spacing w:after="120"/>
        <w:ind w:left="181" w:hanging="181"/>
        <w:rPr>
          <w:noProof/>
          <w:sz w:val="22"/>
          <w:szCs w:val="22"/>
        </w:rPr>
      </w:pPr>
      <w:r>
        <w:rPr>
          <w:noProof/>
          <w:sz w:val="22"/>
          <w:szCs w:val="22"/>
        </w:rPr>
        <w:t>Съвет на Европа: Венецианска комисия (2020 г.), Malta – Opinion on proposed legislative changes (CDL-AD(2020)006).</w:t>
      </w:r>
    </w:p>
    <w:p>
      <w:pPr>
        <w:spacing w:after="120"/>
        <w:ind w:left="181" w:hanging="181"/>
        <w:rPr>
          <w:noProof/>
          <w:sz w:val="22"/>
          <w:szCs w:val="22"/>
        </w:rPr>
      </w:pPr>
      <w:r>
        <w:rPr>
          <w:noProof/>
          <w:sz w:val="22"/>
          <w:szCs w:val="22"/>
        </w:rPr>
        <w:t>Съвет на Европейския съюз, Препоръка на Съвета от 20 юли 2020 г. относно националната програма за реформи на Малта за 2020 г. и съдържаща становище на Съвета относно програмата за стабилност на Малта за 2020 г.</w:t>
      </w:r>
    </w:p>
    <w:p>
      <w:pPr>
        <w:spacing w:after="120"/>
        <w:ind w:left="181" w:hanging="181"/>
        <w:rPr>
          <w:noProof/>
          <w:sz w:val="22"/>
          <w:szCs w:val="22"/>
        </w:rPr>
      </w:pPr>
      <w:r>
        <w:rPr>
          <w:noProof/>
          <w:sz w:val="22"/>
          <w:szCs w:val="22"/>
        </w:rPr>
        <w:t xml:space="preserve">Фондация „Дафне Каруана Галиция“, информация, предоставена за Доклада относно върховенството на закона за 2020 г. </w:t>
      </w:r>
    </w:p>
    <w:p>
      <w:pPr>
        <w:spacing w:after="120"/>
        <w:ind w:left="181" w:hanging="181"/>
        <w:rPr>
          <w:noProof/>
          <w:sz w:val="22"/>
          <w:szCs w:val="22"/>
        </w:rPr>
      </w:pPr>
      <w:r>
        <w:rPr>
          <w:noProof/>
          <w:sz w:val="22"/>
          <w:szCs w:val="22"/>
        </w:rPr>
        <w:t>Генерална дирекция „Комуникации“ (2019 г.), Експресно проучване на Евробарометър № 482: Businesses' attitudes towards corruption in the EU.</w:t>
      </w:r>
    </w:p>
    <w:p>
      <w:pPr>
        <w:spacing w:after="120"/>
        <w:ind w:left="181" w:hanging="181"/>
        <w:rPr>
          <w:noProof/>
          <w:sz w:val="22"/>
          <w:szCs w:val="22"/>
        </w:rPr>
      </w:pPr>
      <w:r>
        <w:rPr>
          <w:noProof/>
          <w:sz w:val="22"/>
          <w:szCs w:val="22"/>
        </w:rPr>
        <w:t>Генерална дирекция „Комуникации“ (2020 г.), Специално проучване на Евробарометър № 502: Corruption.</w:t>
      </w:r>
    </w:p>
    <w:p>
      <w:pPr>
        <w:spacing w:after="120"/>
        <w:ind w:left="181" w:hanging="181"/>
        <w:rPr>
          <w:noProof/>
          <w:sz w:val="22"/>
          <w:szCs w:val="22"/>
        </w:rPr>
      </w:pPr>
      <w:r>
        <w:rPr>
          <w:noProof/>
          <w:sz w:val="22"/>
          <w:szCs w:val="22"/>
        </w:rPr>
        <w:t xml:space="preserve">Европейски съд по правата на човека, решение, постановено от голям състав, 6 ноември 2018 г., </w:t>
      </w:r>
      <w:r>
        <w:rPr>
          <w:i/>
          <w:noProof/>
          <w:sz w:val="22"/>
          <w:szCs w:val="22"/>
        </w:rPr>
        <w:t>Ramos Nunes de Carvalho e Sá/Португалия</w:t>
      </w:r>
      <w:r>
        <w:rPr>
          <w:noProof/>
          <w:sz w:val="22"/>
          <w:szCs w:val="22"/>
        </w:rPr>
        <w:t>, жалби № 55391/13, № 57728/13 и № 74041/13.</w:t>
      </w:r>
    </w:p>
    <w:p>
      <w:pPr>
        <w:spacing w:after="120"/>
        <w:ind w:left="181" w:hanging="181"/>
        <w:rPr>
          <w:noProof/>
          <w:sz w:val="22"/>
          <w:szCs w:val="22"/>
        </w:rPr>
      </w:pPr>
      <w:r>
        <w:rPr>
          <w:noProof/>
          <w:sz w:val="22"/>
          <w:szCs w:val="22"/>
        </w:rPr>
        <w:t xml:space="preserve">Европейски съд по правата на човека, решение, постановено от състав, 5 май 2020 г., </w:t>
      </w:r>
      <w:r>
        <w:rPr>
          <w:i/>
          <w:noProof/>
          <w:sz w:val="22"/>
          <w:szCs w:val="22"/>
        </w:rPr>
        <w:t>Kövesi/Румъния</w:t>
      </w:r>
      <w:r>
        <w:rPr>
          <w:noProof/>
          <w:sz w:val="22"/>
          <w:szCs w:val="22"/>
        </w:rPr>
        <w:t>, жалба № 3594/19.</w:t>
      </w:r>
    </w:p>
    <w:p>
      <w:pPr>
        <w:spacing w:after="120"/>
        <w:ind w:left="181" w:hanging="181"/>
        <w:rPr>
          <w:noProof/>
          <w:sz w:val="22"/>
          <w:szCs w:val="22"/>
        </w:rPr>
      </w:pPr>
      <w:r>
        <w:rPr>
          <w:noProof/>
          <w:sz w:val="22"/>
          <w:szCs w:val="22"/>
        </w:rPr>
        <w:t xml:space="preserve">Съд на Европейския съюз, решение от 25 юли 2018 г., </w:t>
      </w:r>
      <w:r>
        <w:rPr>
          <w:i/>
          <w:noProof/>
          <w:sz w:val="22"/>
          <w:szCs w:val="22"/>
        </w:rPr>
        <w:t>LM</w:t>
      </w:r>
      <w:r>
        <w:rPr>
          <w:noProof/>
          <w:sz w:val="22"/>
          <w:szCs w:val="22"/>
        </w:rPr>
        <w:t>, C‑216/18 PPU.</w:t>
      </w:r>
    </w:p>
    <w:p>
      <w:pPr>
        <w:spacing w:after="120"/>
        <w:ind w:left="181" w:hanging="181"/>
        <w:rPr>
          <w:noProof/>
          <w:sz w:val="22"/>
          <w:szCs w:val="22"/>
        </w:rPr>
      </w:pPr>
      <w:r>
        <w:rPr>
          <w:noProof/>
          <w:sz w:val="22"/>
          <w:szCs w:val="22"/>
        </w:rPr>
        <w:t>Европейска комисия, Информационно табло на ЕС в областта на правосъдието за 2020 г.</w:t>
      </w:r>
    </w:p>
    <w:p>
      <w:pPr>
        <w:spacing w:after="120"/>
        <w:ind w:left="181" w:hanging="181"/>
        <w:rPr>
          <w:noProof/>
          <w:sz w:val="22"/>
          <w:szCs w:val="22"/>
        </w:rPr>
      </w:pPr>
      <w:r>
        <w:rPr>
          <w:noProof/>
          <w:sz w:val="22"/>
          <w:szCs w:val="22"/>
        </w:rPr>
        <w:t>Европейска комисия (2019 г.), Country Report Malta 2019 (SWD(2019) 1017 final).</w:t>
      </w:r>
    </w:p>
    <w:p>
      <w:pPr>
        <w:spacing w:after="120"/>
        <w:ind w:left="181" w:hanging="181"/>
        <w:rPr>
          <w:noProof/>
          <w:sz w:val="22"/>
          <w:szCs w:val="22"/>
        </w:rPr>
      </w:pPr>
      <w:r>
        <w:rPr>
          <w:noProof/>
          <w:sz w:val="22"/>
          <w:szCs w:val="22"/>
        </w:rPr>
        <w:t>Европейска комисия (2020 г.), Country Report Malta 2020 (SWD(2020) 517 final).</w:t>
      </w:r>
    </w:p>
    <w:p>
      <w:pPr>
        <w:spacing w:after="120"/>
        <w:ind w:left="181" w:hanging="181"/>
        <w:rPr>
          <w:noProof/>
          <w:sz w:val="22"/>
          <w:szCs w:val="22"/>
        </w:rPr>
      </w:pPr>
      <w:r>
        <w:rPr>
          <w:noProof/>
          <w:sz w:val="22"/>
          <w:szCs w:val="22"/>
        </w:rPr>
        <w:t xml:space="preserve">Европейска комисия (2019 г.), проучване на Евробарометър сред предприятията. </w:t>
      </w:r>
    </w:p>
    <w:p>
      <w:pPr>
        <w:spacing w:after="120"/>
        <w:ind w:left="181" w:hanging="181"/>
        <w:rPr>
          <w:noProof/>
          <w:sz w:val="22"/>
          <w:szCs w:val="22"/>
        </w:rPr>
      </w:pPr>
      <w:r>
        <w:rPr>
          <w:noProof/>
          <w:sz w:val="22"/>
          <w:szCs w:val="22"/>
        </w:rPr>
        <w:t xml:space="preserve">Европейска мрежа на националните институции за правата на човека (ENNHRI) (2020 г.), информация, предоставена от Европейската мрежа на националните институции за правата на човека за консултацията със заинтересованите страни във връзка с Доклада относно върховенството на закона за 2020 г.  </w:t>
      </w:r>
    </w:p>
    <w:p>
      <w:pPr>
        <w:spacing w:after="120"/>
        <w:ind w:left="181" w:hanging="181"/>
        <w:rPr>
          <w:noProof/>
          <w:sz w:val="22"/>
          <w:szCs w:val="22"/>
        </w:rPr>
      </w:pPr>
      <w:r>
        <w:rPr>
          <w:noProof/>
          <w:sz w:val="22"/>
          <w:szCs w:val="22"/>
        </w:rPr>
        <w:t>Резолюция на Европейския парламент от 18 декември 2019 г. относно принципите на правовата държава в Малта след неотдавнашните разкрития за убийството на Дафне Каруана Галиция.</w:t>
      </w:r>
    </w:p>
    <w:p>
      <w:pPr>
        <w:spacing w:after="120"/>
        <w:ind w:left="181" w:hanging="181"/>
        <w:rPr>
          <w:noProof/>
          <w:sz w:val="22"/>
          <w:szCs w:val="22"/>
        </w:rPr>
      </w:pPr>
      <w:r>
        <w:rPr>
          <w:noProof/>
          <w:sz w:val="22"/>
          <w:szCs w:val="22"/>
        </w:rPr>
        <w:t>Резолюция на Европейския парламент от 28 март 2019 г. относно положението по отношение на принципите на правовата държава и борбата срещу корупцията в ЕС, по-специално в Малта и Словакия.</w:t>
      </w:r>
    </w:p>
    <w:p>
      <w:pPr>
        <w:spacing w:after="120"/>
        <w:ind w:left="181" w:hanging="181"/>
        <w:rPr>
          <w:noProof/>
          <w:sz w:val="22"/>
          <w:szCs w:val="22"/>
        </w:rPr>
      </w:pPr>
      <w:r>
        <w:rPr>
          <w:noProof/>
          <w:sz w:val="22"/>
          <w:szCs w:val="22"/>
        </w:rPr>
        <w:t>Резолюция на Европейския парламент от 15 ноември 2017 г. относно принципите на правовата държава в Малта.</w:t>
      </w:r>
    </w:p>
    <w:p>
      <w:pPr>
        <w:spacing w:after="120"/>
        <w:ind w:left="181" w:hanging="181"/>
        <w:rPr>
          <w:noProof/>
          <w:sz w:val="22"/>
          <w:szCs w:val="22"/>
        </w:rPr>
      </w:pPr>
      <w:r>
        <w:rPr>
          <w:noProof/>
          <w:sz w:val="22"/>
          <w:szCs w:val="22"/>
        </w:rPr>
        <w:t xml:space="preserve">Група държави срещу корупцията (GRECO) (2019 г.), Fourth Evaluation Round, Second Compliance Report on Malta on corruption prevention in respect of members of parliament, judges and prosecutors. </w:t>
      </w:r>
    </w:p>
    <w:p>
      <w:pPr>
        <w:spacing w:after="120"/>
        <w:ind w:left="181" w:hanging="181"/>
        <w:rPr>
          <w:noProof/>
          <w:sz w:val="22"/>
          <w:szCs w:val="22"/>
        </w:rPr>
      </w:pPr>
      <w:r>
        <w:rPr>
          <w:noProof/>
          <w:sz w:val="22"/>
          <w:szCs w:val="22"/>
        </w:rPr>
        <w:t>Група държави срещу корупцията (GRECO) (2019 г.), Fifth Evaluation round, Evaluation Report on Malta on preventing corruption and promoting integrity in central governments and law enforcement agencies.</w:t>
      </w:r>
    </w:p>
    <w:p>
      <w:pPr>
        <w:spacing w:after="120"/>
        <w:ind w:left="181" w:hanging="181"/>
        <w:rPr>
          <w:noProof/>
          <w:sz w:val="22"/>
          <w:szCs w:val="22"/>
        </w:rPr>
      </w:pPr>
      <w:r>
        <w:rPr>
          <w:noProof/>
          <w:sz w:val="22"/>
          <w:szCs w:val="22"/>
        </w:rPr>
        <w:t xml:space="preserve">Малтийско правителство (2020 г.), информация, предoставена от Малта за Доклада относно върховенството на закона за 2020 г. </w:t>
      </w:r>
    </w:p>
    <w:p>
      <w:pPr>
        <w:spacing w:after="120"/>
        <w:ind w:left="181" w:hanging="181"/>
        <w:rPr>
          <w:noProof/>
          <w:sz w:val="22"/>
          <w:szCs w:val="22"/>
        </w:rPr>
      </w:pPr>
      <w:r>
        <w:rPr>
          <w:noProof/>
          <w:sz w:val="22"/>
          <w:szCs w:val="22"/>
        </w:rPr>
        <w:t>Организация за икономическо сътрудничество и развитие (ОИСР) (2019 г.), Indicators of Regulatory Policy and Governance – Malta.</w:t>
      </w:r>
    </w:p>
    <w:p>
      <w:pPr>
        <w:spacing w:after="120"/>
        <w:ind w:left="181" w:hanging="181"/>
        <w:rPr>
          <w:bCs/>
          <w:noProof/>
          <w:sz w:val="22"/>
          <w:szCs w:val="22"/>
        </w:rPr>
      </w:pPr>
      <w:r>
        <w:rPr>
          <w:bCs/>
          <w:noProof/>
          <w:sz w:val="22"/>
          <w:szCs w:val="22"/>
        </w:rPr>
        <w:t xml:space="preserve">„Прозрачност без граници“ (Transparency International) (2020 г.), Данни по държави — Малта. </w:t>
      </w:r>
      <w:hyperlink r:id="rId23" w:history="1">
        <w:r>
          <w:rPr>
            <w:rStyle w:val="Hyperlink"/>
            <w:noProof/>
            <w:sz w:val="22"/>
            <w:szCs w:val="22"/>
          </w:rPr>
          <w:t>https://www.transparency.org/en/countries/malta</w:t>
        </w:r>
      </w:hyperlink>
    </w:p>
    <w:p>
      <w:pPr>
        <w:spacing w:after="120"/>
        <w:ind w:left="181" w:hanging="181"/>
        <w:rPr>
          <w:bCs/>
          <w:noProof/>
          <w:sz w:val="22"/>
          <w:szCs w:val="22"/>
        </w:rPr>
      </w:pPr>
      <w:r>
        <w:rPr>
          <w:bCs/>
          <w:noProof/>
          <w:sz w:val="22"/>
          <w:szCs w:val="22"/>
        </w:rPr>
        <w:t xml:space="preserve">„Репортери без граници“, Малта. </w:t>
      </w:r>
      <w:hyperlink r:id="rId24" w:history="1">
        <w:r>
          <w:rPr>
            <w:rStyle w:val="Hyperlink"/>
            <w:bCs/>
            <w:noProof/>
            <w:sz w:val="22"/>
            <w:szCs w:val="22"/>
          </w:rPr>
          <w:t>https://rsf.org/en/taxonomy/term/150</w:t>
        </w:r>
      </w:hyperlink>
      <w:r>
        <w:rPr>
          <w:bCs/>
          <w:noProof/>
          <w:sz w:val="22"/>
          <w:szCs w:val="22"/>
        </w:rPr>
        <w:t xml:space="preserve"> </w:t>
      </w:r>
    </w:p>
    <w:p>
      <w:pPr>
        <w:spacing w:after="120"/>
        <w:ind w:left="181" w:hanging="181"/>
        <w:rPr>
          <w:bCs/>
          <w:noProof/>
          <w:sz w:val="22"/>
          <w:szCs w:val="22"/>
        </w:rPr>
      </w:pPr>
      <w:r>
        <w:rPr>
          <w:bCs/>
          <w:noProof/>
          <w:sz w:val="22"/>
          <w:szCs w:val="22"/>
        </w:rPr>
        <w:t xml:space="preserve">Repubblika, информация, предоставена за Доклада относно върховенството на закона за 2020 г. </w:t>
      </w:r>
    </w:p>
    <w:p>
      <w:pPr>
        <w:spacing w:after="120"/>
        <w:ind w:left="181" w:hanging="181"/>
        <w:rPr>
          <w:bCs/>
          <w:noProof/>
          <w:sz w:val="22"/>
          <w:szCs w:val="22"/>
        </w:rPr>
      </w:pPr>
      <w:r>
        <w:rPr>
          <w:bCs/>
          <w:noProof/>
          <w:sz w:val="22"/>
          <w:szCs w:val="22"/>
        </w:rPr>
        <w:t>Комитет на ООН по правата на детето (2019 г.).</w:t>
      </w:r>
    </w:p>
    <w:p>
      <w:pPr>
        <w:spacing w:after="120"/>
        <w:ind w:left="181" w:hanging="181"/>
        <w:rPr>
          <w:bCs/>
          <w:noProof/>
          <w:sz w:val="22"/>
          <w:szCs w:val="22"/>
        </w:rPr>
      </w:pPr>
      <w:r>
        <w:rPr>
          <w:bCs/>
          <w:noProof/>
          <w:sz w:val="22"/>
          <w:szCs w:val="22"/>
        </w:rPr>
        <w:t>Виртуално посещение в Малта в контекста на Доклада относно върховенството на закона за 2020 г.</w:t>
      </w:r>
    </w:p>
    <w:p>
      <w:pPr>
        <w:spacing w:after="120"/>
        <w:ind w:left="181" w:hanging="181"/>
        <w:rPr>
          <w:b/>
          <w:noProof/>
        </w:rPr>
      </w:pPr>
    </w:p>
    <w:p>
      <w:pPr>
        <w:spacing w:after="120"/>
        <w:ind w:left="181" w:hanging="181"/>
        <w:rPr>
          <w:b/>
          <w:noProof/>
        </w:rPr>
      </w:pPr>
    </w:p>
    <w:p>
      <w:pPr>
        <w:pageBreakBefore/>
        <w:rPr>
          <w:b/>
          <w:noProof/>
          <w:sz w:val="22"/>
          <w:szCs w:val="22"/>
        </w:rPr>
      </w:pPr>
      <w:r>
        <w:rPr>
          <w:b/>
          <w:noProof/>
          <w:sz w:val="22"/>
          <w:szCs w:val="22"/>
        </w:rPr>
        <w:t>Приложение II: Посещение в Малта</w:t>
      </w:r>
    </w:p>
    <w:p>
      <w:pPr>
        <w:rPr>
          <w:noProof/>
          <w:sz w:val="22"/>
          <w:szCs w:val="22"/>
          <w:shd w:val="clear" w:color="auto" w:fill="FFFFFF"/>
        </w:rPr>
      </w:pPr>
      <w:r>
        <w:rPr>
          <w:noProof/>
          <w:sz w:val="22"/>
          <w:szCs w:val="22"/>
        </w:rPr>
        <w:t>През юни 2020 г. службите на Комисията проведоха виртуални срещи със:</w:t>
      </w:r>
    </w:p>
    <w:p>
      <w:pPr>
        <w:pStyle w:val="ListParagraph"/>
        <w:numPr>
          <w:ilvl w:val="0"/>
          <w:numId w:val="21"/>
        </w:numPr>
        <w:spacing w:after="0" w:line="240" w:lineRule="auto"/>
        <w:ind w:left="714" w:hanging="357"/>
        <w:jc w:val="both"/>
        <w:rPr>
          <w:rFonts w:ascii="Times New Roman" w:hAnsi="Times New Roman" w:cs="Times New Roman"/>
          <w:noProof/>
        </w:rPr>
      </w:pPr>
      <w:r>
        <w:rPr>
          <w:rFonts w:ascii="Times New Roman" w:hAnsi="Times New Roman"/>
          <w:noProof/>
        </w:rPr>
        <w:t>Асоциацията на съдиите</w:t>
      </w:r>
    </w:p>
    <w:p>
      <w:pPr>
        <w:pStyle w:val="ListParagraph"/>
        <w:numPr>
          <w:ilvl w:val="0"/>
          <w:numId w:val="21"/>
        </w:numPr>
        <w:spacing w:after="0" w:line="240" w:lineRule="auto"/>
        <w:ind w:left="714" w:hanging="357"/>
        <w:jc w:val="both"/>
        <w:rPr>
          <w:rFonts w:ascii="Times New Roman" w:hAnsi="Times New Roman" w:cs="Times New Roman"/>
          <w:noProof/>
        </w:rPr>
      </w:pPr>
      <w:r>
        <w:rPr>
          <w:rFonts w:ascii="Times New Roman" w:hAnsi="Times New Roman"/>
          <w:noProof/>
        </w:rPr>
        <w:t xml:space="preserve">Асоциацията на магистратите </w:t>
      </w:r>
    </w:p>
    <w:p>
      <w:pPr>
        <w:pStyle w:val="ListParagraph"/>
        <w:numPr>
          <w:ilvl w:val="0"/>
          <w:numId w:val="21"/>
        </w:numPr>
        <w:spacing w:after="0" w:line="240" w:lineRule="auto"/>
        <w:ind w:left="714" w:hanging="357"/>
        <w:jc w:val="both"/>
        <w:rPr>
          <w:rFonts w:ascii="Times New Roman" w:hAnsi="Times New Roman" w:cs="Times New Roman"/>
          <w:noProof/>
        </w:rPr>
      </w:pPr>
      <w:r>
        <w:rPr>
          <w:rFonts w:ascii="Times New Roman" w:hAnsi="Times New Roman"/>
          <w:noProof/>
          <w:bdr w:val="none" w:sz="0" w:space="0" w:color="auto" w:frame="1"/>
        </w:rPr>
        <w:t>Главния прокурор</w:t>
      </w:r>
    </w:p>
    <w:p>
      <w:pPr>
        <w:pStyle w:val="ListParagraph"/>
        <w:numPr>
          <w:ilvl w:val="0"/>
          <w:numId w:val="21"/>
        </w:numPr>
        <w:spacing w:after="0" w:line="240" w:lineRule="auto"/>
        <w:ind w:left="714" w:hanging="357"/>
        <w:rPr>
          <w:rFonts w:ascii="Times New Roman" w:hAnsi="Times New Roman" w:cs="Times New Roman"/>
          <w:noProof/>
          <w:bdr w:val="none" w:sz="0" w:space="0" w:color="auto" w:frame="1"/>
        </w:rPr>
      </w:pPr>
      <w:r>
        <w:rPr>
          <w:rFonts w:ascii="Times New Roman" w:hAnsi="Times New Roman"/>
          <w:noProof/>
          <w:shd w:val="clear" w:color="auto" w:fill="FFFFFF"/>
        </w:rPr>
        <w:t>Органа на Малта за радио- и телевизионно разпръскване</w:t>
      </w:r>
    </w:p>
    <w:p>
      <w:pPr>
        <w:pStyle w:val="ListParagraph"/>
        <w:numPr>
          <w:ilvl w:val="0"/>
          <w:numId w:val="21"/>
        </w:numPr>
        <w:spacing w:after="0" w:line="240" w:lineRule="auto"/>
        <w:ind w:left="714" w:hanging="357"/>
        <w:rPr>
          <w:rFonts w:ascii="Times New Roman" w:hAnsi="Times New Roman" w:cs="Times New Roman"/>
          <w:noProof/>
          <w:shd w:val="clear" w:color="auto" w:fill="FFFFFF"/>
        </w:rPr>
      </w:pPr>
      <w:r>
        <w:rPr>
          <w:rFonts w:ascii="Times New Roman" w:hAnsi="Times New Roman"/>
          <w:noProof/>
          <w:shd w:val="clear" w:color="auto" w:fill="FFFFFF"/>
        </w:rPr>
        <w:t>Адвокатската камара</w:t>
      </w:r>
    </w:p>
    <w:p>
      <w:pPr>
        <w:pStyle w:val="ListParagraph"/>
        <w:numPr>
          <w:ilvl w:val="0"/>
          <w:numId w:val="21"/>
        </w:numPr>
        <w:spacing w:after="0" w:line="240" w:lineRule="auto"/>
        <w:ind w:left="714" w:hanging="357"/>
        <w:rPr>
          <w:rFonts w:ascii="Times New Roman" w:hAnsi="Times New Roman" w:cs="Times New Roman"/>
          <w:noProof/>
          <w:shd w:val="clear" w:color="auto" w:fill="FFFFFF"/>
        </w:rPr>
      </w:pPr>
      <w:r>
        <w:rPr>
          <w:rFonts w:ascii="Times New Roman" w:hAnsi="Times New Roman"/>
          <w:noProof/>
          <w:shd w:val="clear" w:color="auto" w:fill="FFFFFF"/>
        </w:rPr>
        <w:t>Комисаря по стандартите в обществения живот</w:t>
      </w:r>
    </w:p>
    <w:p>
      <w:pPr>
        <w:pStyle w:val="ListParagraph"/>
        <w:numPr>
          <w:ilvl w:val="0"/>
          <w:numId w:val="21"/>
        </w:numPr>
        <w:spacing w:after="0" w:line="240" w:lineRule="auto"/>
        <w:ind w:left="714" w:hanging="357"/>
        <w:rPr>
          <w:rFonts w:ascii="Times New Roman" w:hAnsi="Times New Roman" w:cs="Times New Roman"/>
          <w:noProof/>
          <w:shd w:val="clear" w:color="auto" w:fill="FFFFFF"/>
        </w:rPr>
      </w:pPr>
      <w:r>
        <w:rPr>
          <w:rFonts w:ascii="Times New Roman" w:hAnsi="Times New Roman"/>
          <w:noProof/>
          <w:bdr w:val="none" w:sz="0" w:space="0" w:color="auto" w:frame="1"/>
        </w:rPr>
        <w:t>Министерството на правосъдието</w:t>
      </w:r>
    </w:p>
    <w:p>
      <w:pPr>
        <w:pStyle w:val="ListParagraph"/>
        <w:numPr>
          <w:ilvl w:val="0"/>
          <w:numId w:val="21"/>
        </w:numPr>
        <w:spacing w:after="0" w:line="240" w:lineRule="auto"/>
        <w:ind w:left="714" w:hanging="357"/>
        <w:rPr>
          <w:rFonts w:ascii="Times New Roman" w:hAnsi="Times New Roman" w:cs="Times New Roman"/>
          <w:noProof/>
          <w:shd w:val="clear" w:color="auto" w:fill="FFFFFF"/>
        </w:rPr>
      </w:pPr>
      <w:r>
        <w:rPr>
          <w:rFonts w:ascii="Times New Roman" w:hAnsi="Times New Roman"/>
          <w:noProof/>
          <w:shd w:val="clear" w:color="auto" w:fill="FFFFFF"/>
        </w:rPr>
        <w:t xml:space="preserve">Постоянната комисия срещу корупцията (PCAC) </w:t>
      </w:r>
    </w:p>
    <w:p>
      <w:pPr>
        <w:pStyle w:val="ListParagraph"/>
        <w:numPr>
          <w:ilvl w:val="0"/>
          <w:numId w:val="21"/>
        </w:numPr>
        <w:spacing w:after="0" w:line="240" w:lineRule="auto"/>
        <w:ind w:left="714" w:hanging="357"/>
        <w:rPr>
          <w:rFonts w:ascii="Times New Roman" w:hAnsi="Times New Roman" w:cs="Times New Roman"/>
          <w:noProof/>
          <w:shd w:val="clear" w:color="auto" w:fill="FFFFFF"/>
        </w:rPr>
      </w:pPr>
      <w:r>
        <w:rPr>
          <w:rFonts w:ascii="Times New Roman" w:hAnsi="Times New Roman"/>
          <w:noProof/>
          <w:shd w:val="clear" w:color="auto" w:fill="FFFFFF"/>
        </w:rPr>
        <w:t>Полицията: Звеното за борба с икономическите престъпления</w:t>
      </w:r>
    </w:p>
    <w:p>
      <w:pPr>
        <w:pStyle w:val="ListParagraph"/>
        <w:numPr>
          <w:ilvl w:val="0"/>
          <w:numId w:val="21"/>
        </w:numPr>
        <w:spacing w:after="0" w:line="240" w:lineRule="auto"/>
        <w:ind w:left="714" w:hanging="357"/>
        <w:rPr>
          <w:rFonts w:ascii="Times New Roman" w:hAnsi="Times New Roman" w:cs="Times New Roman"/>
          <w:noProof/>
          <w:shd w:val="clear" w:color="auto" w:fill="FFFFFF"/>
        </w:rPr>
      </w:pPr>
      <w:r>
        <w:rPr>
          <w:rFonts w:ascii="Times New Roman" w:hAnsi="Times New Roman"/>
          <w:noProof/>
          <w:shd w:val="clear" w:color="auto" w:fill="FFFFFF"/>
        </w:rPr>
        <w:t>Republikka NGO</w:t>
      </w:r>
    </w:p>
    <w:p>
      <w:pPr>
        <w:pStyle w:val="ListParagraph"/>
        <w:numPr>
          <w:ilvl w:val="0"/>
          <w:numId w:val="21"/>
        </w:numPr>
        <w:spacing w:after="0" w:line="240" w:lineRule="auto"/>
        <w:ind w:left="714" w:hanging="357"/>
        <w:rPr>
          <w:rFonts w:ascii="Times New Roman" w:hAnsi="Times New Roman" w:cs="Times New Roman"/>
          <w:noProof/>
          <w:shd w:val="clear" w:color="auto" w:fill="FFFFFF"/>
        </w:rPr>
      </w:pPr>
      <w:r>
        <w:rPr>
          <w:rFonts w:ascii="Times New Roman" w:hAnsi="Times New Roman"/>
          <w:noProof/>
          <w:bdr w:val="none" w:sz="0" w:space="0" w:color="auto" w:frame="1"/>
        </w:rPr>
        <w:t>Държавния адвокат</w:t>
      </w:r>
    </w:p>
    <w:p>
      <w:pPr>
        <w:rPr>
          <w:noProof/>
          <w:sz w:val="22"/>
          <w:szCs w:val="22"/>
        </w:rPr>
      </w:pPr>
    </w:p>
    <w:p>
      <w:pPr>
        <w:rPr>
          <w:noProof/>
          <w:sz w:val="22"/>
          <w:szCs w:val="22"/>
        </w:rPr>
      </w:pPr>
      <w:r>
        <w:rPr>
          <w:noProof/>
          <w:sz w:val="22"/>
          <w:szCs w:val="22"/>
        </w:rPr>
        <w:t xml:space="preserve">* Комисията също така се срещна в поредица от хоризонтални заседания със следните организации: </w:t>
      </w:r>
    </w:p>
    <w:p>
      <w:pPr>
        <w:numPr>
          <w:ilvl w:val="0"/>
          <w:numId w:val="22"/>
        </w:numPr>
        <w:spacing w:after="0"/>
        <w:ind w:left="714" w:hanging="357"/>
        <w:jc w:val="left"/>
        <w:rPr>
          <w:noProof/>
          <w:sz w:val="22"/>
          <w:szCs w:val="22"/>
        </w:rPr>
      </w:pPr>
      <w:r>
        <w:rPr>
          <w:noProof/>
          <w:sz w:val="22"/>
          <w:szCs w:val="22"/>
        </w:rPr>
        <w:t>Amnesty International („Амнести Интернешънъл“)</w:t>
      </w:r>
    </w:p>
    <w:p>
      <w:pPr>
        <w:numPr>
          <w:ilvl w:val="0"/>
          <w:numId w:val="22"/>
        </w:numPr>
        <w:spacing w:after="0"/>
        <w:ind w:left="714" w:hanging="357"/>
        <w:jc w:val="left"/>
        <w:rPr>
          <w:noProof/>
          <w:sz w:val="22"/>
          <w:szCs w:val="22"/>
        </w:rPr>
      </w:pPr>
      <w:r>
        <w:rPr>
          <w:noProof/>
          <w:sz w:val="22"/>
          <w:szCs w:val="22"/>
        </w:rPr>
        <w:t>Civil Liberties Union for Europe (Съюза за граждански свободи за Европа)</w:t>
      </w:r>
    </w:p>
    <w:p>
      <w:pPr>
        <w:numPr>
          <w:ilvl w:val="0"/>
          <w:numId w:val="22"/>
        </w:numPr>
        <w:spacing w:after="0"/>
        <w:ind w:left="714" w:hanging="357"/>
        <w:jc w:val="left"/>
        <w:rPr>
          <w:noProof/>
          <w:sz w:val="22"/>
          <w:szCs w:val="22"/>
        </w:rPr>
      </w:pPr>
      <w:r>
        <w:rPr>
          <w:noProof/>
          <w:sz w:val="22"/>
          <w:szCs w:val="22"/>
        </w:rPr>
        <w:t>Civil Society Europe</w:t>
      </w:r>
    </w:p>
    <w:p>
      <w:pPr>
        <w:numPr>
          <w:ilvl w:val="0"/>
          <w:numId w:val="22"/>
        </w:numPr>
        <w:spacing w:after="0"/>
        <w:ind w:left="714" w:hanging="357"/>
        <w:jc w:val="left"/>
        <w:rPr>
          <w:noProof/>
          <w:sz w:val="22"/>
          <w:szCs w:val="22"/>
        </w:rPr>
      </w:pPr>
      <w:r>
        <w:rPr>
          <w:noProof/>
          <w:sz w:val="22"/>
          <w:szCs w:val="22"/>
        </w:rPr>
        <w:t xml:space="preserve">Conference of European Churches (Конференцията на европейските църкви) </w:t>
      </w:r>
    </w:p>
    <w:p>
      <w:pPr>
        <w:numPr>
          <w:ilvl w:val="0"/>
          <w:numId w:val="22"/>
        </w:numPr>
        <w:spacing w:after="0"/>
        <w:ind w:left="714" w:hanging="357"/>
        <w:jc w:val="left"/>
        <w:rPr>
          <w:noProof/>
          <w:sz w:val="22"/>
          <w:szCs w:val="22"/>
        </w:rPr>
      </w:pPr>
      <w:r>
        <w:rPr>
          <w:noProof/>
          <w:sz w:val="22"/>
          <w:szCs w:val="22"/>
        </w:rPr>
        <w:t>EuroCommerce</w:t>
      </w:r>
    </w:p>
    <w:p>
      <w:pPr>
        <w:numPr>
          <w:ilvl w:val="0"/>
          <w:numId w:val="22"/>
        </w:numPr>
        <w:spacing w:after="0"/>
        <w:ind w:left="714" w:hanging="357"/>
        <w:jc w:val="left"/>
        <w:rPr>
          <w:noProof/>
          <w:sz w:val="22"/>
          <w:szCs w:val="22"/>
        </w:rPr>
      </w:pPr>
      <w:r>
        <w:rPr>
          <w:noProof/>
          <w:sz w:val="22"/>
          <w:szCs w:val="22"/>
        </w:rPr>
        <w:t xml:space="preserve">European Center for Not-for-Profit Law (Европейския център за нестопанско право) </w:t>
      </w:r>
    </w:p>
    <w:p>
      <w:pPr>
        <w:numPr>
          <w:ilvl w:val="0"/>
          <w:numId w:val="22"/>
        </w:numPr>
        <w:spacing w:after="0"/>
        <w:ind w:left="714" w:hanging="357"/>
        <w:jc w:val="left"/>
        <w:rPr>
          <w:noProof/>
          <w:sz w:val="22"/>
          <w:szCs w:val="22"/>
        </w:rPr>
      </w:pPr>
      <w:r>
        <w:rPr>
          <w:noProof/>
          <w:sz w:val="22"/>
          <w:szCs w:val="22"/>
        </w:rPr>
        <w:t>European Centre for Press and Media Freedom (Европейския център за свобода на печата и медиите)</w:t>
      </w:r>
    </w:p>
    <w:p>
      <w:pPr>
        <w:numPr>
          <w:ilvl w:val="0"/>
          <w:numId w:val="22"/>
        </w:numPr>
        <w:spacing w:after="0"/>
        <w:ind w:left="714" w:hanging="357"/>
        <w:jc w:val="left"/>
        <w:rPr>
          <w:noProof/>
          <w:sz w:val="22"/>
          <w:szCs w:val="22"/>
        </w:rPr>
      </w:pPr>
      <w:r>
        <w:rPr>
          <w:noProof/>
          <w:sz w:val="22"/>
          <w:szCs w:val="22"/>
        </w:rPr>
        <w:t xml:space="preserve">Европейския граждански форум </w:t>
      </w:r>
    </w:p>
    <w:p>
      <w:pPr>
        <w:numPr>
          <w:ilvl w:val="0"/>
          <w:numId w:val="22"/>
        </w:numPr>
        <w:spacing w:after="0"/>
        <w:ind w:left="714" w:hanging="357"/>
        <w:jc w:val="left"/>
        <w:rPr>
          <w:noProof/>
          <w:sz w:val="22"/>
          <w:szCs w:val="22"/>
        </w:rPr>
      </w:pPr>
      <w:r>
        <w:rPr>
          <w:noProof/>
          <w:sz w:val="22"/>
          <w:szCs w:val="22"/>
        </w:rPr>
        <w:t>Free Press Unlimited</w:t>
      </w:r>
    </w:p>
    <w:p>
      <w:pPr>
        <w:numPr>
          <w:ilvl w:val="0"/>
          <w:numId w:val="22"/>
        </w:numPr>
        <w:spacing w:after="0"/>
        <w:ind w:left="714" w:hanging="357"/>
        <w:jc w:val="left"/>
        <w:rPr>
          <w:noProof/>
          <w:sz w:val="22"/>
          <w:szCs w:val="22"/>
        </w:rPr>
      </w:pPr>
      <w:r>
        <w:rPr>
          <w:noProof/>
          <w:sz w:val="22"/>
          <w:szCs w:val="22"/>
        </w:rPr>
        <w:t>Front Line Defenders (Защитници на предна линия)</w:t>
      </w:r>
    </w:p>
    <w:p>
      <w:pPr>
        <w:numPr>
          <w:ilvl w:val="0"/>
          <w:numId w:val="22"/>
        </w:numPr>
        <w:spacing w:after="0"/>
        <w:ind w:left="714" w:hanging="357"/>
        <w:jc w:val="left"/>
        <w:rPr>
          <w:noProof/>
          <w:sz w:val="22"/>
          <w:szCs w:val="22"/>
        </w:rPr>
      </w:pPr>
      <w:r>
        <w:rPr>
          <w:noProof/>
          <w:sz w:val="22"/>
          <w:szCs w:val="22"/>
        </w:rPr>
        <w:t>ILGA-Europe</w:t>
      </w:r>
    </w:p>
    <w:p>
      <w:pPr>
        <w:numPr>
          <w:ilvl w:val="0"/>
          <w:numId w:val="22"/>
        </w:numPr>
        <w:spacing w:after="0"/>
        <w:ind w:left="714" w:hanging="357"/>
        <w:jc w:val="left"/>
        <w:rPr>
          <w:noProof/>
          <w:sz w:val="22"/>
          <w:szCs w:val="22"/>
        </w:rPr>
      </w:pPr>
      <w:r>
        <w:rPr>
          <w:noProof/>
          <w:sz w:val="22"/>
          <w:szCs w:val="22"/>
        </w:rPr>
        <w:t>International Commission of Jurists (Международната комисия на юристите)</w:t>
      </w:r>
    </w:p>
    <w:p>
      <w:pPr>
        <w:numPr>
          <w:ilvl w:val="0"/>
          <w:numId w:val="22"/>
        </w:numPr>
        <w:spacing w:after="0"/>
        <w:ind w:left="714" w:hanging="357"/>
        <w:jc w:val="left"/>
        <w:rPr>
          <w:noProof/>
          <w:sz w:val="22"/>
          <w:szCs w:val="22"/>
        </w:rPr>
      </w:pPr>
      <w:r>
        <w:rPr>
          <w:noProof/>
          <w:sz w:val="22"/>
          <w:szCs w:val="22"/>
        </w:rPr>
        <w:t xml:space="preserve">International Federation for Human Rights (Международната федерация по правата на човека) </w:t>
      </w:r>
    </w:p>
    <w:p>
      <w:pPr>
        <w:numPr>
          <w:ilvl w:val="0"/>
          <w:numId w:val="22"/>
        </w:numPr>
        <w:spacing w:after="0"/>
        <w:ind w:left="714" w:hanging="357"/>
        <w:jc w:val="left"/>
        <w:rPr>
          <w:noProof/>
          <w:sz w:val="22"/>
          <w:szCs w:val="22"/>
        </w:rPr>
      </w:pPr>
      <w:r>
        <w:rPr>
          <w:noProof/>
          <w:sz w:val="22"/>
          <w:szCs w:val="22"/>
        </w:rPr>
        <w:t xml:space="preserve">International Press Institute (Международния институт по печата) </w:t>
      </w:r>
    </w:p>
    <w:p>
      <w:pPr>
        <w:numPr>
          <w:ilvl w:val="0"/>
          <w:numId w:val="22"/>
        </w:numPr>
        <w:spacing w:after="0"/>
        <w:ind w:left="714" w:hanging="357"/>
        <w:jc w:val="left"/>
        <w:rPr>
          <w:noProof/>
          <w:sz w:val="22"/>
          <w:szCs w:val="22"/>
        </w:rPr>
      </w:pPr>
      <w:r>
        <w:rPr>
          <w:noProof/>
          <w:sz w:val="22"/>
          <w:szCs w:val="22"/>
        </w:rPr>
        <w:t xml:space="preserve">Lifelong learning Platform (Платформата за учене през целия живот) </w:t>
      </w:r>
    </w:p>
    <w:p>
      <w:pPr>
        <w:numPr>
          <w:ilvl w:val="0"/>
          <w:numId w:val="22"/>
        </w:numPr>
        <w:spacing w:after="0"/>
        <w:ind w:left="714" w:hanging="357"/>
        <w:jc w:val="left"/>
        <w:rPr>
          <w:noProof/>
          <w:sz w:val="22"/>
          <w:szCs w:val="22"/>
        </w:rPr>
      </w:pPr>
      <w:r>
        <w:rPr>
          <w:noProof/>
          <w:sz w:val="22"/>
          <w:szCs w:val="22"/>
        </w:rPr>
        <w:t>Open Society Justice Initiative/Open Society European Policy Institute (Инициативата за правосъдие на фондация „Отворено общество“/Института за европейски политики на фондация „Отворено общество“)</w:t>
      </w:r>
    </w:p>
    <w:p>
      <w:pPr>
        <w:numPr>
          <w:ilvl w:val="0"/>
          <w:numId w:val="22"/>
        </w:numPr>
        <w:spacing w:after="0"/>
        <w:ind w:left="714" w:hanging="357"/>
        <w:jc w:val="left"/>
        <w:rPr>
          <w:noProof/>
          <w:sz w:val="22"/>
          <w:szCs w:val="22"/>
        </w:rPr>
      </w:pPr>
      <w:r>
        <w:rPr>
          <w:noProof/>
          <w:sz w:val="22"/>
          <w:szCs w:val="22"/>
        </w:rPr>
        <w:t xml:space="preserve">Reporters without Borders („Репортери без граници“) </w:t>
      </w:r>
    </w:p>
    <w:p>
      <w:pPr>
        <w:numPr>
          <w:ilvl w:val="0"/>
          <w:numId w:val="22"/>
        </w:numPr>
        <w:spacing w:after="0"/>
        <w:ind w:left="714" w:hanging="357"/>
        <w:jc w:val="left"/>
        <w:rPr>
          <w:noProof/>
          <w:sz w:val="22"/>
          <w:szCs w:val="22"/>
        </w:rPr>
      </w:pPr>
      <w:r>
        <w:rPr>
          <w:noProof/>
          <w:sz w:val="22"/>
          <w:szCs w:val="22"/>
        </w:rPr>
        <w:t xml:space="preserve">Transparency International EU („Прозрачност без граници“ ЕС) </w:t>
      </w:r>
    </w:p>
    <w:p>
      <w:pPr>
        <w:spacing w:after="120"/>
        <w:ind w:left="181" w:hanging="181"/>
        <w:rPr>
          <w:bCs/>
          <w:noProof/>
          <w:sz w:val="22"/>
          <w:szCs w:val="22"/>
        </w:rPr>
      </w:pPr>
    </w:p>
    <w:p>
      <w:pPr>
        <w:spacing w:after="120"/>
        <w:ind w:left="181" w:hanging="181"/>
        <w:rPr>
          <w:noProof/>
          <w:szCs w:val="24"/>
        </w:rPr>
      </w:pPr>
    </w:p>
    <w:p>
      <w:pPr>
        <w:rPr>
          <w:noProof/>
        </w:rPr>
      </w:pPr>
    </w:p>
    <w:sectPr>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sz w:val="20"/>
      </w:rPr>
    </w:pPr>
    <w:r>
      <w:rPr>
        <w:sz w:val="20"/>
      </w:rPr>
      <w:fldChar w:fldCharType="begin"/>
    </w:r>
    <w:r>
      <w:rPr>
        <w:sz w:val="20"/>
      </w:rPr>
      <w:instrText>PAGE   \* MERGEFORMAT</w:instrText>
    </w:r>
    <w:r>
      <w:rPr>
        <w:sz w:val="20"/>
      </w:rPr>
      <w:fldChar w:fldCharType="separate"/>
    </w:r>
    <w:r>
      <w:rPr>
        <w:noProof/>
        <w:sz w:val="20"/>
      </w:rPr>
      <w:t>2</w:t>
    </w:r>
    <w:r>
      <w:rP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219491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ind w:left="284" w:hanging="284"/>
      </w:pPr>
      <w:r>
        <w:rPr>
          <w:rStyle w:val="FootnoteReference"/>
        </w:rPr>
        <w:footnoteRef/>
      </w:r>
      <w:r>
        <w:t xml:space="preserve"> </w:t>
      </w:r>
      <w:r>
        <w:tab/>
        <w:t>Гражданският съд включва три различни отделения — Семейното отделение, Търговското отделение и Отделението за охранителни мерки.</w:t>
      </w:r>
    </w:p>
  </w:footnote>
  <w:footnote w:id="2">
    <w:p>
      <w:pPr>
        <w:pStyle w:val="FootnoteText"/>
        <w:spacing w:after="0"/>
        <w:ind w:left="284" w:hanging="284"/>
      </w:pPr>
      <w:r>
        <w:rPr>
          <w:rStyle w:val="FootnoteReference"/>
        </w:rPr>
        <w:footnoteRef/>
      </w:r>
      <w:r>
        <w:t xml:space="preserve"> </w:t>
      </w:r>
      <w:r>
        <w:tab/>
        <w:t>Комисията по правораздаване е пълноправен член на Европейската мрежа на съдебните съвети.</w:t>
      </w:r>
    </w:p>
  </w:footnote>
  <w:footnote w:id="3">
    <w:p>
      <w:pPr>
        <w:pStyle w:val="FootnoteText"/>
        <w:spacing w:after="0"/>
        <w:ind w:left="284" w:hanging="284"/>
      </w:pPr>
      <w:r>
        <w:rPr>
          <w:rStyle w:val="FootnoteReference"/>
        </w:rPr>
        <w:footnoteRef/>
      </w:r>
      <w:r>
        <w:t xml:space="preserve"> </w:t>
      </w:r>
      <w:r>
        <w:tab/>
        <w:t>Закон № XLIII от 2020 г. за изменение на Конституцията на Малта във връзка с назначаването на съдии и магистрати; Закон № XLV от 2020 г. за предвиждане на изменение на Конституцията на Малта и на Закона за Комисията по правораздаване, глава 369, във връзка с отстраняването от длъжност на съдии и магистрати; Закон № XLI от 2020 г. за продължаване на осъществяването на реформи в сферата на правосъдието чрез предвиждане на съдебен контрол по отношение на решения да не се провежда наказателно преследване и други решения на главния прокурор.</w:t>
      </w:r>
    </w:p>
  </w:footnote>
  <w:footnote w:id="4">
    <w:p>
      <w:pPr>
        <w:pStyle w:val="FootnoteText"/>
        <w:spacing w:after="0"/>
        <w:ind w:left="284" w:hanging="284"/>
        <w:rPr>
          <w:b/>
          <w:color w:val="C00000"/>
        </w:rPr>
      </w:pPr>
      <w:r>
        <w:rPr>
          <w:rStyle w:val="FootnoteReference"/>
        </w:rPr>
        <w:footnoteRef/>
      </w:r>
      <w:r>
        <w:t xml:space="preserve"> </w:t>
      </w:r>
      <w:r>
        <w:tab/>
        <w:t xml:space="preserve">Становище на Венецианската комисия (CDL-AD(2018)028). </w:t>
      </w:r>
    </w:p>
  </w:footnote>
  <w:footnote w:id="5">
    <w:p>
      <w:pPr>
        <w:pStyle w:val="FootnoteText"/>
        <w:spacing w:after="0"/>
        <w:ind w:left="284" w:hanging="284"/>
      </w:pPr>
      <w:r>
        <w:rPr>
          <w:rStyle w:val="FootnoteReference"/>
        </w:rPr>
        <w:footnoteRef/>
      </w:r>
      <w:r>
        <w:t xml:space="preserve"> </w:t>
      </w:r>
      <w:r>
        <w:tab/>
        <w:t>Становище на Венецианската комисия (CDL-AD(2020)006).</w:t>
      </w:r>
    </w:p>
  </w:footnote>
  <w:footnote w:id="6">
    <w:p>
      <w:pPr>
        <w:pStyle w:val="FootnoteText"/>
        <w:spacing w:after="0"/>
        <w:ind w:left="284" w:hanging="284"/>
      </w:pPr>
      <w:r>
        <w:rPr>
          <w:rStyle w:val="FootnoteReference"/>
        </w:rPr>
        <w:footnoteRef/>
      </w:r>
      <w:r>
        <w:t xml:space="preserve"> </w:t>
      </w:r>
      <w:r>
        <w:tab/>
        <w:t xml:space="preserve">Министър-председателят също така е можел да назначи лице, което не е преминало през процеса на проверка от страна на Комисията за назначенията в съдебната система, при спазване на определени изисквания за прозрачност. </w:t>
      </w:r>
    </w:p>
  </w:footnote>
  <w:footnote w:id="7">
    <w:p>
      <w:pPr>
        <w:pStyle w:val="FootnoteText"/>
        <w:spacing w:after="0"/>
        <w:ind w:left="284" w:hanging="284"/>
      </w:pPr>
      <w:r>
        <w:rPr>
          <w:rStyle w:val="FootnoteReference"/>
        </w:rPr>
        <w:footnoteRef/>
      </w:r>
      <w:r>
        <w:t xml:space="preserve"> </w:t>
      </w:r>
      <w:r>
        <w:tab/>
        <w:t>В съответствие с реформите Комисията за назначенията в съдебната система ще бъде съставена от председателя на Върховния съд, двама съдии и магистрат, избрани от своите колеги, генералния одитор, омбудсмана и председателя на Адвокатската камара.</w:t>
      </w:r>
    </w:p>
  </w:footnote>
  <w:footnote w:id="8">
    <w:p>
      <w:pPr>
        <w:pStyle w:val="FootnoteText"/>
        <w:spacing w:after="0"/>
        <w:ind w:left="284" w:hanging="284"/>
      </w:pPr>
      <w:r>
        <w:rPr>
          <w:rStyle w:val="FootnoteReference"/>
        </w:rPr>
        <w:footnoteRef/>
      </w:r>
      <w:r>
        <w:t xml:space="preserve"> </w:t>
      </w:r>
      <w:r>
        <w:tab/>
        <w:t>Имената на тримата одобрени кандидати ще бъдат оповестени публично. Министър-председателят вече няма да участва в процедурата по назначаване.</w:t>
      </w:r>
    </w:p>
  </w:footnote>
  <w:footnote w:id="9">
    <w:p>
      <w:pPr>
        <w:pStyle w:val="FootnoteText"/>
        <w:spacing w:after="0"/>
        <w:ind w:left="284" w:hanging="284"/>
      </w:pPr>
      <w:r>
        <w:rPr>
          <w:rStyle w:val="FootnoteReference"/>
        </w:rPr>
        <w:footnoteRef/>
      </w:r>
      <w:r>
        <w:t xml:space="preserve"> </w:t>
      </w:r>
      <w:r>
        <w:tab/>
        <w:t>Препоръка CM/Rec(2010)12 на Комитета на министрите до държавите членки относно съдиите: независимост, ефективност и отговорности, т. 47. Внесеният законопроект включва промени на Конституцията.</w:t>
      </w:r>
    </w:p>
  </w:footnote>
  <w:footnote w:id="10">
    <w:p>
      <w:pPr>
        <w:pStyle w:val="FootnoteText"/>
        <w:spacing w:after="0"/>
        <w:ind w:left="284" w:hanging="284"/>
      </w:pPr>
      <w:r>
        <w:rPr>
          <w:rStyle w:val="FootnoteReference"/>
        </w:rPr>
        <w:footnoteRef/>
      </w:r>
      <w:r>
        <w:t xml:space="preserve"> </w:t>
      </w:r>
      <w:r>
        <w:tab/>
        <w:t>Препоръка на Съвета от 20 юли 2020 г. относно националната програма за реформи на Малта за 2020 г. и съдържаща становище на Съвета относно програмата за стабилност на Малта за 2020 г., стр. 13. Наред с другото, в препоръката се отправя призив за приключване на всички реформи, насочени към преодоляване на настоящите недостатъци в институционалния капацитет и управлението, за да се повиши независимостта на съдебната система.</w:t>
      </w:r>
    </w:p>
  </w:footnote>
  <w:footnote w:id="11">
    <w:p>
      <w:pPr>
        <w:spacing w:after="0"/>
        <w:ind w:left="284" w:hanging="284"/>
      </w:pPr>
      <w:r>
        <w:rPr>
          <w:rStyle w:val="FootnoteReference"/>
        </w:rPr>
        <w:footnoteRef/>
      </w:r>
      <w:r>
        <w:t xml:space="preserve"> </w:t>
      </w:r>
      <w:r>
        <w:tab/>
      </w:r>
      <w:r>
        <w:rPr>
          <w:sz w:val="20"/>
        </w:rPr>
        <w:t>Резолюция на Европейския парламент от 18 декември 2019 г. относно принципите на правовата държава в Малта след неотдавнашните разкрития за убийството на Дафне Каруана Галиция; Резолюция на Европейския парламент от 28  март 2019 г. относно положението по отношение на принципите на правовата държава и борбата срещу корупцията в ЕС, по-специално в Малта и Словакия; Резолюция на Европейския парламент от 15  ноември 2017 г. относно принципите на правовата държава в Малта. В тези резолюции не само се изразяват опасения във връзка с правосъдната система в Малта, но също и по отношение на уредбата за борба с корупцията, медийния плурализъм и други институционални въпроси, свързани с принципа на взаимозависимост и взаимоограничаване, които са разгледани в раздели II, III и IV</w:t>
      </w:r>
      <w:r>
        <w:t xml:space="preserve"> </w:t>
      </w:r>
      <w:r>
        <w:rPr>
          <w:sz w:val="20"/>
        </w:rPr>
        <w:t>от настоящата глава за Малта.</w:t>
      </w:r>
    </w:p>
  </w:footnote>
  <w:footnote w:id="12">
    <w:p>
      <w:pPr>
        <w:pStyle w:val="FootnoteText"/>
        <w:spacing w:after="0"/>
        <w:ind w:left="284" w:hanging="284"/>
      </w:pPr>
      <w:r>
        <w:rPr>
          <w:rStyle w:val="FootnoteReference"/>
        </w:rPr>
        <w:footnoteRef/>
      </w:r>
      <w:r>
        <w:t xml:space="preserve"> </w:t>
      </w:r>
      <w:r>
        <w:tab/>
        <w:t>Становище на Венецианската комисия (CDL-AD(2020)006).</w:t>
      </w:r>
    </w:p>
  </w:footnote>
  <w:footnote w:id="13">
    <w:p>
      <w:pPr>
        <w:pStyle w:val="FootnoteText"/>
        <w:spacing w:after="0"/>
        <w:ind w:left="284" w:hanging="284"/>
      </w:pPr>
      <w:r>
        <w:rPr>
          <w:rStyle w:val="FootnoteReference"/>
        </w:rPr>
        <w:footnoteRef/>
      </w:r>
      <w:r>
        <w:t xml:space="preserve"> </w:t>
      </w:r>
      <w:r>
        <w:tab/>
        <w:t>Очаква се това становище да бъде прието през октомври 2020 г.</w:t>
      </w:r>
    </w:p>
  </w:footnote>
  <w:footnote w:id="14">
    <w:p>
      <w:pPr>
        <w:pStyle w:val="FootnoteText"/>
        <w:spacing w:after="0"/>
        <w:ind w:left="284" w:hanging="284"/>
      </w:pPr>
      <w:r>
        <w:rPr>
          <w:rStyle w:val="FootnoteReference"/>
        </w:rPr>
        <w:footnoteRef/>
      </w:r>
      <w:r>
        <w:t xml:space="preserve"> </w:t>
      </w:r>
      <w:r>
        <w:tab/>
        <w:t>Съгласно предишния режим председателят на Върховния съд е бил назначаван от президента в съответствие с препоръките на министър-председателя без участието на Комисията за назначенията в съдебната система. При все това, макар че не е съществувало подобно правно задължение, тъй като новите правни разпоредби все още не са били влезли в сила, настоящият председател на Върховния съд на Малта е избран със съгласието на опозицията и е одобрен единодушно от парламента.</w:t>
      </w:r>
    </w:p>
  </w:footnote>
  <w:footnote w:id="15">
    <w:p>
      <w:pPr>
        <w:pStyle w:val="FootnoteText"/>
        <w:spacing w:after="0"/>
        <w:ind w:left="284" w:hanging="284"/>
      </w:pPr>
      <w:r>
        <w:rPr>
          <w:rStyle w:val="FootnoteReference"/>
        </w:rPr>
        <w:footnoteRef/>
      </w:r>
      <w:r>
        <w:t xml:space="preserve"> </w:t>
      </w:r>
      <w:r>
        <w:tab/>
        <w:t xml:space="preserve">В съответствие с новите правила, ако не бъде постигнато мнозинство от две трети в парламента, лицето, което заема длъжността председател на Върховния съд, при всички положения остава на служба, дори да е навършило 65 години. </w:t>
      </w:r>
    </w:p>
  </w:footnote>
  <w:footnote w:id="16">
    <w:p>
      <w:pPr>
        <w:pStyle w:val="FootnoteText"/>
        <w:spacing w:after="0"/>
        <w:ind w:left="284" w:hanging="284"/>
      </w:pPr>
      <w:r>
        <w:rPr>
          <w:rStyle w:val="FootnoteReference"/>
        </w:rPr>
        <w:footnoteRef/>
      </w:r>
      <w:r>
        <w:t xml:space="preserve"> </w:t>
      </w:r>
      <w:r>
        <w:tab/>
        <w:t xml:space="preserve">По-специално Венецианската комисия препоръча председателят на Върховния съд да се назначава по същия начин като останалите съдии или да се прибягва до неутрален орган, ако се стигне до безизходно положение в парламента. </w:t>
      </w:r>
    </w:p>
  </w:footnote>
  <w:footnote w:id="17">
    <w:p>
      <w:pPr>
        <w:pStyle w:val="FootnoteText"/>
        <w:spacing w:after="0"/>
        <w:ind w:left="284" w:hanging="284"/>
      </w:pPr>
      <w:r>
        <w:rPr>
          <w:rStyle w:val="FootnoteReference"/>
        </w:rPr>
        <w:footnoteRef/>
      </w:r>
      <w:r>
        <w:t xml:space="preserve"> </w:t>
      </w:r>
      <w:r>
        <w:tab/>
        <w:t>Становище на Венецианската комисия (CDL-AD(2018)028, т. 52—53).</w:t>
      </w:r>
    </w:p>
  </w:footnote>
  <w:footnote w:id="18">
    <w:p>
      <w:pPr>
        <w:pStyle w:val="FootnoteText"/>
        <w:spacing w:after="0"/>
        <w:ind w:left="284" w:hanging="284"/>
      </w:pPr>
      <w:r>
        <w:rPr>
          <w:rStyle w:val="FootnoteReference"/>
        </w:rPr>
        <w:footnoteRef/>
      </w:r>
      <w:r>
        <w:t xml:space="preserve"> </w:t>
      </w:r>
      <w:r>
        <w:tab/>
        <w:t xml:space="preserve">Европейският съд по правата на човека подчерта, че съдилищата, които осъществяват съдебен контрол в случай на отстраняване от длъжност на членове на съдебната система, трябва да бъдат компетентни да разгледат всички фактически и правни въпроси от значение за спора, с който са сезирани. Решение, постановено от състав на Европейския съд по правата на човека, 5 май 2020 г., </w:t>
      </w:r>
      <w:r>
        <w:rPr>
          <w:i/>
        </w:rPr>
        <w:t>Kövesi/Румъния</w:t>
      </w:r>
      <w:r>
        <w:t xml:space="preserve">, № 3594/19, и решение, постановено от голям състав на Европейския съд по правата на човека, 6 ноември 2018 г., </w:t>
      </w:r>
      <w:r>
        <w:rPr>
          <w:i/>
        </w:rPr>
        <w:t>Ramos Nunes de Carvalho e Sá/Португалия,</w:t>
      </w:r>
      <w:r>
        <w:t xml:space="preserve"> жалби № 55391/13, № 57728/13 и № 74041/13.</w:t>
      </w:r>
    </w:p>
  </w:footnote>
  <w:footnote w:id="19">
    <w:p>
      <w:pPr>
        <w:pStyle w:val="FootnoteText"/>
        <w:spacing w:after="0"/>
        <w:ind w:left="284" w:hanging="284"/>
      </w:pPr>
      <w:r>
        <w:rPr>
          <w:rStyle w:val="FootnoteReference"/>
        </w:rPr>
        <w:footnoteRef/>
      </w:r>
      <w:r>
        <w:t xml:space="preserve"> </w:t>
      </w:r>
      <w:r>
        <w:tab/>
        <w:t xml:space="preserve">Венецианска комисия, Списък на критериите за правова държава (CDL-AD(2016)017, т. 78). Вж. също така Препоръка CM/Rec(2010)12 на Комитета на министрите до държавите членки относно съдиите: независимост, ефективност и отговорности, т. 69, и доклада на Венецианската комисия (CDL-AD(2010)004, т. 43). Според практиката на Съда на ЕС (решение от 25 юли 2018 г., </w:t>
      </w:r>
      <w:r>
        <w:rPr>
          <w:i/>
        </w:rPr>
        <w:t>LM</w:t>
      </w:r>
      <w:r>
        <w:t>, C‑216/18 PPU, т. 67) изискването за независимост налага също дисциплинарният режим на съдиите да включва необходимите гаранции за пълното избягване на риска от използване на подобен режим като система за политически контрол на съдържанието на съдебните решения. В това отношение въвеждането на правила, определящи по-конкретно както действията, които представляват дисциплинарни нарушения, така и конкретно приложимите санкции, които предвиждат намесата на независим орган по реда на процедура, гарантираща изцяло прогласените в членове 47 и 48 от Хартата права, по-конкретно правото на защита, и които закрепват възможността за оспорване пред съд на решенията на дисциплинарните органи, представлява набор от съществени гаранции за целите на опазването на независимостта на съдебната власт.</w:t>
      </w:r>
    </w:p>
  </w:footnote>
  <w:footnote w:id="20">
    <w:p>
      <w:pPr>
        <w:pStyle w:val="FootnoteText"/>
        <w:spacing w:after="0"/>
        <w:ind w:left="284" w:hanging="284"/>
      </w:pPr>
      <w:r>
        <w:rPr>
          <w:rStyle w:val="FootnoteReference"/>
        </w:rPr>
        <w:footnoteRef/>
      </w:r>
      <w:r>
        <w:t xml:space="preserve"> </w:t>
      </w:r>
      <w:r>
        <w:tab/>
        <w:t>Становище на Венецианската комисия (CDL-AD(2020)006, т. 46—52).</w:t>
      </w:r>
    </w:p>
  </w:footnote>
  <w:footnote w:id="21">
    <w:p>
      <w:pPr>
        <w:pStyle w:val="FootnoteText"/>
        <w:spacing w:after="0"/>
        <w:ind w:left="284" w:hanging="284"/>
      </w:pPr>
      <w:r>
        <w:rPr>
          <w:rStyle w:val="FootnoteReference"/>
        </w:rPr>
        <w:footnoteRef/>
      </w:r>
      <w:r>
        <w:t xml:space="preserve"> </w:t>
      </w:r>
      <w:r>
        <w:tab/>
        <w:t>Очаква се това становище да бъде прието през октомври 2020 г.</w:t>
      </w:r>
    </w:p>
  </w:footnote>
  <w:footnote w:id="22">
    <w:p>
      <w:pPr>
        <w:pStyle w:val="FootnoteText"/>
        <w:spacing w:after="0"/>
        <w:ind w:left="284" w:hanging="284"/>
      </w:pPr>
      <w:r>
        <w:rPr>
          <w:rStyle w:val="FootnoteReference"/>
        </w:rPr>
        <w:footnoteRef/>
      </w:r>
      <w:r>
        <w:t xml:space="preserve"> </w:t>
      </w:r>
      <w:r>
        <w:tab/>
        <w:t>Графики 44 и 46, Информационно табло на ЕС в областта на правосъдието за 2020 г. Равнището на усещане за независимост на съдебната власт се категоризира по следния начин: много ниско (под 30 % от респондентите считат, че равнището на независимост на съдилищата е относително добро и много добро); ниско (между 30—39 %), средно (между 40—59 %), високо (между 60—75 %), много високо (над 75 %).</w:t>
      </w:r>
    </w:p>
  </w:footnote>
  <w:footnote w:id="23">
    <w:p>
      <w:pPr>
        <w:pStyle w:val="FootnoteText"/>
        <w:spacing w:after="0"/>
        <w:ind w:left="284" w:hanging="284"/>
      </w:pPr>
      <w:r>
        <w:rPr>
          <w:rStyle w:val="FootnoteReference"/>
        </w:rPr>
        <w:footnoteRef/>
      </w:r>
      <w:r>
        <w:t xml:space="preserve"> </w:t>
      </w:r>
      <w:r>
        <w:tab/>
        <w:t xml:space="preserve">Наказателните преследвания пред нисшестоящите съдилища се извършваха от полицията, докато наказателните преследвания пред висшите съдилища се провеждаха от главния прокурор. </w:t>
      </w:r>
    </w:p>
  </w:footnote>
  <w:footnote w:id="24">
    <w:p>
      <w:pPr>
        <w:pStyle w:val="FootnoteText"/>
        <w:spacing w:after="0"/>
        <w:ind w:left="284" w:hanging="284"/>
      </w:pPr>
      <w:r>
        <w:rPr>
          <w:rStyle w:val="FootnoteReference"/>
        </w:rPr>
        <w:footnoteRef/>
      </w:r>
      <w:r>
        <w:t xml:space="preserve"> </w:t>
      </w:r>
      <w:r>
        <w:tab/>
        <w:t xml:space="preserve">Становище на Венецианската комисия (CDL-AD(2018)028, т. 54—73). </w:t>
      </w:r>
    </w:p>
  </w:footnote>
  <w:footnote w:id="25">
    <w:p>
      <w:pPr>
        <w:pStyle w:val="FootnoteText"/>
        <w:spacing w:after="0"/>
        <w:ind w:left="284" w:hanging="284"/>
      </w:pPr>
      <w:r>
        <w:rPr>
          <w:rStyle w:val="FootnoteReference"/>
        </w:rPr>
        <w:footnoteRef/>
      </w:r>
      <w:r>
        <w:t xml:space="preserve"> </w:t>
      </w:r>
      <w:r>
        <w:tab/>
        <w:t>Вж. предходната бележка.</w:t>
      </w:r>
    </w:p>
  </w:footnote>
  <w:footnote w:id="26">
    <w:p>
      <w:pPr>
        <w:pStyle w:val="FootnoteText"/>
        <w:spacing w:after="0"/>
        <w:ind w:left="284" w:hanging="284"/>
      </w:pPr>
      <w:r>
        <w:rPr>
          <w:rStyle w:val="FootnoteReference"/>
        </w:rPr>
        <w:footnoteRef/>
      </w:r>
      <w:r>
        <w:t xml:space="preserve"> </w:t>
      </w:r>
      <w:r>
        <w:tab/>
        <w:t>Понастоящем се провежда процедура за наемане на нови служители за прокуратурата.</w:t>
      </w:r>
    </w:p>
  </w:footnote>
  <w:footnote w:id="27">
    <w:p>
      <w:pPr>
        <w:pStyle w:val="FootnoteText"/>
        <w:spacing w:after="0"/>
        <w:ind w:left="284" w:hanging="284"/>
      </w:pPr>
      <w:r>
        <w:rPr>
          <w:rStyle w:val="FootnoteReference"/>
        </w:rPr>
        <w:footnoteRef/>
      </w:r>
      <w:r>
        <w:t xml:space="preserve"> </w:t>
      </w:r>
      <w:r>
        <w:tab/>
        <w:t>Становище на Венецианската комисия (CDL-AD(2020)006, т. 56).</w:t>
      </w:r>
    </w:p>
  </w:footnote>
  <w:footnote w:id="28">
    <w:p>
      <w:pPr>
        <w:pStyle w:val="FootnoteText"/>
        <w:spacing w:after="0"/>
        <w:ind w:left="284" w:hanging="284"/>
      </w:pPr>
      <w:r>
        <w:rPr>
          <w:rStyle w:val="FootnoteReference"/>
        </w:rPr>
        <w:footnoteRef/>
      </w:r>
      <w:r>
        <w:t xml:space="preserve"> </w:t>
      </w:r>
      <w:r>
        <w:tab/>
        <w:t>Европейска комисия, Country Report Malta 2020 (SWD(2020) 517 final, стр. 41). На 15 август 2020 г. действащият главен прокурор подаде оставка, която влeзe в сила на 9 септември 2020 г. След подаването на оставката бе създадена Kомисия за назначение съгласно член 2, параграф 2, буква а) от Наредбата за главния прокурор (глава 90).</w:t>
      </w:r>
    </w:p>
  </w:footnote>
  <w:footnote w:id="29">
    <w:p>
      <w:pPr>
        <w:pStyle w:val="FootnoteText"/>
        <w:spacing w:after="0"/>
        <w:ind w:left="284" w:hanging="284"/>
      </w:pPr>
      <w:r>
        <w:rPr>
          <w:rStyle w:val="FootnoteReference"/>
        </w:rPr>
        <w:footnoteRef/>
      </w:r>
      <w:r>
        <w:t xml:space="preserve"> </w:t>
      </w:r>
      <w:r>
        <w:tab/>
        <w:t xml:space="preserve">Становище на Венецианската комисия (CDL-AD(2020)006, т. 97—98). </w:t>
      </w:r>
    </w:p>
  </w:footnote>
  <w:footnote w:id="30">
    <w:p>
      <w:pPr>
        <w:pStyle w:val="FootnoteText"/>
        <w:ind w:left="284" w:hanging="284"/>
      </w:pPr>
      <w:r>
        <w:rPr>
          <w:rStyle w:val="FootnoteReference"/>
        </w:rPr>
        <w:footnoteRef/>
      </w:r>
      <w:r>
        <w:t xml:space="preserve"> </w:t>
      </w:r>
      <w:r>
        <w:tab/>
        <w:t>През юли 2020 г. започна финансирана от ЕС обществена консултация, която ще бъде наблюдавана от Европейската комисия за ефикасност на правосъдието (CEPEJ).</w:t>
      </w:r>
    </w:p>
  </w:footnote>
  <w:footnote w:id="31">
    <w:p>
      <w:pPr>
        <w:pStyle w:val="FootnoteText"/>
        <w:spacing w:after="0"/>
        <w:ind w:left="284" w:hanging="284"/>
      </w:pPr>
      <w:r>
        <w:rPr>
          <w:rStyle w:val="FootnoteReference"/>
        </w:rPr>
        <w:footnoteRef/>
      </w:r>
      <w:r>
        <w:t xml:space="preserve"> </w:t>
      </w:r>
      <w:r>
        <w:tab/>
        <w:t>Графики 32 и 33 от Информационното табло на ЕС в областта на правосъдието за 2020 г. показват, че общите държавни разходи за съдилищата остават на средно равнище в сравнение с останалите държави членки. Според информацията, предоставена от малтийските органи, бюджетът на Комитета за съдебно обучение е бил увеличен от 9000 EUR годишно на 20 000 EUR.</w:t>
      </w:r>
    </w:p>
  </w:footnote>
  <w:footnote w:id="32">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графика 38.</w:t>
      </w:r>
    </w:p>
  </w:footnote>
  <w:footnote w:id="33">
    <w:p>
      <w:pPr>
        <w:pStyle w:val="FootnoteText"/>
        <w:spacing w:after="0"/>
        <w:ind w:left="284" w:hanging="284"/>
      </w:pPr>
      <w:r>
        <w:rPr>
          <w:rStyle w:val="FootnoteReference"/>
        </w:rPr>
        <w:footnoteRef/>
      </w:r>
      <w:r>
        <w:t xml:space="preserve"> </w:t>
      </w:r>
      <w:r>
        <w:tab/>
        <w:t xml:space="preserve">Група държави срещу корупцията (GRECO), Fourth Evaluation Round, Second Compliance Report on Malta, препоръка vi. </w:t>
      </w:r>
    </w:p>
  </w:footnote>
  <w:footnote w:id="34">
    <w:p>
      <w:pPr>
        <w:pStyle w:val="FootnoteText"/>
        <w:spacing w:after="0"/>
        <w:ind w:left="284" w:hanging="284"/>
      </w:pPr>
      <w:r>
        <w:rPr>
          <w:rStyle w:val="FootnoteReference"/>
        </w:rPr>
        <w:footnoteRef/>
      </w:r>
      <w:r>
        <w:t xml:space="preserve"> </w:t>
      </w:r>
      <w:r>
        <w:tab/>
        <w:t>От 2018 г. насам Европейската комисия предоставя помощ на Малта за реформи в съдебния сектор чрез Програмата за подкрепа на структурните реформи във връзка с: i) подобряване на ефикасността и качеството на правосъдната система чрез намаляване на продължителността на производствата пред Съда на магистратите, оценка на работата на Апелативния съд и осигуряване на подкрепа за разработването на стратегия за човешките ресурси; ii) установяване на цифрова стратегия за малтийската правосъдна система; iii) подпомагане на реорганизацията на службата на главния прокурор и службата на държавния адвокат.</w:t>
      </w:r>
    </w:p>
  </w:footnote>
  <w:footnote w:id="35">
    <w:p>
      <w:pPr>
        <w:pStyle w:val="FootnoteText"/>
        <w:spacing w:after="0"/>
        <w:ind w:left="284" w:hanging="284"/>
      </w:pPr>
      <w:r>
        <w:rPr>
          <w:rStyle w:val="FootnoteReference"/>
        </w:rPr>
        <w:footnoteRef/>
      </w:r>
      <w:r>
        <w:t xml:space="preserve"> </w:t>
      </w:r>
      <w:r>
        <w:tab/>
        <w:t xml:space="preserve">Информационно табло на ЕС в областта на правосъдието за 2020 г., графика 6. </w:t>
      </w:r>
    </w:p>
  </w:footnote>
  <w:footnote w:id="36">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графика 7.</w:t>
      </w:r>
    </w:p>
  </w:footnote>
  <w:footnote w:id="37">
    <w:p>
      <w:pPr>
        <w:pStyle w:val="FootnoteText"/>
        <w:spacing w:after="0"/>
        <w:ind w:left="284" w:hanging="284"/>
      </w:pPr>
      <w:r>
        <w:rPr>
          <w:rStyle w:val="FootnoteReference"/>
        </w:rPr>
        <w:footnoteRef/>
      </w:r>
      <w:r>
        <w:t xml:space="preserve"> </w:t>
      </w:r>
      <w:r>
        <w:tab/>
        <w:t xml:space="preserve">Информационно табло на ЕС в областта на правосъдието за 2020 г., графика 8. </w:t>
      </w:r>
    </w:p>
  </w:footnote>
  <w:footnote w:id="38">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графика 35.</w:t>
      </w:r>
    </w:p>
  </w:footnote>
  <w:footnote w:id="39">
    <w:p>
      <w:pPr>
        <w:pStyle w:val="FootnoteText"/>
        <w:spacing w:after="0"/>
        <w:ind w:left="284" w:hanging="284"/>
      </w:pPr>
      <w:r>
        <w:rPr>
          <w:rStyle w:val="FootnoteReference"/>
        </w:rPr>
        <w:footnoteRef/>
      </w:r>
      <w:r>
        <w:t xml:space="preserve"> </w:t>
      </w:r>
      <w:r>
        <w:tab/>
        <w:t xml:space="preserve">Информационно табло на ЕС в областта на правосъдието за 2020 г., графика 21. </w:t>
      </w:r>
    </w:p>
  </w:footnote>
  <w:footnote w:id="40">
    <w:p>
      <w:pPr>
        <w:pStyle w:val="FootnoteText"/>
        <w:spacing w:after="0"/>
        <w:ind w:left="284" w:hanging="284"/>
      </w:pPr>
      <w:r>
        <w:rPr>
          <w:rStyle w:val="FootnoteReference"/>
        </w:rPr>
        <w:footnoteRef/>
      </w:r>
      <w:r>
        <w:t xml:space="preserve"> </w:t>
      </w:r>
      <w:r>
        <w:tab/>
        <w:t xml:space="preserve">През периода, в който съдилищата бяха затворени, Адвокатската камара неколкократно призова за въвеждането на виртуални заседания, включително в доклад, озаглавен Report on how the Court can function in the current situation due to the COVID-19 pandemic, публикуван на 20 април 2020 г. </w:t>
      </w:r>
    </w:p>
  </w:footnote>
  <w:footnote w:id="41">
    <w:p>
      <w:pPr>
        <w:pStyle w:val="FootnoteText"/>
        <w:spacing w:after="0"/>
        <w:ind w:left="284" w:hanging="284"/>
      </w:pPr>
      <w:r>
        <w:rPr>
          <w:rStyle w:val="FootnoteReference"/>
        </w:rPr>
        <w:footnoteRef/>
      </w:r>
      <w:r>
        <w:t xml:space="preserve"> </w:t>
      </w:r>
      <w:r>
        <w:tab/>
        <w:t>Всички съдилища бяха отворени отново, включително висшите и нисшестоящите съдилища и апелативните съдилища, независимо от тяхната компетентност или юрисдикция, всички съдилища, създадени по закон, както и всички съвети, комисии, комитети или други органи, пред които се провеждат производства или процедури и които са обхванати от правни или административни срокове за подаване на искове, защита или други актове.</w:t>
      </w:r>
    </w:p>
  </w:footnote>
  <w:footnote w:id="42">
    <w:p>
      <w:pPr>
        <w:pStyle w:val="FootnoteText"/>
        <w:spacing w:after="0"/>
        <w:ind w:left="284" w:hanging="284"/>
      </w:pPr>
      <w:r>
        <w:rPr>
          <w:rStyle w:val="FootnoteReference"/>
        </w:rPr>
        <w:footnoteRef/>
      </w:r>
      <w:r>
        <w:t xml:space="preserve"> </w:t>
      </w:r>
      <w:r>
        <w:tab/>
        <w:t xml:space="preserve">Глава 9 от Законите на Малта. </w:t>
      </w:r>
    </w:p>
  </w:footnote>
  <w:footnote w:id="43">
    <w:p>
      <w:pPr>
        <w:pStyle w:val="FootnoteText"/>
        <w:spacing w:after="0"/>
        <w:ind w:left="284" w:hanging="284"/>
      </w:pPr>
      <w:r>
        <w:rPr>
          <w:rStyle w:val="FootnoteReference"/>
        </w:rPr>
        <w:footnoteRef/>
      </w:r>
      <w:r>
        <w:t xml:space="preserve"> </w:t>
      </w:r>
      <w:r>
        <w:tab/>
        <w:t>Закон № XLVI от 2020 г. за изменение на различни закони с цел реформа на процедурата, чрез която се извършват назначенията в Постоянната комисия срещу корупцията. Закон № XLI от 2020 г. за продължаване на осъществяването на реформи в сферата на правосъдието чрез предвиждане на съдебен контрол по отношение на решения да не се провежда наказателно преследване и други решения на главния прокурор.</w:t>
      </w:r>
    </w:p>
  </w:footnote>
  <w:footnote w:id="44">
    <w:p>
      <w:pPr>
        <w:pStyle w:val="FootnoteText"/>
        <w:spacing w:after="0"/>
        <w:ind w:left="284" w:hanging="284"/>
      </w:pPr>
      <w:r>
        <w:rPr>
          <w:rStyle w:val="FootnoteReference"/>
        </w:rPr>
        <w:footnoteRef/>
      </w:r>
      <w:r>
        <w:t xml:space="preserve"> </w:t>
      </w:r>
      <w:r>
        <w:tab/>
        <w:t>„Прозрачност без граници“ (Transparency International) (2020 г.), Индекс за възприятие на корупцията за 2019 г.</w:t>
      </w:r>
    </w:p>
  </w:footnote>
  <w:footnote w:id="45">
    <w:p>
      <w:pPr>
        <w:pStyle w:val="FootnoteText"/>
        <w:spacing w:after="0"/>
        <w:ind w:left="284" w:hanging="284"/>
      </w:pPr>
      <w:r>
        <w:rPr>
          <w:rStyle w:val="FootnoteReference"/>
        </w:rPr>
        <w:footnoteRef/>
      </w:r>
      <w:r>
        <w:t xml:space="preserve"> </w:t>
      </w:r>
      <w:r>
        <w:tab/>
        <w:t xml:space="preserve">Специално проучване на Евробарометър № 502. </w:t>
      </w:r>
    </w:p>
  </w:footnote>
  <w:footnote w:id="46">
    <w:p>
      <w:pPr>
        <w:pStyle w:val="FootnoteText"/>
        <w:spacing w:after="0"/>
        <w:ind w:left="284" w:hanging="284"/>
      </w:pPr>
      <w:r>
        <w:rPr>
          <w:rStyle w:val="FootnoteReference"/>
        </w:rPr>
        <w:footnoteRef/>
      </w:r>
      <w:r>
        <w:t xml:space="preserve"> </w:t>
      </w:r>
      <w:r>
        <w:tab/>
        <w:t xml:space="preserve">Експресно проучване на Евробарометър № 482 (2019 г.). </w:t>
      </w:r>
    </w:p>
  </w:footnote>
  <w:footnote w:id="47">
    <w:p>
      <w:pPr>
        <w:pStyle w:val="FootnoteText"/>
        <w:spacing w:after="0"/>
        <w:ind w:left="284" w:hanging="284"/>
      </w:pPr>
      <w:r>
        <w:rPr>
          <w:rStyle w:val="FootnoteReference"/>
        </w:rPr>
        <w:footnoteRef/>
      </w:r>
      <w:r>
        <w:t xml:space="preserve"> </w:t>
      </w:r>
      <w:r>
        <w:tab/>
        <w:t xml:space="preserve">Европейска комисия, Country Report Malta 2019 (SWD(2019) 1017 final, стр. 41). </w:t>
      </w:r>
    </w:p>
  </w:footnote>
  <w:footnote w:id="48">
    <w:p>
      <w:pPr>
        <w:pStyle w:val="FootnoteText"/>
        <w:spacing w:after="0"/>
        <w:ind w:left="284" w:hanging="284"/>
      </w:pPr>
      <w:r>
        <w:rPr>
          <w:rStyle w:val="FootnoteReference"/>
        </w:rPr>
        <w:footnoteRef/>
      </w:r>
      <w:r>
        <w:t xml:space="preserve"> </w:t>
      </w:r>
      <w:r>
        <w:tab/>
        <w:t>Европейска комисия, Country Report Malta 2019 (SWD(2019) 1017 final, стр. 41). Група държави срещу корупцията (GRECO) (2019 г.), Fifth Evaluation Round, Evaluation Report; Становище на Венецианската комисия (CDL-AD(2018)028, т. 72).</w:t>
      </w:r>
    </w:p>
  </w:footnote>
  <w:footnote w:id="49">
    <w:p>
      <w:pPr>
        <w:pStyle w:val="FootnoteText"/>
        <w:spacing w:after="0"/>
        <w:ind w:left="284" w:hanging="284"/>
      </w:pPr>
      <w:r>
        <w:rPr>
          <w:rStyle w:val="FootnoteReference"/>
        </w:rPr>
        <w:footnoteRef/>
      </w:r>
      <w:r>
        <w:t xml:space="preserve"> </w:t>
      </w:r>
      <w:r>
        <w:tab/>
        <w:t>В съответствие с новата процедура, ако не бъде постигнато мнозинство от две трети в парламента, лицето, което заема длъжността председател, при всички положения остава на служба.</w:t>
      </w:r>
    </w:p>
  </w:footnote>
  <w:footnote w:id="50">
    <w:p>
      <w:pPr>
        <w:pStyle w:val="FootnoteText"/>
        <w:spacing w:after="0"/>
        <w:ind w:left="284" w:hanging="284"/>
      </w:pPr>
      <w:r>
        <w:rPr>
          <w:rStyle w:val="FootnoteReference"/>
        </w:rPr>
        <w:footnoteRef/>
      </w:r>
      <w:r>
        <w:t xml:space="preserve"> </w:t>
      </w:r>
      <w:r>
        <w:tab/>
        <w:t>На 29 юли 2020 г. бяха приети подобни разпоредби и за омбудсмана. По-специално, ако по време или след приключването на разследване омбудсманът е на мнение, че са налице доказателства за корупционна практика съгласно определението в Закона за Постоянната комисия срещу корупцията, той може да представи своите констатации директно на главния прокурор. През юли 2020 г. в парламента бяха внесени подобни разпоредби по отношение на комисаря по стандартите в обществения живот и генералния одитор.</w:t>
      </w:r>
    </w:p>
  </w:footnote>
  <w:footnote w:id="51">
    <w:p>
      <w:pPr>
        <w:pStyle w:val="FootnoteText"/>
        <w:spacing w:after="0"/>
        <w:ind w:left="284" w:hanging="284"/>
      </w:pPr>
      <w:r>
        <w:rPr>
          <w:rStyle w:val="FootnoteReference"/>
        </w:rPr>
        <w:footnoteRef/>
      </w:r>
      <w:r>
        <w:t xml:space="preserve"> </w:t>
      </w:r>
      <w:r>
        <w:tab/>
        <w:t>Понастоящем PCAC е в състав от трима членове и секретар на пълно работно време.</w:t>
      </w:r>
    </w:p>
  </w:footnote>
  <w:footnote w:id="52">
    <w:p>
      <w:pPr>
        <w:pStyle w:val="FootnoteText"/>
        <w:spacing w:after="0"/>
        <w:ind w:left="284" w:hanging="284"/>
      </w:pPr>
      <w:r>
        <w:rPr>
          <w:rStyle w:val="FootnoteReference"/>
        </w:rPr>
        <w:footnoteRef/>
      </w:r>
      <w:r>
        <w:t xml:space="preserve"> </w:t>
      </w:r>
      <w:r>
        <w:tab/>
        <w:t>Очаква се това становище да бъде прието през октомври 2020 г.</w:t>
      </w:r>
    </w:p>
  </w:footnote>
  <w:footnote w:id="53">
    <w:p>
      <w:pPr>
        <w:pStyle w:val="FootnoteText"/>
        <w:spacing w:after="0"/>
        <w:ind w:left="284" w:hanging="284"/>
      </w:pPr>
      <w:r>
        <w:rPr>
          <w:rStyle w:val="FootnoteReference"/>
        </w:rPr>
        <w:footnoteRef/>
      </w:r>
      <w:r>
        <w:t xml:space="preserve"> </w:t>
      </w:r>
      <w:r>
        <w:tab/>
        <w:t>Група държави срещу корупцията (GRECO) (2019 г.), Fifth Evaluation Round, Evaluation Report, т. 107.</w:t>
      </w:r>
    </w:p>
  </w:footnote>
  <w:footnote w:id="54">
    <w:p>
      <w:pPr>
        <w:pStyle w:val="FootnoteText"/>
        <w:spacing w:after="0"/>
        <w:ind w:left="284" w:hanging="284"/>
      </w:pPr>
      <w:r>
        <w:rPr>
          <w:rStyle w:val="FootnoteReference"/>
        </w:rPr>
        <w:footnoteRef/>
      </w:r>
      <w:r>
        <w:t xml:space="preserve"> </w:t>
      </w:r>
      <w:r>
        <w:tab/>
        <w:t>Европейска комисия, Country Report Malta 2020 (SWD(2020) 517 final, стр. 40—41).</w:t>
      </w:r>
    </w:p>
  </w:footnote>
  <w:footnote w:id="55">
    <w:p>
      <w:pPr>
        <w:pStyle w:val="FootnoteText"/>
        <w:spacing w:after="0"/>
        <w:ind w:left="284" w:hanging="284"/>
      </w:pPr>
      <w:r>
        <w:rPr>
          <w:rStyle w:val="FootnoteReference"/>
        </w:rPr>
        <w:footnoteRef/>
      </w:r>
      <w:r>
        <w:t xml:space="preserve"> </w:t>
      </w:r>
      <w:r>
        <w:tab/>
        <w:t xml:space="preserve">Резолюция на Европейския парламент от 18 декември 2019 г. относно принципите на правовата държава в Малта след неотдавнашните разкрития за убийството на Дафне Каруана Галиция. Резолюция на Европейския парламент от 28 март 2019 г. относно положението по отношение на принципите на правовата държава и борбата срещу корупцията в ЕС, по-специално в Малта и Словакия. </w:t>
      </w:r>
    </w:p>
  </w:footnote>
  <w:footnote w:id="56">
    <w:p>
      <w:pPr>
        <w:autoSpaceDE w:val="0"/>
        <w:autoSpaceDN w:val="0"/>
        <w:adjustRightInd w:val="0"/>
        <w:spacing w:after="0"/>
        <w:ind w:left="284" w:hanging="284"/>
        <w:rPr>
          <w:color w:val="000000"/>
          <w:sz w:val="20"/>
        </w:rPr>
      </w:pPr>
      <w:r>
        <w:rPr>
          <w:rStyle w:val="FootnoteReference"/>
          <w:sz w:val="20"/>
        </w:rPr>
        <w:footnoteRef/>
      </w:r>
      <w:r>
        <w:rPr>
          <w:sz w:val="20"/>
        </w:rPr>
        <w:t xml:space="preserve"> </w:t>
      </w:r>
      <w:r>
        <w:tab/>
      </w:r>
      <w:r>
        <w:rPr>
          <w:color w:val="000000"/>
          <w:sz w:val="20"/>
        </w:rPr>
        <w:t>Част от реформата включва въвеждането на възможност за съдебен контрол по отношение на решения на главния прокурор да не се провежда наказателно преследване. Предявяването на такъв иск ще даде на увреденото лице (жертвата) възможност за съдебно оспорване на такова решение пред съда. Преди пристъпване към такова оспорване увреденото лице ще има възможност да поиска от прокурора да преразгледа взетото решение и ако последният не промени своето решение, увреденото лице може да се обърне към съда с искане за съдебен контрол на решението на главния прокурор да не се провежда наказателно преследване на основание незаконосъобразност или необоснованост. Като част от реформата генералният одитор, комисарят по стандартите в обществения живот, Постоянната комисия срещу корупцията и омбудсманът също ще имат право да поискат съдебен контрол на решение на главния прокурор да не се провежда наказателно преследване, ако са съобщили на главния прокурор за наличие на корупционни практики съгласно определението в Закона за Постоянната комисия срещу корупцията.</w:t>
      </w:r>
    </w:p>
  </w:footnote>
  <w:footnote w:id="57">
    <w:p>
      <w:pPr>
        <w:pStyle w:val="FootnoteText"/>
        <w:spacing w:after="0"/>
        <w:ind w:left="284" w:hanging="284"/>
      </w:pPr>
      <w:r>
        <w:rPr>
          <w:rStyle w:val="FootnoteReference"/>
        </w:rPr>
        <w:footnoteRef/>
      </w:r>
      <w:r>
        <w:t xml:space="preserve"> </w:t>
      </w:r>
      <w:r>
        <w:tab/>
        <w:t>Отбелязва се, че през последните 7 години са били назначени 5 поредни полицейски комисари.</w:t>
      </w:r>
    </w:p>
  </w:footnote>
  <w:footnote w:id="58">
    <w:p>
      <w:pPr>
        <w:pStyle w:val="FootnoteText"/>
        <w:spacing w:after="0"/>
        <w:ind w:left="284" w:hanging="284"/>
      </w:pPr>
      <w:r>
        <w:rPr>
          <w:rStyle w:val="FootnoteReference"/>
        </w:rPr>
        <w:footnoteRef/>
      </w:r>
      <w:r>
        <w:t xml:space="preserve"> </w:t>
      </w:r>
      <w:r>
        <w:tab/>
      </w:r>
      <w:r>
        <w:rPr>
          <w:bCs/>
          <w:color w:val="222222"/>
        </w:rPr>
        <w:t>На 23 юни 2020 г. беше назначен нов полицейски комисар в съответствие с новите правила.</w:t>
      </w:r>
    </w:p>
  </w:footnote>
  <w:footnote w:id="59">
    <w:p>
      <w:pPr>
        <w:pStyle w:val="FootnoteText"/>
        <w:spacing w:after="0"/>
        <w:ind w:left="284" w:hanging="284"/>
      </w:pPr>
      <w:r>
        <w:rPr>
          <w:rStyle w:val="FootnoteReference"/>
        </w:rPr>
        <w:footnoteRef/>
      </w:r>
      <w:r>
        <w:t xml:space="preserve"> </w:t>
      </w:r>
      <w:r>
        <w:tab/>
        <w:t xml:space="preserve">Полицейските сили на Малта са в процес на закупуване на софтуер, който ще позволи извършването на кръстосани проверки на различни източници на данни в централизирана база данни и също така ще улесни координацията между полицията и други малтийски институции. Проектът се финансира с европейски средства по програма „Херкулес III“. </w:t>
      </w:r>
    </w:p>
  </w:footnote>
  <w:footnote w:id="60">
    <w:p>
      <w:pPr>
        <w:pStyle w:val="FootnoteText"/>
        <w:spacing w:after="0"/>
        <w:ind w:left="284" w:hanging="284"/>
        <w:rPr>
          <w:rStyle w:val="normaltextrun"/>
        </w:rPr>
      </w:pPr>
      <w:r>
        <w:rPr>
          <w:rStyle w:val="FootnoteReference"/>
        </w:rPr>
        <w:footnoteRef/>
      </w:r>
      <w:r>
        <w:t xml:space="preserve"> </w:t>
      </w:r>
      <w:r>
        <w:tab/>
      </w:r>
      <w:r>
        <w:rPr>
          <w:rStyle w:val="normaltextrun"/>
        </w:rPr>
        <w:t>Глава 527 от Законите на Малта.</w:t>
      </w:r>
    </w:p>
  </w:footnote>
  <w:footnote w:id="61">
    <w:p>
      <w:pPr>
        <w:pStyle w:val="FootnoteText"/>
        <w:spacing w:after="0"/>
        <w:ind w:left="284" w:hanging="284"/>
      </w:pPr>
      <w:r>
        <w:rPr>
          <w:rStyle w:val="FootnoteReference"/>
        </w:rPr>
        <w:footnoteRef/>
      </w:r>
      <w:r>
        <w:t xml:space="preserve"> </w:t>
      </w:r>
      <w:r>
        <w:tab/>
        <w:t>Глава 595 от Законите на Малта.</w:t>
      </w:r>
    </w:p>
  </w:footnote>
  <w:footnote w:id="62">
    <w:p>
      <w:pPr>
        <w:pStyle w:val="FootnoteText"/>
        <w:spacing w:after="0"/>
        <w:ind w:left="284" w:hanging="284"/>
      </w:pPr>
      <w:r>
        <w:rPr>
          <w:rStyle w:val="FootnoteReference"/>
        </w:rPr>
        <w:footnoteRef/>
      </w:r>
      <w:r>
        <w:t xml:space="preserve"> </w:t>
      </w:r>
      <w:r>
        <w:tab/>
        <w:t xml:space="preserve">Становище на Венецианската комисия (CDL-AD(2020)006, т. 115—129); Група държави срещу корупцията (GRECO) (2019 г.), Fifth Evaluation Round, Evaluation Report, т. 24—26. </w:t>
      </w:r>
    </w:p>
  </w:footnote>
  <w:footnote w:id="63">
    <w:p>
      <w:pPr>
        <w:pStyle w:val="FootnoteText"/>
        <w:spacing w:after="0"/>
        <w:ind w:left="284" w:hanging="284"/>
      </w:pPr>
      <w:r>
        <w:rPr>
          <w:rStyle w:val="FootnoteReference"/>
        </w:rPr>
        <w:footnoteRef/>
      </w:r>
      <w:r>
        <w:t xml:space="preserve"> </w:t>
      </w:r>
      <w:r>
        <w:tab/>
        <w:t>Постоянните секретари са най-висшите държавни служители. В съответствие с действащите правила член 92, параграф 3 от Конституцията предвижда, че правомощията за назначаване на постоянни секретари и за отстраняването им от длъжност са поверени на президента, който действа в съответствие с препоръките на министър-председателя, отправени след консултацията на последния с Комисията за държавната администрация.</w:t>
      </w:r>
    </w:p>
  </w:footnote>
  <w:footnote w:id="64">
    <w:p>
      <w:pPr>
        <w:pStyle w:val="FootnoteText"/>
        <w:spacing w:after="0"/>
        <w:ind w:left="284" w:hanging="284"/>
      </w:pPr>
      <w:r>
        <w:rPr>
          <w:rStyle w:val="FootnoteReference"/>
        </w:rPr>
        <w:footnoteRef/>
      </w:r>
      <w:r>
        <w:t xml:space="preserve"> </w:t>
      </w:r>
      <w:r>
        <w:tab/>
        <w:t xml:space="preserve">В съответствие с действащите правила съгласно Закона за стандартите в обществения живот, приет на 30 октомври 2018 г., довереното лице се определя като служител или лице, назначено в частния секретариат на министър или на парламентарен секретар, което действа като съветник или консултант на министър или на парламентарен секретар, или има изпълнителна роля в министерство или парламентарен секретариат, и което не е било назначено в съответствие с процедурата по член 110 от Конституцията. </w:t>
      </w:r>
    </w:p>
  </w:footnote>
  <w:footnote w:id="65">
    <w:p>
      <w:pPr>
        <w:pStyle w:val="FootnoteText"/>
        <w:spacing w:after="0"/>
        <w:ind w:left="284" w:hanging="284"/>
      </w:pPr>
      <w:r>
        <w:rPr>
          <w:rStyle w:val="FootnoteReference"/>
        </w:rPr>
        <w:footnoteRef/>
      </w:r>
      <w:r>
        <w:t xml:space="preserve"> </w:t>
      </w:r>
      <w:r>
        <w:tab/>
        <w:t>Очаква се това становище да бъде прието през октомври 2020 г.</w:t>
      </w:r>
    </w:p>
  </w:footnote>
  <w:footnote w:id="66">
    <w:p>
      <w:pPr>
        <w:pStyle w:val="FootnoteText"/>
        <w:spacing w:after="0"/>
        <w:ind w:left="284" w:hanging="284"/>
      </w:pPr>
      <w:r>
        <w:rPr>
          <w:rStyle w:val="FootnoteReference"/>
        </w:rPr>
        <w:footnoteRef/>
      </w:r>
      <w:r>
        <w:t xml:space="preserve"> </w:t>
      </w:r>
      <w:r>
        <w:tab/>
      </w:r>
      <w:r>
        <w:rPr>
          <w:rStyle w:val="normaltextrun"/>
        </w:rPr>
        <w:t>Комисар по стандартите в обществения живот (28 февруари 2020 г.), Towards the Regulation of Lobbying in Malta.</w:t>
      </w:r>
    </w:p>
  </w:footnote>
  <w:footnote w:id="67">
    <w:p>
      <w:pPr>
        <w:pStyle w:val="FootnoteText"/>
        <w:spacing w:after="0"/>
        <w:ind w:left="284" w:hanging="284"/>
      </w:pPr>
      <w:r>
        <w:rPr>
          <w:rStyle w:val="FootnoteReference"/>
        </w:rPr>
        <w:footnoteRef/>
      </w:r>
      <w:r>
        <w:t xml:space="preserve"> </w:t>
      </w:r>
      <w:r>
        <w:tab/>
        <w:t>Препоръките на комисаря по стандартите в обществения живот не са обвързващи за правителството.</w:t>
      </w:r>
    </w:p>
  </w:footnote>
  <w:footnote w:id="68">
    <w:p>
      <w:pPr>
        <w:pStyle w:val="paragraph"/>
        <w:spacing w:before="0" w:beforeAutospacing="0" w:after="0" w:afterAutospacing="0"/>
        <w:ind w:left="284" w:hanging="284"/>
        <w:jc w:val="both"/>
        <w:textAlignment w:val="baseline"/>
      </w:pPr>
      <w:r>
        <w:rPr>
          <w:rStyle w:val="FootnoteReference"/>
          <w:sz w:val="20"/>
          <w:szCs w:val="20"/>
        </w:rPr>
        <w:footnoteRef/>
      </w:r>
      <w:r>
        <w:rPr>
          <w:rStyle w:val="normaltextrun"/>
          <w:sz w:val="20"/>
          <w:szCs w:val="20"/>
        </w:rPr>
        <w:t xml:space="preserve"> </w:t>
      </w:r>
      <w:r>
        <w:tab/>
      </w:r>
      <w:r>
        <w:rPr>
          <w:rStyle w:val="normaltextrun"/>
          <w:sz w:val="20"/>
          <w:szCs w:val="20"/>
        </w:rPr>
        <w:t xml:space="preserve">Комисар по стандартите в обществения живот (5 юли 2019 г.), Доклад по случай № K/002. </w:t>
      </w:r>
    </w:p>
  </w:footnote>
  <w:footnote w:id="69">
    <w:p>
      <w:pPr>
        <w:pStyle w:val="FootnoteText"/>
        <w:spacing w:after="0"/>
        <w:ind w:left="284" w:hanging="284"/>
      </w:pPr>
      <w:r>
        <w:rPr>
          <w:rStyle w:val="FootnoteReference"/>
        </w:rPr>
        <w:footnoteRef/>
      </w:r>
      <w:r>
        <w:t xml:space="preserve"> </w:t>
      </w:r>
      <w:r>
        <w:tab/>
        <w:t xml:space="preserve">Вж. раздел IV. </w:t>
      </w:r>
    </w:p>
  </w:footnote>
  <w:footnote w:id="70">
    <w:p>
      <w:pPr>
        <w:pStyle w:val="FootnoteText"/>
        <w:spacing w:after="0"/>
        <w:ind w:left="284" w:hanging="284"/>
      </w:pPr>
      <w:r>
        <w:rPr>
          <w:rStyle w:val="FootnoteReference"/>
        </w:rPr>
        <w:footnoteRef/>
      </w:r>
      <w:r>
        <w:t xml:space="preserve"> </w:t>
      </w:r>
      <w:r>
        <w:tab/>
        <w:t xml:space="preserve">GRECO отправи препоръка задълженията за подаване на декларации, приложими за членовете на парламента, да обхванат и лицата, на които са поверени висши изпълнителни функции. Вж. Група държави срещу корупцията (GRECO) (2019 г.), Fifth Evaluation Round, Evaluation Report, т. 94—95. </w:t>
      </w:r>
    </w:p>
  </w:footnote>
  <w:footnote w:id="71">
    <w:p>
      <w:pPr>
        <w:pStyle w:val="FootnoteText"/>
        <w:spacing w:after="0"/>
        <w:ind w:left="284" w:hanging="284"/>
      </w:pPr>
      <w:r>
        <w:rPr>
          <w:rStyle w:val="FootnoteReference"/>
        </w:rPr>
        <w:footnoteRef/>
      </w:r>
      <w:r>
        <w:t xml:space="preserve"> </w:t>
      </w:r>
      <w:r>
        <w:tab/>
        <w:t>Информация, предоставена от Малта за Доклада относно върховенството на закона, стр. 42.</w:t>
      </w:r>
    </w:p>
  </w:footnote>
  <w:footnote w:id="72">
    <w:p>
      <w:pPr>
        <w:pStyle w:val="FootnoteText"/>
        <w:spacing w:after="0"/>
        <w:ind w:left="284" w:hanging="284"/>
      </w:pPr>
      <w:r>
        <w:rPr>
          <w:rStyle w:val="FootnoteReference"/>
        </w:rPr>
        <w:footnoteRef/>
      </w:r>
      <w:r>
        <w:t xml:space="preserve"> </w:t>
      </w:r>
      <w:r>
        <w:tab/>
        <w:t xml:space="preserve">Член 41 от Конституцията. </w:t>
      </w:r>
    </w:p>
  </w:footnote>
  <w:footnote w:id="73">
    <w:p>
      <w:pPr>
        <w:pStyle w:val="FootnoteText"/>
        <w:spacing w:after="0"/>
        <w:ind w:left="284" w:hanging="284"/>
      </w:pPr>
      <w:r>
        <w:rPr>
          <w:rStyle w:val="FootnoteReference"/>
        </w:rPr>
        <w:footnoteRef/>
      </w:r>
      <w:r>
        <w:t xml:space="preserve"> </w:t>
      </w:r>
      <w:r>
        <w:tab/>
        <w:t xml:space="preserve">Между 2019 и 2020 г. Малта слезе с четири места надолу в Световния индекс за свобода на печата на организацията „Репортери без граници“, като понастоящем се нарежда на 81-о място в световен мащаб. </w:t>
      </w:r>
    </w:p>
  </w:footnote>
  <w:footnote w:id="74">
    <w:p>
      <w:pPr>
        <w:pStyle w:val="FootnoteText"/>
        <w:spacing w:after="0"/>
        <w:ind w:left="284" w:hanging="284"/>
      </w:pPr>
      <w:r>
        <w:rPr>
          <w:rStyle w:val="FootnoteReference"/>
        </w:rPr>
        <w:footnoteRef/>
      </w:r>
      <w:r>
        <w:t xml:space="preserve"> </w:t>
      </w:r>
      <w:r>
        <w:tab/>
        <w:t xml:space="preserve">Член 119, параграф 1 от Конституцията гласи, че при осъществяването на своите функции органът за радио- и телевизионно разпръскване не подлежи на указания или контрол от лица или органи и че неговата функция е да гарантира надлежно запазване на безпристрастност по отношение на въпроси, обхванати от политически или отраслови противоречия или свързани с настоящата обществена политика, както и справедливо разпределяне на програмното време и съоръжения между лица от различни политически партии. </w:t>
      </w:r>
    </w:p>
  </w:footnote>
  <w:footnote w:id="75">
    <w:p>
      <w:pPr>
        <w:pStyle w:val="FootnoteText"/>
        <w:spacing w:after="0"/>
        <w:ind w:left="284" w:hanging="284"/>
      </w:pPr>
      <w:r>
        <w:rPr>
          <w:rStyle w:val="FootnoteReference"/>
        </w:rPr>
        <w:footnoteRef/>
      </w:r>
      <w:r>
        <w:t xml:space="preserve"> </w:t>
      </w:r>
      <w:r>
        <w:tab/>
        <w:t>Член 4, параграф 1 от Закона за радио- и телевизионно разпръскване от 1 юни 1991 г.</w:t>
      </w:r>
    </w:p>
  </w:footnote>
  <w:footnote w:id="76">
    <w:p>
      <w:pPr>
        <w:pStyle w:val="FootnoteText"/>
        <w:spacing w:after="0"/>
        <w:ind w:left="284" w:hanging="284"/>
      </w:pPr>
      <w:r>
        <w:rPr>
          <w:rStyle w:val="FootnoteReference"/>
        </w:rPr>
        <w:footnoteRef/>
      </w:r>
      <w:r>
        <w:t xml:space="preserve"> </w:t>
      </w:r>
      <w:r>
        <w:tab/>
        <w:t>Член 24, параграф 1, буква б) от Закона за радио- и телевизионно разпръскване.</w:t>
      </w:r>
    </w:p>
  </w:footnote>
  <w:footnote w:id="77">
    <w:p>
      <w:pPr>
        <w:pStyle w:val="FootnoteText"/>
        <w:spacing w:after="0"/>
        <w:ind w:left="284" w:hanging="284"/>
      </w:pPr>
      <w:r>
        <w:rPr>
          <w:rStyle w:val="FootnoteReference"/>
        </w:rPr>
        <w:footnoteRef/>
      </w:r>
      <w:r>
        <w:t xml:space="preserve"> </w:t>
      </w:r>
      <w:r>
        <w:tab/>
        <w:t>Директива (EС) 2018/1808 на Европейския парламент и на Съвета от 14 ноември 2018 г. за изменение на Директива 2010/13/ЕС.</w:t>
      </w:r>
    </w:p>
  </w:footnote>
  <w:footnote w:id="78">
    <w:p>
      <w:pPr>
        <w:pStyle w:val="FootnoteText"/>
        <w:spacing w:after="0"/>
        <w:ind w:left="284" w:hanging="284"/>
      </w:pPr>
      <w:r>
        <w:rPr>
          <w:rStyle w:val="FootnoteReference"/>
        </w:rPr>
        <w:footnoteRef/>
      </w:r>
      <w:r>
        <w:t xml:space="preserve"> </w:t>
      </w:r>
      <w:r>
        <w:tab/>
        <w:t>Законопроект за (изменение на) Закона за радио- и телевизионно разпръскване (№ 145) се очаква да бъде обсъден в комисията за разглеждане на законопроекти.</w:t>
      </w:r>
    </w:p>
  </w:footnote>
  <w:footnote w:id="79">
    <w:p>
      <w:pPr>
        <w:pStyle w:val="FootnoteText"/>
        <w:spacing w:after="0"/>
        <w:ind w:left="284" w:hanging="284"/>
      </w:pPr>
      <w:r>
        <w:rPr>
          <w:rStyle w:val="FootnoteReference"/>
        </w:rPr>
        <w:footnoteRef/>
      </w:r>
      <w:r>
        <w:t xml:space="preserve"> </w:t>
      </w:r>
      <w:r>
        <w:tab/>
        <w:t>Кодекс за журналистическа етика: https://igm.org.mt/resources/code-of-journalistic-ethics/</w:t>
      </w:r>
    </w:p>
  </w:footnote>
  <w:footnote w:id="80">
    <w:p>
      <w:pPr>
        <w:pStyle w:val="FootnoteText"/>
        <w:spacing w:after="0"/>
        <w:ind w:left="284" w:hanging="284"/>
      </w:pPr>
      <w:r>
        <w:rPr>
          <w:rStyle w:val="FootnoteReference"/>
        </w:rPr>
        <w:footnoteRef/>
      </w:r>
      <w:r>
        <w:t xml:space="preserve"> </w:t>
      </w:r>
      <w:r>
        <w:tab/>
        <w:t>Мониторинг на медийния плурализъм за 2020 г., Country Report: Malta, стр. 11.</w:t>
      </w:r>
    </w:p>
  </w:footnote>
  <w:footnote w:id="81">
    <w:p>
      <w:pPr>
        <w:pStyle w:val="FootnoteText"/>
        <w:spacing w:after="0"/>
        <w:ind w:left="284" w:hanging="284"/>
      </w:pPr>
      <w:r>
        <w:rPr>
          <w:rStyle w:val="FootnoteReference"/>
        </w:rPr>
        <w:footnoteRef/>
      </w:r>
      <w:r>
        <w:t xml:space="preserve"> </w:t>
      </w:r>
      <w:r>
        <w:tab/>
        <w:t>Мониторинг на медийния плурализъм за 2020 г., Country Report: Malta, стр. 12.</w:t>
      </w:r>
    </w:p>
  </w:footnote>
  <w:footnote w:id="82">
    <w:p>
      <w:pPr>
        <w:pStyle w:val="FootnoteText"/>
        <w:spacing w:after="0"/>
        <w:ind w:left="284" w:hanging="284"/>
      </w:pPr>
      <w:r>
        <w:rPr>
          <w:rStyle w:val="FootnoteReference"/>
        </w:rPr>
        <w:footnoteRef/>
      </w:r>
      <w:r>
        <w:t xml:space="preserve"> </w:t>
      </w:r>
      <w:r>
        <w:tab/>
        <w:t>Мониторинг на медийния плурализъм за 2020 г., Country Report: Malta, стр. 13—16.</w:t>
      </w:r>
    </w:p>
  </w:footnote>
  <w:footnote w:id="83">
    <w:p>
      <w:pPr>
        <w:pStyle w:val="FootnoteText"/>
        <w:spacing w:after="0"/>
        <w:ind w:left="284" w:hanging="284"/>
      </w:pPr>
      <w:r>
        <w:rPr>
          <w:rStyle w:val="FootnoteReference"/>
        </w:rPr>
        <w:footnoteRef/>
      </w:r>
      <w:r>
        <w:t xml:space="preserve"> </w:t>
      </w:r>
      <w:r>
        <w:tab/>
        <w:t>Вж. предходната бележка.</w:t>
      </w:r>
    </w:p>
  </w:footnote>
  <w:footnote w:id="84">
    <w:p>
      <w:pPr>
        <w:pStyle w:val="FootnoteText"/>
        <w:spacing w:after="0"/>
        <w:ind w:left="284" w:hanging="284"/>
      </w:pPr>
      <w:r>
        <w:rPr>
          <w:rStyle w:val="FootnoteReference"/>
        </w:rPr>
        <w:footnoteRef/>
      </w:r>
      <w:r>
        <w:t xml:space="preserve"> </w:t>
      </w:r>
      <w:r>
        <w:tab/>
        <w:t>Комисар по стандартите в обществения живот (7 май 2020 г.), Доклад по случай № K/010.</w:t>
      </w:r>
    </w:p>
  </w:footnote>
  <w:footnote w:id="85">
    <w:p>
      <w:pPr>
        <w:pStyle w:val="FootnoteText"/>
        <w:spacing w:after="0"/>
        <w:ind w:left="284" w:hanging="284"/>
      </w:pPr>
      <w:r>
        <w:rPr>
          <w:rStyle w:val="FootnoteReference"/>
        </w:rPr>
        <w:footnoteRef/>
      </w:r>
      <w:r>
        <w:t xml:space="preserve"> </w:t>
      </w:r>
      <w:r>
        <w:tab/>
        <w:t>Закон за свобода на информацията от 2008 г., изменен през 2012 г. (глава 496 от Законите на Малта).</w:t>
      </w:r>
    </w:p>
  </w:footnote>
  <w:footnote w:id="86">
    <w:p>
      <w:pPr>
        <w:pStyle w:val="FootnoteText"/>
        <w:spacing w:after="0"/>
        <w:ind w:left="284" w:hanging="284"/>
      </w:pPr>
      <w:r>
        <w:rPr>
          <w:rStyle w:val="FootnoteReference"/>
        </w:rPr>
        <w:footnoteRef/>
      </w:r>
      <w:r>
        <w:t xml:space="preserve"> </w:t>
      </w:r>
      <w:r>
        <w:tab/>
        <w:t>Група държави срещу корупцията (GRECO) (2019 г.), Fifth Evaluation Round, Evaluation Report.</w:t>
      </w:r>
    </w:p>
  </w:footnote>
  <w:footnote w:id="87">
    <w:p>
      <w:pPr>
        <w:pStyle w:val="FootnoteText"/>
        <w:spacing w:after="0"/>
        <w:ind w:left="284" w:hanging="284"/>
      </w:pPr>
      <w:r>
        <w:rPr>
          <w:rStyle w:val="FootnoteReference"/>
        </w:rPr>
        <w:footnoteRef/>
      </w:r>
      <w:r>
        <w:t xml:space="preserve"> </w:t>
      </w:r>
      <w:r>
        <w:tab/>
        <w:t>В Мониторинг на медийния плурализъм за 2020 г., Country Report: Malta, стр. 11, се отбелязва, че едно конкретно новинарско студио е съобщило, че 80 % от исканията му, отправени към правителствени институции, са останали без отговор.</w:t>
      </w:r>
    </w:p>
  </w:footnote>
  <w:footnote w:id="88">
    <w:p>
      <w:pPr>
        <w:pStyle w:val="FootnoteText"/>
        <w:spacing w:after="0"/>
        <w:ind w:left="284" w:hanging="284"/>
      </w:pPr>
      <w:r>
        <w:rPr>
          <w:rStyle w:val="FootnoteReference"/>
        </w:rPr>
        <w:footnoteRef/>
      </w:r>
      <w:r>
        <w:t xml:space="preserve"> </w:t>
      </w:r>
      <w:r>
        <w:tab/>
        <w:t>Резолюция № 2293 (2019 г.), приета от Парламентарната асамблея на Съвета на Европа на 26 юни 2019 г. след доклада на докладчик Pieter Omtzigt: Daphne Caruana Galizia’s assassination and the rule of law in Malta and beyond: ensuring that the whole truth emerges.</w:t>
      </w:r>
    </w:p>
  </w:footnote>
  <w:footnote w:id="89">
    <w:p>
      <w:pPr>
        <w:pStyle w:val="FootnoteText"/>
        <w:spacing w:after="0"/>
        <w:ind w:left="284" w:hanging="284"/>
      </w:pPr>
      <w:r>
        <w:rPr>
          <w:rStyle w:val="FootnoteReference"/>
        </w:rPr>
        <w:footnoteRef/>
      </w:r>
      <w:r>
        <w:t xml:space="preserve"> </w:t>
      </w:r>
      <w:r>
        <w:tab/>
        <w:t>Изявление, подписано от организацията Член 19 (ARTICLE 19), Асоциацията на европейските журналисти (AEJ), Комитета за защита на журналистите (CPJ), Европейския център за свобода на печата и медиите (ECPMF), Европейската федерация на журналистите (EFJ), Free Press Unlimited, организацията „Индекс на цензурата“, International Freedom of Expression Exchange (IFEX), Международния институт по печата (IPI), Osservatorio Balcani e Caucaso Transeuropa (OBCT), PEN America, PEN International, Scottish PEN и „Прозрачност без граници“. https://www.article19.org/resources/malta-renewed-call-for-justice-1000-days-after-the-assassination-of-daphne-caruana-galizia/</w:t>
      </w:r>
    </w:p>
  </w:footnote>
  <w:footnote w:id="90">
    <w:p>
      <w:pPr>
        <w:pStyle w:val="FootnoteText"/>
      </w:pPr>
      <w:r>
        <w:rPr>
          <w:rStyle w:val="FootnoteReference"/>
        </w:rPr>
        <w:footnoteRef/>
      </w:r>
      <w:r>
        <w:t xml:space="preserve"> </w:t>
      </w:r>
      <w:r>
        <w:tab/>
        <w:t>Мониторинг на медийния плурализъм за 2020 г., Country Report: Malta, стр. 11.</w:t>
      </w:r>
    </w:p>
  </w:footnote>
  <w:footnote w:id="91">
    <w:p>
      <w:pPr>
        <w:pStyle w:val="FootnoteText"/>
        <w:spacing w:after="0"/>
        <w:ind w:left="284" w:hanging="284"/>
      </w:pPr>
      <w:r>
        <w:rPr>
          <w:rStyle w:val="FootnoteReference"/>
        </w:rPr>
        <w:footnoteRef/>
      </w:r>
      <w:r>
        <w:t xml:space="preserve"> </w:t>
      </w:r>
      <w:r>
        <w:tab/>
        <w:t>Съвместно изявление на първия заместник-председател на Комисията Тимерманс, заместник-председателя Ансип и комисарите Йоурова и Габриел една година след убийството на малтийската журналистка Дафне Каруана Галиция, 16 октомври 2018 г. Вж. също резолюциите на Европейския парламент, посочени в предходните раздели.</w:t>
      </w:r>
    </w:p>
  </w:footnote>
  <w:footnote w:id="92">
    <w:p>
      <w:pPr>
        <w:pStyle w:val="FootnoteText"/>
        <w:spacing w:after="0"/>
        <w:ind w:left="284" w:hanging="284"/>
        <w:rPr>
          <w:rStyle w:val="Hyperlink"/>
          <w:color w:val="000000" w:themeColor="text1"/>
          <w:u w:val="none"/>
        </w:rPr>
      </w:pPr>
      <w:r>
        <w:rPr>
          <w:rStyle w:val="Hyperlink"/>
          <w:color w:val="000000" w:themeColor="text1"/>
          <w:u w:val="none"/>
          <w:vertAlign w:val="superscript"/>
        </w:rPr>
        <w:footnoteRef/>
      </w:r>
      <w:r>
        <w:rPr>
          <w:rStyle w:val="Hyperlink"/>
          <w:color w:val="000000" w:themeColor="text1"/>
          <w:u w:val="none"/>
        </w:rPr>
        <w:t xml:space="preserve"> </w:t>
      </w:r>
      <w:r>
        <w:tab/>
      </w:r>
      <w:r>
        <w:rPr>
          <w:rStyle w:val="Hyperlink"/>
          <w:color w:val="000000" w:themeColor="text1"/>
          <w:u w:val="none"/>
        </w:rPr>
        <w:t xml:space="preserve">Съвет на Европа, Платформа за насърчаване на защитата на журналистиката и безопасността на журналистите, </w:t>
      </w:r>
      <w:hyperlink r:id="rId1" w:history="1">
        <w:r>
          <w:rPr>
            <w:rStyle w:val="Hyperlink"/>
            <w:color w:val="000000" w:themeColor="text1"/>
            <w:u w:val="none"/>
          </w:rPr>
          <w:t>https://www.coe.int/en/web/media-freedom</w:t>
        </w:r>
      </w:hyperlink>
      <w:r>
        <w:rPr>
          <w:rStyle w:val="Hyperlink"/>
          <w:color w:val="000000" w:themeColor="text1"/>
          <w:u w:val="none"/>
        </w:rPr>
        <w:t>. Както се посочва в Препоръка 2016/4 на Съвета на Европа, държавите членки следва да установят всеобхватна законодателна уредба, която да дава възможност на журналистите и другите лица, работещи в медиите, да допринасят за обществения дебат ефективно и без да се страхуват.</w:t>
      </w:r>
    </w:p>
  </w:footnote>
  <w:footnote w:id="93">
    <w:p>
      <w:pPr>
        <w:pStyle w:val="FootnoteText"/>
        <w:spacing w:after="0"/>
        <w:ind w:left="284" w:hanging="284"/>
      </w:pPr>
      <w:r>
        <w:rPr>
          <w:rStyle w:val="Hyperlink"/>
          <w:color w:val="000000" w:themeColor="text1"/>
          <w:u w:val="none"/>
          <w:vertAlign w:val="superscript"/>
        </w:rPr>
        <w:footnoteRef/>
      </w:r>
      <w:r>
        <w:rPr>
          <w:rStyle w:val="Hyperlink"/>
          <w:color w:val="000000" w:themeColor="text1"/>
          <w:u w:val="none"/>
        </w:rPr>
        <w:t xml:space="preserve"> </w:t>
      </w:r>
      <w:r>
        <w:tab/>
      </w:r>
      <w:r>
        <w:rPr>
          <w:rStyle w:val="Hyperlink"/>
          <w:color w:val="000000" w:themeColor="text1"/>
          <w:u w:val="none"/>
        </w:rPr>
        <w:t>Малтийските органи отговориха на последния сигнал.</w:t>
      </w:r>
      <w:r>
        <w:rPr>
          <w:color w:val="000000" w:themeColor="text1"/>
        </w:rPr>
        <w:t xml:space="preserve"> </w:t>
      </w:r>
    </w:p>
  </w:footnote>
  <w:footnote w:id="94">
    <w:p>
      <w:pPr>
        <w:pStyle w:val="FootnoteText"/>
        <w:spacing w:after="0"/>
        <w:ind w:left="284" w:hanging="284"/>
      </w:pPr>
      <w:r>
        <w:rPr>
          <w:rStyle w:val="FootnoteReference"/>
        </w:rPr>
        <w:footnoteRef/>
      </w:r>
      <w:r>
        <w:t xml:space="preserve"> </w:t>
      </w:r>
      <w:r>
        <w:tab/>
        <w:t>Стратегическо съдебно производство, насочено срещу участието на обществеността.</w:t>
      </w:r>
    </w:p>
  </w:footnote>
  <w:footnote w:id="95">
    <w:p>
      <w:pPr>
        <w:pStyle w:val="FootnoteText"/>
        <w:spacing w:after="0"/>
        <w:ind w:left="284" w:hanging="284"/>
      </w:pPr>
      <w:r>
        <w:rPr>
          <w:rStyle w:val="FootnoteReference"/>
        </w:rPr>
        <w:footnoteRef/>
      </w:r>
      <w:r>
        <w:t xml:space="preserve"> </w:t>
      </w:r>
      <w:r>
        <w:tab/>
        <w:t>Закон № XLIV от 2020 г. за допълнително изменение на Конституцията на Малта във връзка с назначаването на президента на Малта; Закон № XLII от 2020 г. за изменение на законите за регулиране на службата на омбудсмана.</w:t>
      </w:r>
    </w:p>
  </w:footnote>
  <w:footnote w:id="96">
    <w:p>
      <w:pPr>
        <w:pStyle w:val="FootnoteText"/>
        <w:spacing w:after="0"/>
        <w:ind w:left="284" w:hanging="284"/>
      </w:pPr>
      <w:r>
        <w:rPr>
          <w:rStyle w:val="FootnoteReference"/>
        </w:rPr>
        <w:footnoteRef/>
      </w:r>
      <w:r>
        <w:t xml:space="preserve"> </w:t>
      </w:r>
      <w:r>
        <w:tab/>
        <w:t>Становище на Венецианската комисия (CDL-AD(2020)006, т. 86—91). Венецианската комисия също така препоръча да се предвиди стъпаловиден механизъм, за да не се достига до безизходно положение.</w:t>
      </w:r>
    </w:p>
  </w:footnote>
  <w:footnote w:id="97">
    <w:p>
      <w:pPr>
        <w:pStyle w:val="FootnoteText"/>
        <w:spacing w:after="0"/>
        <w:ind w:left="284" w:hanging="284"/>
      </w:pPr>
      <w:r>
        <w:rPr>
          <w:rStyle w:val="FootnoteReference"/>
        </w:rPr>
        <w:footnoteRef/>
      </w:r>
      <w:r>
        <w:t xml:space="preserve"> </w:t>
      </w:r>
      <w:r>
        <w:tab/>
        <w:t>Очаква се това становище да бъде прието през октомври 2020 г.</w:t>
      </w:r>
    </w:p>
  </w:footnote>
  <w:footnote w:id="98">
    <w:p>
      <w:pPr>
        <w:pStyle w:val="FootnoteText"/>
        <w:spacing w:after="0"/>
        <w:ind w:left="284" w:hanging="284"/>
      </w:pPr>
      <w:r>
        <w:rPr>
          <w:rStyle w:val="FootnoteReference"/>
        </w:rPr>
        <w:footnoteRef/>
      </w:r>
      <w:r>
        <w:t xml:space="preserve"> </w:t>
      </w:r>
      <w:r>
        <w:tab/>
        <w:t>Освен това с реформата се предвижда, че ако не бъде постигнато мнозинство от две трети в парламента, лицето, което заема длъжността омбудсман, при всички положения остава на служба.</w:t>
      </w:r>
    </w:p>
  </w:footnote>
  <w:footnote w:id="99">
    <w:p>
      <w:pPr>
        <w:pStyle w:val="FootnoteText"/>
        <w:spacing w:after="0"/>
        <w:ind w:left="284" w:hanging="284"/>
      </w:pPr>
      <w:r>
        <w:rPr>
          <w:rStyle w:val="FootnoteReference"/>
        </w:rPr>
        <w:footnoteRef/>
      </w:r>
      <w:r>
        <w:t xml:space="preserve"> </w:t>
      </w:r>
      <w:r>
        <w:tab/>
        <w:t>Становище на Венецианската комисия (CDL-AD(2020)006, т. 61—64). Понастоящем Венецианската комисия подготвя допълнително становище относно законодателния текст. Очаква се това становище да бъде прието през октомври 2020 г.</w:t>
      </w:r>
    </w:p>
  </w:footnote>
  <w:footnote w:id="100">
    <w:p>
      <w:pPr>
        <w:pStyle w:val="FootnoteText"/>
        <w:spacing w:after="0"/>
        <w:ind w:left="284" w:hanging="284"/>
      </w:pPr>
      <w:r>
        <w:rPr>
          <w:rStyle w:val="FootnoteReference"/>
        </w:rPr>
        <w:footnoteRef/>
      </w:r>
      <w:r>
        <w:t xml:space="preserve"> </w:t>
      </w:r>
      <w:r>
        <w:tab/>
        <w:t>Комитет на ООН по правата на детето (2019 г.).</w:t>
      </w:r>
    </w:p>
  </w:footnote>
  <w:footnote w:id="101">
    <w:p>
      <w:pPr>
        <w:pStyle w:val="FootnoteText"/>
        <w:spacing w:after="0"/>
        <w:ind w:left="284" w:hanging="284"/>
      </w:pPr>
      <w:r>
        <w:rPr>
          <w:rStyle w:val="FootnoteReference"/>
        </w:rPr>
        <w:footnoteRef/>
      </w:r>
      <w:r>
        <w:t xml:space="preserve"> </w:t>
      </w:r>
      <w:r>
        <w:tab/>
        <w:t xml:space="preserve">Информация, предоставена от Европейската мрежа на националните институции за правата на човека за Доклада относно върховенството на закона за 2020 г. </w:t>
      </w:r>
    </w:p>
  </w:footnote>
  <w:footnote w:id="102">
    <w:p>
      <w:pPr>
        <w:pStyle w:val="FootnoteText"/>
        <w:spacing w:after="0"/>
        <w:ind w:left="284" w:hanging="284"/>
      </w:pPr>
      <w:r>
        <w:rPr>
          <w:rStyle w:val="FootnoteReference"/>
        </w:rPr>
        <w:footnoteRef/>
      </w:r>
      <w:r>
        <w:t xml:space="preserve"> </w:t>
      </w:r>
      <w:r>
        <w:tab/>
        <w:t>Становище на Венецианската комисия (CDL-AD(2020)006, т. 65—69).</w:t>
      </w:r>
    </w:p>
  </w:footnote>
  <w:footnote w:id="103">
    <w:p>
      <w:pPr>
        <w:pStyle w:val="FootnoteText"/>
        <w:spacing w:after="0"/>
        <w:ind w:left="284" w:hanging="284"/>
      </w:pPr>
      <w:r>
        <w:rPr>
          <w:rStyle w:val="FootnoteReference"/>
        </w:rPr>
        <w:footnoteRef/>
      </w:r>
      <w:r>
        <w:t xml:space="preserve"> </w:t>
      </w:r>
      <w:r>
        <w:tab/>
        <w:t xml:space="preserve">Процесът се ръководи от комитет, съставен от двете основни политически партии и председателстван от президента. В началото на 2020 г. бе проведена обществена консултация. Комисарят по стандартите в обществения живот отправи предложения за укрепване на ролята на парламента: Комисар по стандартите в обществения живот (30 октомври 2019 г.), Towards Higher Standards in Public Life, Proposals to Modernise the Provisions of the Constitution on Parliament, the Judiciary and Public Administration. </w:t>
      </w:r>
    </w:p>
  </w:footnote>
  <w:footnote w:id="104">
    <w:p>
      <w:pPr>
        <w:pStyle w:val="FootnoteText"/>
        <w:spacing w:after="0"/>
        <w:ind w:left="284" w:hanging="284"/>
      </w:pPr>
      <w:r>
        <w:rPr>
          <w:rStyle w:val="FootnoteReference"/>
        </w:rPr>
        <w:footnoteRef/>
      </w:r>
      <w:r>
        <w:t xml:space="preserve"> </w:t>
      </w:r>
      <w:r>
        <w:tab/>
        <w:t xml:space="preserve">Становище на Венецианската комисия (CDL-AD(2020)006, т. 92—94). </w:t>
      </w:r>
    </w:p>
  </w:footnote>
  <w:footnote w:id="105">
    <w:p>
      <w:pPr>
        <w:pStyle w:val="FootnoteText"/>
        <w:spacing w:after="0"/>
        <w:ind w:left="284" w:hanging="284"/>
      </w:pPr>
      <w:r>
        <w:rPr>
          <w:rStyle w:val="FootnoteReference"/>
        </w:rPr>
        <w:footnoteRef/>
      </w:r>
      <w:r>
        <w:t xml:space="preserve"> </w:t>
      </w:r>
      <w:r>
        <w:tab/>
        <w:t xml:space="preserve">Становище на Венецианската комисия (CDL-AD(2020)006, т. 80—84). Становище на Венецианската комисия (CDL-AD(2018)028, т. 74—79). </w:t>
      </w:r>
    </w:p>
  </w:footnote>
  <w:footnote w:id="106">
    <w:p>
      <w:pPr>
        <w:pStyle w:val="FootnoteText"/>
        <w:spacing w:after="0"/>
        <w:ind w:left="284" w:hanging="284"/>
      </w:pPr>
      <w:r>
        <w:rPr>
          <w:rStyle w:val="FootnoteReference"/>
        </w:rPr>
        <w:footnoteRef/>
      </w:r>
      <w:r>
        <w:t xml:space="preserve"> </w:t>
      </w:r>
      <w:r>
        <w:tab/>
        <w:t xml:space="preserve">Група държави срещу корупцията (GRECO) (2019 г.), Fifth Evaluation Round, Evaluation Report. </w:t>
      </w:r>
    </w:p>
  </w:footnote>
  <w:footnote w:id="107">
    <w:p>
      <w:pPr>
        <w:pStyle w:val="FootnoteText"/>
        <w:spacing w:after="0"/>
        <w:ind w:left="284" w:hanging="284"/>
      </w:pPr>
      <w:r>
        <w:rPr>
          <w:rStyle w:val="FootnoteReference"/>
        </w:rPr>
        <w:footnoteRef/>
      </w:r>
      <w:r>
        <w:tab/>
        <w:t xml:space="preserve">Организация за икономическо сътрудничество и развитие (ОИСР) (2019 г.), Indicators of Regulatory Policy and Governance – Malta. </w:t>
      </w:r>
    </w:p>
  </w:footnote>
  <w:footnote w:id="108">
    <w:p>
      <w:pPr>
        <w:pStyle w:val="FootnoteText"/>
        <w:spacing w:after="0"/>
        <w:ind w:left="284" w:hanging="284"/>
      </w:pPr>
      <w:r>
        <w:rPr>
          <w:rStyle w:val="FootnoteReference"/>
        </w:rPr>
        <w:footnoteRef/>
      </w:r>
      <w:r>
        <w:t xml:space="preserve"> </w:t>
      </w:r>
      <w:r>
        <w:tab/>
        <w:t>На 29 май 2020 г. първи състав на Гражданския съд постанови по дело, че със заповедта на Главната инспекция по обществено здраве се нарушава правото на защита от произволен арест или задържане, тъй като с нея определените по закон срокове се замразяват за неопределено време.</w:t>
      </w:r>
    </w:p>
  </w:footnote>
  <w:footnote w:id="109">
    <w:p>
      <w:pPr>
        <w:pStyle w:val="FootnoteText"/>
        <w:spacing w:after="0"/>
        <w:ind w:left="284" w:hanging="284"/>
      </w:pPr>
      <w:r>
        <w:rPr>
          <w:rStyle w:val="FootnoteReference"/>
        </w:rPr>
        <w:footnoteRef/>
      </w:r>
      <w:r>
        <w:t xml:space="preserve"> </w:t>
      </w:r>
      <w:r>
        <w:tab/>
        <w:t>По време на състоянието на извънредна ситуация за общественото здраве Главната инспекция можеше да издава заповеди за мерки за намаляване, премахване или отстраняване на заплахата за общественото здраве, включително отделяне или изолиране на всяко лице, евакуации и ограничаване на достъпа до която и да е зона.</w:t>
      </w:r>
    </w:p>
  </w:footnote>
  <w:footnote w:id="110">
    <w:p>
      <w:pPr>
        <w:pStyle w:val="FootnoteText"/>
        <w:spacing w:after="0"/>
        <w:ind w:left="284" w:hanging="284"/>
      </w:pPr>
      <w:r>
        <w:rPr>
          <w:rStyle w:val="FootnoteReference"/>
        </w:rPr>
        <w:footnoteRef/>
      </w:r>
      <w:r>
        <w:t xml:space="preserve"> </w:t>
      </w:r>
      <w:r>
        <w:tab/>
        <w:t>Оценки от CIVICUS. Оценките са по петстепенна скала и са определени по следния начин: отворено, ограничено, възпрепятствано, потиснато и затворено.</w:t>
      </w:r>
    </w:p>
  </w:footnote>
  <w:footnote w:id="111">
    <w:p>
      <w:pPr>
        <w:pStyle w:val="FootnoteText"/>
        <w:spacing w:after="0"/>
        <w:ind w:left="284" w:hanging="284"/>
      </w:pPr>
      <w:r>
        <w:rPr>
          <w:rStyle w:val="FootnoteReference"/>
        </w:rPr>
        <w:footnoteRef/>
      </w:r>
      <w:r>
        <w:t xml:space="preserve"> </w:t>
      </w:r>
      <w:r>
        <w:tab/>
        <w:t xml:space="preserve">Глава 492 от Законите на Малта.  </w:t>
      </w:r>
    </w:p>
  </w:footnote>
  <w:footnote w:id="112">
    <w:p>
      <w:pPr>
        <w:pStyle w:val="FootnoteText"/>
        <w:spacing w:after="0"/>
        <w:ind w:left="284" w:hanging="284"/>
      </w:pPr>
      <w:r>
        <w:rPr>
          <w:rStyle w:val="FootnoteReference"/>
        </w:rPr>
        <w:footnoteRef/>
      </w:r>
      <w:r>
        <w:t xml:space="preserve"> </w:t>
      </w:r>
      <w:r>
        <w:tab/>
        <w:t>Информация, предоставена от организациите на гражданското общество „Repubblika“ и фондация „Дафне Каруана Галиция“ за Доклада относно върховенството на закона за 2020 г.</w:t>
      </w:r>
    </w:p>
  </w:footnote>
  <w:footnote w:id="113">
    <w:p>
      <w:pPr>
        <w:pStyle w:val="FootnoteText"/>
        <w:spacing w:after="0"/>
        <w:ind w:left="284" w:hanging="284"/>
      </w:pPr>
      <w:r>
        <w:rPr>
          <w:rStyle w:val="FootnoteReference"/>
        </w:rPr>
        <w:footnoteRef/>
      </w:r>
      <w:r>
        <w:t xml:space="preserve"> </w:t>
      </w:r>
      <w:r>
        <w:tab/>
        <w:t xml:space="preserve">Информация, предоставена от Малта за Доклада относно върховенството на закона за 2020 г. На 29 юли 2020 г. бе прието законодателство, с което се изменят Законът за доброволческите организации, Гражданският кодекс и Законът за доверителната собственост и доверителните собственици.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2568"/>
        <w:tab w:val="left" w:pos="4848"/>
        <w:tab w:val="right" w:pos="8618"/>
      </w:tabs>
      <w:jc w:val="right"/>
      <w:rPr>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BEF1EBC"/>
    <w:multiLevelType w:val="hybridMultilevel"/>
    <w:tmpl w:val="05C0D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31205795"/>
    <w:multiLevelType w:val="hybridMultilevel"/>
    <w:tmpl w:val="B8D8D1D8"/>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2">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2"/>
  </w:num>
  <w:num w:numId="3">
    <w:abstractNumId w:val="6"/>
  </w:num>
  <w:num w:numId="4">
    <w:abstractNumId w:val="13"/>
  </w:num>
  <w:num w:numId="5">
    <w:abstractNumId w:val="18"/>
  </w:num>
  <w:num w:numId="6">
    <w:abstractNumId w:val="19"/>
  </w:num>
  <w:num w:numId="7">
    <w:abstractNumId w:val="1"/>
  </w:num>
  <w:num w:numId="8">
    <w:abstractNumId w:val="5"/>
  </w:num>
  <w:num w:numId="9">
    <w:abstractNumId w:val="16"/>
  </w:num>
  <w:num w:numId="10">
    <w:abstractNumId w:val="2"/>
  </w:num>
  <w:num w:numId="11">
    <w:abstractNumId w:val="3"/>
  </w:num>
  <w:num w:numId="12">
    <w:abstractNumId w:val="4"/>
  </w:num>
  <w:num w:numId="13">
    <w:abstractNumId w:val="8"/>
  </w:num>
  <w:num w:numId="14">
    <w:abstractNumId w:val="15"/>
  </w:num>
  <w:num w:numId="15">
    <w:abstractNumId w:val="17"/>
  </w:num>
  <w:num w:numId="16">
    <w:abstractNumId w:val="20"/>
  </w:num>
  <w:num w:numId="17">
    <w:abstractNumId w:val="9"/>
  </w:num>
  <w:num w:numId="18">
    <w:abstractNumId w:val="10"/>
  </w:num>
  <w:num w:numId="19">
    <w:abstractNumId w:val="21"/>
  </w:num>
  <w:num w:numId="20">
    <w:abstractNumId w:val="11"/>
  </w:num>
  <w:num w:numId="21">
    <w:abstractNumId w:val="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displayBackgroundShap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2CB8C41F-9AD8-4B7C-828D-785216734533"/>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2 final} - {SWD(2020) 313 final} - {SWD(2020) 314 final} - {SWD(2020) 315 final} - {SWD(2020) 316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Брюксел, "/>
    <w:docVar w:name="LW_EMISSION_SUFFIX" w:val=" \u1075?."/>
    <w:docVar w:name="LW_ID_DOCTYPE_NONLW" w:val="CP-025"/>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44?\u1086?\u1082?\u1083?\u1072?\u1076? \u1086?\u1090?\u1085?\u1086?\u1089?\u1085?\u1086? \u1074?\u1098?\u1088?\u1093?\u1086?\u1074?\u1077?\u1085?\u1089?\u1090?\u1074?\u1086?\u1090?\u1086? \u1085?\u1072? \u1079?\u1072?\u1082?\u1086?\u1085?\u1072? \u1079?\u1072? 2020 \u1075?._x000b_\u1057?\u1080?\u1090?\u1091?\u1072?\u1094?\u1080?\u1103? \u1074? \u1086?\u1073?\u1083?\u1072?\u1089?\u1090?\u1090?\u1072? \u1085?\u1072? \u1074?\u1098?\u1088?\u1093?\u1086?\u1074?\u1077?\u1085?\u1089?\u1090?\u1074?\u1086?\u1090?\u1086? \u1085?\u1072? \u1079?\u1072?\u1082?\u1086?\u1085?\u1072? \u1074? \u1045?\u1074?\u1088?\u1086?\u1087?\u1077?\u1081?\u1089?\u1082?\u1080?\u1103? \u1089?\u1098?\u1102?\u1079?"/>
    <w:docVar w:name="LW_PART_NBR" w:val="1"/>
    <w:docVar w:name="LW_PART_NBR_TOTAL" w:val="1"/>
    <w:docVar w:name="LW_REF.INST.NEW" w:val="SWD"/>
    <w:docVar w:name="LW_REF.INST.NEW_ADOPTED" w:val="final"/>
    <w:docVar w:name="LW_REF.INST.NEW_TEXT" w:val="(2020) 3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4?\u1086?\u1082?\u1083?\u1072?\u1076? \u1086?\u1090?\u1085?\u1086?\u1089?\u1085?\u1086? \u1074?\u1098?\u1088?\u1093?\u1086?\u1074?\u1077?\u1085?\u1089?\u1090?\u1074?\u1086?\u1090?\u1086? \u1085?\u1072? \u1079?\u1072?\u1082?\u1086?\u1085?\u1072? \u1079?\u1072? 2020 \u1075?._x000d__x000d__x000d__x000b_\u1043?\u1083?\u1072?\u1074?\u1080? \u1087?\u1086? \u1076?\u1098?\u1088?\u1078?\u1072?\u1074?\u1080?: \u1089?\u1080?\u1090?\u1091?\u1072?\u1094?\u1080?\u1103? \u1074? \u1086?\u1073?\u1083?\u1072?\u1089?\u1090?\u1090?\u1072? \u1085?\u1072? \u1074?\u1098?\u1088?\u1093?\u1086?\u1074?\u1077?\u1085?\u1089?\u1090?\u1074?\u1086?\u1090?\u1086? \u1085?\u1072? \u1079?\u1072?\u1082?\u1086?\u1085?\u1072? \u1074? \u1052?\u1072?\u1083?\u1090?\u1072?"/>
    <w:docVar w:name="LW_TYPE.DOC.CP" w:val="\u1056?\u1040?\u1041?\u1054?\u1058?\u1045?\u1053? \u1044?\u1054?\u1050?\u1059?\u1052?\u1045?\u1053?\u1058? \u1053?\u1040? \u1057?\u1051?\u1059?\u1046?\u1041?\u1048?\u1058?\u1045? \u1053?\u1040? \u1050?\u1054?\u1052?\u1048?\u1057?\u1048?\u1071?\u1058?\u1040?"/>
    <w:docVar w:name="LW_TYPEACTEPRINCIPAL.CP" w:val="\u1057?\u1066?\u1054?\u1041?\u1065?\u1045?\u1053?\u1048?\u1045?\u1058?\u105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lsdException w:name="header" w:semiHidden="0"/>
    <w:lsdException w:name="footer" w:semiHidden="0" w:uiPriority="99"/>
    <w:lsdException w:name="caption" w:semiHidden="0"/>
    <w:lsdException w:name="footnote reference" w:uiPriority="99"/>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
    <w:basedOn w:val="DefaultParagraphFont"/>
    <w:link w:val="ftrefCharCharCharCharCharCharCharCharChar"/>
    <w:uiPriority w:val="99"/>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jc w:val="left"/>
    </w:pPr>
    <w:rPr>
      <w:szCs w:val="24"/>
    </w:rPr>
  </w:style>
  <w:style w:type="paragraph" w:customStyle="1" w:styleId="Default">
    <w:name w:val="Default"/>
    <w:pPr>
      <w:autoSpaceDE w:val="0"/>
      <w:autoSpaceDN w:val="0"/>
      <w:adjustRightInd w:val="0"/>
    </w:pPr>
    <w:rPr>
      <w:rFonts w:eastAsiaTheme="minorHAnsi"/>
      <w:color w:val="000000"/>
      <w:szCs w:val="24"/>
      <w:lang w:eastAsia="en-US"/>
    </w:rPr>
  </w:style>
  <w:style w:type="character" w:customStyle="1" w:styleId="ListParagraphChar">
    <w:name w:val="List Paragraph Char"/>
    <w:aliases w:val="List Paragraph_Sections Char,1st level - Bullet List Paragraph Char,Lettre d'introduction Char,Paragrafo elenco Char,List Paragraph1 Char,Medium Grid 1 - Accent 21 Char"/>
    <w:link w:val="ListParagraph"/>
    <w:uiPriority w:val="34"/>
    <w:locked/>
    <w:rPr>
      <w:rFonts w:asciiTheme="minorHAnsi" w:eastAsiaTheme="minorHAnsi" w:hAnsiTheme="minorHAnsi" w:cstheme="minorBidi"/>
      <w:sz w:val="22"/>
      <w:szCs w:val="22"/>
      <w:lang w:val="bg-BG" w:eastAsia="en-US"/>
    </w:rPr>
  </w:style>
  <w:style w:type="character" w:customStyle="1" w:styleId="FooterChar">
    <w:name w:val="Footer Char"/>
    <w:basedOn w:val="DefaultParagraphFont"/>
    <w:link w:val="Footer"/>
    <w:uiPriority w:val="99"/>
    <w:rPr>
      <w:sz w:val="16"/>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character" w:styleId="FollowedHyperlink">
    <w:name w:val="FollowedHyperlink"/>
    <w:basedOn w:val="DefaultParagraphFont"/>
    <w:semiHidden/>
    <w:unhideWhenUsed/>
    <w:lock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lsdException w:name="header" w:semiHidden="0"/>
    <w:lsdException w:name="footer" w:semiHidden="0" w:uiPriority="99"/>
    <w:lsdException w:name="caption" w:semiHidden="0"/>
    <w:lsdException w:name="footnote reference" w:uiPriority="99"/>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
    <w:basedOn w:val="DefaultParagraphFont"/>
    <w:link w:val="ftrefCharCharCharCharCharCharCharCharChar"/>
    <w:uiPriority w:val="99"/>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jc w:val="left"/>
    </w:pPr>
    <w:rPr>
      <w:szCs w:val="24"/>
    </w:rPr>
  </w:style>
  <w:style w:type="paragraph" w:customStyle="1" w:styleId="Default">
    <w:name w:val="Default"/>
    <w:pPr>
      <w:autoSpaceDE w:val="0"/>
      <w:autoSpaceDN w:val="0"/>
      <w:adjustRightInd w:val="0"/>
    </w:pPr>
    <w:rPr>
      <w:rFonts w:eastAsiaTheme="minorHAnsi"/>
      <w:color w:val="000000"/>
      <w:szCs w:val="24"/>
      <w:lang w:eastAsia="en-US"/>
    </w:rPr>
  </w:style>
  <w:style w:type="character" w:customStyle="1" w:styleId="ListParagraphChar">
    <w:name w:val="List Paragraph Char"/>
    <w:aliases w:val="List Paragraph_Sections Char,1st level - Bullet List Paragraph Char,Lettre d'introduction Char,Paragrafo elenco Char,List Paragraph1 Char,Medium Grid 1 - Accent 21 Char"/>
    <w:link w:val="ListParagraph"/>
    <w:uiPriority w:val="34"/>
    <w:locked/>
    <w:rPr>
      <w:rFonts w:asciiTheme="minorHAnsi" w:eastAsiaTheme="minorHAnsi" w:hAnsiTheme="minorHAnsi" w:cstheme="minorBidi"/>
      <w:sz w:val="22"/>
      <w:szCs w:val="22"/>
      <w:lang w:val="bg-BG" w:eastAsia="en-US"/>
    </w:rPr>
  </w:style>
  <w:style w:type="character" w:customStyle="1" w:styleId="FooterChar">
    <w:name w:val="Footer Char"/>
    <w:basedOn w:val="DefaultParagraphFont"/>
    <w:link w:val="Footer"/>
    <w:uiPriority w:val="99"/>
    <w:rPr>
      <w:sz w:val="16"/>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character" w:styleId="FollowedHyperlink">
    <w:name w:val="FollowedHyperlink"/>
    <w:basedOn w:val="DefaultParagraphFont"/>
    <w:semiHidden/>
    <w:unhideWhenUsed/>
    <w:lock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monitor.civicus.org/country/malta/" TargetMode="Externa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cmpf.eui.eu/media-pluralism-monitor/mpm-2020"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rsf.org/en/taxonomy/term/15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transparency.org/en/countries/malta" TargetMode="Externa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www.theguardian.com/world/daphne-caruana-galizi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coe.int/en/web/media-freedom/malta" TargetMode="External"/><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www.coe.int/en/web/media-freed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2.xml><?xml version="1.0" encoding="utf-8"?>
<EurolookProperties>
  <ProductCustomizationId>EC</ProductCustomizationId>
  <Created>
    <Version>10.0.41212.0</Version>
    <Date>2020-09-14T15:57:03</Date>
    <Language>EN</Language>
  </Created>
  <Edited>
    <Version>10.0.41212.0</Version>
    <Date>2020-10-02T09:56:10</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8D5AF-DE81-4212-AA67-ACF191BCD993}">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A2B9F964-B743-4BF5-A761-27BA1F73F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7645</Words>
  <Characters>46330</Characters>
  <Application>Microsoft Office Word</Application>
  <DocSecurity>0</DocSecurity>
  <PresentationFormat>Microsoft Word 14.0</PresentationFormat>
  <Lines>759</Lines>
  <Paragraphs>140</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2020-09-26T16:22:00Z</dcterms:created>
  <dcterms:modified xsi:type="dcterms:W3CDTF">2020-10-07T14:10:00Z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