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EE87B49-FE35-4869-9CB3-D2DE754D086C" style="width:450.75pt;height:520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9196" w:type="dxa"/>
        <w:tblInd w:w="93" w:type="dxa"/>
        <w:tblLook w:val="04A0" w:firstRow="1" w:lastRow="0" w:firstColumn="1" w:lastColumn="0" w:noHBand="0" w:noVBand="1"/>
      </w:tblPr>
      <w:tblGrid>
        <w:gridCol w:w="1205"/>
        <w:gridCol w:w="3951"/>
        <w:gridCol w:w="4040"/>
      </w:tblGrid>
      <w:tr>
        <w:trPr>
          <w:trHeight w:val="630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Правило №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Документ за справка</w:t>
            </w:r>
            <w:r>
              <w:rPr>
                <w:rStyle w:val="FootnoteReference"/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footnoteReference w:id="1"/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серия от изменения 03 на Правило № 0 на ООН (международно одобрение на типа на цяло превозно средство) (ECE/TRANS/WP.29/1153, точка 32, въз основа на WP.29-181-03)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ECE/TRANS/WP.29/2020/101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допълнение 17 към серия от изменения 11 на Правило № 13 на ООН (спирачни уредби на тежкотоварни превозни средства) (ECE/TRANS/WP.29/GRVA/5, точка 67, въз основа на ECE/TRANS/WP.29/GRVA/2020/13)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ECE/TRANS/WP.29/2020/119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6 към серия от изменения 07 на Правило № 16 на ООН (обезопасителни колани, ISOFIX и i-Size) (ECE/TRANS/WP.29/GRSP/67, точка 9 и приложение III, въз основа на ECE/TRANS/WP.29/GRSP/2020/2, изменен с GRSP-67-35)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ECE/TRANS/WP.29/2020/112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2 към серия от изменения 08 на Правило № 16 на ООН (обезопасителни колани, ISOFIX и i-Size) (ECE/TRANS/WP.29/GRSP/67, точка 9 и приложение III, въз основа на ECE/TRANS/WP.29/GRSP/2020/2, изменен с GRSP-67-35)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ECE/TRANS/WP.29/2020/113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серия от изменения 10 на Правило № 17 на ООН (здравина на седалките, техните устройства за закрепване и облегалките за глава) (ECE/TRANS/WP.29/GRSP/67, точка 12 и приложение IV, въз основа на ECE/TRANS/WP.29/GRSP/2020/8)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ECE/TRANS/WP.29/2020/106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18 към серия от изменения 04 на Правило № 44 на ООН (системи за обезопасяване на деца) (ECE/TRANS/WP.29/GRSP/67, точка 33 и приложение V, въз основа на GRSP-67-14 и GRSP-6731)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ECE/TRANS/WP.29/2020/111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допълнение 1 към серия от изменения 02 на Правило № 55 на ООН (механични теглително-прикачни устройства) (ECE/TRANS/WP.29/GRSG/97, точка XX, въз основа на ECE/TRANS/WP.29/GRSG/2020/8, изменен с GRSG-118-35)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ECE/TRANS/WP.29/2020/103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9 към серия от изменения 01 на Правило № 55 на ООН (механични теглително-прикачни устройства)</w:t>
            </w: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(ECE/TRANS/WP.29/GRSG/97), въз основа на ECE/TRANS/WP.29/GRSG/2020/8)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hyperlink r:id="rId16" w:tgtFrame="_blank" w:tooltip="Отваря вътрешна хипервръзка в настоящия прозорец" w:history="1">
              <w:r>
                <w:rPr>
                  <w:noProof/>
                  <w:sz w:val="20"/>
                  <w:szCs w:val="20"/>
                </w:rPr>
                <w:t>ECE/TRANS/WP.29/2020/132</w:t>
              </w:r>
            </w:hyperlink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13 към серия от изменения 05 на Правило № 83 на ООН (емисии на превозни средства от категории M1 и N1) (ECE/TRANS/WP.29/GRPE/81, точка 8, въз основа на ECE/TRANS/WP.29/GRPE/2020/10 и GRPE-81-21, изменен с приложение IV)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ECE/TRANS/WP.29/2020/115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15 към серия от изменения 06 на Правило № 83 на ООН (емисии на превозни средства от категории M1 и N1) (ECE/TRANS/WP.29/GRPE/81, точка 8, въз основа на ECE/TRANS/WP.29/GRPE/2020/10 и GRPE-81-21, изменен с приложение IV)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ECE/TRANS/WP.29/2020/116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12 към серия от изменения 07 на Правило № 83 на ООН (емисии на превозни средства от категории M1 и N1) (ECE/TRANS/WP.29/GRPE/81, точка 8, въз основа на ECE/TRANS/WP.29/GRPE/2020/10 и GRPE-81-21, изменен с приложение IV)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ECE/TRANS/WP.29/2020/117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 към Правило № 93 на ООН (предни нискоразположени защитни устройства) (ECE/TRANS/WP.29/GRSG/97, точка XX)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ECE/TRANS/WP.29/2020/83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серия от изменения 04 на Правило № 94 на ООН (защита в случай на челен удар) (ECE/TRANS/WP.29/GRSP/67, точка 17 и приложение VI, въз основа на ECE/TRANS/WP.29/GRSP/2020/4, изменен с GRSP-67-20-Rev.1)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ECE/TRANS/WP.29/2020/107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серия от изменения 05 на Правило № 95 на ООН (защита при страничен удар) (ECE/TRANS/WP.29/GRSP/67, точка 18, въз основа на ECE/TRANS/WP.29/GRSP/2020/5, изменен с GRSP-67-21-Rev.1)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ECE/TRANS/WP.29/2020/108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серия от изменения 03 на Правило № 100 на ООН (превозни средства с електрическо силово предаване) (ECE/TRANS/WP.29/GRSP/67, точка 19, въз основа на ECE/TRANS/WP.29/GRSP/2020/6, изменен с GRSP-67-22-Rev.1)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ECE/TRANS/WP.29/2020/109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9 към Правило № 115 на ООН (уредби за дооборудване за ВНГ и СПГ) (ECE/TRANS/WP.29/GRPE/81, точка 28, въз основа на ECE/TRANS/WP.29/GRPE/2020/11 и GRPE-81-37, изменен с приложение VI)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ECE/TRANS/WP.29/2020/118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серия от изменения 02 на Правило № 137 на ООН (челен удар с обръщане на особено внимание на системите за обезопасяване) (ECE/TRANS/WP.29/GRSP/67, точка 25 и приложение IX, въз основа на ECE/TRANS/WP.29/GRSP/2020/7, изменен с GRSP-67-18-Rev.1)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ECE/TRANS/WP.29/2020/110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допълнение 1 към серия от изменения 01 на Правило № 144 на ООН (система за спешни повиквания при пътнотранспортни произшествия) (ECE/TRANS/WP.29/GRSG/97, точка XX, въз основа на ECE/TRANS/WP.29/GRSG/2020/13) 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ECE/TRANS/WP.29/2020/104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допълнение 2 към Правило № 151 на ООН (информационна система за мъртвата точка) (ECE/TRANS/WP.29/GRSG/97, точка XX, въз основа на ECE/TRANS/WP.29/GRSG/2020/7, изменен с GRSG-118-09)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ECE/TRANS/WP.29/2020/105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1 към серия от изменения 01 на Правило № 152 (усъвършенствани системи за аварийно спиране за превозни средства от категории M1 и N1)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ECE/TRANS/WP.29/2020/131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1 към Правило № [153] на ООН (цялост на горивната уредба и безопасност на електрическото силово предаване в случай на удар отзад) (ECE/TRANS/WP.29/GRSP/67, точка 35 и приложение X, въз основа на GRSP-67-19-Rev.1)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ECE/TRANS/WP.29/2020/114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Ново правило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rFonts w:eastAsiaTheme="minorHAnsi"/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 xml:space="preserve">Предложение за ново правило на ООН относно одобряването на устройства за движение на заден ход и на моторни превозни средства по отношение на предупреждаването на водача за уязвими участници в пътното движение, намиращи се зад превозното средство (движение на заден ход) (ECE/TRANS/WP.29/GRSG/97, точка XX, въз основа на ECE/TRANS/WP.29/GRSG/2020/4, изменен с GRSG-118-05)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ECE/TRANS/WP.29/2020/121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Ново правило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rFonts w:eastAsiaTheme="minorHAnsi"/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 xml:space="preserve">Предложение за ново правило на ООН относно одобряването на моторни превозни средства по отношение на информационната система, уведомяваща при потегляне за наличието на пешеходци и велосипедисти (информационна система, уведомяваща при потегляне) (ECE/TRANS/WP.29/GRSG/97, точка XX, въз основа на ECE/TRANS/WP.29/GRSG/2020/5, изменен с GRSG-118-06)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ECE/TRANS/WP.29/2020/122</w:t>
            </w: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  <w:lang w:eastAsia="ja-JP"/>
        </w:rPr>
      </w:pP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960"/>
        <w:gridCol w:w="3960"/>
      </w:tblGrid>
      <w:tr>
        <w:trPr>
          <w:trHeight w:val="465"/>
        </w:trPr>
        <w:tc>
          <w:tcPr>
            <w:tcW w:w="1215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ГТП №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Документ за справка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изменение 1 на ГТП № 7 на ООН (облегалки за глава) 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ECE/TRANS/WP.29/2020/85</w:t>
            </w: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ECE/TRANS/WP.29/2020/86</w:t>
            </w: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ECE/TRANS/WP.29/AC.3/25/Rev.1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изменение 6 на ГТП № 15 на ООН (WLTP)</w:t>
            </w: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ECE/TRANS/WP.29/2020/127 </w:t>
            </w: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ECE/TRANS/WP.29/2020/128 </w:t>
            </w: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ECE/TRANS/WP.29/AC.3/57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изменение 1 на ГТП № 18 на ООН (системи за бордова диагностика (СБД) за превозни средства от категория L) </w:t>
            </w: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ECE/TRANS/WP.29/2020/129 </w:t>
            </w: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ECE/TRANS/WP.29/2020/130 </w:t>
            </w: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ECE/TRANS/WP.29/AC.3/58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Ново глобално техническо правило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ново ГТП на ООН относно определянето на мощността на електрическите превозни средства </w:t>
            </w: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ECE/TRANS/WP.29/2020/125 </w:t>
            </w: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ECE/TRANS/WP.29/2020/126 </w:t>
            </w: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ECE/TRANS/WP.29/AC.3/56</w:t>
            </w: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t xml:space="preserve"> </w:t>
      </w: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960"/>
        <w:gridCol w:w="3960"/>
      </w:tblGrid>
      <w:tr>
        <w:trPr>
          <w:trHeight w:val="465"/>
        </w:trPr>
        <w:tc>
          <w:tcPr>
            <w:tcW w:w="1215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Резолюция №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Документ за справка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M.R.3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изменение 1 на обща резолюция № 3 на ООН във връзка с качеството на въздуха в превозните средства (VIAQ) (ECE/TRANS/WP.29/GRPE/80, точка [59], въз основа на ECE/TRANS/WP.29/GRPE/2020/16)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ECE/TRANS/WP.29/2020/124</w:t>
            </w:r>
          </w:p>
        </w:tc>
      </w:tr>
    </w:tbl>
    <w:p>
      <w:pPr>
        <w:rPr>
          <w:noProof/>
          <w:sz w:val="20"/>
          <w:szCs w:val="20"/>
        </w:rPr>
      </w:pP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960"/>
        <w:gridCol w:w="3960"/>
      </w:tblGrid>
      <w:tr>
        <w:trPr>
          <w:trHeight w:val="465"/>
        </w:trPr>
        <w:tc>
          <w:tcPr>
            <w:tcW w:w="1215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Разни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Документ за справка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Разрешение за изготвяне на изменения на ГТП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Искане за разрешение за изготвяне на изменения на ГТП № 8 на ООН (електронно управление на стабилността)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ECE/TRANS/WP.29/2020/99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Разрешение за изготвяне на ГТП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Искане за разрешение за изготвяне на ново ГТП на ООН относно дълготрайността на акумулаторната батерия в превозното средство (ECE/TRANS/WP.29/GRPE/80, точка 59, въз основа на GRPE-80-41, изменен с приложение X) 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ECE/TRANS/WP.29/2020/96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Тълкувателен документ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тълкувателен документ относно Правило № 155 на ООН (киберсигурност и система за управление на киберсигурността) въз основа на GRVA-07-04-Rev.1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WP.29-182-05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Тълкувателен документ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тълкувателен документ относно Правило № 156 на ООН (актуализиране на софтуера и система за управление на актуализирането на софтуера) въз основа на ECE/TRANS/WP.29/GRVA/2020/29, изменен с GRVA-07-50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WP.29-182-06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Насоки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насоки относно използването на DETA съгласно Правило № 155 на ООН (киберсигурност и система за управление на киберсигурността) въз основа на GRVA-07-25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WP.29-182-07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7"/>
      <w:footerReference w:type="first" r:id="rId18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 xml:space="preserve">Всички посочени в таблицата документи могат да бъдат намерени на следния адрес: </w:t>
      </w:r>
    </w:p>
    <w:p>
      <w:pPr>
        <w:pStyle w:val="FootnoteText"/>
        <w:rPr>
          <w:sz w:val="18"/>
        </w:rPr>
      </w:pPr>
      <w:hyperlink r:id="rId1" w:history="1">
        <w:r>
          <w:rPr>
            <w:rStyle w:val="Hyperlink"/>
            <w:sz w:val="18"/>
          </w:rPr>
          <w:t>http://www.unece.org/trans/main/wp29/wp29wgs/wp29gen/gen2020.html</w:t>
        </w:r>
      </w:hyperlink>
      <w:r>
        <w:t>.</w:t>
      </w:r>
    </w:p>
    <w:p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4"/>
  </w:num>
  <w:num w:numId="13">
    <w:abstractNumId w:val="22"/>
  </w:num>
  <w:num w:numId="14">
    <w:abstractNumId w:val="13"/>
  </w:num>
  <w:num w:numId="15">
    <w:abstractNumId w:val="15"/>
  </w:num>
  <w:num w:numId="16">
    <w:abstractNumId w:val="11"/>
  </w:num>
  <w:num w:numId="17">
    <w:abstractNumId w:val="21"/>
  </w:num>
  <w:num w:numId="18">
    <w:abstractNumId w:val="10"/>
  </w:num>
  <w:num w:numId="19">
    <w:abstractNumId w:val="16"/>
  </w:num>
  <w:num w:numId="20">
    <w:abstractNumId w:val="18"/>
  </w:num>
  <w:num w:numId="21">
    <w:abstractNumId w:val="19"/>
  </w:num>
  <w:num w:numId="22">
    <w:abstractNumId w:val="12"/>
  </w:num>
  <w:num w:numId="23">
    <w:abstractNumId w:val="17"/>
  </w:num>
  <w:num w:numId="24">
    <w:abstractNumId w:val="23"/>
  </w:num>
  <w:num w:numId="25">
    <w:abstractNumId w:val="20"/>
  </w:num>
  <w:num w:numId="26">
    <w:abstractNumId w:val="14"/>
  </w:num>
  <w:num w:numId="27">
    <w:abstractNumId w:val="22"/>
  </w:num>
  <w:num w:numId="28">
    <w:abstractNumId w:val="13"/>
  </w:num>
  <w:num w:numId="29">
    <w:abstractNumId w:val="15"/>
  </w:num>
  <w:num w:numId="30">
    <w:abstractNumId w:val="11"/>
  </w:num>
  <w:num w:numId="31">
    <w:abstractNumId w:val="21"/>
  </w:num>
  <w:num w:numId="32">
    <w:abstractNumId w:val="10"/>
  </w:num>
  <w:num w:numId="33">
    <w:abstractNumId w:val="16"/>
  </w:num>
  <w:num w:numId="34">
    <w:abstractNumId w:val="18"/>
  </w:num>
  <w:num w:numId="35">
    <w:abstractNumId w:val="19"/>
  </w:num>
  <w:num w:numId="36">
    <w:abstractNumId w:val="12"/>
  </w:num>
  <w:num w:numId="37">
    <w:abstractNumId w:val="17"/>
  </w:num>
  <w:num w:numId="3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10-13 10:48:3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0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EE87B49-FE35-4869-9CB3-D2DE754D086C"/>
    <w:docVar w:name="LW_COVERPAGE_TYPE" w:val="1"/>
    <w:docVar w:name="LW_CROSSREFERENCE" w:val="&lt;UNUSED&gt;"/>
    <w:docVar w:name="LW_DocType" w:val="ANNEX"/>
    <w:docVar w:name="LW_EMISSION" w:val="14.10.2020"/>
    <w:docVar w:name="LW_EMISSION_ISODATE" w:val="2020-10-1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74?\u1077?\u1090?\u1086?\u1074?\u1085?\u1080?\u1103? \u1092?\u1086?\u1088?\u1091?\u1084? \u1079?\u1072? \u1093?\u1072?\u1088?\u1084?\u1086?\u1085?\u1080?\u1079?\u1072?\u1094?\u1080?\u1103? \u1085?\u1072? \u1087?\u1088?\u1072?\u1074?\u1080?\u1083?\u1072?\u1090?\u1072? \u1079?\u1072? \u1087?\u1088?\u1077?\u1074?\u1086?\u1079?\u1085?\u1080?\u1090?\u1077? \u1089?\u1088?\u1077?\u1076?\u1089?\u1090?\u1074?\u1072? \u1082?\u1098?\u1084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 0, 13, 16, 17, 44, 55, 83, 93, 94, 95, 100, 115, 137, 144, 151, 152 \u1080? 153 \u1085?\u1072? \u1054?\u1054?\u1053?, \u1087?\u1086? \u1086?\u1090?\u1085?\u1086?\u1096?\u1077?\u1085?\u1080?\u1077? \u1085?\u1072? \u1087?\u1088?\u1077?\u1076?\u1083?\u1086?\u1078?\u1077?\u1085?\u1080?\u1103?\u1090?\u1072? \u1079?\u1072? \u1087?\u1088?\u1086?\u1084?\u1077?\u1085?\u1080? \u1074? \u1075?\u1083?\u1086?\u1073?\u1072?\u1083?\u1085?\u1080? \u1090?\u1077?\u1093?\u1085?\u1080?\u1095?\u1077?\u1089?\u1082?\u1080? \u1087?\u1088?\u1072?\u1074?\u1080?\u1083?\u1072? \u8470? 7, 15 \u1080? 18, \u1087?\u1086? \u1086?\u1090?\u1085?\u1086?\u1096?\u1077?\u1085?\u1080?\u1077? \u1085?\u1072? \u1087?\u1088?\u1077?\u1076?\u1083?\u1086?\u1078?\u1077?\u1085?\u1080?\u1077?\u1090?\u1086? \u1079?\u1072? \u1080?\u1079?\u1084?\u1077?\u1085?\u1077?\u1085?\u1080?\u1103? \u1085?\u1072? \u1086?\u1073?\u1097?\u1072? \u1088?\u1077?\u1079?\u1086?\u1083?\u1102?\u1094?\u1080?\u1103? M.R.3, \u1087?\u1086? \u1086?\u1090?\u1085?\u1086?\u1096?\u1077?\u1085?\u1080?\u1077? \u1085?\u1072? \u1087?\u1088?\u1077?\u1076?\u1083?\u1086?\u1078?\u1077?\u1085?\u1080?\u1103?\u1090?\u1072? \u1079?\u1072? \u1076?\u1074?\u1077? \u1085?\u1086?\u1074?\u1080? \u1087?\u1088?\u1072?\u1074?\u1080?\u1083?\u1072? \u1085?\u1072? \u1054?\u1054?\u1053? \u1074?\u1098?\u1074? \u1074?\u1088?\u1098?\u1079?\u1082?\u1072? \u1089? \u1076?\u1074?\u1080?\u1078?\u1077?\u1085?\u1080?\u1077?\u1090?\u1086? \u1085?\u1072? \u1079?\u1072?\u1076?\u1077?\u1085? \u1093?\u1086?\u1076? \u1080? \u1080?\u1085?\u1092?\u1086?\u1088?\u1084?\u1072?\u1094?\u1080?\u1086?\u1085?\u1085?\u1080?\u1090?\u1077? \u1089?\u1080?\u1089?\u1090?\u1077?\u1084?\u1080?, \u1091?\u1074?\u1077?\u1076?\u1086?\u1084?\u1103?\u1074?\u1072?\u1097?\u1080? \u1087?\u1088?\u1080? \u1087?\u1086?\u1090?\u1077?\u1075?\u1083?\u1103?\u1085?\u1077?, \u1082?\u1072?\u1082?\u1090?\u1086? \u1080? \u1087?\u1086? \u1086?\u1090?\u1085?\u1086?\u1096?\u1077?\u1085?\u1080?\u1077? \u1085?\u1072? \u1087?\u1088?\u1077?\u1076?\u1083?\u1086?\u1078?\u1077?\u1085?\u1080?\u1077?\u1090?\u1086? \u1079?\u1072? \u1085?\u1086?\u1074?\u1086? \u1075?\u1083?\u1086?\u1073?\u1072?\u1083?\u1085?\u1086? \u1090?\u1077?\u1093?\u1085?\u1080?\u1095?\u1077?\u1089?\u1082?\u1086? \u1087?\u1088?\u1072?\u1074?\u1080?\u1083?\u1086? \u1086?\u1090?\u1085?\u1086?\u1089?\u1085?\u1086? \u1086?\u1087?\u1088?\u1077?\u1076?\u1077?\u1083?\u1103?\u1085?\u1077?\u1090?\u1086? \u1085?\u1072? \u1084?\u1086?\u1097?\u1085?\u1086?\u1089?\u1090?\u1090?\u1072? \u1085?\u1072? \u1077?\u1083?\u1077?\u1082?\u1090?\u1088?\u1080?\u1095?\u1077?\u1089?\u1082?\u1080?\u1090?\u1077? \u1087?\u1088?\u1077?\u1074?\u1086?\u1079?\u1085?\u1080? \u1089?\u1088?\u1077?\u1076?\u1089?\u1090?\u1074?\u1072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74?\u1077?\u1090?\u1086?\u1074?\u1085?\u1080?\u1103? \u1092?\u1086?\u1088?\u1091?\u1084? \u1079?\u1072? \u1093?\u1072?\u1088?\u1084?\u1086?\u1085?\u1080?\u1079?\u1072?\u1094?\u1080?\u1103? \u1085?\u1072? \u1087?\u1088?\u1072?\u1074?\u1080?\u1083?\u1072?\u1090?\u1072? \u1079?\u1072? \u1087?\u1088?\u1077?\u1074?\u1086?\u1079?\u1085?\u1080?\u1090?\u1077? \u1089?\u1088?\u1077?\u1076?\u1089?\u1090?\u1074?\u1072? \u1082?\u1098?\u1084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 0, 13, 16, 17, 44, 55, 83, 93, 94, 95, 100, 115, 137, 144, 151, 152 \u1080? 153 \u1085?\u1072? \u1054?\u1054?\u1053?, \u1087?\u1086? \u1086?\u1090?\u1085?\u1086?\u1096?\u1077?\u1085?\u1080?\u1077? \u1085?\u1072? \u1087?\u1088?\u1077?\u1076?\u1083?\u1086?\u1078?\u1077?\u1085?\u1080?\u1103?\u1090?\u1072? \u1079?\u1072? \u1087?\u1088?\u1086?\u1084?\u1077?\u1085?\u1080? \u1074? \u1075?\u1083?\u1086?\u1073?\u1072?\u1083?\u1085?\u1080? \u1090?\u1077?\u1093?\u1085?\u1080?\u1095?\u1077?\u1089?\u1082?\u1080? \u1087?\u1088?\u1072?\u1074?\u1080?\u1083?\u1072? \u8470? 7, 15 \u1080? 18, \u1087?\u1086? \u1086?\u1090?\u1085?\u1086?\u1096?\u1077?\u1085?\u1080?\u1077? \u1085?\u1072? \u1087?\u1088?\u1077?\u1076?\u1083?\u1086?\u1078?\u1077?\u1085?\u1080?\u1077?\u1090?\u1086? \u1079?\u1072? \u1080?\u1079?\u1084?\u1077?\u1085?\u1077?\u1085?\u1080?\u1103? \u1085?\u1072? \u1086?\u1073?\u1097?\u1072? \u1088?\u1077?\u1079?\u1086?\u1083?\u1102?\u1094?\u1080?\u1103? M.R.3, \u1087?\u1086? \u1086?\u1090?\u1085?\u1086?\u1096?\u1077?\u1085?\u1080?\u1077? \u1085?\u1072? \u1087?\u1088?\u1077?\u1076?\u1083?\u1086?\u1078?\u1077?\u1085?\u1080?\u1103?\u1090?\u1072? \u1079?\u1072? \u1076?\u1074?\u1077? \u1085?\u1086?\u1074?\u1080? \u1087?\u1088?\u1072?\u1074?\u1080?\u1083?\u1072? \u1085?\u1072? \u1054?\u1054?\u1053? \u1074?\u1098?\u1074? \u1074?\u1088?\u1098?\u1079?\u1082?\u1072? \u1089? \u1076?\u1074?\u1080?\u1078?\u1077?\u1085?\u1080?\u1077?\u1090?\u1086? \u1085?\u1072? \u1079?\u1072?\u1076?\u1077?\u1085? \u1093?\u1086?\u1076? \u1080? \u1080?\u1085?\u1092?\u1086?\u1088?\u1084?\u1072?\u1094?\u1080?\u1086?\u1085?\u1085?\u1080?\u1090?\u1077? \u1089?\u1080?\u1089?\u1090?\u1077?\u1084?\u1080?, \u1091?\u1074?\u1077?\u1076?\u1086?\u1084?\u1103?\u1074?\u1072?\u1097?\u1080? \u1087?\u1088?\u1080? \u1087?\u1086?\u1090?\u1077?\u1075?\u1083?\u1103?\u1085?\u1077?, \u1082?\u1072?\u1082?\u1090?\u1086? \u1080? \u1087?\u1086? \u1086?\u1090?\u1085?\u1086?\u1096?\u1077?\u1085?\u1080?\u1077? \u1085?\u1072? \u1087?\u1088?\u1077?\u1076?\u1083?\u1086?\u1078?\u1077?\u1085?\u1080?\u1077?\u1090?\u1086? \u1079?\u1072? \u1085?\u1086?\u1074?\u1086? \u1075?\u1083?\u1086?\u1073?\u1072?\u1083?\u1085?\u1086? \u1090?\u1077?\u1093?\u1085?\u1080?\u1095?\u1077?\u1089?\u1082?\u1086? \u1087?\u1088?\u1072?\u1074?\u1080?\u1083?\u1086? \u1086?\u1090?\u1085?\u1086?\u1089?\u1085?\u1086? \u1086?\u1087?\u1088?\u1077?\u1076?\u1077?\u1083?\u1103?\u1085?\u1077?\u1090?\u1086? \u1085?\u1072? \u1084?\u1086?\u1097?\u1085?\u1086?\u1089?\u1090?\u1090?\u1072? \u1085?\u1072? \u1077?\u1083?\u1077?\u1082?\u1090?\u1088?\u1080?\u1095?\u1077?\u1089?\u1082?\u1080?\u1090?\u1077? \u1087?\u1088?\u1077?\u1074?\u1086?\u1079?\u1085?\u1080? \u1089?\u1088?\u1077?\u1076?\u1089?\u1090?\u1074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20) 6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de-AT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de-AT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undocs.org/ECE/TRANS/WP.29/2020/1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gen202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8B66-4126-4109-8D11-C8419D72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1091</Words>
  <Characters>7247</Characters>
  <Application>Microsoft Office Word</Application>
  <DocSecurity>0</DocSecurity>
  <Lines>345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BRASSART Odile (GROW)</dc:creator>
  <cp:lastModifiedBy>DIGIT/C6</cp:lastModifiedBy>
  <cp:revision>9</cp:revision>
  <cp:lastPrinted>2019-09-12T14:28:00Z</cp:lastPrinted>
  <dcterms:created xsi:type="dcterms:W3CDTF">2020-10-08T13:04:00Z</dcterms:created>
  <dcterms:modified xsi:type="dcterms:W3CDTF">2020-10-13T08:48:00Z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