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684581A-3C9D-41E6-AC96-29FC614AD107" style="width:450.8pt;height:488.3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pStyle w:val="ManualHeading1"/>
        <w:ind w:left="0" w:firstLine="0"/>
        <w:rPr>
          <w:b w:val="0"/>
          <w:smallCaps w:val="0"/>
          <w:noProof/>
        </w:rPr>
      </w:pPr>
      <w:r>
        <w:rPr>
          <w:b w:val="0"/>
          <w:smallCaps w:val="0"/>
          <w:noProof/>
        </w:rPr>
        <w:t>Настоящото предложение се отнася до решение за установяване на позицията, която трябва да се заеме от името на Съюза в рамките на Световния форум за хармонизация на правилата за превозните средства към Икономическата комисия за Европа на Организацията на обединените нации (Работна група 29 или WP.29) по отношение на приемането на нови правила на ООН и промени в съществуващи правила на ООН, нови глобални технически правила на ООН и промени в съществуващи глобални технически правила на ООН, както и на една резолюция.</w:t>
      </w:r>
    </w:p>
    <w:p>
      <w:pPr>
        <w:pStyle w:val="ManualHeading1"/>
        <w:rPr>
          <w:noProof/>
        </w:rPr>
      </w:pPr>
      <w:r>
        <w:rPr>
          <w:noProof/>
        </w:rPr>
        <w:t>2.</w:t>
      </w:r>
      <w:r>
        <w:rPr>
          <w:noProof/>
        </w:rPr>
        <w:tab/>
        <w:t>КОНТЕКСТ НА ПРЕДЛОЖЕНИЕТО</w:t>
      </w:r>
    </w:p>
    <w:p>
      <w:pPr>
        <w:pStyle w:val="ManualHeading1"/>
        <w:rPr>
          <w:noProof/>
        </w:rPr>
      </w:pPr>
      <w:r>
        <w:rPr>
          <w:noProof/>
        </w:rPr>
        <w:t>2.1.</w:t>
      </w:r>
      <w:r>
        <w:rPr>
          <w:noProof/>
        </w:rPr>
        <w:tab/>
      </w:r>
      <w:r>
        <w:rPr>
          <w:smallCaps w:val="0"/>
          <w:noProof/>
        </w:rPr>
        <w:t>Споразумението от 1958 г. и Споразумението от 1998 г.</w:t>
      </w:r>
    </w:p>
    <w:p>
      <w:pPr>
        <w:rPr>
          <w:noProof/>
        </w:rPr>
      </w:pPr>
      <w:r>
        <w:rPr>
          <w:noProof/>
        </w:rPr>
        <w:t>Целта на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и на Споразумението относно създаването на глобални технически правила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е да бъдат изготвени хармонизирани изисквания, предназначени да премахнат техническите пречки пред търговията с моторни превозни средства между договарящите се страни на ИКЕ на ООН и да гарантират, че тези превозни средства осигуряват висока степен на безопасност и опазване на околната среда. Споразуменията влязоха в сила за ЕС съответно на 24 март 1998 г. и на 15 февруари 2000 г. Прилагането им се осъществява под ръководството на Световния форум за хармонизация на правилата за превозните средства към ИКЕ на ООН (Работна група 29 или WP.29).</w:t>
      </w:r>
    </w:p>
    <w:p>
      <w:pPr>
        <w:pStyle w:val="ManualHeading1"/>
        <w:ind w:left="0" w:firstLine="0"/>
        <w:rPr>
          <w:noProof/>
        </w:rPr>
      </w:pPr>
      <w:r>
        <w:rPr>
          <w:noProof/>
        </w:rPr>
        <w:t xml:space="preserve">2.2. </w:t>
      </w:r>
      <w:r>
        <w:rPr>
          <w:noProof/>
        </w:rPr>
        <w:tab/>
      </w:r>
      <w:r>
        <w:rPr>
          <w:smallCaps w:val="0"/>
          <w:noProof/>
        </w:rPr>
        <w:t>Световният форум за хармонизация на правилата за превозните средства към Икономическа комисия за Европа на Организацията на обединените нации (ИКЕ на ООН) — Работна група 29 или WP. 29</w:t>
      </w:r>
    </w:p>
    <w:p>
      <w:pPr>
        <w:rPr>
          <w:noProof/>
        </w:rPr>
      </w:pPr>
      <w:r>
        <w:rPr>
          <w:noProof/>
        </w:rPr>
        <w:t xml:space="preserve">Работна група 29 предоставя единствена по рода си рамка за хармонизирани в световен мащаб правила за превозните средства. Тя е постоянна работна група в институционалната рамка на Обединените нации с определен мандат и правилник за дейността. Работната група функционира като световен форум, който дава възможност за провеждането на открити разисквания относно правилата за МПС, както и за обсъждане на прилагането на Ревизираното споразумение от 1958 г. и на Паралелното споразумение. Всяка държава — членка на Организацията на обединените нации, както и всяка регионална организация за икономическа интеграция, създадена от държави — членки на Организацията на обединените нации, може да участва пълноценно в дейностите на Работна група 29 и да стане договаряща се страна по споразуменията </w:t>
      </w:r>
      <w:r>
        <w:rPr>
          <w:noProof/>
        </w:rPr>
        <w:lastRenderedPageBreak/>
        <w:t>относно превозните средства, чието прилагане се ръководи от тази работна група. Европейският съюз е страна по тези споразумения</w:t>
      </w:r>
      <w:r>
        <w:rPr>
          <w:rStyle w:val="FootnoteReference"/>
          <w:noProof/>
        </w:rPr>
        <w:footnoteReference w:id="1"/>
      </w:r>
      <w:r>
        <w:rPr>
          <w:noProof/>
        </w:rPr>
        <w:t xml:space="preserve">. </w:t>
      </w:r>
    </w:p>
    <w:p>
      <w:pPr>
        <w:rPr>
          <w:noProof/>
        </w:rPr>
      </w:pPr>
    </w:p>
    <w:p>
      <w:pPr>
        <w:rPr>
          <w:noProof/>
        </w:rPr>
      </w:pPr>
      <w:r>
        <w:rPr>
          <w:noProof/>
        </w:rPr>
        <w:t>Заседанията на Работна група 29 на ИКЕ на ООН се провеждат три пъти годишно — през март, юни и ноември. На всяко заседание е възможно да се приемат нови правила на ООН, нови глобални технически правила на ООН (ГТП на ООН), промени в действащи правила и резолюции на ООН съгласно Ревизираното споразумение от 1958 г. и промени в действащи ГТП на ООН и резолюции на ООН съгласно Паралелното споразумение, за да се вземе предвид техническият напредък. Преди всяко заседание на Работна група 29 тези промени първо се обсъждат на техническо равнище в рамките на специализирани спомагателни органи към работната група.</w:t>
      </w:r>
    </w:p>
    <w:p>
      <w:pPr>
        <w:rPr>
          <w:noProof/>
        </w:rPr>
      </w:pPr>
      <w:r>
        <w:rPr>
          <w:noProof/>
        </w:rPr>
        <w:t xml:space="preserve">Впоследствие се провежда гласуване на равнището на Работна група 29 (т.е. чрез квалифицирано мнозинство на присъстващите и гласуващи договарящи се страни — за предложенията съгласно Ревизираното споразумение от 1958 г. и с консенсус на присъстващите и гласуващи договарящи се страни — за предложенията съгласно Паралелното споразумение). </w:t>
      </w:r>
    </w:p>
    <w:p>
      <w:pPr>
        <w:rPr>
          <w:noProof/>
        </w:rPr>
      </w:pPr>
      <w:r>
        <w:rPr>
          <w:noProof/>
        </w:rPr>
        <w:t xml:space="preserve">Позицията, която трябва да се заеме от името на Съюза по отношение на новите правила и ГТП, техните изменения, допълнения и поправки, както и на резолюциите, се установява преди всяко заседание на Работна група 29 чрез решение на Съвета съгласно член 218, параграф 9 от ДФЕС. </w:t>
      </w:r>
    </w:p>
    <w:p>
      <w:pPr>
        <w:pStyle w:val="ManualHeading1"/>
        <w:rPr>
          <w:smallCaps w:val="0"/>
          <w:noProof/>
        </w:rPr>
      </w:pPr>
      <w:r>
        <w:rPr>
          <w:smallCaps w:val="0"/>
          <w:noProof/>
        </w:rPr>
        <w:t xml:space="preserve">2.3. </w:t>
      </w:r>
      <w:r>
        <w:rPr>
          <w:noProof/>
        </w:rPr>
        <w:tab/>
      </w:r>
      <w:r>
        <w:rPr>
          <w:smallCaps w:val="0"/>
          <w:noProof/>
        </w:rPr>
        <w:t>Предвиденият акт на Работна група 29</w:t>
      </w:r>
    </w:p>
    <w:p>
      <w:pPr>
        <w:rPr>
          <w:noProof/>
        </w:rPr>
      </w:pPr>
      <w:r>
        <w:rPr>
          <w:noProof/>
        </w:rPr>
        <w:t>На 10 ноември 2020 г. по време на своето 182-ро заседание Работна група 29 може да приеме предложенията за промени в правила № 0, 13, 16, 17, 35, 44, 55, 83, 93, 94, 95, 100, 115, 137, 144, 151, 152 и 153 на ООН, предложението за ново правило на ООН относно глобалните емисии при реални условия на движение, предложението за ново правило на ООН относно одобряването на устройства за движение на заден ход и на моторни превозни средства по отношение на предупреждаването на водача за уязвими участници в пътното движение, намиращи се зад превозното средство, предложението за ново правило на ООН относно одобряването на моторни превозни средства по отношение на информационната система, уведомяваща при потегляне за наличието на пешеходци и велосипедисти, предложението за ново правило на ООН относно устройствата за записване на данни от инциденти, предложенията за промени в глобалните технически правила (ГТП на ООН) № 7, 15 и 18, предложението за ново глобално техническо правило относно определянето на мощността на електрическите превозни средства и предложението за изменения в обща резолюция M.R.3 във връзка с качеството на въздуха в превозните средства (VIAQ).</w:t>
      </w:r>
    </w:p>
    <w:p>
      <w:pPr>
        <w:pStyle w:val="ManualHeading1"/>
        <w:rPr>
          <w:noProof/>
        </w:rPr>
      </w:pPr>
      <w:r>
        <w:rPr>
          <w:noProof/>
        </w:rPr>
        <w:lastRenderedPageBreak/>
        <w:t xml:space="preserve">3. </w:t>
      </w:r>
      <w:r>
        <w:rPr>
          <w:noProof/>
        </w:rPr>
        <w:tab/>
        <w:t>ПОЗИЦИЯ, КОЯТО ТРЯБВА ДА СЕ ЗАЕМЕ ОТ ИМЕТО НА СЪЮЗА</w:t>
      </w:r>
    </w:p>
    <w:p>
      <w:pPr>
        <w:rPr>
          <w:noProof/>
        </w:rPr>
      </w:pPr>
      <w:r>
        <w:rPr>
          <w:noProof/>
        </w:rPr>
        <w:t>Системата на Работна група 29 допринася за постигането на по-висока степен на хармонизиране в международен план на стандартите за превозните средства. Споразумението от 1958 г. има основна роля за постигането на тази цел, тъй като производителите от ЕС могат да използват общ набор от правила за одобряване на типа със съзнанието, че договарящите се страни ще признаят съответствието на продуктите им с националното си законодателство. Тази схема например направи възможно с Регламент (ЕО) № 661/2009 относно общата безопасност на моторните превозни средства да се отменят повече от 50 директиви на ЕС и същите да се заменят със съответните правила, изготвени съгласно Споразумението от 1958 г.</w:t>
      </w:r>
    </w:p>
    <w:p>
      <w:pPr>
        <w:rPr>
          <w:noProof/>
        </w:rPr>
      </w:pPr>
      <w:r>
        <w:rPr>
          <w:noProof/>
        </w:rPr>
        <w:t>Подобен подход се прилага в Регламент (ЕС) 2018/858 на Европейския парламент и на Съвета</w:t>
      </w:r>
      <w:r>
        <w:rPr>
          <w:rStyle w:val="FootnoteReference"/>
          <w:noProof/>
        </w:rPr>
        <w:footnoteReference w:id="2"/>
      </w:r>
      <w:r>
        <w:rPr>
          <w:noProof/>
        </w:rPr>
        <w:t xml:space="preserve">, с който се определят административните разпоредби и техническите изисквания за одобряването на типа и пускането на пазара на всички нови превозни средства, системи, компоненти и отделни технически възли. С въпросния регламент се инкорпорират правилата, приети съгласно Ревизираното споразумение от 1958 г. („правилата на ООН“), в системата на ЕС за одобряване на типа или като изисквания за одобряване на типа, или като алтернативи на законодателството на Съюза. </w:t>
      </w:r>
    </w:p>
    <w:p>
      <w:pPr>
        <w:rPr>
          <w:noProof/>
        </w:rPr>
      </w:pPr>
      <w:r>
        <w:rPr>
          <w:noProof/>
        </w:rPr>
        <w:t xml:space="preserve">След като предложенията за промени или за нови правила на ООН бъдат приети от Работна група 29 и след като тези актове се нотифицират на договарящите се страни от изпълнителния секретар на ИКЕ на ООН, шест месеца по-късно и при отсъствието на възражения от страна на договарящите се страни, представляващи блокиращо малцинство, актовете могат да влязат в сила и да се транспонират в приложимите национални правила на всяка от договарящите се страни. В ЕС транспонирането се смята за извършено след публикуването на тези актове в </w:t>
      </w:r>
      <w:r>
        <w:rPr>
          <w:i/>
          <w:iCs/>
          <w:noProof/>
        </w:rPr>
        <w:t>Официален вестник на ЕС</w:t>
      </w:r>
      <w:r>
        <w:rPr>
          <w:noProof/>
        </w:rPr>
        <w:t xml:space="preserve">. </w:t>
      </w:r>
    </w:p>
    <w:p>
      <w:pPr>
        <w:pStyle w:val="ManualHeading1"/>
        <w:rPr>
          <w:b w:val="0"/>
          <w:smallCaps w:val="0"/>
          <w:noProof/>
        </w:rPr>
      </w:pPr>
      <w:r>
        <w:rPr>
          <w:b w:val="0"/>
          <w:smallCaps w:val="0"/>
          <w:noProof/>
        </w:rPr>
        <w:t>Следователно е необходимо да се установи позицията на Съюза по следните актове:</w:t>
      </w:r>
    </w:p>
    <w:p>
      <w:pPr>
        <w:pStyle w:val="Tiret0"/>
        <w:numPr>
          <w:ilvl w:val="0"/>
          <w:numId w:val="2"/>
        </w:numPr>
        <w:rPr>
          <w:noProof/>
        </w:rPr>
      </w:pPr>
      <w:r>
        <w:rPr>
          <w:noProof/>
        </w:rPr>
        <w:t>предложенията за промени в правила № 0, 13, 16, 17, 44, 55, 83, 93, 94, 95, 100, 115, 137, 144, 151, 152 и 153 на ООН, които се отнасят до актуализирането на разпоредбите относно международното одобряване на типа на цялото превозно средство, спирачните уредби на тежкотоварни превозни средства, обезопасителните колани, здравината на седалките, системите за обезопасяване на деца, монтираните на моторни превозни средства механични теглително-прикачни устройства, емисиите на превозни средства от категории M1 и N1, предните нискоразположени защитни устройства, устройствата за защита при челен и страничен удар, моторните превозни средства с електрическо силово предаване, уредбите за дооборудване за ВНГ и СПГ, челен удар с обръщане на особено внимание на системите за обезопасяване, системите за спешни повиквания при пътнотранспортни произшествия, информационните системи за мъртвата точка, усъвършенстваните системи за аварийно спиране за превозни средства от категории M1 и N1, както и целостта на горивната уредба и безопасността на електрическото силово предаване в случай на удар отзад;</w:t>
      </w:r>
    </w:p>
    <w:p>
      <w:pPr>
        <w:pStyle w:val="Tiret0"/>
        <w:numPr>
          <w:ilvl w:val="0"/>
          <w:numId w:val="2"/>
        </w:numPr>
        <w:rPr>
          <w:noProof/>
        </w:rPr>
      </w:pPr>
      <w:r>
        <w:rPr>
          <w:noProof/>
        </w:rPr>
        <w:t xml:space="preserve">предложението за ново правило на ООН относно одобряването на устройства за движение на заден ход и на моторни превозни средства по отношение на </w:t>
      </w:r>
      <w:r>
        <w:rPr>
          <w:noProof/>
        </w:rPr>
        <w:lastRenderedPageBreak/>
        <w:t>предупреждаването на водача за уязвими участници в пътното движение, намиращи се зад превозното средство;</w:t>
      </w:r>
    </w:p>
    <w:p>
      <w:pPr>
        <w:pStyle w:val="Tiret0"/>
        <w:numPr>
          <w:ilvl w:val="0"/>
          <w:numId w:val="2"/>
        </w:numPr>
        <w:rPr>
          <w:noProof/>
        </w:rPr>
      </w:pPr>
      <w:r>
        <w:rPr>
          <w:noProof/>
        </w:rPr>
        <w:t>предложението за ново правило на ООН относно одобряването на моторни превозни средства по отношение на информационната система, уведомяваща при потегляне за наличието на пешеходци и велосипедисти;</w:t>
      </w:r>
    </w:p>
    <w:p>
      <w:pPr>
        <w:pStyle w:val="Tiret0"/>
        <w:numPr>
          <w:ilvl w:val="0"/>
          <w:numId w:val="2"/>
        </w:numPr>
        <w:rPr>
          <w:noProof/>
        </w:rPr>
      </w:pPr>
      <w:r>
        <w:rPr>
          <w:noProof/>
        </w:rPr>
        <w:t>предложенията за промени в глобалните технически правила (ГТП на ООН) № 7, 15 и 18, отнасящи се до облегалките за глава, хармонизираната в световен мащаб процедура за изпитване на лекотоварни превозни средства (WLTP) и системите за бордова диагностика (СБД) за превозни средства от категория L;</w:t>
      </w:r>
    </w:p>
    <w:p>
      <w:pPr>
        <w:pStyle w:val="Tiret0"/>
        <w:numPr>
          <w:ilvl w:val="0"/>
          <w:numId w:val="2"/>
        </w:numPr>
        <w:rPr>
          <w:noProof/>
        </w:rPr>
      </w:pPr>
      <w:r>
        <w:rPr>
          <w:noProof/>
        </w:rPr>
        <w:t>предложението за ново глобално техническо правило относно определянето на мощността на електрическите превозни средства;</w:t>
      </w:r>
    </w:p>
    <w:p>
      <w:pPr>
        <w:pStyle w:val="Tiret0"/>
        <w:numPr>
          <w:ilvl w:val="0"/>
          <w:numId w:val="2"/>
        </w:numPr>
        <w:rPr>
          <w:noProof/>
        </w:rPr>
      </w:pPr>
      <w:r>
        <w:rPr>
          <w:noProof/>
        </w:rPr>
        <w:t xml:space="preserve"> предложението за изменения в обща резолюция M.R.3 във връзка с качеството на въздуха в превозните средства (VIAQ), </w:t>
      </w:r>
    </w:p>
    <w:p>
      <w:pPr>
        <w:rPr>
          <w:noProof/>
        </w:rPr>
      </w:pPr>
      <w:r>
        <w:rPr>
          <w:noProof/>
        </w:rPr>
        <w:t>внесени за гласуване на заседанието на Работна група 29, което ще се проведе на 10 ноември 2020 г. Освен това е необходимо да се установи позицията на Съюза относно:</w:t>
      </w:r>
    </w:p>
    <w:p>
      <w:pPr>
        <w:pStyle w:val="Tiret0"/>
        <w:rPr>
          <w:noProof/>
        </w:rPr>
      </w:pPr>
      <w:r>
        <w:rPr>
          <w:noProof/>
        </w:rPr>
        <w:t>предложенията за разрешения за изготвяне на изменения на ГТП № 8 на ООН относно електронните системи за управление на стабилността и за изготвяне на ново ГТП на ООН относно дълготрайността на акумулаторната батерия в превозното средство;</w:t>
      </w:r>
    </w:p>
    <w:p>
      <w:pPr>
        <w:pStyle w:val="Tiret0"/>
        <w:rPr>
          <w:noProof/>
        </w:rPr>
      </w:pPr>
      <w:r>
        <w:rPr>
          <w:noProof/>
        </w:rPr>
        <w:t>предложенията за тълкувателни документи относно правила № 155 и № 156 на ООН, както и предложението за насоки относно използването на базата данни за обмен на одобрения на типа (DETA) съгласно Правило № 155 на ООН.</w:t>
      </w:r>
    </w:p>
    <w:p>
      <w:pPr>
        <w:rPr>
          <w:noProof/>
        </w:rPr>
      </w:pPr>
      <w:r>
        <w:rPr>
          <w:noProof/>
        </w:rPr>
        <w:t xml:space="preserve">Съюзът следва да подкрепи гореизброените актове, защото те са в пълно съответствие с политиката на Съюза в областта на вътрешния пазар по отношение на автомобилната промишленост и са съвместими с политиките на Съюза в областта на транспорта, климата и енергетиката. Тези актове имат много положително въздействие върху конкурентоспособността на автомобилната промишленост на ЕС и върху международната търговия. Гласуването в подкрепа на тези актове ще насърчи техническия напредък, ще генерира ползи от икономиите от мащаба, ще предотврати разпокъсването на вътрешния пазар и ще гарантира еднаквото прилагане на стандартите в автомобилостроенето в целия Съюз. </w:t>
      </w:r>
    </w:p>
    <w:p>
      <w:pPr>
        <w:rPr>
          <w:noProof/>
        </w:rPr>
      </w:pPr>
      <w:r>
        <w:rPr>
          <w:noProof/>
        </w:rPr>
        <w:t>От друга страна, като се има предвид, че ЕС не прилага единните предписания на Правило № 35 на ООН, не е необходимо да се установява позиция на Съюза по предложението за изменения на Правило № 35, разглеждано от Работна група 29 на ИКЕ на ООН.</w:t>
      </w:r>
    </w:p>
    <w:p>
      <w:pPr>
        <w:rPr>
          <w:noProof/>
        </w:rPr>
      </w:pPr>
      <w:r>
        <w:rPr>
          <w:noProof/>
        </w:rPr>
        <w:t>Предложението за ново правило на ООН относно глобалните емисии при реални условия на движение и предложението за ново правило на ООН относно устройствата за записване на данни от инциденти не са готови за гласуване на заседанието на Работна група 29 през ноември 2020 г. и трябва да бъдат обсъдени допълнително.</w:t>
      </w:r>
    </w:p>
    <w:p>
      <w:pPr>
        <w:rPr>
          <w:noProof/>
        </w:rPr>
      </w:pPr>
      <w:r>
        <w:rPr>
          <w:noProof/>
        </w:rPr>
        <w:t>Външни експертни становища не са приложими за целите на настоящото предложение. То обаче ще бъде разгледано от Техническия комитет по моторните превозни средства.</w:t>
      </w:r>
    </w:p>
    <w:p>
      <w:pPr>
        <w:rPr>
          <w:noProof/>
        </w:rPr>
      </w:pPr>
    </w:p>
    <w:p>
      <w:pPr>
        <w:pStyle w:val="ManualHeading1"/>
        <w:rPr>
          <w:noProof/>
        </w:rPr>
      </w:pPr>
      <w:r>
        <w:rPr>
          <w:noProof/>
        </w:rPr>
        <w:t>4.</w:t>
      </w:r>
      <w:r>
        <w:rPr>
          <w:noProof/>
        </w:rPr>
        <w:tab/>
        <w:t>ПРАВНО ОСНОВАНИЕ</w:t>
      </w:r>
    </w:p>
    <w:p>
      <w:pPr>
        <w:pStyle w:val="Text1"/>
        <w:ind w:left="0"/>
        <w:rPr>
          <w:noProof/>
        </w:rPr>
      </w:pPr>
    </w:p>
    <w:p>
      <w:pPr>
        <w:pStyle w:val="Text1"/>
        <w:ind w:left="0"/>
        <w:rPr>
          <w:b/>
          <w:noProof/>
        </w:rPr>
      </w:pPr>
      <w:r>
        <w:rPr>
          <w:b/>
          <w:noProof/>
        </w:rPr>
        <w:lastRenderedPageBreak/>
        <w:t xml:space="preserve">4.1. </w:t>
      </w:r>
      <w:r>
        <w:rPr>
          <w:noProof/>
        </w:rPr>
        <w:tab/>
      </w:r>
      <w:r>
        <w:rPr>
          <w:b/>
          <w:noProof/>
        </w:rPr>
        <w:t xml:space="preserve">Процесуалноправно основание </w:t>
      </w:r>
    </w:p>
    <w:p>
      <w:pPr>
        <w:pStyle w:val="Text1"/>
        <w:ind w:left="0"/>
        <w:rPr>
          <w:i/>
          <w:noProof/>
        </w:rPr>
      </w:pPr>
      <w:r>
        <w:rPr>
          <w:i/>
          <w:noProof/>
        </w:rPr>
        <w:t xml:space="preserve">4.1.1. </w:t>
      </w:r>
      <w:r>
        <w:rPr>
          <w:noProof/>
        </w:rPr>
        <w:tab/>
      </w:r>
      <w:r>
        <w:rPr>
          <w:i/>
          <w:noProof/>
        </w:rPr>
        <w:t xml:space="preserve">Принципи </w:t>
      </w:r>
    </w:p>
    <w:p>
      <w:pPr>
        <w:pStyle w:val="Text1"/>
        <w:ind w:left="0"/>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 </w:t>
      </w:r>
    </w:p>
    <w:p>
      <w:pPr>
        <w:pStyle w:val="Text1"/>
        <w:ind w:left="0"/>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Text1"/>
        <w:ind w:left="0"/>
        <w:rPr>
          <w:noProof/>
        </w:rPr>
      </w:pPr>
    </w:p>
    <w:p>
      <w:pPr>
        <w:pStyle w:val="Text1"/>
        <w:ind w:left="0"/>
        <w:rPr>
          <w:i/>
          <w:noProof/>
        </w:rPr>
      </w:pPr>
      <w:r>
        <w:rPr>
          <w:i/>
          <w:noProof/>
        </w:rPr>
        <w:t xml:space="preserve">4.1.2. </w:t>
      </w:r>
      <w:r>
        <w:rPr>
          <w:noProof/>
        </w:rPr>
        <w:tab/>
      </w:r>
      <w:r>
        <w:rPr>
          <w:i/>
          <w:noProof/>
        </w:rPr>
        <w:t xml:space="preserve">Приложение в конкретния случай </w:t>
      </w:r>
    </w:p>
    <w:p>
      <w:pPr>
        <w:pStyle w:val="Text1"/>
        <w:ind w:left="0"/>
        <w:rPr>
          <w:noProof/>
        </w:rPr>
      </w:pPr>
      <w:r>
        <w:rPr>
          <w:noProof/>
        </w:rPr>
        <w:t xml:space="preserve">Работна група 29 е орган, в рамките на който договарящите се страни на ИКЕ на ООН обсъждат изпълнението на Ревизираното споразумение от 1958 г. и на Паралелното споразумение.  </w:t>
      </w:r>
    </w:p>
    <w:p>
      <w:pPr>
        <w:pStyle w:val="Text1"/>
        <w:ind w:left="0"/>
        <w:rPr>
          <w:noProof/>
        </w:rPr>
      </w:pPr>
      <w:r>
        <w:rPr>
          <w:noProof/>
        </w:rPr>
        <w:t xml:space="preserve">Актовете, които Работна група 29 има за задача да приема, представляват актове с правно действие. </w:t>
      </w:r>
    </w:p>
    <w:p>
      <w:pPr>
        <w:pStyle w:val="Text1"/>
        <w:ind w:left="0"/>
        <w:rPr>
          <w:noProof/>
        </w:rPr>
      </w:pPr>
      <w:r>
        <w:rPr>
          <w:noProof/>
        </w:rPr>
        <w:t xml:space="preserve">Правилата на ООН, съдържащи се в предвидения акт, ще бъдат обвързващи за Съюза и заедно с ГТП на ООН и резолюциите могат да окажат съществено въздействие върху съдържанието на законодателството на ЕС в областта на одобряването на типа на превозните средства. </w:t>
      </w:r>
    </w:p>
    <w:p>
      <w:pPr>
        <w:pStyle w:val="Text1"/>
        <w:ind w:left="0"/>
        <w:rPr>
          <w:noProof/>
        </w:rPr>
      </w:pPr>
      <w:r>
        <w:rPr>
          <w:noProof/>
        </w:rPr>
        <w:t xml:space="preserve">Предвидените актове не допълват, нито изменят институционалната рамка на споразумението. </w:t>
      </w:r>
    </w:p>
    <w:p>
      <w:pPr>
        <w:pStyle w:val="Text1"/>
        <w:ind w:left="0"/>
        <w:rPr>
          <w:noProof/>
        </w:rPr>
      </w:pPr>
      <w:r>
        <w:rPr>
          <w:noProof/>
        </w:rPr>
        <w:t>Поради това процесуалноправното основание за предложеното решение е член 218, параграф 9 от ДФЕС.</w:t>
      </w:r>
    </w:p>
    <w:p>
      <w:pPr>
        <w:pStyle w:val="Text1"/>
        <w:ind w:left="0"/>
        <w:rPr>
          <w:noProof/>
        </w:rPr>
      </w:pPr>
    </w:p>
    <w:p>
      <w:pPr>
        <w:pStyle w:val="Text1"/>
        <w:ind w:left="0"/>
        <w:rPr>
          <w:b/>
          <w:noProof/>
        </w:rPr>
      </w:pPr>
      <w:r>
        <w:rPr>
          <w:b/>
          <w:noProof/>
        </w:rPr>
        <w:t xml:space="preserve">4.2. </w:t>
      </w:r>
      <w:r>
        <w:rPr>
          <w:noProof/>
        </w:rPr>
        <w:tab/>
      </w:r>
      <w:r>
        <w:rPr>
          <w:b/>
          <w:noProof/>
        </w:rPr>
        <w:t xml:space="preserve">Материалноправно основание </w:t>
      </w:r>
    </w:p>
    <w:p>
      <w:pPr>
        <w:pStyle w:val="Text1"/>
        <w:ind w:left="0"/>
        <w:rPr>
          <w:i/>
          <w:noProof/>
        </w:rPr>
      </w:pPr>
      <w:r>
        <w:rPr>
          <w:i/>
          <w:noProof/>
        </w:rPr>
        <w:t xml:space="preserve">4.2.1. </w:t>
      </w:r>
      <w:r>
        <w:rPr>
          <w:noProof/>
        </w:rPr>
        <w:tab/>
      </w:r>
      <w:r>
        <w:rPr>
          <w:i/>
          <w:noProof/>
        </w:rPr>
        <w:t xml:space="preserve">Принципи </w:t>
      </w:r>
    </w:p>
    <w:p>
      <w:pPr>
        <w:pStyle w:val="Text1"/>
        <w:ind w:left="0"/>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 </w:t>
      </w:r>
    </w:p>
    <w:p>
      <w:pPr>
        <w:pStyle w:val="Text1"/>
        <w:ind w:left="0"/>
        <w:rPr>
          <w:noProof/>
        </w:rPr>
      </w:pPr>
    </w:p>
    <w:p>
      <w:pPr>
        <w:pStyle w:val="Text1"/>
        <w:ind w:left="0"/>
        <w:rPr>
          <w:i/>
          <w:noProof/>
        </w:rPr>
      </w:pPr>
      <w:r>
        <w:rPr>
          <w:i/>
          <w:noProof/>
        </w:rPr>
        <w:t xml:space="preserve">4.2.2. Приложение в конкретния случай </w:t>
      </w:r>
    </w:p>
    <w:p>
      <w:pPr>
        <w:pStyle w:val="Text1"/>
        <w:ind w:left="0"/>
        <w:rPr>
          <w:noProof/>
        </w:rPr>
      </w:pPr>
      <w:r>
        <w:rPr>
          <w:noProof/>
        </w:rPr>
        <w:lastRenderedPageBreak/>
        <w:t xml:space="preserve">Основната цел и съдържанието на предвидения акт са свързани със сближаване на законодателството. Поради това материалноправното основание за предложеното решение е член 114 от ДФЕС. </w:t>
      </w:r>
    </w:p>
    <w:p>
      <w:pPr>
        <w:pStyle w:val="Text1"/>
        <w:ind w:left="0"/>
        <w:rPr>
          <w:i/>
          <w:noProof/>
        </w:rPr>
      </w:pPr>
    </w:p>
    <w:p>
      <w:pPr>
        <w:pStyle w:val="Text1"/>
        <w:ind w:left="0"/>
        <w:rPr>
          <w:i/>
          <w:noProof/>
        </w:rPr>
      </w:pPr>
      <w:r>
        <w:rPr>
          <w:i/>
          <w:noProof/>
        </w:rPr>
        <w:t xml:space="preserve">4.3. </w:t>
      </w:r>
      <w:r>
        <w:rPr>
          <w:noProof/>
        </w:rPr>
        <w:tab/>
      </w:r>
      <w:r>
        <w:rPr>
          <w:i/>
          <w:noProof/>
        </w:rPr>
        <w:t xml:space="preserve">Заключение </w:t>
      </w:r>
    </w:p>
    <w:p>
      <w:pPr>
        <w:pStyle w:val="Text1"/>
        <w:ind w:left="0"/>
        <w:rPr>
          <w:noProof/>
        </w:rPr>
      </w:pPr>
      <w:r>
        <w:rPr>
          <w:noProof/>
        </w:rPr>
        <w:t>Правното основание за предложеното решение следва да бъде член 114 от ДФЕС във връзка с член 218, параграф 9 от ДФЕС.</w:t>
      </w:r>
    </w:p>
    <w:p>
      <w:pPr>
        <w:pStyle w:val="Text1"/>
        <w:ind w:left="0"/>
        <w:rPr>
          <w:noProof/>
        </w:rPr>
      </w:pPr>
    </w:p>
    <w:p>
      <w:pPr>
        <w:spacing w:before="0" w:after="200" w:line="276" w:lineRule="auto"/>
        <w:jc w:val="center"/>
        <w:rPr>
          <w:noProof/>
        </w:rPr>
        <w:sectPr>
          <w:footerReference w:type="default" r:id="rId10"/>
          <w:footerReference w:type="first" r:id="rId11"/>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2020/0295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Световния форум за хармонизация на правилата за превозните средства към Икономическата комисия за Европа на Организацията на обединените нации по отношение на предложенията за промени в правила № 0, 13, 16, 17, 44, 55, 83, 93, 94, 95, 100, 115, 137, 144, 151, 152 и 153 на ООН, по отношение на предложенията за промени в глобални технически правила № 7, 15 и 18, по отношение на предложението за изменения на обща резолюция M.R.3, по отношение на предложенията за две нови правила на ООН във връзка с движението на заден ход и информационните системи, уведомяващи при потегляне, както и по отношение на предложението за ново глобално техническо правило относно определянето на мощността на електрическите превозни средства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97/836/ЕО на Съвета</w:t>
      </w:r>
      <w:r>
        <w:rPr>
          <w:rStyle w:val="FootnoteReference"/>
          <w:noProof/>
        </w:rPr>
        <w:footnoteReference w:id="4"/>
      </w:r>
      <w:r>
        <w:rPr>
          <w:noProof/>
        </w:rPr>
        <w:t xml:space="preserve">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Ревизираното споразумение от 1958 г. влезе в сила на 24 март 1998 г.</w:t>
      </w:r>
    </w:p>
    <w:p>
      <w:pPr>
        <w:pStyle w:val="ManualConsidrant"/>
        <w:rPr>
          <w:noProof/>
        </w:rPr>
      </w:pPr>
      <w:r>
        <w:t>(2)</w:t>
      </w:r>
      <w:r>
        <w:tab/>
      </w:r>
      <w:r>
        <w:rPr>
          <w:noProof/>
        </w:rPr>
        <w:t>С Решение 2000/125/ЕО на Съвета</w:t>
      </w:r>
      <w:r>
        <w:rPr>
          <w:rStyle w:val="FootnoteReference"/>
          <w:noProof/>
        </w:rPr>
        <w:footnoteReference w:id="5"/>
      </w:r>
      <w:r>
        <w:rPr>
          <w:noProof/>
        </w:rPr>
        <w:t xml:space="preserve"> Съюзът се присъедини към Споразумението относно създаването на глобални технически правила за колесните пътни превозни средства, оборудване и части, които могат да бъдат монтирани и/или </w:t>
      </w:r>
      <w:r>
        <w:rPr>
          <w:noProof/>
        </w:rPr>
        <w:lastRenderedPageBreak/>
        <w:t>използвани на колесните пътни превозни средства („Паралелно споразумение“). Паралелното споразумение влезе в сила на 15 февруари 2000 г.</w:t>
      </w:r>
    </w:p>
    <w:p>
      <w:pPr>
        <w:pStyle w:val="ManualConsidrant"/>
        <w:rPr>
          <w:noProof/>
        </w:rPr>
      </w:pPr>
      <w:r>
        <w:t>(3)</w:t>
      </w:r>
      <w:r>
        <w:tab/>
      </w:r>
      <w:r>
        <w:rPr>
          <w:noProof/>
        </w:rPr>
        <w:t>С Регламент (ЕС) 2018/858 на Европейския парламент и на Съвета</w:t>
      </w:r>
      <w:r>
        <w:rPr>
          <w:rStyle w:val="FootnoteReference"/>
          <w:noProof/>
        </w:rPr>
        <w:footnoteReference w:id="6"/>
      </w:r>
      <w:r>
        <w:rPr>
          <w:noProof/>
        </w:rPr>
        <w:t xml:space="preserve"> се определят административните разпоредби и техническите изисквания за одобряването на типа и пускането на пазара на всички нови превозни средства, системи, компоненти и отделни технически възли. С въпросния регламент се инкорпорират правилата, приети съгласно Ревизираното споразумение от 1958 г. („правилата на ООН“), в системата на ЕС за одобряване на типа или като изисквания за одобряване на типа, или като алтернативи на законодателството на Съюза.  </w:t>
      </w:r>
    </w:p>
    <w:p>
      <w:pPr>
        <w:pStyle w:val="ManualConsidrant"/>
        <w:rPr>
          <w:noProof/>
        </w:rPr>
      </w:pPr>
      <w:r>
        <w:t>(4)</w:t>
      </w:r>
      <w:r>
        <w:tab/>
      </w:r>
      <w:r>
        <w:rPr>
          <w:noProof/>
        </w:rPr>
        <w:t>В съответствие с член 1 от Ревизираното споразумение от 1958 г. и член 6 от Паралелното споразумение Световният форум за хармонизация на правилата за превозните средства към ИКЕ на ООН (Работна група 29 на ИКЕ на ООН) може да приема предложения за промени в правилата на ООН, в глобалните технически правила на ООН (ГТП на ООН) и в резолюциите на ООН, както и предложения за нови правила на ООН, ГТП на ООН и резолюции на ООН във връзка с одобряването на превозните средства. Освен това в съответствие с посочените разпоредби Работна група 29 на ИКЕ на ООН може да приема предложения за разрешения за изготвяне на изменения на ГТП на ООН или за изготвяне на нови ГТП на ООН и може да приема предложения за удължаване на мандатите относно ГТП на ООН.</w:t>
      </w:r>
    </w:p>
    <w:p>
      <w:pPr>
        <w:pStyle w:val="ManualConsidrant"/>
        <w:rPr>
          <w:noProof/>
        </w:rPr>
      </w:pPr>
      <w:r>
        <w:t>(5)</w:t>
      </w:r>
      <w:r>
        <w:tab/>
      </w:r>
      <w:r>
        <w:rPr>
          <w:noProof/>
        </w:rPr>
        <w:t>По време на 182-рото заседание на Световния форум, насрочено за 10 ноември 2020 г., Работна група 29 на ИКЕ на ООН може да приеме предложенията за промени в правила № 0, 13, 16, 17, 44, 55, 83, 93, 94, 95, 100, 115, 137, 144, 151, 152 и 153 на ООН, предложението за ново правило на ООН относно одобряването на устройства за движение на заден ход и на моторни превозни средства по отношение на предупреждаването на водача за уязвими участници в пътното движение, намиращи се зад превозното средство, предложението за ново правило на ООН относно одобряването на превозни средства по отношение на информационната система, уведомяваща при потегляне за наличието на пешеходци и велосипедисти, предложенията за промени в глобални технически правила № 7, 15 и 18, предложението за ново глобално техническо правило относно определянето на мощността на електрическите превозни средства и предложението за изменения в обща резолюция M.R.3 във връзка с качеството на въздуха в превозните средства (VIAQ). Освен това Работна група 29 на ИКЕ на ООН трябва да приеме предложението за разрешения за изготвяне на изменение на ГТП № 8 на ООН и за изготвяне на ново ГТП на ООН относно дълготрайността на акумулаторната батерия в превозното средство.</w:t>
      </w:r>
    </w:p>
    <w:p>
      <w:pPr>
        <w:pStyle w:val="ManualConsidrant"/>
        <w:rPr>
          <w:noProof/>
        </w:rPr>
      </w:pPr>
      <w:r>
        <w:t>(6)</w:t>
      </w:r>
      <w:r>
        <w:tab/>
      </w:r>
      <w:r>
        <w:rPr>
          <w:noProof/>
        </w:rPr>
        <w:t xml:space="preserve">Целесъобразно е да се установи позицията, която трябва да се заеме от името на Съюза в рамките на Работна група 29 на ИКЕ на ООН по отношение на приемането на посочените предложения, тъй като правилата на ООН ще бъдат обвързващи за Съюза и заедно с ГТП на ООН и общата резолюция могат да имат </w:t>
      </w:r>
      <w:r>
        <w:rPr>
          <w:noProof/>
        </w:rPr>
        <w:lastRenderedPageBreak/>
        <w:t>съществено въздействие върху съдържанието на правото на Съюза в областта на одобряването на типа на превозните средства.</w:t>
      </w:r>
    </w:p>
    <w:p>
      <w:pPr>
        <w:pStyle w:val="ManualConsidrant"/>
        <w:rPr>
          <w:i/>
          <w:noProof/>
        </w:rPr>
      </w:pPr>
      <w:r>
        <w:t>(7)</w:t>
      </w:r>
      <w:r>
        <w:tab/>
      </w:r>
      <w:r>
        <w:rPr>
          <w:noProof/>
        </w:rPr>
        <w:t xml:space="preserve">Предвид натрупания опит и постигнатия технически напредък е необходимо да бъдат изменени или допълнени изискванията относно някои елементи или характеристики, обхванати от правила № 0, 13, 16, 17, 44, 55, 83, 93, 94, 95, 100, 115, 137, 144, 151, 152 и 153 на ООН, както и от обща резолюция M.R.3. </w:t>
      </w:r>
    </w:p>
    <w:p>
      <w:pPr>
        <w:pStyle w:val="ManualConsidrant"/>
        <w:rPr>
          <w:i/>
          <w:noProof/>
        </w:rPr>
      </w:pPr>
      <w:r>
        <w:t>(8)</w:t>
      </w:r>
      <w:r>
        <w:tab/>
      </w:r>
      <w:r>
        <w:rPr>
          <w:noProof/>
        </w:rPr>
        <w:t>Освен това е необходимо да бъдат изменени някои разпоредби в ГТП № 7, 15 и 18 на ООН.</w:t>
      </w:r>
    </w:p>
    <w:p>
      <w:pPr>
        <w:pStyle w:val="ManualConsidrant"/>
        <w:rPr>
          <w:noProof/>
        </w:rPr>
      </w:pPr>
      <w:r>
        <w:t>(9)</w:t>
      </w:r>
      <w:r>
        <w:tab/>
      </w:r>
      <w:r>
        <w:rPr>
          <w:noProof/>
        </w:rPr>
        <w:t>За да се вземе предвид техническият напредък и да се подобри безопасността на превозните средства и изпитването относно емисиите, е необходимо да бъдат приети две нови правила на ООН: относно одобряването на устройства за движение на заден ход и на моторни превозни средства по отношение на предупреждаването на водача за уязвими участници в пътното движение, намиращи се зад превозното средство, и относно одобряването на превозни средства по отношение на информационната система, уведомяваща при потегляне за наличието на пешеходци и велосипедисти. Успоредно с това трябва да бъде прието ново глобално техническо правило относно определянето на мощността на електрическите превозни средства.</w:t>
      </w:r>
    </w:p>
    <w:p>
      <w:pPr>
        <w:pStyle w:val="ManualConsidrant"/>
        <w:rPr>
          <w:noProof/>
        </w:rPr>
      </w:pPr>
      <w:r>
        <w:t>(10)</w:t>
      </w:r>
      <w:r>
        <w:tab/>
      </w:r>
      <w:r>
        <w:rPr>
          <w:noProof/>
        </w:rPr>
        <w:t xml:space="preserve">За да може да продължи изготвянето на технически изисквания, е необходимо въз основа на исканията от страна на договарящите се страни на ИКЕ на ООН, които спонсорират работата по ГТП на ООН, или от страна на специализираните спомагателни органи към Работна група 29 на ИКЕ на ООН, да бъдат приети предложенията за разрешаване на изготвянето на изменение на ГТП № 8 на ООН и на ново ГТП на ООН относно дълготрайността на акумулаторната батерия в превозното средство. </w:t>
      </w:r>
    </w:p>
    <w:p>
      <w:pPr>
        <w:pStyle w:val="ManualConsidrant"/>
        <w:rPr>
          <w:noProof/>
        </w:rPr>
      </w:pPr>
      <w:r>
        <w:t>(11)</w:t>
      </w:r>
      <w:r>
        <w:tab/>
      </w:r>
      <w:r>
        <w:rPr>
          <w:noProof/>
        </w:rPr>
        <w:t>За да се гарантира единното тълкуване на правила № 155 и № 156 на ООН, следва да бъдат приети предложенията за тълкувателни документи относно тези две правила, както и за насоки относно използването на базата данни за обмен на одобрения на типа (DETA) съгласно Правило № 155 на ООН.</w:t>
      </w:r>
    </w:p>
    <w:p>
      <w:pPr>
        <w:pStyle w:val="ManualConsidrant"/>
        <w:rPr>
          <w:noProof/>
        </w:rPr>
      </w:pPr>
      <w:r>
        <w:t>(12)</w:t>
      </w:r>
      <w:r>
        <w:tab/>
      </w:r>
      <w:r>
        <w:rPr>
          <w:noProof/>
        </w:rPr>
        <w:t>На 16 юни 2020 г. Съветът прие Решение (ЕС) 2020/848</w:t>
      </w:r>
      <w:r>
        <w:rPr>
          <w:rStyle w:val="FootnoteReference"/>
          <w:noProof/>
        </w:rPr>
        <w:footnoteReference w:id="7"/>
      </w:r>
      <w:r>
        <w:rPr>
          <w:noProof/>
        </w:rPr>
        <w:t xml:space="preserve"> относно позицията, която трябва да се заеме по отношение на ГТП № 7 на ООН и предложенията за разрешаване на изготвянето на изменение на ГТП № 8 на ООН и на ново ГТП на ООН относно дълготрайността на акумулаторната батерия в превозното средство на 181-вото заседание на Работна група 29 на ИКЕ на ООН, което се проведе на 24 юни 2020 г. Работна група 29 обаче не беше в състояние да проведе гласуване по време на това заседание и реши да представи повторно предложенията за гласуване по време на сесията през ноември,</w:t>
      </w:r>
    </w:p>
    <w:p>
      <w:pPr>
        <w:rPr>
          <w:noProof/>
        </w:rPr>
      </w:pP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по време на 182-рото заседание на Световния форум за хармонизация на правилата за превозните средства към ИКЕ на ООН, насрочено за 10 ноември 2020 г., е да се гласува в подкрепа на предложенията, изброени в приложението към настоящото решение.</w:t>
      </w:r>
    </w:p>
    <w:p>
      <w:pPr>
        <w:pStyle w:val="Titrearticle"/>
        <w:rPr>
          <w:noProof/>
        </w:rPr>
      </w:pPr>
      <w:r>
        <w:rPr>
          <w:noProof/>
        </w:rPr>
        <w:t>Член 2</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p>
    <w:p>
      <w:pPr>
        <w:pStyle w:val="Institutionquisigne"/>
        <w:spacing w:before="120"/>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(ОВ L 346, 17.12.1997 г., стр. 78).</w:t>
      </w:r>
    </w:p>
    <w:p>
      <w:pPr>
        <w:pStyle w:val="FootnoteText"/>
        <w:ind w:firstLine="0"/>
      </w:pPr>
      <w:r>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2">
    <w:p>
      <w:pPr>
        <w:pStyle w:val="FootnoteText"/>
      </w:pPr>
      <w:r>
        <w:rPr>
          <w:rStyle w:val="FootnoteReference"/>
        </w:rPr>
        <w:footnoteRef/>
      </w:r>
      <w:r>
        <w:tab/>
        <w:t>Регламент (ЕС) 2018/858 на Европейския парламент и на Съвета от 30 май 2018 г.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 (OВ L 151, 14.6.2018 г., стр. 1).</w:t>
      </w:r>
    </w:p>
  </w:footnote>
  <w:footnote w:id="3">
    <w:p>
      <w:pPr>
        <w:pStyle w:val="FootnoteText"/>
      </w:pPr>
      <w:r>
        <w:rPr>
          <w:rStyle w:val="FootnoteReference"/>
        </w:rPr>
        <w:footnoteRef/>
      </w:r>
      <w:r>
        <w:tab/>
        <w:t xml:space="preserve">Решение на Съда от 7 октомври 2014 г., Германия/Съвет, C-399/12, ECLI:EU:C:2014:2258, т. 61—64.  </w:t>
      </w:r>
    </w:p>
  </w:footnote>
  <w:footnote w:id="4">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(ОВ L 346, 17.12.1997 г., стр. 78).</w:t>
      </w:r>
    </w:p>
  </w:footnote>
  <w:footnote w:id="5">
    <w:p>
      <w:pPr>
        <w:pStyle w:val="FootnoteText"/>
      </w:pPr>
      <w:r>
        <w:rPr>
          <w:rStyle w:val="FootnoteReference"/>
        </w:rPr>
        <w:footnoteRef/>
      </w:r>
      <w:r>
        <w:tab/>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6">
    <w:p>
      <w:pPr>
        <w:pStyle w:val="FootnoteText"/>
      </w:pPr>
      <w:r>
        <w:rPr>
          <w:rStyle w:val="FootnoteReference"/>
        </w:rPr>
        <w:footnoteRef/>
      </w:r>
      <w:r>
        <w:tab/>
        <w:t>Регламент (ЕС) 2018/858 на Европейския парламент и на Съвета от 30 май 2018 г.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 (OВ L 151, 14.6.2018 г., стр. 1).</w:t>
      </w:r>
    </w:p>
    <w:p>
      <w:pPr>
        <w:pStyle w:val="FootnoteText"/>
      </w:pPr>
    </w:p>
  </w:footnote>
  <w:footnote w:id="7">
    <w:p>
      <w:pPr>
        <w:pStyle w:val="FootnoteText"/>
        <w:ind w:left="142" w:hanging="142"/>
      </w:pPr>
      <w:r>
        <w:rPr>
          <w:rStyle w:val="FootnoteReference"/>
        </w:rPr>
        <w:footnoteRef/>
      </w:r>
      <w:r>
        <w:tab/>
        <w:t>Решение (ЕС) 2020/848 на Съвета от 16 юни 2020 г. относно позицията, която трябва да се заеме от името на Европейския съюз в рамките на Световния форум за хармонизация на правилата за превозните средства към Икономическата комисия за Европа на Организацията на обединените нации по отношение на предложенията за промени в правила № 13, 14, 16, 22, 30, 41, 78, 79, 83, 94, 95, 101, 108, 109, 117, 129, 137, 138, 140 и 152 на ООН, по отношение на предложенията за промени в глобални технически правила № 3, 6, 7, 16 и 19, по отношение на предложението за изменения на Консолидирана резолюция R.E.3 и по отношение на предложенията за пет нови правила на ООН във връзка с безопасността, емисиите и автоматизацията в областта на моторните превозни средства.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D64D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BAF3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E0859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0680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EE7C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EE45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E0D214"/>
    <w:lvl w:ilvl="0">
      <w:start w:val="1"/>
      <w:numFmt w:val="decimal"/>
      <w:pStyle w:val="ListNumber"/>
      <w:lvlText w:val="%1."/>
      <w:lvlJc w:val="left"/>
      <w:pPr>
        <w:tabs>
          <w:tab w:val="num" w:pos="360"/>
        </w:tabs>
        <w:ind w:left="360" w:hanging="360"/>
      </w:pPr>
    </w:lvl>
  </w:abstractNum>
  <w:abstractNum w:abstractNumId="7">
    <w:nsid w:val="FFFFFF89"/>
    <w:multiLevelType w:val="singleLevel"/>
    <w:tmpl w:val="12A6B1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3 10:47:5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7"/>
    <w:docVar w:name="DQCResult_ModifiedMarkers" w:val="0;0"/>
    <w:docVar w:name="DQCResult_ModifiedNumbering" w:val="0;0"/>
    <w:docVar w:name="DQCResult_Objects" w:val="0;0"/>
    <w:docVar w:name="DQCResult_Sections" w:val="0;1"/>
    <w:docVar w:name="DQCResult_StructureCheck" w:val="0;0"/>
    <w:docVar w:name="DQCResult_SuperfluousWhitespace" w:val="0;2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684581A-3C9D-41E6-AC96-29FC614AD107"/>
    <w:docVar w:name="LW_COVERPAGE_TYPE" w:val="1"/>
    <w:docVar w:name="LW_CROSSREFERENCE" w:val="&lt;UNUSED&gt;"/>
    <w:docVar w:name="LW_DocType" w:val="COM"/>
    <w:docVar w:name="LW_EMISSION" w:val="14.10.2020"/>
    <w:docVar w:name="LW_EMISSION_ISODATE" w:val="2020-10-1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95"/>
    <w:docVar w:name="LW_REF.II.NEW.CP_YEAR" w:val="2020"/>
    <w:docVar w:name="LW_REF.INST.NEW" w:val="COM"/>
    <w:docVar w:name="LW_REF.INST.NEW_ADOPTED" w:val="final"/>
    <w:docVar w:name="LW_REF.INST.NEW_TEXT" w:val="(2020)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74?\u1077?\u1090?\u1086?\u1074?\u1085?\u1080?\u1103? \u1092?\u1086?\u1088?\u1091?\u1084? \u1079?\u1072? \u1093?\u1072?\u1088?\u1084?\u1086?\u1085?\u1080?\u1079?\u1072?\u1094?\u1080?\u1103? \u1085?\u1072? \u1087?\u1088?\u1072?\u1074?\u1080?\u1083?\u1072?\u1090?\u1072? \u1079?\u1072? \u1087?\u1088?\u1077?\u1074?\u1086?\u1079?\u1085?\u1080?\u1090?\u1077? \u1089?\u1088?\u1077?\u1076?\u1089?\u1090?\u1074?\u1072? \u1082?\u1098?\u1084?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u1087?\u1086? \u1086?\u1090?\u1085?\u1086?\u1096?\u1077?\u1085?\u1080?\u1077? \u1085?\u1072? \u1087?\u1088?\u1077?\u1076?\u1083?\u1086?\u1078?\u1077?\u1085?\u1080?\u1103?\u1090?\u1072? \u1079?\u1072? \u1087?\u1088?\u1086?\u1084?\u1077?\u1085?\u1080? \u1074? \u1087?\u1088?\u1072?\u1074?\u1080?\u1083?\u1072? \u8470? 0, 13, 16, 17, 44, 55, 83, 93, 94, 95, 100, 115, 137, 144, 151, 152 \u1080? 153 \u1085?\u1072? \u1054?\u1054?\u1053?, \u1087?\u1086? \u1086?\u1090?\u1085?\u1086?\u1096?\u1077?\u1085?\u1080?\u1077? \u1085?\u1072? \u1087?\u1088?\u1077?\u1076?\u1083?\u1086?\u1078?\u1077?\u1085?\u1080?\u1103?\u1090?\u1072? \u1079?\u1072? \u1087?\u1088?\u1086?\u1084?\u1077?\u1085?\u1080? \u1074? \u1075?\u1083?\u1086?\u1073?\u1072?\u1083?\u1085?\u1080? \u1090?\u1077?\u1093?\u1085?\u1080?\u1095?\u1077?\u1089?\u1082?\u1080? \u1087?\u1088?\u1072?\u1074?\u1080?\u1083?\u1072? \u8470? 7, 15 \u1080? 18, \u1087?\u1086? \u1086?\u1090?\u1085?\u1086?\u1096?\u1077?\u1085?\u1080?\u1077? \u1085?\u1072? \u1087?\u1088?\u1077?\u1076?\u1083?\u1086?\u1078?\u1077?\u1085?\u1080?\u1077?\u1090?\u1086? \u1079?\u1072? \u1080?\u1079?\u1084?\u1077?\u1085?\u1077?\u1085?\u1080?\u1103? \u1085?\u1072? \u1086?\u1073?\u1097?\u1072? \u1088?\u1077?\u1079?\u1086?\u1083?\u1102?\u1094?\u1080?\u1103? M.R.3, \u1087?\u1086? \u1086?\u1090?\u1085?\u1086?\u1096?\u1077?\u1085?\u1080?\u1077? \u1085?\u1072? \u1087?\u1088?\u1077?\u1076?\u1083?\u1086?\u1078?\u1077?\u1085?\u1080?\u1103?\u1090?\u1072? \u1079?\u1072? \u1076?\u1074?\u1077? \u1085?\u1086?\u1074?\u1080? \u1087?\u1088?\u1072?\u1074?\u1080?\u1083?\u1072? \u1085?\u1072? \u1054?\u1054?\u1053? \u1074?\u1098?\u1074? \u1074?\u1088?\u1098?\u1079?\u1082?\u1072? \u1089? \u1076?\u1074?\u1080?\u1078?\u1077?\u1085?\u1080?\u1077?\u1090?\u1086? \u1085?\u1072? \u1079?\u1072?\u1076?\u1077?\u1085? \u1093?\u1086?\u1076? \u1080? \u1080?\u1085?\u1092?\u1086?\u1088?\u1084?\u1072?\u1094?\u1080?\u1086?\u1085?\u1085?\u1080?\u1090?\u1077? \u1089?\u1080?\u1089?\u1090?\u1077?\u1084?\u1080?, \u1091?\u1074?\u1077?\u1076?\u1086?\u1084?\u1103?\u1074?\u1072?\u1097?\u1080? \u1087?\u1088?\u1080? \u1087?\u1086?\u1090?\u1077?\u1075?\u1083?\u1103?\u1085?\u1077?, \u1082?\u1072?\u1082?\u1090?\u1086? \u1080? \u1087?\u1086? \u1086?\u1090?\u1085?\u1086?\u1096?\u1077?\u1085?\u1080?\u1077? \u1085?\u1072? \u1087?\u1088?\u1077?\u1076?\u1083?\u1086?\u1078?\u1077?\u1085?\u1080?\u1077?\u1090?\u1086? \u1079?\u1072? \u1085?\u1086?\u1074?\u1086? \u1075?\u1083?\u1086?\u1073?\u1072?\u1083?\u1085?\u1086? \u1090?\u1077?\u1093?\u1085?\u1080?\u1095?\u1077?\u1089?\u1082?\u1086? \u1087?\u1088?\u1072?\u1074?\u1080?\u1083?\u1086? \u1086?\u1090?\u1085?\u1086?\u1089?\u1085?\u1086? \u1086?\u1087?\u1088?\u1077?\u1076?\u1077?\u1083?\u1103?\u1085?\u1077?\u1090?\u1086? \u1085?\u1072? \u1084?\u1086?\u1097?\u1085?\u1086?\u1089?\u1090?\u1090?\u1072? \u1085?\u1072? \u1077?\u1083?\u1077?\u1082?\u1090?\u1088?\u1080?\u1095?\u1077?\u1089?\u1082?\u1080?\u1090?\u1077? \u1087?\u1088?\u1077?\u1074?\u1086?\u1079?\u1085?\u1080? \u1089?\u1088?\u1077?\u1076?\u1089?\u1090?\u1074?\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11</Pages>
  <Words>3365</Words>
  <Characters>18477</Characters>
  <Application>Microsoft Office Word</Application>
  <DocSecurity>0</DocSecurity>
  <Lines>342</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2020-10-08T12:57:00Z</dcterms:created>
  <dcterms:modified xsi:type="dcterms:W3CDTF">2020-10-13T08:47:00Z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