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0648338"/>
      <w:bookmarkStart w:id="1" w:name="_Toc50654368"/>
      <w:bookmarkStart w:id="2" w:name="_Toc50654923"/>
      <w:bookmarkStart w:id="3" w:name="_Toc50732470"/>
      <w:bookmarkStart w:id="4" w:name="_Toc52396554"/>
      <w:bookmarkStart w:id="5" w:name="_Toc449098108"/>
      <w:bookmarkStart w:id="6" w:name="_Toc468890474"/>
      <w:bookmarkStart w:id="7" w:name="_Toc524619519"/>
      <w:bookmarkStart w:id="8" w:name="_Toc524961066"/>
      <w:bookmarkStart w:id="9" w:name="_Toc525143027"/>
      <w:bookmarkStart w:id="10" w:name="_Toc525222184"/>
      <w:bookmarkStart w:id="11" w:name="_Toc525222353"/>
      <w:bookmarkStart w:id="12" w:name="_Toc526420747"/>
      <w:bookmarkStart w:id="13" w:name="_Toc526433974"/>
      <w:bookmarkStart w:id="14" w:name="_Toc526435916"/>
      <w:bookmarkStart w:id="15" w:name="_Toc530595246"/>
      <w:bookmarkStart w:id="16"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5724B62A-B298-4DF1-8882-860DA05C3B8E" style="width:450.75pt;height:393.3pt">
            <v:imagedata r:id="rId13" o:title=""/>
          </v:shape>
        </w:pict>
      </w:r>
    </w:p>
    <w:bookmarkEnd w:id="16"/>
    <w:p>
      <w:pPr>
        <w:rPr>
          <w:noProof/>
        </w:rPr>
        <w:sectPr>
          <w:headerReference w:type="even" r:id="rId14"/>
          <w:headerReference w:type="default" r:id="rId15"/>
          <w:footerReference w:type="even" r:id="rId16"/>
          <w:footerReference w:type="default" r:id="rId17"/>
          <w:headerReference w:type="first" r:id="rId18"/>
          <w:footerReference w:type="first" r:id="rId19"/>
          <w:footnotePr>
            <w:numStart w:val="51"/>
          </w:footnotePr>
          <w:pgSz w:w="11906" w:h="16838" w:code="9"/>
          <w:pgMar w:top="1134" w:right="1417" w:bottom="1134" w:left="1417" w:header="709" w:footer="709" w:gutter="0"/>
          <w:pgNumType w:start="152"/>
          <w:cols w:space="720"/>
          <w:docGrid w:linePitch="360"/>
        </w:sectPr>
      </w:pPr>
    </w:p>
    <w:p>
      <w:pPr>
        <w:pStyle w:val="Heading1"/>
        <w:numPr>
          <w:ilvl w:val="0"/>
          <w:numId w:val="1"/>
        </w:numPr>
        <w:rPr>
          <w:noProof/>
        </w:rPr>
      </w:pPr>
      <w:bookmarkStart w:id="17" w:name="_GoBack"/>
      <w:bookmarkEnd w:id="17"/>
      <w:r>
        <w:rPr>
          <w:noProof/>
        </w:rPr>
        <w:lastRenderedPageBreak/>
        <w:t>Industry energy costs</w:t>
      </w:r>
      <w:bookmarkEnd w:id="0"/>
      <w:bookmarkEnd w:id="1"/>
      <w:bookmarkEnd w:id="2"/>
      <w:bookmarkEnd w:id="3"/>
      <w:bookmarkEnd w:id="4"/>
      <w:r>
        <w:rPr>
          <w:noProof/>
        </w:rPr>
        <w:t xml:space="preserve"> </w:t>
      </w:r>
      <w:bookmarkEnd w:id="5"/>
      <w:bookmarkEnd w:id="6"/>
      <w:bookmarkEnd w:id="7"/>
      <w:bookmarkEnd w:id="8"/>
      <w:bookmarkEnd w:id="9"/>
      <w:bookmarkEnd w:id="10"/>
      <w:bookmarkEnd w:id="11"/>
      <w:bookmarkEnd w:id="12"/>
      <w:bookmarkEnd w:id="13"/>
      <w:bookmarkEnd w:id="14"/>
      <w:bookmarkEnd w:id="15"/>
    </w:p>
    <w:p>
      <w:pPr>
        <w:rPr>
          <w:noProof/>
          <w:sz w:val="24"/>
          <w:szCs w:val="24"/>
        </w:rPr>
      </w:pPr>
    </w:p>
    <w:p>
      <w:pPr>
        <w:rPr>
          <w:b/>
          <w:bCs/>
          <w:noProof/>
          <w:sz w:val="24"/>
          <w:szCs w:val="24"/>
        </w:rPr>
      </w:pPr>
      <w:r>
        <w:rPr>
          <w:b/>
          <w:bCs/>
          <w:noProof/>
          <w:sz w:val="24"/>
          <w:szCs w:val="24"/>
        </w:rPr>
        <w:t>Introduction</w:t>
      </w:r>
    </w:p>
    <w:p>
      <w:pPr>
        <w:rPr>
          <w:noProof/>
          <w:sz w:val="24"/>
          <w:szCs w:val="24"/>
        </w:rPr>
      </w:pPr>
      <w:r>
        <w:rPr>
          <w:noProof/>
          <w:sz w:val="24"/>
          <w:szCs w:val="24"/>
        </w:rPr>
        <w:t>The chapter looks at the impact of energy prices and energy costs on selected European industrial sectors. We will first analyse to which extent energy costs are important for the overall economy, for industry and services. We will then map the energy costs of several manufacturing, services and agricultural sectors. Special attention is given to the most energy-intensive sectors, the profitability and competiveness of which can be significantly affected by energy price and costs changes. A decomposition analysis of the energy costs, gives insights on how energy prices, economic activity and energy intensity and other factors affecting these drivers, have influenced the evolution of energy costs over the last decade. Finally international comparisons of energy costs are made to the extent permitted by the limited available data.</w:t>
      </w:r>
    </w:p>
    <w:p>
      <w:pPr>
        <w:jc w:val="left"/>
        <w:rPr>
          <w:b/>
          <w:noProof/>
          <w:sz w:val="24"/>
          <w:szCs w:val="24"/>
        </w:rPr>
      </w:pPr>
    </w:p>
    <w:p>
      <w:pPr>
        <w:jc w:val="left"/>
        <w:rPr>
          <w:b/>
          <w:bCs/>
          <w:noProof/>
          <w:sz w:val="24"/>
          <w:szCs w:val="24"/>
        </w:rPr>
      </w:pPr>
      <w:r>
        <w:rPr>
          <w:b/>
          <w:bCs/>
          <w:noProof/>
          <w:sz w:val="24"/>
          <w:szCs w:val="24"/>
        </w:rPr>
        <w:t xml:space="preserve">Main findings </w:t>
      </w:r>
    </w:p>
    <w:p>
      <w:pPr>
        <w:rPr>
          <w:noProof/>
          <w:sz w:val="24"/>
          <w:szCs w:val="24"/>
        </w:rPr>
      </w:pPr>
      <w:r>
        <w:rPr>
          <w:noProof/>
          <w:sz w:val="24"/>
          <w:szCs w:val="24"/>
        </w:rPr>
        <w:t>On</w:t>
      </w:r>
      <w:r>
        <w:rPr>
          <w:i/>
          <w:iCs/>
          <w:noProof/>
          <w:sz w:val="24"/>
          <w:szCs w:val="24"/>
        </w:rPr>
        <w:t xml:space="preserve"> </w:t>
      </w:r>
      <w:r>
        <w:rPr>
          <w:noProof/>
          <w:sz w:val="24"/>
          <w:szCs w:val="24"/>
        </w:rPr>
        <w:t>the overall impact on the EU’s economy</w:t>
      </w:r>
    </w:p>
    <w:p>
      <w:pPr>
        <w:pStyle w:val="ListParagraph"/>
        <w:numPr>
          <w:ilvl w:val="0"/>
          <w:numId w:val="15"/>
        </w:numPr>
        <w:rPr>
          <w:noProof/>
          <w:sz w:val="24"/>
          <w:szCs w:val="24"/>
        </w:rPr>
      </w:pPr>
      <w:r>
        <w:rPr>
          <w:noProof/>
          <w:sz w:val="24"/>
          <w:szCs w:val="24"/>
        </w:rPr>
        <w:t xml:space="preserve">Energy costs represent a small part of the gross value added in the economy. </w:t>
      </w:r>
    </w:p>
    <w:p>
      <w:pPr>
        <w:pStyle w:val="ListParagraph"/>
        <w:rPr>
          <w:noProof/>
          <w:sz w:val="24"/>
          <w:szCs w:val="24"/>
        </w:rPr>
      </w:pPr>
    </w:p>
    <w:p>
      <w:pPr>
        <w:pStyle w:val="ListParagraph"/>
        <w:numPr>
          <w:ilvl w:val="0"/>
          <w:numId w:val="15"/>
        </w:numPr>
        <w:rPr>
          <w:noProof/>
          <w:sz w:val="24"/>
          <w:szCs w:val="24"/>
        </w:rPr>
      </w:pPr>
      <w:r>
        <w:rPr>
          <w:noProof/>
          <w:sz w:val="24"/>
          <w:szCs w:val="24"/>
        </w:rPr>
        <w:t>At EU level, its share is estimated at around 1.7% of the total production value of manufacturing (2% in 2014), 1% for services (1.2% in 2014) and around 1.1% of the combined group of industry and services in 2017 (1.4% in 2014).</w:t>
      </w:r>
    </w:p>
    <w:p>
      <w:pPr>
        <w:pStyle w:val="ListParagraph"/>
        <w:rPr>
          <w:noProof/>
          <w:sz w:val="24"/>
          <w:szCs w:val="24"/>
        </w:rPr>
      </w:pPr>
    </w:p>
    <w:p>
      <w:pPr>
        <w:pStyle w:val="ListParagraph"/>
        <w:numPr>
          <w:ilvl w:val="0"/>
          <w:numId w:val="15"/>
        </w:numPr>
        <w:rPr>
          <w:noProof/>
          <w:sz w:val="24"/>
          <w:szCs w:val="24"/>
        </w:rPr>
      </w:pPr>
      <w:r>
        <w:rPr>
          <w:noProof/>
          <w:sz w:val="24"/>
          <w:szCs w:val="24"/>
        </w:rPr>
        <w:t>Over the past decade, we can notice two periods of time. Between 2008 and 2013 the indicator for EU27 oscillated between 1.44% and 1.73% (peak in 2009) for the share of energy for industry and services. This share is falling since 2014 with the continued decarbonisation of the EU’s economy.</w:t>
      </w:r>
    </w:p>
    <w:p>
      <w:pPr>
        <w:pStyle w:val="ListParagraph"/>
        <w:rPr>
          <w:noProof/>
          <w:sz w:val="24"/>
          <w:szCs w:val="24"/>
        </w:rPr>
      </w:pPr>
    </w:p>
    <w:p>
      <w:pPr>
        <w:pStyle w:val="ListParagraph"/>
        <w:numPr>
          <w:ilvl w:val="0"/>
          <w:numId w:val="15"/>
        </w:numPr>
        <w:rPr>
          <w:noProof/>
          <w:sz w:val="24"/>
          <w:szCs w:val="24"/>
        </w:rPr>
      </w:pPr>
      <w:r>
        <w:rPr>
          <w:noProof/>
          <w:sz w:val="24"/>
          <w:szCs w:val="24"/>
        </w:rPr>
        <w:t>For Member States (except for Latvia and Romania in 2009), the share of energy related costs in total production value, industry and services, remains under 6%, with most Member States recording shares under 3% and a general trend to decreasing.</w:t>
      </w:r>
    </w:p>
    <w:p>
      <w:pPr>
        <w:rPr>
          <w:noProof/>
          <w:sz w:val="24"/>
          <w:szCs w:val="24"/>
        </w:rPr>
      </w:pPr>
    </w:p>
    <w:p>
      <w:pPr>
        <w:jc w:val="left"/>
        <w:rPr>
          <w:noProof/>
          <w:sz w:val="24"/>
          <w:szCs w:val="24"/>
        </w:rPr>
      </w:pPr>
    </w:p>
    <w:p>
      <w:pPr>
        <w:rPr>
          <w:noProof/>
          <w:sz w:val="24"/>
          <w:szCs w:val="24"/>
        </w:rPr>
      </w:pPr>
      <w:r>
        <w:rPr>
          <w:noProof/>
          <w:sz w:val="24"/>
          <w:szCs w:val="24"/>
        </w:rPr>
        <w:t>Energy costs shares</w:t>
      </w:r>
    </w:p>
    <w:p>
      <w:pPr>
        <w:pStyle w:val="ListParagraph"/>
        <w:numPr>
          <w:ilvl w:val="0"/>
          <w:numId w:val="5"/>
        </w:numPr>
        <w:ind w:left="714" w:hanging="357"/>
        <w:contextualSpacing w:val="0"/>
        <w:rPr>
          <w:noProof/>
          <w:sz w:val="24"/>
          <w:szCs w:val="24"/>
        </w:rPr>
      </w:pPr>
      <w:r>
        <w:rPr>
          <w:noProof/>
          <w:sz w:val="24"/>
          <w:szCs w:val="24"/>
        </w:rPr>
        <w:t xml:space="preserve">Energy costs shares in total (operational) production costs fell for all the </w:t>
      </w:r>
      <w:r>
        <w:rPr>
          <w:i/>
          <w:iCs/>
          <w:noProof/>
          <w:sz w:val="24"/>
          <w:szCs w:val="24"/>
        </w:rPr>
        <w:t xml:space="preserve">manufacturing </w:t>
      </w:r>
      <w:r>
        <w:rPr>
          <w:noProof/>
          <w:sz w:val="24"/>
          <w:szCs w:val="24"/>
        </w:rPr>
        <w:t xml:space="preserve">sectors studied between 2010 and 2017, with the most important declines being in </w:t>
      </w:r>
      <w:r>
        <w:rPr>
          <w:i/>
          <w:iCs/>
          <w:noProof/>
          <w:sz w:val="24"/>
          <w:szCs w:val="24"/>
        </w:rPr>
        <w:t>paper</w:t>
      </w:r>
      <w:r>
        <w:rPr>
          <w:noProof/>
          <w:sz w:val="24"/>
          <w:szCs w:val="24"/>
        </w:rPr>
        <w:t xml:space="preserve"> (-5.7%), </w:t>
      </w:r>
      <w:r>
        <w:rPr>
          <w:i/>
          <w:iCs/>
          <w:noProof/>
          <w:sz w:val="24"/>
          <w:szCs w:val="24"/>
        </w:rPr>
        <w:t>cement</w:t>
      </w:r>
      <w:r>
        <w:rPr>
          <w:noProof/>
          <w:sz w:val="24"/>
          <w:szCs w:val="24"/>
        </w:rPr>
        <w:t xml:space="preserve"> (-5.1%), </w:t>
      </w:r>
      <w:r>
        <w:rPr>
          <w:i/>
          <w:iCs/>
          <w:noProof/>
          <w:sz w:val="24"/>
          <w:szCs w:val="24"/>
        </w:rPr>
        <w:t xml:space="preserve">steel </w:t>
      </w:r>
      <w:r>
        <w:rPr>
          <w:iCs/>
          <w:noProof/>
          <w:sz w:val="24"/>
          <w:szCs w:val="24"/>
        </w:rPr>
        <w:t xml:space="preserve">(-2.9%) </w:t>
      </w:r>
      <w:r>
        <w:rPr>
          <w:noProof/>
          <w:sz w:val="24"/>
          <w:szCs w:val="24"/>
        </w:rPr>
        <w:t xml:space="preserve">and </w:t>
      </w:r>
      <w:r>
        <w:rPr>
          <w:i/>
          <w:iCs/>
          <w:noProof/>
          <w:sz w:val="24"/>
          <w:szCs w:val="24"/>
        </w:rPr>
        <w:t>building materials</w:t>
      </w:r>
      <w:r>
        <w:rPr>
          <w:noProof/>
          <w:sz w:val="24"/>
          <w:szCs w:val="24"/>
        </w:rPr>
        <w:t xml:space="preserve"> (-2.9%). </w:t>
      </w:r>
    </w:p>
    <w:p>
      <w:pPr>
        <w:pStyle w:val="ListParagraph"/>
        <w:numPr>
          <w:ilvl w:val="0"/>
          <w:numId w:val="5"/>
        </w:numPr>
        <w:ind w:left="714" w:hanging="357"/>
        <w:contextualSpacing w:val="0"/>
        <w:rPr>
          <w:noProof/>
          <w:sz w:val="24"/>
          <w:szCs w:val="24"/>
        </w:rPr>
      </w:pPr>
      <w:r>
        <w:rPr>
          <w:noProof/>
          <w:sz w:val="24"/>
          <w:szCs w:val="24"/>
        </w:rPr>
        <w:t xml:space="preserve">Energy cost shares also declined for the majority of </w:t>
      </w:r>
      <w:r>
        <w:rPr>
          <w:i/>
          <w:iCs/>
          <w:noProof/>
          <w:sz w:val="24"/>
          <w:szCs w:val="24"/>
        </w:rPr>
        <w:t>non-manufacturing</w:t>
      </w:r>
      <w:r>
        <w:rPr>
          <w:noProof/>
          <w:sz w:val="24"/>
          <w:szCs w:val="24"/>
        </w:rPr>
        <w:t xml:space="preserve"> sectors studied, with the exception of some </w:t>
      </w:r>
      <w:r>
        <w:rPr>
          <w:i/>
          <w:iCs/>
          <w:noProof/>
          <w:sz w:val="24"/>
          <w:szCs w:val="24"/>
        </w:rPr>
        <w:t>extractive-energy</w:t>
      </w:r>
      <w:r>
        <w:rPr>
          <w:noProof/>
          <w:sz w:val="24"/>
          <w:szCs w:val="24"/>
        </w:rPr>
        <w:t xml:space="preserve"> industries and </w:t>
      </w:r>
      <w:r>
        <w:rPr>
          <w:i/>
          <w:iCs/>
          <w:noProof/>
          <w:sz w:val="24"/>
          <w:szCs w:val="24"/>
        </w:rPr>
        <w:t>air transport</w:t>
      </w:r>
      <w:r>
        <w:rPr>
          <w:noProof/>
          <w:sz w:val="24"/>
          <w:szCs w:val="24"/>
        </w:rPr>
        <w:t>.</w:t>
      </w:r>
    </w:p>
    <w:p>
      <w:pPr>
        <w:pStyle w:val="ListParagraph"/>
        <w:numPr>
          <w:ilvl w:val="0"/>
          <w:numId w:val="5"/>
        </w:numPr>
        <w:ind w:left="714" w:hanging="357"/>
        <w:contextualSpacing w:val="0"/>
        <w:rPr>
          <w:noProof/>
          <w:sz w:val="24"/>
          <w:szCs w:val="24"/>
        </w:rPr>
      </w:pPr>
      <w:r>
        <w:rPr>
          <w:noProof/>
          <w:sz w:val="24"/>
          <w:szCs w:val="24"/>
        </w:rPr>
        <w:t xml:space="preserve">The fall in energy costs in </w:t>
      </w:r>
      <w:r>
        <w:rPr>
          <w:i/>
          <w:iCs/>
          <w:noProof/>
          <w:sz w:val="24"/>
          <w:szCs w:val="24"/>
        </w:rPr>
        <w:t>manufacturing</w:t>
      </w:r>
      <w:r>
        <w:rPr>
          <w:noProof/>
          <w:sz w:val="24"/>
          <w:szCs w:val="24"/>
        </w:rPr>
        <w:t xml:space="preserve"> was more pronounced and generalised in recent years. Between 2010 and 2013 energy costs fell in most sectors with non-negligible rises in shares in only a few of the most energy-intensives sectors like </w:t>
      </w:r>
      <w:r>
        <w:rPr>
          <w:i/>
          <w:iCs/>
          <w:noProof/>
          <w:sz w:val="24"/>
          <w:szCs w:val="24"/>
        </w:rPr>
        <w:t>man-made fibres</w:t>
      </w:r>
      <w:r>
        <w:rPr>
          <w:noProof/>
          <w:sz w:val="24"/>
          <w:szCs w:val="24"/>
        </w:rPr>
        <w:t xml:space="preserve">, </w:t>
      </w:r>
      <w:r>
        <w:rPr>
          <w:i/>
          <w:iCs/>
          <w:noProof/>
          <w:sz w:val="24"/>
          <w:szCs w:val="24"/>
        </w:rPr>
        <w:t>stone</w:t>
      </w:r>
      <w:r>
        <w:rPr>
          <w:noProof/>
          <w:sz w:val="24"/>
          <w:szCs w:val="24"/>
        </w:rPr>
        <w:t xml:space="preserve">, </w:t>
      </w:r>
      <w:r>
        <w:rPr>
          <w:i/>
          <w:iCs/>
          <w:noProof/>
          <w:sz w:val="24"/>
          <w:szCs w:val="24"/>
        </w:rPr>
        <w:t>glass</w:t>
      </w:r>
      <w:r>
        <w:rPr>
          <w:noProof/>
          <w:sz w:val="24"/>
          <w:szCs w:val="24"/>
        </w:rPr>
        <w:t xml:space="preserve">, </w:t>
      </w:r>
      <w:r>
        <w:rPr>
          <w:i/>
          <w:iCs/>
          <w:noProof/>
          <w:sz w:val="24"/>
          <w:szCs w:val="24"/>
        </w:rPr>
        <w:t>refractory products</w:t>
      </w:r>
      <w:r>
        <w:rPr>
          <w:noProof/>
          <w:sz w:val="24"/>
          <w:szCs w:val="24"/>
        </w:rPr>
        <w:t xml:space="preserve">, </w:t>
      </w:r>
      <w:r>
        <w:rPr>
          <w:i/>
          <w:iCs/>
          <w:noProof/>
          <w:sz w:val="24"/>
          <w:szCs w:val="24"/>
        </w:rPr>
        <w:t>ceramics</w:t>
      </w:r>
      <w:r>
        <w:rPr>
          <w:noProof/>
          <w:sz w:val="24"/>
          <w:szCs w:val="24"/>
        </w:rPr>
        <w:t xml:space="preserve">, </w:t>
      </w:r>
      <w:r>
        <w:rPr>
          <w:i/>
          <w:iCs/>
          <w:noProof/>
          <w:sz w:val="24"/>
          <w:szCs w:val="24"/>
        </w:rPr>
        <w:t>building materials</w:t>
      </w:r>
      <w:r>
        <w:rPr>
          <w:noProof/>
          <w:sz w:val="24"/>
          <w:szCs w:val="24"/>
        </w:rPr>
        <w:t xml:space="preserve"> and in less energy-intensive sectors like </w:t>
      </w:r>
      <w:r>
        <w:rPr>
          <w:i/>
          <w:iCs/>
          <w:noProof/>
          <w:sz w:val="24"/>
          <w:szCs w:val="24"/>
        </w:rPr>
        <w:t>computers</w:t>
      </w:r>
      <w:r>
        <w:rPr>
          <w:noProof/>
          <w:sz w:val="24"/>
          <w:szCs w:val="24"/>
        </w:rPr>
        <w:t xml:space="preserve">. Between 2014 and 2017 energy cost fell in </w:t>
      </w:r>
      <w:r>
        <w:rPr>
          <w:i/>
          <w:iCs/>
          <w:noProof/>
          <w:sz w:val="24"/>
          <w:szCs w:val="24"/>
        </w:rPr>
        <w:t>all</w:t>
      </w:r>
      <w:r>
        <w:rPr>
          <w:noProof/>
          <w:sz w:val="24"/>
          <w:szCs w:val="24"/>
        </w:rPr>
        <w:t xml:space="preserve"> manufacturing sectors. </w:t>
      </w:r>
    </w:p>
    <w:p>
      <w:pPr>
        <w:pStyle w:val="ListParagraph"/>
        <w:numPr>
          <w:ilvl w:val="0"/>
          <w:numId w:val="5"/>
        </w:numPr>
        <w:spacing w:line="300" w:lineRule="atLeast"/>
        <w:ind w:left="714" w:hanging="357"/>
        <w:contextualSpacing w:val="0"/>
        <w:rPr>
          <w:noProof/>
          <w:sz w:val="24"/>
          <w:szCs w:val="24"/>
        </w:rPr>
      </w:pPr>
      <w:r>
        <w:rPr>
          <w:noProof/>
          <w:sz w:val="24"/>
          <w:szCs w:val="24"/>
        </w:rPr>
        <w:t xml:space="preserve">Energy costs in manufacturing accounted for around 1-10% of production costs. For some sectors of the most energy-intensive sectors, energy costs accounted for more than 10% of production costs in at least one year, e.g. for </w:t>
      </w:r>
      <w:r>
        <w:rPr>
          <w:i/>
          <w:iCs/>
          <w:noProof/>
          <w:sz w:val="24"/>
          <w:szCs w:val="24"/>
        </w:rPr>
        <w:t>paper</w:t>
      </w:r>
      <w:r>
        <w:rPr>
          <w:noProof/>
          <w:sz w:val="24"/>
          <w:szCs w:val="24"/>
        </w:rPr>
        <w:t xml:space="preserve">, </w:t>
      </w:r>
      <w:r>
        <w:rPr>
          <w:i/>
          <w:iCs/>
          <w:noProof/>
          <w:sz w:val="24"/>
          <w:szCs w:val="24"/>
        </w:rPr>
        <w:t>clay building materials</w:t>
      </w:r>
      <w:r>
        <w:rPr>
          <w:noProof/>
          <w:sz w:val="24"/>
          <w:szCs w:val="24"/>
        </w:rPr>
        <w:t xml:space="preserve">, </w:t>
      </w:r>
      <w:r>
        <w:rPr>
          <w:i/>
          <w:iCs/>
          <w:noProof/>
          <w:sz w:val="24"/>
          <w:szCs w:val="24"/>
        </w:rPr>
        <w:t>iron and steel</w:t>
      </w:r>
      <w:r>
        <w:rPr>
          <w:noProof/>
          <w:sz w:val="24"/>
          <w:szCs w:val="24"/>
        </w:rPr>
        <w:t xml:space="preserve"> and </w:t>
      </w:r>
      <w:r>
        <w:rPr>
          <w:i/>
          <w:iCs/>
          <w:noProof/>
          <w:sz w:val="24"/>
          <w:szCs w:val="24"/>
        </w:rPr>
        <w:t>cement</w:t>
      </w:r>
      <w:r>
        <w:rPr>
          <w:noProof/>
          <w:sz w:val="24"/>
          <w:szCs w:val="24"/>
        </w:rPr>
        <w:t xml:space="preserve"> (on the latter sector the energy costs share was consistently above 10%). </w:t>
      </w:r>
    </w:p>
    <w:p>
      <w:pPr>
        <w:pStyle w:val="ListParagraph"/>
        <w:numPr>
          <w:ilvl w:val="0"/>
          <w:numId w:val="5"/>
        </w:numPr>
        <w:spacing w:line="300" w:lineRule="atLeast"/>
        <w:ind w:left="714" w:hanging="357"/>
        <w:contextualSpacing w:val="0"/>
        <w:rPr>
          <w:noProof/>
          <w:sz w:val="24"/>
          <w:szCs w:val="24"/>
        </w:rPr>
      </w:pPr>
      <w:r>
        <w:rPr>
          <w:noProof/>
          <w:sz w:val="24"/>
          <w:szCs w:val="24"/>
        </w:rPr>
        <w:t xml:space="preserve">Energy costs are typically 1-3% of production costs amongst the less energy-intensive sectors studied. </w:t>
      </w:r>
      <w:r>
        <w:rPr>
          <w:i/>
          <w:iCs/>
          <w:noProof/>
          <w:sz w:val="24"/>
          <w:szCs w:val="24"/>
        </w:rPr>
        <w:t>Computers, motor vehicles,</w:t>
      </w:r>
      <w:r>
        <w:rPr>
          <w:noProof/>
          <w:sz w:val="24"/>
          <w:szCs w:val="24"/>
        </w:rPr>
        <w:t xml:space="preserve"> </w:t>
      </w:r>
      <w:r>
        <w:rPr>
          <w:i/>
          <w:iCs/>
          <w:noProof/>
          <w:sz w:val="24"/>
          <w:szCs w:val="24"/>
        </w:rPr>
        <w:t xml:space="preserve">electric equipment, </w:t>
      </w:r>
      <w:r>
        <w:rPr>
          <w:noProof/>
          <w:sz w:val="24"/>
          <w:szCs w:val="24"/>
        </w:rPr>
        <w:t xml:space="preserve">and </w:t>
      </w:r>
      <w:r>
        <w:rPr>
          <w:i/>
          <w:iCs/>
          <w:noProof/>
          <w:sz w:val="24"/>
          <w:szCs w:val="24"/>
        </w:rPr>
        <w:t>machinery</w:t>
      </w:r>
      <w:r>
        <w:rPr>
          <w:noProof/>
          <w:sz w:val="24"/>
          <w:szCs w:val="24"/>
        </w:rPr>
        <w:t xml:space="preserve"> display energy costs shares around 0.6%-0.7% and </w:t>
      </w:r>
      <w:r>
        <w:rPr>
          <w:i/>
          <w:iCs/>
          <w:noProof/>
          <w:sz w:val="24"/>
          <w:szCs w:val="24"/>
        </w:rPr>
        <w:t>pharmaceuticals</w:t>
      </w:r>
      <w:r>
        <w:rPr>
          <w:noProof/>
          <w:sz w:val="24"/>
          <w:szCs w:val="24"/>
        </w:rPr>
        <w:t xml:space="preserve"> reaches 1%.</w:t>
      </w:r>
    </w:p>
    <w:p>
      <w:pPr>
        <w:pStyle w:val="ListParagraph"/>
        <w:numPr>
          <w:ilvl w:val="0"/>
          <w:numId w:val="5"/>
        </w:numPr>
        <w:rPr>
          <w:b/>
          <w:bCs/>
          <w:noProof/>
          <w:sz w:val="24"/>
          <w:szCs w:val="24"/>
        </w:rPr>
      </w:pPr>
      <w:r>
        <w:rPr>
          <w:noProof/>
          <w:sz w:val="24"/>
          <w:szCs w:val="24"/>
        </w:rPr>
        <w:t xml:space="preserve">Amongst the </w:t>
      </w:r>
      <w:r>
        <w:rPr>
          <w:i/>
          <w:iCs/>
          <w:noProof/>
          <w:sz w:val="24"/>
          <w:szCs w:val="24"/>
        </w:rPr>
        <w:t>non-manufacturing</w:t>
      </w:r>
      <w:r>
        <w:rPr>
          <w:noProof/>
          <w:sz w:val="24"/>
          <w:szCs w:val="24"/>
        </w:rPr>
        <w:t xml:space="preserve"> sectors studied, energy cost shares are comparable to or even higher than the most energy-intensive manufacturing sectors (see above) in the case of </w:t>
      </w:r>
      <w:r>
        <w:rPr>
          <w:i/>
          <w:iCs/>
          <w:noProof/>
          <w:sz w:val="24"/>
          <w:szCs w:val="24"/>
        </w:rPr>
        <w:t>land transport</w:t>
      </w:r>
      <w:r>
        <w:rPr>
          <w:noProof/>
          <w:sz w:val="24"/>
          <w:szCs w:val="24"/>
        </w:rPr>
        <w:t xml:space="preserve">, </w:t>
      </w:r>
      <w:r>
        <w:rPr>
          <w:i/>
          <w:iCs/>
          <w:noProof/>
          <w:sz w:val="24"/>
          <w:szCs w:val="24"/>
        </w:rPr>
        <w:t>air transport</w:t>
      </w:r>
      <w:r>
        <w:rPr>
          <w:noProof/>
          <w:sz w:val="24"/>
          <w:szCs w:val="24"/>
        </w:rPr>
        <w:t xml:space="preserve">, </w:t>
      </w:r>
      <w:r>
        <w:rPr>
          <w:i/>
          <w:iCs/>
          <w:noProof/>
          <w:sz w:val="24"/>
          <w:szCs w:val="24"/>
        </w:rPr>
        <w:t>mining of metal ores</w:t>
      </w:r>
      <w:r>
        <w:rPr>
          <w:noProof/>
          <w:sz w:val="24"/>
          <w:szCs w:val="24"/>
        </w:rPr>
        <w:t>, e</w:t>
      </w:r>
      <w:r>
        <w:rPr>
          <w:i/>
          <w:iCs/>
          <w:noProof/>
          <w:sz w:val="24"/>
          <w:szCs w:val="24"/>
        </w:rPr>
        <w:t>lectricity-gas</w:t>
      </w:r>
      <w:r>
        <w:rPr>
          <w:noProof/>
          <w:sz w:val="24"/>
          <w:szCs w:val="24"/>
        </w:rPr>
        <w:t xml:space="preserve"> and o</w:t>
      </w:r>
      <w:r>
        <w:rPr>
          <w:i/>
          <w:iCs/>
          <w:noProof/>
          <w:sz w:val="24"/>
          <w:szCs w:val="24"/>
        </w:rPr>
        <w:t>ther mining</w:t>
      </w:r>
      <w:r>
        <w:rPr>
          <w:noProof/>
          <w:sz w:val="24"/>
          <w:szCs w:val="24"/>
        </w:rPr>
        <w:t xml:space="preserve">. Energy cost shares are also significant in </w:t>
      </w:r>
      <w:r>
        <w:rPr>
          <w:i/>
          <w:iCs/>
          <w:noProof/>
          <w:sz w:val="24"/>
          <w:szCs w:val="24"/>
        </w:rPr>
        <w:t>accommodation and restaurants (3-4.7%)</w:t>
      </w:r>
      <w:r>
        <w:rPr>
          <w:noProof/>
          <w:sz w:val="24"/>
          <w:szCs w:val="24"/>
        </w:rPr>
        <w:t xml:space="preserve">, </w:t>
      </w:r>
      <w:r>
        <w:rPr>
          <w:i/>
          <w:iCs/>
          <w:noProof/>
          <w:sz w:val="24"/>
          <w:szCs w:val="24"/>
        </w:rPr>
        <w:t>waste management</w:t>
      </w:r>
      <w:r>
        <w:rPr>
          <w:noProof/>
          <w:sz w:val="24"/>
          <w:szCs w:val="24"/>
        </w:rPr>
        <w:t xml:space="preserve"> (~2%) while rather small in </w:t>
      </w:r>
      <w:r>
        <w:rPr>
          <w:i/>
          <w:iCs/>
          <w:noProof/>
          <w:sz w:val="24"/>
          <w:szCs w:val="24"/>
        </w:rPr>
        <w:t>construction (~1%)</w:t>
      </w:r>
      <w:r>
        <w:rPr>
          <w:noProof/>
          <w:sz w:val="24"/>
          <w:szCs w:val="24"/>
        </w:rPr>
        <w:t xml:space="preserve"> and </w:t>
      </w:r>
      <w:r>
        <w:rPr>
          <w:i/>
          <w:iCs/>
          <w:noProof/>
          <w:sz w:val="24"/>
          <w:szCs w:val="24"/>
        </w:rPr>
        <w:t>trade (0.4%)</w:t>
      </w:r>
      <w:r>
        <w:rPr>
          <w:noProof/>
          <w:sz w:val="24"/>
          <w:szCs w:val="24"/>
        </w:rPr>
        <w:t>.</w:t>
      </w:r>
      <w:r>
        <w:rPr>
          <w:b/>
          <w:bCs/>
          <w:noProof/>
          <w:sz w:val="24"/>
          <w:szCs w:val="24"/>
        </w:rPr>
        <w:t xml:space="preserve"> </w:t>
      </w:r>
    </w:p>
    <w:p>
      <w:pPr>
        <w:jc w:val="left"/>
        <w:rPr>
          <w:noProof/>
          <w:sz w:val="24"/>
          <w:szCs w:val="24"/>
        </w:rPr>
      </w:pPr>
    </w:p>
    <w:p>
      <w:pPr>
        <w:jc w:val="left"/>
        <w:rPr>
          <w:noProof/>
          <w:sz w:val="24"/>
          <w:szCs w:val="24"/>
        </w:rPr>
      </w:pPr>
      <w:r>
        <w:rPr>
          <w:noProof/>
          <w:sz w:val="24"/>
          <w:szCs w:val="24"/>
        </w:rPr>
        <w:t xml:space="preserve">Drivers of energy costs for industry </w:t>
      </w:r>
    </w:p>
    <w:p>
      <w:pPr>
        <w:pStyle w:val="ListParagraph"/>
        <w:numPr>
          <w:ilvl w:val="0"/>
          <w:numId w:val="5"/>
        </w:numPr>
        <w:spacing w:after="0" w:line="300" w:lineRule="atLeast"/>
        <w:rPr>
          <w:noProof/>
          <w:sz w:val="24"/>
          <w:szCs w:val="24"/>
        </w:rPr>
      </w:pPr>
      <w:r>
        <w:rPr>
          <w:noProof/>
          <w:sz w:val="24"/>
          <w:szCs w:val="24"/>
        </w:rPr>
        <w:t xml:space="preserve">The aggregated energy costs of the sectors studied at EU level fell by 13% over 2010-2017. A lower energy intensity contributed to the reduction in energy costs (by inducing at least a -15% decrease in costs). The decomposition analysis shows that the decrease in energy costs happened despite slightly increasing </w:t>
      </w:r>
      <w:r>
        <w:rPr>
          <w:i/>
          <w:iCs/>
          <w:noProof/>
          <w:sz w:val="24"/>
          <w:szCs w:val="24"/>
        </w:rPr>
        <w:t>prices</w:t>
      </w:r>
      <w:r>
        <w:rPr>
          <w:noProof/>
          <w:sz w:val="24"/>
          <w:szCs w:val="24"/>
        </w:rPr>
        <w:t xml:space="preserve"> (that induced +2% increase in energy costs) and significant increases of </w:t>
      </w:r>
      <w:r>
        <w:rPr>
          <w:i/>
          <w:iCs/>
          <w:noProof/>
          <w:sz w:val="24"/>
          <w:szCs w:val="24"/>
        </w:rPr>
        <w:t>output</w:t>
      </w:r>
      <w:r>
        <w:rPr>
          <w:noProof/>
          <w:sz w:val="24"/>
          <w:szCs w:val="24"/>
        </w:rPr>
        <w:t xml:space="preserve"> (that induced a  +11% of the increase in energy costs).</w:t>
      </w:r>
    </w:p>
    <w:p>
      <w:pPr>
        <w:pStyle w:val="ListParagraph"/>
        <w:spacing w:after="0" w:line="300" w:lineRule="atLeast"/>
        <w:rPr>
          <w:noProof/>
          <w:sz w:val="24"/>
          <w:szCs w:val="24"/>
        </w:rPr>
      </w:pPr>
    </w:p>
    <w:p>
      <w:pPr>
        <w:pStyle w:val="ListParagraph"/>
        <w:numPr>
          <w:ilvl w:val="0"/>
          <w:numId w:val="5"/>
        </w:numPr>
        <w:spacing w:after="0" w:line="300" w:lineRule="atLeast"/>
        <w:rPr>
          <w:noProof/>
          <w:sz w:val="24"/>
          <w:szCs w:val="24"/>
        </w:rPr>
      </w:pPr>
      <w:r>
        <w:rPr>
          <w:noProof/>
          <w:sz w:val="24"/>
          <w:szCs w:val="24"/>
        </w:rPr>
        <w:t>A very significant part of the decrease in energy costs over the period could not be linked directly to any of these three factors (a -11% additional reduction in energy costs is explained by the residual). The possible data limitation on price data (which may not account for all tax exemptions and reductions) and in particular the low quality of the energy consumption data may explain the high residual which could be due to an underestimation on the reduction of energy intensity.</w:t>
      </w:r>
    </w:p>
    <w:p>
      <w:pPr>
        <w:pStyle w:val="ListParagraph"/>
        <w:spacing w:after="0" w:line="300" w:lineRule="atLeast"/>
        <w:rPr>
          <w:noProof/>
          <w:sz w:val="24"/>
          <w:szCs w:val="24"/>
        </w:rPr>
      </w:pPr>
    </w:p>
    <w:p>
      <w:pPr>
        <w:pStyle w:val="ListParagraph"/>
        <w:numPr>
          <w:ilvl w:val="0"/>
          <w:numId w:val="5"/>
        </w:numPr>
        <w:spacing w:after="0" w:line="300" w:lineRule="atLeast"/>
        <w:rPr>
          <w:noProof/>
          <w:sz w:val="24"/>
          <w:szCs w:val="24"/>
        </w:rPr>
      </w:pPr>
      <w:r>
        <w:rPr>
          <w:noProof/>
          <w:sz w:val="24"/>
          <w:szCs w:val="24"/>
        </w:rPr>
        <w:t xml:space="preserve">The analysis of the drivers behind these effects, indicates that the increase in output was driven almost completely by growth in domestic demand and that external demand increases were negligible. The lower energy intensity was explained to a very small extent by sectoral structural changes and fuel switching, suggesting that energy efficiency improvements of the processes would have played an important role in reducing the energy intensity, in particular amongst the less energy-intensive industries. These could have exploited their high potential for improving energy efficiency, as opposed to high energy insensitive industries which have been improving energy efficiency already for decades. </w:t>
      </w:r>
    </w:p>
    <w:p>
      <w:pPr>
        <w:pStyle w:val="ListParagraph"/>
        <w:rPr>
          <w:noProof/>
          <w:sz w:val="24"/>
          <w:szCs w:val="24"/>
        </w:rPr>
      </w:pPr>
    </w:p>
    <w:p>
      <w:pPr>
        <w:pStyle w:val="ListParagraph"/>
        <w:numPr>
          <w:ilvl w:val="0"/>
          <w:numId w:val="5"/>
        </w:numPr>
        <w:spacing w:after="0" w:line="300" w:lineRule="atLeast"/>
        <w:rPr>
          <w:i/>
          <w:iCs/>
          <w:noProof/>
          <w:sz w:val="24"/>
          <w:szCs w:val="24"/>
        </w:rPr>
      </w:pPr>
      <w:r>
        <w:rPr>
          <w:noProof/>
          <w:sz w:val="24"/>
          <w:szCs w:val="24"/>
        </w:rPr>
        <w:t xml:space="preserve">Energy costs have a negligible negative impact (-0,3%) on the increase of the Total Production Costs in the vast majority of manufacturing sectors analysed over the period of study. </w:t>
      </w:r>
    </w:p>
    <w:p>
      <w:pPr>
        <w:pStyle w:val="ListParagraph"/>
        <w:rPr>
          <w:i/>
          <w:iCs/>
          <w:noProof/>
          <w:sz w:val="24"/>
          <w:szCs w:val="24"/>
        </w:rPr>
      </w:pPr>
    </w:p>
    <w:p>
      <w:pPr>
        <w:pStyle w:val="ListParagraph"/>
        <w:numPr>
          <w:ilvl w:val="0"/>
          <w:numId w:val="5"/>
        </w:numPr>
        <w:spacing w:after="240" w:line="300" w:lineRule="atLeast"/>
        <w:contextualSpacing w:val="0"/>
        <w:rPr>
          <w:noProof/>
          <w:sz w:val="24"/>
          <w:szCs w:val="24"/>
        </w:rPr>
      </w:pPr>
      <w:r>
        <w:rPr>
          <w:noProof/>
          <w:sz w:val="24"/>
          <w:szCs w:val="24"/>
        </w:rPr>
        <w:t xml:space="preserve">Over the period 2010-2017, energy cost shares have fallen in </w:t>
      </w:r>
      <w:r>
        <w:rPr>
          <w:i/>
          <w:noProof/>
          <w:sz w:val="24"/>
          <w:szCs w:val="24"/>
        </w:rPr>
        <w:t>all</w:t>
      </w:r>
      <w:r>
        <w:rPr>
          <w:noProof/>
          <w:sz w:val="24"/>
          <w:szCs w:val="24"/>
        </w:rPr>
        <w:t xml:space="preserve"> the manufacturing sectors studied. The largest declines in energy cost shares were observed in the most energy-intensive sectors like </w:t>
      </w:r>
      <w:r>
        <w:rPr>
          <w:i/>
          <w:iCs/>
          <w:noProof/>
          <w:sz w:val="24"/>
          <w:szCs w:val="24"/>
        </w:rPr>
        <w:t xml:space="preserve">cement </w:t>
      </w:r>
      <w:r>
        <w:rPr>
          <w:iCs/>
          <w:noProof/>
          <w:sz w:val="24"/>
          <w:szCs w:val="24"/>
        </w:rPr>
        <w:t xml:space="preserve">and </w:t>
      </w:r>
      <w:r>
        <w:rPr>
          <w:i/>
          <w:iCs/>
          <w:noProof/>
          <w:sz w:val="24"/>
          <w:szCs w:val="24"/>
        </w:rPr>
        <w:t xml:space="preserve">paper </w:t>
      </w:r>
      <w:r>
        <w:rPr>
          <w:noProof/>
          <w:sz w:val="24"/>
          <w:szCs w:val="24"/>
        </w:rPr>
        <w:t xml:space="preserve">(around -5%). </w:t>
      </w:r>
      <w:r>
        <w:rPr>
          <w:i/>
          <w:iCs/>
          <w:noProof/>
          <w:sz w:val="24"/>
          <w:szCs w:val="24"/>
        </w:rPr>
        <w:t>clay building materials</w:t>
      </w:r>
      <w:r>
        <w:rPr>
          <w:noProof/>
          <w:sz w:val="24"/>
          <w:szCs w:val="24"/>
        </w:rPr>
        <w:t xml:space="preserve"> and steel (around -3%), </w:t>
      </w:r>
      <w:r>
        <w:rPr>
          <w:i/>
          <w:iCs/>
          <w:noProof/>
          <w:sz w:val="24"/>
          <w:szCs w:val="24"/>
        </w:rPr>
        <w:t xml:space="preserve">glass </w:t>
      </w:r>
      <w:r>
        <w:rPr>
          <w:iCs/>
          <w:noProof/>
          <w:sz w:val="24"/>
          <w:szCs w:val="24"/>
        </w:rPr>
        <w:t>and</w:t>
      </w:r>
      <w:r>
        <w:rPr>
          <w:i/>
          <w:iCs/>
          <w:noProof/>
          <w:sz w:val="24"/>
          <w:szCs w:val="24"/>
        </w:rPr>
        <w:t xml:space="preserve"> chemicals </w:t>
      </w:r>
      <w:r>
        <w:rPr>
          <w:noProof/>
          <w:sz w:val="24"/>
          <w:szCs w:val="24"/>
        </w:rPr>
        <w:t xml:space="preserve">(-2%). Many other of the less energy-intensive sectors show smaller declines in absolute numbers (between -0.1% and -0.6%). However, in proportional terms there were rather significant declines for some of the less energy-intensive sectors (~ a proportional decline of the share from 20% to 40% of their shares). </w:t>
      </w:r>
    </w:p>
    <w:p>
      <w:pPr>
        <w:jc w:val="left"/>
        <w:rPr>
          <w:noProof/>
          <w:sz w:val="24"/>
          <w:szCs w:val="24"/>
        </w:rPr>
      </w:pPr>
      <w:r>
        <w:rPr>
          <w:noProof/>
          <w:sz w:val="24"/>
          <w:szCs w:val="24"/>
        </w:rPr>
        <w:t>Energy intensity</w:t>
      </w:r>
    </w:p>
    <w:p>
      <w:pPr>
        <w:pStyle w:val="ListParagraph"/>
        <w:numPr>
          <w:ilvl w:val="0"/>
          <w:numId w:val="5"/>
        </w:numPr>
        <w:ind w:left="714" w:hanging="357"/>
        <w:rPr>
          <w:noProof/>
          <w:sz w:val="24"/>
          <w:szCs w:val="24"/>
        </w:rPr>
      </w:pPr>
      <w:r>
        <w:rPr>
          <w:noProof/>
          <w:sz w:val="24"/>
          <w:szCs w:val="24"/>
        </w:rPr>
        <w:t xml:space="preserve">Energy intensity (energy consumption/GVA) varies considerably across the sectors studied depending predominantly the technological production process. In manufacturing sectors, the highest energy intensity values appear in </w:t>
      </w:r>
      <w:r>
        <w:rPr>
          <w:i/>
          <w:iCs/>
          <w:noProof/>
          <w:sz w:val="24"/>
          <w:szCs w:val="24"/>
        </w:rPr>
        <w:t>steel</w:t>
      </w:r>
      <w:r>
        <w:rPr>
          <w:noProof/>
          <w:sz w:val="24"/>
          <w:szCs w:val="24"/>
        </w:rPr>
        <w:t xml:space="preserve">, </w:t>
      </w:r>
      <w:r>
        <w:rPr>
          <w:i/>
          <w:iCs/>
          <w:noProof/>
          <w:sz w:val="24"/>
          <w:szCs w:val="24"/>
        </w:rPr>
        <w:t>cement</w:t>
      </w:r>
      <w:r>
        <w:rPr>
          <w:noProof/>
          <w:sz w:val="24"/>
          <w:szCs w:val="24"/>
        </w:rPr>
        <w:t xml:space="preserve">, </w:t>
      </w:r>
      <w:r>
        <w:rPr>
          <w:i/>
          <w:iCs/>
          <w:noProof/>
          <w:sz w:val="24"/>
          <w:szCs w:val="24"/>
        </w:rPr>
        <w:t>refineries</w:t>
      </w:r>
      <w:r>
        <w:rPr>
          <w:noProof/>
          <w:sz w:val="24"/>
          <w:szCs w:val="24"/>
        </w:rPr>
        <w:t xml:space="preserve">, </w:t>
      </w:r>
      <w:r>
        <w:rPr>
          <w:i/>
          <w:iCs/>
          <w:noProof/>
          <w:sz w:val="24"/>
          <w:szCs w:val="24"/>
        </w:rPr>
        <w:t xml:space="preserve">paper and basic chemicals. </w:t>
      </w:r>
      <w:r>
        <w:rPr>
          <w:iCs/>
          <w:noProof/>
          <w:sz w:val="24"/>
          <w:szCs w:val="24"/>
        </w:rPr>
        <w:t xml:space="preserve">In non-manufacturing sectors, the highest energy intensities are found in </w:t>
      </w:r>
      <w:r>
        <w:rPr>
          <w:i/>
          <w:iCs/>
          <w:noProof/>
          <w:sz w:val="24"/>
          <w:szCs w:val="24"/>
        </w:rPr>
        <w:t xml:space="preserve">land transport </w:t>
      </w:r>
      <w:r>
        <w:rPr>
          <w:iCs/>
          <w:noProof/>
          <w:sz w:val="24"/>
          <w:szCs w:val="24"/>
        </w:rPr>
        <w:t>and</w:t>
      </w:r>
      <w:r>
        <w:rPr>
          <w:i/>
          <w:iCs/>
          <w:noProof/>
          <w:sz w:val="24"/>
          <w:szCs w:val="24"/>
        </w:rPr>
        <w:t xml:space="preserve"> </w:t>
      </w:r>
      <w:r>
        <w:rPr>
          <w:noProof/>
          <w:sz w:val="24"/>
          <w:szCs w:val="24"/>
        </w:rPr>
        <w:t xml:space="preserve"> </w:t>
      </w:r>
      <w:r>
        <w:rPr>
          <w:i/>
          <w:iCs/>
          <w:noProof/>
          <w:sz w:val="24"/>
          <w:szCs w:val="24"/>
        </w:rPr>
        <w:t>electricity-gas.</w:t>
      </w:r>
    </w:p>
    <w:p>
      <w:pPr>
        <w:pStyle w:val="ListParagraph"/>
        <w:jc w:val="left"/>
        <w:rPr>
          <w:noProof/>
          <w:sz w:val="24"/>
          <w:szCs w:val="24"/>
          <w:highlight w:val="yellow"/>
        </w:rPr>
      </w:pPr>
    </w:p>
    <w:p>
      <w:pPr>
        <w:pStyle w:val="ListParagraph"/>
        <w:numPr>
          <w:ilvl w:val="0"/>
          <w:numId w:val="9"/>
        </w:numPr>
        <w:ind w:left="714" w:hanging="357"/>
        <w:rPr>
          <w:noProof/>
        </w:rPr>
      </w:pPr>
      <w:r>
        <w:rPr>
          <w:noProof/>
          <w:sz w:val="24"/>
          <w:szCs w:val="24"/>
        </w:rPr>
        <w:t xml:space="preserve">Energy intensity fell in most of the highly energy-intensive sectors in </w:t>
      </w:r>
      <w:r>
        <w:rPr>
          <w:i/>
          <w:noProof/>
          <w:sz w:val="24"/>
          <w:szCs w:val="24"/>
        </w:rPr>
        <w:t>manufacturing</w:t>
      </w:r>
      <w:r>
        <w:rPr>
          <w:noProof/>
          <w:sz w:val="24"/>
          <w:szCs w:val="24"/>
        </w:rPr>
        <w:t xml:space="preserve">, including </w:t>
      </w:r>
      <w:r>
        <w:rPr>
          <w:i/>
          <w:noProof/>
          <w:sz w:val="24"/>
          <w:szCs w:val="24"/>
        </w:rPr>
        <w:t>non-ferrous metals</w:t>
      </w:r>
      <w:r>
        <w:rPr>
          <w:noProof/>
          <w:sz w:val="24"/>
          <w:szCs w:val="24"/>
        </w:rPr>
        <w:t xml:space="preserve">, </w:t>
      </w:r>
      <w:r>
        <w:rPr>
          <w:i/>
          <w:noProof/>
          <w:sz w:val="24"/>
          <w:szCs w:val="24"/>
        </w:rPr>
        <w:t>steel</w:t>
      </w:r>
      <w:r>
        <w:rPr>
          <w:noProof/>
          <w:sz w:val="24"/>
          <w:szCs w:val="24"/>
        </w:rPr>
        <w:t xml:space="preserve">, </w:t>
      </w:r>
      <w:r>
        <w:rPr>
          <w:i/>
          <w:noProof/>
          <w:sz w:val="24"/>
          <w:szCs w:val="24"/>
        </w:rPr>
        <w:t xml:space="preserve">refineries </w:t>
      </w:r>
      <w:r>
        <w:rPr>
          <w:noProof/>
          <w:sz w:val="24"/>
          <w:szCs w:val="24"/>
        </w:rPr>
        <w:t>and</w:t>
      </w:r>
      <w:r>
        <w:rPr>
          <w:i/>
          <w:noProof/>
          <w:sz w:val="24"/>
          <w:szCs w:val="24"/>
        </w:rPr>
        <w:t xml:space="preserve"> paper. </w:t>
      </w:r>
      <w:r>
        <w:rPr>
          <w:noProof/>
          <w:sz w:val="24"/>
          <w:szCs w:val="24"/>
        </w:rPr>
        <w:t xml:space="preserve">Energy intensity, however, increased in a few sectors such as </w:t>
      </w:r>
      <w:r>
        <w:rPr>
          <w:i/>
          <w:noProof/>
          <w:sz w:val="24"/>
          <w:szCs w:val="24"/>
        </w:rPr>
        <w:t>cement,</w:t>
      </w:r>
      <w:r>
        <w:rPr>
          <w:noProof/>
          <w:sz w:val="24"/>
          <w:szCs w:val="24"/>
        </w:rPr>
        <w:t xml:space="preserve"> </w:t>
      </w:r>
      <w:r>
        <w:rPr>
          <w:i/>
          <w:iCs/>
          <w:noProof/>
          <w:sz w:val="24"/>
          <w:szCs w:val="24"/>
        </w:rPr>
        <w:t xml:space="preserve">clay building materials, </w:t>
      </w:r>
      <w:r>
        <w:rPr>
          <w:i/>
          <w:noProof/>
          <w:sz w:val="24"/>
          <w:szCs w:val="24"/>
        </w:rPr>
        <w:t>grain products</w:t>
      </w:r>
      <w:r>
        <w:rPr>
          <w:noProof/>
          <w:sz w:val="24"/>
          <w:szCs w:val="24"/>
        </w:rPr>
        <w:t xml:space="preserve">, </w:t>
      </w:r>
      <w:r>
        <w:rPr>
          <w:i/>
          <w:noProof/>
          <w:sz w:val="24"/>
          <w:szCs w:val="24"/>
        </w:rPr>
        <w:t>sawmills</w:t>
      </w:r>
      <w:r>
        <w:rPr>
          <w:noProof/>
          <w:sz w:val="24"/>
          <w:szCs w:val="24"/>
        </w:rPr>
        <w:t xml:space="preserve"> and </w:t>
      </w:r>
      <w:r>
        <w:rPr>
          <w:i/>
          <w:iCs/>
          <w:noProof/>
          <w:sz w:val="24"/>
          <w:szCs w:val="24"/>
        </w:rPr>
        <w:t xml:space="preserve">basic </w:t>
      </w:r>
      <w:r>
        <w:rPr>
          <w:i/>
          <w:noProof/>
          <w:sz w:val="24"/>
          <w:szCs w:val="24"/>
        </w:rPr>
        <w:t>chemicals</w:t>
      </w:r>
      <w:r>
        <w:rPr>
          <w:noProof/>
          <w:sz w:val="24"/>
          <w:szCs w:val="24"/>
        </w:rPr>
        <w:t>.</w:t>
      </w:r>
      <w:r>
        <w:rPr>
          <w:i/>
          <w:noProof/>
          <w:sz w:val="24"/>
          <w:szCs w:val="24"/>
        </w:rPr>
        <w:t xml:space="preserve"> </w:t>
      </w:r>
      <w:r>
        <w:rPr>
          <w:noProof/>
        </w:rPr>
        <w:t xml:space="preserve"> In relative terms, the energy intensity indicator fell the most in </w:t>
      </w:r>
      <w:r>
        <w:rPr>
          <w:i/>
          <w:noProof/>
        </w:rPr>
        <w:t>stone</w:t>
      </w:r>
      <w:r>
        <w:rPr>
          <w:noProof/>
        </w:rPr>
        <w:t xml:space="preserve"> (-60%), </w:t>
      </w:r>
      <w:r>
        <w:rPr>
          <w:i/>
          <w:noProof/>
        </w:rPr>
        <w:t>man-made fibres</w:t>
      </w:r>
      <w:r>
        <w:rPr>
          <w:noProof/>
        </w:rPr>
        <w:t xml:space="preserve"> (-45%), </w:t>
      </w:r>
      <w:r>
        <w:rPr>
          <w:i/>
          <w:noProof/>
        </w:rPr>
        <w:t>refineries</w:t>
      </w:r>
      <w:r>
        <w:rPr>
          <w:noProof/>
        </w:rPr>
        <w:t xml:space="preserve"> (-55%) and </w:t>
      </w:r>
      <w:r>
        <w:rPr>
          <w:i/>
          <w:noProof/>
        </w:rPr>
        <w:t xml:space="preserve">paper </w:t>
      </w:r>
      <w:r>
        <w:rPr>
          <w:noProof/>
        </w:rPr>
        <w:t>(-20%).</w:t>
      </w:r>
    </w:p>
    <w:p>
      <w:pPr>
        <w:pStyle w:val="ListParagraph"/>
        <w:ind w:left="714"/>
        <w:rPr>
          <w:noProof/>
        </w:rPr>
      </w:pPr>
    </w:p>
    <w:p>
      <w:pPr>
        <w:pStyle w:val="ListParagraph"/>
        <w:numPr>
          <w:ilvl w:val="0"/>
          <w:numId w:val="9"/>
        </w:numPr>
        <w:ind w:left="714" w:hanging="357"/>
        <w:rPr>
          <w:noProof/>
          <w:sz w:val="24"/>
          <w:szCs w:val="24"/>
        </w:rPr>
      </w:pPr>
      <w:r>
        <w:rPr>
          <w:noProof/>
          <w:sz w:val="24"/>
          <w:szCs w:val="24"/>
        </w:rPr>
        <w:t xml:space="preserve">Energy intensity decreased for the vast majority of the less energy-intensive manufacturing sectors in the EU between 2011 and 2017. The decreases were small but important in relative terms for many sectors like </w:t>
      </w:r>
      <w:r>
        <w:rPr>
          <w:i/>
          <w:iCs/>
          <w:noProof/>
          <w:sz w:val="24"/>
          <w:szCs w:val="24"/>
        </w:rPr>
        <w:t>textiles</w:t>
      </w:r>
      <w:r>
        <w:rPr>
          <w:noProof/>
          <w:sz w:val="24"/>
          <w:szCs w:val="24"/>
        </w:rPr>
        <w:t xml:space="preserve">, </w:t>
      </w:r>
      <w:r>
        <w:rPr>
          <w:i/>
          <w:iCs/>
          <w:noProof/>
          <w:sz w:val="24"/>
          <w:szCs w:val="24"/>
        </w:rPr>
        <w:t>articles of paper</w:t>
      </w:r>
      <w:r>
        <w:rPr>
          <w:noProof/>
          <w:sz w:val="24"/>
          <w:szCs w:val="24"/>
        </w:rPr>
        <w:t xml:space="preserve">, </w:t>
      </w:r>
      <w:r>
        <w:rPr>
          <w:i/>
          <w:iCs/>
          <w:noProof/>
          <w:sz w:val="24"/>
          <w:szCs w:val="24"/>
        </w:rPr>
        <w:t xml:space="preserve">electrical equipment, computers, machinery </w:t>
      </w:r>
      <w:r>
        <w:rPr>
          <w:iCs/>
          <w:noProof/>
          <w:sz w:val="24"/>
          <w:szCs w:val="24"/>
        </w:rPr>
        <w:t>and</w:t>
      </w:r>
      <w:r>
        <w:rPr>
          <w:i/>
          <w:iCs/>
          <w:noProof/>
          <w:sz w:val="24"/>
          <w:szCs w:val="24"/>
        </w:rPr>
        <w:t xml:space="preserve"> motor vehicles.</w:t>
      </w:r>
    </w:p>
    <w:p>
      <w:pPr>
        <w:pStyle w:val="ListParagraph"/>
        <w:rPr>
          <w:noProof/>
          <w:sz w:val="24"/>
          <w:szCs w:val="24"/>
        </w:rPr>
      </w:pPr>
    </w:p>
    <w:p>
      <w:pPr>
        <w:pStyle w:val="ListParagraph"/>
        <w:numPr>
          <w:ilvl w:val="0"/>
          <w:numId w:val="5"/>
        </w:numPr>
        <w:rPr>
          <w:noProof/>
          <w:sz w:val="24"/>
          <w:szCs w:val="24"/>
        </w:rPr>
      </w:pPr>
      <w:r>
        <w:rPr>
          <w:noProof/>
          <w:sz w:val="24"/>
          <w:szCs w:val="24"/>
        </w:rPr>
        <w:t>In</w:t>
      </w:r>
      <w:r>
        <w:rPr>
          <w:i/>
          <w:noProof/>
          <w:sz w:val="24"/>
          <w:szCs w:val="24"/>
        </w:rPr>
        <w:t xml:space="preserve"> non-manufacturing,</w:t>
      </w:r>
      <w:r>
        <w:rPr>
          <w:noProof/>
          <w:sz w:val="24"/>
          <w:szCs w:val="24"/>
        </w:rPr>
        <w:t xml:space="preserve"> energy intensity decreased in sectors like </w:t>
      </w:r>
      <w:r>
        <w:rPr>
          <w:i/>
          <w:noProof/>
          <w:sz w:val="24"/>
          <w:szCs w:val="24"/>
        </w:rPr>
        <w:t>land transport</w:t>
      </w:r>
      <w:r>
        <w:rPr>
          <w:noProof/>
          <w:sz w:val="24"/>
          <w:szCs w:val="24"/>
        </w:rPr>
        <w:t xml:space="preserve"> and </w:t>
      </w:r>
      <w:r>
        <w:rPr>
          <w:i/>
          <w:noProof/>
          <w:sz w:val="24"/>
          <w:szCs w:val="24"/>
        </w:rPr>
        <w:t xml:space="preserve">air transport, </w:t>
      </w:r>
      <w:r>
        <w:rPr>
          <w:noProof/>
          <w:sz w:val="24"/>
          <w:szCs w:val="24"/>
        </w:rPr>
        <w:t>although it increased</w:t>
      </w:r>
      <w:r>
        <w:rPr>
          <w:i/>
          <w:noProof/>
          <w:sz w:val="24"/>
          <w:szCs w:val="24"/>
        </w:rPr>
        <w:t xml:space="preserve"> </w:t>
      </w:r>
      <w:r>
        <w:rPr>
          <w:noProof/>
          <w:sz w:val="24"/>
          <w:szCs w:val="24"/>
        </w:rPr>
        <w:t>in</w:t>
      </w:r>
      <w:r>
        <w:rPr>
          <w:i/>
          <w:noProof/>
          <w:sz w:val="24"/>
          <w:szCs w:val="24"/>
        </w:rPr>
        <w:t xml:space="preserve"> electricity-gas</w:t>
      </w:r>
      <w:r>
        <w:rPr>
          <w:i/>
          <w:iCs/>
          <w:noProof/>
          <w:sz w:val="24"/>
          <w:szCs w:val="24"/>
        </w:rPr>
        <w:t xml:space="preserve">. </w:t>
      </w:r>
      <w:r>
        <w:rPr>
          <w:noProof/>
          <w:sz w:val="24"/>
          <w:szCs w:val="24"/>
        </w:rPr>
        <w:t>Amongst those with lower energy intensity, the results were mixed.</w:t>
      </w:r>
      <w:r>
        <w:rPr>
          <w:noProof/>
        </w:rPr>
        <w:t xml:space="preserve"> </w:t>
      </w:r>
    </w:p>
    <w:p>
      <w:pPr>
        <w:pStyle w:val="ListParagraph"/>
        <w:rPr>
          <w:noProof/>
          <w:sz w:val="24"/>
          <w:szCs w:val="24"/>
        </w:rPr>
      </w:pPr>
    </w:p>
    <w:p>
      <w:pPr>
        <w:rPr>
          <w:noProof/>
          <w:sz w:val="24"/>
          <w:szCs w:val="24"/>
        </w:rPr>
      </w:pPr>
    </w:p>
    <w:p>
      <w:pPr>
        <w:pStyle w:val="ListParagraph"/>
        <w:numPr>
          <w:ilvl w:val="0"/>
          <w:numId w:val="5"/>
        </w:numPr>
        <w:rPr>
          <w:noProof/>
          <w:sz w:val="24"/>
          <w:szCs w:val="24"/>
        </w:rPr>
      </w:pPr>
      <w:r>
        <w:rPr>
          <w:noProof/>
          <w:sz w:val="24"/>
          <w:szCs w:val="24"/>
        </w:rPr>
        <w:br w:type="page"/>
      </w:r>
    </w:p>
    <w:p>
      <w:pPr>
        <w:jc w:val="left"/>
        <w:rPr>
          <w:noProof/>
          <w:sz w:val="24"/>
          <w:szCs w:val="24"/>
        </w:rPr>
      </w:pPr>
      <w:r>
        <w:rPr>
          <w:noProof/>
          <w:sz w:val="24"/>
          <w:szCs w:val="24"/>
        </w:rPr>
        <w:t>International comparisons</w:t>
      </w:r>
    </w:p>
    <w:p>
      <w:pPr>
        <w:pStyle w:val="ListParagraph"/>
        <w:numPr>
          <w:ilvl w:val="0"/>
          <w:numId w:val="5"/>
        </w:numPr>
        <w:rPr>
          <w:bCs/>
          <w:noProof/>
          <w:sz w:val="24"/>
          <w:szCs w:val="24"/>
        </w:rPr>
      </w:pPr>
      <w:r>
        <w:rPr>
          <w:bCs/>
          <w:noProof/>
          <w:sz w:val="24"/>
          <w:szCs w:val="24"/>
        </w:rPr>
        <w:t>The situation did not change too much with respect to the previous report (which covered the period between 2008 and 2017, while the current one is covering until 2019)</w:t>
      </w:r>
      <w:r>
        <w:rPr>
          <w:rStyle w:val="FootnoteReference"/>
          <w:noProof/>
          <w:sz w:val="24"/>
          <w:szCs w:val="24"/>
        </w:rPr>
        <w:t xml:space="preserve"> </w:t>
      </w:r>
      <w:r>
        <w:rPr>
          <w:rStyle w:val="FootnoteReference"/>
          <w:noProof/>
          <w:sz w:val="24"/>
          <w:szCs w:val="24"/>
        </w:rPr>
        <w:footnoteReference w:id="2"/>
      </w:r>
      <w:r>
        <w:rPr>
          <w:bCs/>
          <w:noProof/>
          <w:sz w:val="24"/>
          <w:szCs w:val="24"/>
        </w:rPr>
        <w:t xml:space="preserve">. </w:t>
      </w:r>
    </w:p>
    <w:p>
      <w:pPr>
        <w:pStyle w:val="ListParagraph"/>
        <w:rPr>
          <w:bCs/>
          <w:noProof/>
          <w:sz w:val="24"/>
          <w:szCs w:val="24"/>
        </w:rPr>
      </w:pPr>
    </w:p>
    <w:p>
      <w:pPr>
        <w:pStyle w:val="ListParagraph"/>
        <w:numPr>
          <w:ilvl w:val="0"/>
          <w:numId w:val="5"/>
        </w:numPr>
        <w:rPr>
          <w:b/>
          <w:bCs/>
          <w:noProof/>
          <w:sz w:val="24"/>
          <w:szCs w:val="24"/>
        </w:rPr>
      </w:pPr>
      <w:r>
        <w:rPr>
          <w:noProof/>
          <w:sz w:val="24"/>
          <w:szCs w:val="24"/>
        </w:rPr>
        <w:t xml:space="preserve">For the most energy-intensive sectors, in most of the cases, the EU energy costs shares in production costs are lower or similar to those in the US sectors, with the exception of </w:t>
      </w:r>
      <w:r>
        <w:rPr>
          <w:i/>
          <w:iCs/>
          <w:noProof/>
          <w:sz w:val="24"/>
          <w:szCs w:val="24"/>
        </w:rPr>
        <w:t>non-ferrous metals (aluminium)</w:t>
      </w:r>
      <w:r>
        <w:rPr>
          <w:noProof/>
          <w:sz w:val="24"/>
          <w:szCs w:val="24"/>
        </w:rPr>
        <w:t xml:space="preserve"> which display lower energy costs shares in the US. The result of the comparison of the energy costs shares of the EU most energy-intensive sectors with Japanese sectors is mixed. The Korean sectors displays the lowest energy costs shares in production costs of the countries studied.</w:t>
      </w:r>
    </w:p>
    <w:p>
      <w:pPr>
        <w:pStyle w:val="ListParagraph"/>
        <w:jc w:val="left"/>
        <w:rPr>
          <w:b/>
          <w:noProof/>
          <w:sz w:val="24"/>
          <w:szCs w:val="24"/>
        </w:rPr>
      </w:pPr>
      <w:r>
        <w:rPr>
          <w:b/>
          <w:noProof/>
          <w:sz w:val="24"/>
          <w:szCs w:val="24"/>
        </w:rPr>
        <w:t xml:space="preserve"> </w:t>
      </w:r>
    </w:p>
    <w:p>
      <w:pPr>
        <w:pStyle w:val="ListParagraph"/>
        <w:numPr>
          <w:ilvl w:val="0"/>
          <w:numId w:val="5"/>
        </w:numPr>
        <w:spacing w:after="0" w:line="300" w:lineRule="atLeast"/>
        <w:rPr>
          <w:noProof/>
          <w:sz w:val="24"/>
          <w:szCs w:val="24"/>
        </w:rPr>
      </w:pPr>
      <w:r>
        <w:rPr>
          <w:noProof/>
          <w:sz w:val="24"/>
          <w:szCs w:val="24"/>
        </w:rPr>
        <w:t>The energy intensity (proxy of energy efficiency)</w:t>
      </w:r>
      <w:r>
        <w:rPr>
          <w:rStyle w:val="FootnoteReference"/>
          <w:noProof/>
          <w:sz w:val="24"/>
          <w:szCs w:val="24"/>
        </w:rPr>
        <w:footnoteReference w:id="3"/>
      </w:r>
      <w:r>
        <w:rPr>
          <w:noProof/>
          <w:sz w:val="24"/>
          <w:szCs w:val="24"/>
        </w:rPr>
        <w:t xml:space="preserve"> of EU sectors studied is consistently lower that in China. The EU sectors display an overall comparable energy intensity to those in the US, yet with differences across the specific sectors.</w:t>
      </w:r>
    </w:p>
    <w:p>
      <w:pPr>
        <w:pStyle w:val="ListParagraph"/>
        <w:jc w:val="left"/>
        <w:rPr>
          <w:b/>
          <w:noProof/>
          <w:sz w:val="24"/>
          <w:szCs w:val="24"/>
        </w:rPr>
      </w:pPr>
    </w:p>
    <w:p>
      <w:pPr>
        <w:pStyle w:val="ListParagraph"/>
        <w:numPr>
          <w:ilvl w:val="0"/>
          <w:numId w:val="5"/>
        </w:numPr>
        <w:rPr>
          <w:noProof/>
          <w:sz w:val="24"/>
          <w:szCs w:val="24"/>
        </w:rPr>
      </w:pPr>
      <w:r>
        <w:rPr>
          <w:noProof/>
          <w:sz w:val="24"/>
          <w:szCs w:val="24"/>
        </w:rPr>
        <w:t>Electricity prices for industry in the EU are lower than Japan, slightly higher than China and higher than US prices (US prices are half the EU levels). Amongst the other non-EU G20 countries studied, only Brazil and UK have higher prices than the EU while Canada, India, Russia, Mexico, South Korea and Saudi Arabia have lower prices. Turkey’s prices are lower but converging to the EU average in the last years.</w:t>
      </w:r>
    </w:p>
    <w:p>
      <w:pPr>
        <w:pStyle w:val="ListParagraph"/>
        <w:rPr>
          <w:noProof/>
          <w:sz w:val="24"/>
        </w:rPr>
      </w:pPr>
    </w:p>
    <w:p>
      <w:pPr>
        <w:pStyle w:val="ListParagraph"/>
        <w:numPr>
          <w:ilvl w:val="0"/>
          <w:numId w:val="5"/>
        </w:numPr>
        <w:rPr>
          <w:noProof/>
          <w:sz w:val="24"/>
          <w:szCs w:val="24"/>
        </w:rPr>
      </w:pPr>
      <w:r>
        <w:rPr>
          <w:noProof/>
          <w:sz w:val="24"/>
          <w:szCs w:val="24"/>
        </w:rPr>
        <w:t>Electricity prices for industry in the EU increased over the period (from 95 EUR/MWh in 2008 to 115 EUR/MWh in 2019). Prices peaked in 2013 (125 EUR/MWh) and were declining until 2017, before rising again..</w:t>
      </w:r>
    </w:p>
    <w:p>
      <w:pPr>
        <w:pStyle w:val="ListParagraph"/>
        <w:rPr>
          <w:noProof/>
          <w:sz w:val="24"/>
          <w:szCs w:val="24"/>
        </w:rPr>
      </w:pPr>
    </w:p>
    <w:p>
      <w:pPr>
        <w:pStyle w:val="ListParagraph"/>
        <w:numPr>
          <w:ilvl w:val="0"/>
          <w:numId w:val="5"/>
        </w:numPr>
        <w:rPr>
          <w:noProof/>
          <w:sz w:val="24"/>
          <w:szCs w:val="24"/>
        </w:rPr>
      </w:pPr>
      <w:r>
        <w:rPr>
          <w:noProof/>
          <w:sz w:val="24"/>
          <w:szCs w:val="24"/>
        </w:rPr>
        <w:t>The electricity price gap of the EU with the US and China (which has been favourable for these two countries since 2011) has widened in recent years, marginally with the US and more significantly with China (where prices continuously declined since 2011). The gap with Japan (which is favourable for the EU) widened in recent years as Japanese prices stopped to converge to EU price levels and  are rising since 2017. In recent years, prices in South Korea were decreasing, widening the unfavourable price gap for the EU, while prices in Turkey increased sharply, reducing the unfavourable price gap for the EU.</w:t>
      </w:r>
    </w:p>
    <w:p>
      <w:pPr>
        <w:pStyle w:val="ListParagraph"/>
        <w:rPr>
          <w:noProof/>
          <w:sz w:val="24"/>
          <w:szCs w:val="24"/>
          <w:highlight w:val="yellow"/>
        </w:rPr>
      </w:pPr>
    </w:p>
    <w:p>
      <w:pPr>
        <w:pStyle w:val="ListParagraph"/>
        <w:numPr>
          <w:ilvl w:val="0"/>
          <w:numId w:val="5"/>
        </w:numPr>
        <w:spacing w:after="0" w:line="300" w:lineRule="atLeast"/>
        <w:rPr>
          <w:noProof/>
          <w:sz w:val="24"/>
          <w:szCs w:val="24"/>
        </w:rPr>
      </w:pPr>
      <w:r>
        <w:rPr>
          <w:noProof/>
          <w:sz w:val="24"/>
          <w:szCs w:val="24"/>
        </w:rPr>
        <w:t>Gas prices for industries in the EU are higher than in most of the non-EU G20, particularly gas producing countries (e.g. in the US, Canada, Russia, and Brazil prices are around half the EU prices) but lower than in Asian trade partners (Japan, South Korea, China).</w:t>
      </w:r>
    </w:p>
    <w:p>
      <w:pPr>
        <w:pStyle w:val="ListParagraph"/>
        <w:spacing w:after="0" w:line="300" w:lineRule="atLeast"/>
        <w:rPr>
          <w:noProof/>
          <w:sz w:val="24"/>
        </w:rPr>
      </w:pPr>
    </w:p>
    <w:p>
      <w:pPr>
        <w:pStyle w:val="ListParagraph"/>
        <w:numPr>
          <w:ilvl w:val="0"/>
          <w:numId w:val="5"/>
        </w:numPr>
        <w:spacing w:after="0" w:line="300" w:lineRule="atLeast"/>
        <w:rPr>
          <w:noProof/>
          <w:sz w:val="24"/>
          <w:szCs w:val="24"/>
        </w:rPr>
      </w:pPr>
      <w:r>
        <w:rPr>
          <w:noProof/>
          <w:sz w:val="24"/>
          <w:szCs w:val="24"/>
        </w:rPr>
        <w:t>Gas prices for industries in the EU have declined over 25% over the whole period 2008-2017. They have fluctuated, rising at the start of the period and then falling, but have remained at around 24 EUR/MWh since 2016. Over the same period prices declined in most of the other G20 countries even further than in the EU.</w:t>
      </w:r>
    </w:p>
    <w:p>
      <w:pPr>
        <w:pStyle w:val="ListParagraph"/>
        <w:rPr>
          <w:noProof/>
          <w:sz w:val="24"/>
          <w:szCs w:val="24"/>
        </w:rPr>
      </w:pPr>
    </w:p>
    <w:p>
      <w:pPr>
        <w:pStyle w:val="ListParagraph"/>
        <w:numPr>
          <w:ilvl w:val="0"/>
          <w:numId w:val="5"/>
        </w:numPr>
        <w:spacing w:after="0" w:line="300" w:lineRule="atLeast"/>
        <w:rPr>
          <w:noProof/>
          <w:sz w:val="24"/>
          <w:szCs w:val="24"/>
        </w:rPr>
      </w:pPr>
      <w:r>
        <w:rPr>
          <w:noProof/>
          <w:sz w:val="24"/>
          <w:szCs w:val="24"/>
        </w:rPr>
        <w:t xml:space="preserve">The price gap developments were unfavourable for the EU when compared with the US and Canada (where prices due to the shale gas revolutions reached 10 EUR/MWh in 2016), South Korea and Brazil. Conversely, price gaps improved for the EU with China, Russia, Japan, Australia and Turkey as prices in some of these countries increased in recent years. It also improved with regards to Mexico, India, Saudi Arabia and South Africa were prices remained relatively stable over the last years. </w:t>
      </w:r>
    </w:p>
    <w:p>
      <w:pPr>
        <w:spacing w:after="0" w:line="300" w:lineRule="atLeast"/>
        <w:rPr>
          <w:noProof/>
          <w:sz w:val="24"/>
          <w:szCs w:val="24"/>
        </w:rPr>
      </w:pPr>
    </w:p>
    <w:p>
      <w:pPr>
        <w:pStyle w:val="ListParagraph"/>
        <w:numPr>
          <w:ilvl w:val="0"/>
          <w:numId w:val="5"/>
        </w:numPr>
        <w:rPr>
          <w:noProof/>
          <w:sz w:val="24"/>
          <w:szCs w:val="24"/>
        </w:rPr>
      </w:pPr>
      <w:r>
        <w:rPr>
          <w:noProof/>
          <w:sz w:val="24"/>
          <w:szCs w:val="24"/>
        </w:rPr>
        <w:t>The evolution of nominal prices was significantly affected in some cases by inflation and exchange rate changes. Over the studied period, high inflation considerably pushed up prices in countries like Brazil and Indonesia while in Russia and Turkey the inflationary effects were mitigated by exchange rates depreciations. Overall appreciation of the Euro vs US dollar and Yuan since 2016 pushed down US and Chinese prices in recent years.</w:t>
      </w:r>
    </w:p>
    <w:p>
      <w:pPr>
        <w:pStyle w:val="Heading2"/>
        <w:numPr>
          <w:ilvl w:val="1"/>
          <w:numId w:val="1"/>
        </w:numPr>
        <w:rPr>
          <w:noProof/>
        </w:rPr>
      </w:pPr>
      <w:bookmarkStart w:id="18" w:name="_Toc524619520"/>
      <w:bookmarkStart w:id="19" w:name="_Toc524961067"/>
      <w:bookmarkStart w:id="20" w:name="_Toc525143028"/>
      <w:bookmarkStart w:id="21" w:name="_Toc525222185"/>
      <w:bookmarkStart w:id="22" w:name="_Toc525222354"/>
      <w:bookmarkStart w:id="23" w:name="_Toc526420748"/>
      <w:bookmarkStart w:id="24" w:name="_Toc526433975"/>
      <w:bookmarkStart w:id="25" w:name="_Toc526435917"/>
      <w:bookmarkStart w:id="26" w:name="_Ref526862946"/>
      <w:bookmarkStart w:id="27" w:name="_Toc530595247"/>
      <w:bookmarkStart w:id="28" w:name="_Toc50648339"/>
      <w:bookmarkStart w:id="29" w:name="_Toc50654369"/>
      <w:bookmarkStart w:id="30" w:name="_Toc50654924"/>
      <w:bookmarkStart w:id="31" w:name="_Toc50732471"/>
      <w:bookmarkStart w:id="32" w:name="_Toc52396555"/>
      <w:bookmarkStart w:id="33" w:name="_Toc468890475"/>
      <w:r>
        <w:rPr>
          <w:noProof/>
        </w:rPr>
        <w:t>Energy costs and their impact at macroeconomic level</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rPr>
          <w:noProof/>
        </w:rPr>
      </w:pPr>
    </w:p>
    <w:p>
      <w:pPr>
        <w:rPr>
          <w:noProof/>
          <w:sz w:val="24"/>
          <w:szCs w:val="24"/>
        </w:rPr>
      </w:pPr>
      <w:r>
        <w:rPr>
          <w:noProof/>
          <w:sz w:val="24"/>
          <w:szCs w:val="24"/>
        </w:rPr>
        <w:t xml:space="preserve">In this section we look at the overall impact of energy costs on the economy of the EU and its Member States. This is done by calculating the shares of energy costs in the total production value of the whole industry and services sectors in each Member State. </w:t>
      </w:r>
    </w:p>
    <w:p>
      <w:pPr>
        <w:rPr>
          <w:noProof/>
          <w:sz w:val="24"/>
          <w:szCs w:val="24"/>
        </w:rPr>
      </w:pPr>
      <w:r>
        <w:rPr>
          <w:noProof/>
          <w:sz w:val="24"/>
          <w:szCs w:val="24"/>
        </w:rPr>
        <w:t xml:space="preserve">Energy costs are part of production costs of all sectors (we cannot produce without energy!). They represent a significant share of the production costs of energy-intensive sectors in manufacturing and services (see section </w:t>
      </w:r>
      <w:r>
        <w:rPr>
          <w:b/>
          <w:bCs/>
          <w:noProof/>
          <w:sz w:val="24"/>
          <w:szCs w:val="24"/>
        </w:rPr>
        <w:t>6.2</w:t>
      </w:r>
      <w:r>
        <w:rPr>
          <w:noProof/>
          <w:sz w:val="24"/>
          <w:szCs w:val="24"/>
        </w:rPr>
        <w:t xml:space="preserve">) and thereby they can also be significant for the production costs of countries where energy-intensive sectors account for an important part of their economies. </w:t>
      </w:r>
    </w:p>
    <w:p>
      <w:pPr>
        <w:rPr>
          <w:noProof/>
          <w:sz w:val="24"/>
          <w:szCs w:val="24"/>
        </w:rPr>
      </w:pPr>
      <w:r>
        <w:rPr>
          <w:noProof/>
          <w:sz w:val="24"/>
          <w:szCs w:val="24"/>
        </w:rPr>
        <w:t>The calculated indicators will allow us to estimate that importance and also gauge the potential importance of energy costs for competitiveness. That said, energy costs make up just one of the many factors that contribute to the general competiveness of a country and its economy (see Box below).</w:t>
      </w:r>
    </w:p>
    <w:p>
      <w:pPr>
        <w:jc w:val="center"/>
        <w:rPr>
          <w:b/>
          <w:bCs/>
          <w:noProof/>
        </w:rPr>
      </w:pPr>
      <w:r>
        <w:rPr>
          <w:b/>
          <w:bCs/>
          <w:noProof/>
        </w:rPr>
        <w:t>Box - Energy costs and competitiveness</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To understand the competitiveness of industrial sectors is complex. Their competiveness (i.e. their ability to compete in markets to sell or attract investments) depends on the prices and costs of their products (cost- competitiveness), the quality of their products and other characteristics beyond the products’ costs and functionalities which correspond to consumers values (e.g. ecological impact, fair trade, human rights considerations, etc.). </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The productivity of labour force (based on their skills and costs), the access to capital, and low costs of basic inputs (like energy) can contribute to reduce production costs and increase quality of products for a sector in a country or region.  </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However, other institutional factors of the country or region where the sector is located (access to big regional markets, lower barriers to trade, economic and political stability, legal certainty, reliability of energy supply, taxation, investment frameworks, etc.) are also important for producers to decide where to produce and invest or for consumers to decide from whom to buy final products or inputs.</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Several international institutes and organisations have developed methodologies and composite indexes that measure the factors that influence the competitiveness of a given economy. Good examples of it are the </w:t>
      </w:r>
      <w:r>
        <w:rPr>
          <w:i/>
          <w:iCs/>
          <w:noProof/>
          <w:sz w:val="24"/>
          <w:szCs w:val="24"/>
        </w:rPr>
        <w:t>Global Competitiveness Indicator</w:t>
      </w:r>
      <w:r>
        <w:rPr>
          <w:noProof/>
          <w:sz w:val="24"/>
          <w:szCs w:val="24"/>
        </w:rPr>
        <w:t xml:space="preserve"> of the World Economic Forum (WEF)</w:t>
      </w:r>
      <w:r>
        <w:rPr>
          <w:rStyle w:val="FootnoteReference"/>
          <w:noProof/>
          <w:sz w:val="24"/>
          <w:szCs w:val="24"/>
        </w:rPr>
        <w:t xml:space="preserve"> </w:t>
      </w:r>
      <w:r>
        <w:rPr>
          <w:rStyle w:val="FootnoteReference"/>
          <w:noProof/>
          <w:sz w:val="24"/>
          <w:szCs w:val="24"/>
        </w:rPr>
        <w:footnoteReference w:id="4"/>
      </w:r>
      <w:r>
        <w:rPr>
          <w:noProof/>
          <w:sz w:val="24"/>
          <w:szCs w:val="24"/>
        </w:rPr>
        <w:t xml:space="preserve">, the </w:t>
      </w:r>
      <w:r>
        <w:rPr>
          <w:i/>
          <w:iCs/>
          <w:noProof/>
          <w:sz w:val="24"/>
          <w:szCs w:val="24"/>
        </w:rPr>
        <w:t>World Competitiveness Scoreboard</w:t>
      </w:r>
      <w:r>
        <w:rPr>
          <w:noProof/>
          <w:sz w:val="24"/>
          <w:szCs w:val="24"/>
        </w:rPr>
        <w:t xml:space="preserve"> of the International Institute for Management Development (IMD)</w:t>
      </w:r>
      <w:r>
        <w:rPr>
          <w:rStyle w:val="FootnoteReference"/>
          <w:noProof/>
          <w:sz w:val="24"/>
          <w:szCs w:val="24"/>
        </w:rPr>
        <w:footnoteReference w:id="5"/>
      </w:r>
      <w:r>
        <w:rPr>
          <w:noProof/>
          <w:sz w:val="24"/>
          <w:szCs w:val="24"/>
        </w:rPr>
        <w:t xml:space="preserve"> and the </w:t>
      </w:r>
      <w:r>
        <w:rPr>
          <w:i/>
          <w:iCs/>
          <w:noProof/>
          <w:sz w:val="24"/>
          <w:szCs w:val="24"/>
        </w:rPr>
        <w:t>Economic Freedom of the World Index</w:t>
      </w:r>
      <w:r>
        <w:rPr>
          <w:noProof/>
          <w:sz w:val="24"/>
          <w:szCs w:val="24"/>
        </w:rPr>
        <w:t xml:space="preserve"> of Fraser Institute (FI)</w:t>
      </w:r>
      <w:r>
        <w:rPr>
          <w:rStyle w:val="FootnoteReference"/>
          <w:noProof/>
          <w:sz w:val="24"/>
          <w:szCs w:val="24"/>
        </w:rPr>
        <w:footnoteReference w:id="6"/>
      </w:r>
      <w:r>
        <w:rPr>
          <w:noProof/>
          <w:sz w:val="24"/>
          <w:szCs w:val="24"/>
        </w:rPr>
        <w:t xml:space="preserve"> </w:t>
      </w:r>
    </w:p>
    <w:p>
      <w:pPr>
        <w:rPr>
          <w:noProof/>
        </w:rPr>
      </w:pPr>
    </w:p>
    <w:p>
      <w:pPr>
        <w:rPr>
          <w:noProof/>
          <w:sz w:val="24"/>
          <w:szCs w:val="24"/>
          <w:highlight w:val="green"/>
        </w:rPr>
      </w:pPr>
      <w:r>
        <w:rPr>
          <w:noProof/>
          <w:sz w:val="24"/>
          <w:szCs w:val="24"/>
        </w:rPr>
        <w:t>This section will help us to position energy-related costs as part of the complex group of factors that impact competitiveness, productivity and economic decisions to invest. Energy is essential to produce but from the macro-economic perspective, as we will soon see, the importance of energy appears to be modest when compared to total production value.</w:t>
      </w:r>
    </w:p>
    <w:p>
      <w:pPr>
        <w:pStyle w:val="ListParagraph"/>
        <w:spacing w:after="0"/>
        <w:ind w:left="0"/>
        <w:rPr>
          <w:noProof/>
          <w:sz w:val="24"/>
          <w:szCs w:val="24"/>
        </w:rPr>
      </w:pPr>
      <w:r>
        <w:rPr>
          <w:noProof/>
          <w:sz w:val="24"/>
          <w:szCs w:val="24"/>
        </w:rPr>
        <w:t xml:space="preserve">The </w:t>
      </w:r>
      <w:r>
        <w:rPr>
          <w:b/>
          <w:bCs/>
          <w:noProof/>
          <w:sz w:val="24"/>
          <w:szCs w:val="24"/>
        </w:rPr>
        <w:t>relative share of energy in total factor production costs</w:t>
      </w:r>
      <w:r>
        <w:rPr>
          <w:noProof/>
          <w:sz w:val="24"/>
          <w:szCs w:val="24"/>
        </w:rPr>
        <w:t xml:space="preserve"> can be proxied by the share of energy products in total production value, as reported by the Structural Business Statistics (SBS) tables in Eurostat. This approach has </w:t>
      </w:r>
      <w:r>
        <w:rPr>
          <w:b/>
          <w:bCs/>
          <w:noProof/>
          <w:sz w:val="24"/>
          <w:szCs w:val="24"/>
        </w:rPr>
        <w:t>several important limitations</w:t>
      </w:r>
      <w:r>
        <w:rPr>
          <w:noProof/>
          <w:sz w:val="24"/>
          <w:szCs w:val="24"/>
        </w:rPr>
        <w:t>, listed in the Box at the end of this section, but remains the only viable one in terms of harmonised and publically available data.</w:t>
      </w:r>
    </w:p>
    <w:p>
      <w:pPr>
        <w:pStyle w:val="ListParagraph"/>
        <w:spacing w:after="0"/>
        <w:ind w:left="0"/>
        <w:rPr>
          <w:noProof/>
          <w:sz w:val="24"/>
          <w:szCs w:val="24"/>
        </w:rPr>
      </w:pPr>
    </w:p>
    <w:p>
      <w:pPr>
        <w:pStyle w:val="ListParagraph"/>
        <w:spacing w:after="0"/>
        <w:ind w:left="0"/>
        <w:rPr>
          <w:noProof/>
          <w:sz w:val="24"/>
          <w:szCs w:val="24"/>
        </w:rPr>
      </w:pPr>
      <w:r>
        <w:rPr>
          <w:noProof/>
        </w:rPr>
        <w:fldChar w:fldCharType="begin"/>
      </w:r>
      <w:r>
        <w:rPr>
          <w:b/>
          <w:noProof/>
          <w:sz w:val="24"/>
          <w:szCs w:val="24"/>
        </w:rPr>
        <w:instrText xml:space="preserve"> REF _Ref47606703 \h  \* MERGEFORMAT </w:instrText>
      </w:r>
      <w:r>
        <w:rPr>
          <w:noProof/>
        </w:rPr>
      </w:r>
      <w:r>
        <w:rPr>
          <w:b/>
          <w:noProof/>
          <w:sz w:val="24"/>
          <w:szCs w:val="24"/>
        </w:rPr>
        <w:fldChar w:fldCharType="separate"/>
      </w:r>
      <w:r>
        <w:rPr>
          <w:b/>
          <w:noProof/>
          <w:sz w:val="24"/>
          <w:szCs w:val="24"/>
        </w:rPr>
        <w:t>Figure 136</w:t>
      </w:r>
      <w:r>
        <w:rPr>
          <w:noProof/>
        </w:rPr>
        <w:fldChar w:fldCharType="end"/>
      </w:r>
      <w:r>
        <w:rPr>
          <w:noProof/>
          <w:sz w:val="24"/>
          <w:szCs w:val="24"/>
        </w:rPr>
        <w:t xml:space="preserve"> shows the evolution of the share of energy-related costs in total production value in the broad classes of industry and services</w:t>
      </w:r>
      <w:r>
        <w:rPr>
          <w:rStyle w:val="FootnoteReference"/>
          <w:noProof/>
          <w:sz w:val="24"/>
          <w:szCs w:val="24"/>
        </w:rPr>
        <w:footnoteReference w:id="7"/>
      </w:r>
      <w:r>
        <w:rPr>
          <w:noProof/>
          <w:sz w:val="24"/>
          <w:szCs w:val="24"/>
        </w:rPr>
        <w:t>. At the EU level, and for the last decade of observed data, this share has decreased from 1.5-1.7% to around 1.0%-1.3%.</w:t>
      </w:r>
    </w:p>
    <w:p>
      <w:pPr>
        <w:pStyle w:val="ListParagraph"/>
        <w:spacing w:after="0"/>
        <w:ind w:left="0"/>
        <w:rPr>
          <w:noProof/>
          <w:sz w:val="24"/>
          <w:szCs w:val="24"/>
        </w:rPr>
      </w:pPr>
    </w:p>
    <w:p>
      <w:pPr>
        <w:pStyle w:val="ListParagraph"/>
        <w:spacing w:after="0"/>
        <w:ind w:left="0"/>
        <w:rPr>
          <w:noProof/>
          <w:sz w:val="24"/>
          <w:szCs w:val="24"/>
          <w:highlight w:val="green"/>
        </w:rPr>
      </w:pPr>
    </w:p>
    <w:p>
      <w:pPr>
        <w:pStyle w:val="ListParagraph"/>
        <w:keepNext/>
        <w:spacing w:after="0"/>
        <w:ind w:left="0"/>
        <w:rPr>
          <w:noProof/>
        </w:rPr>
      </w:pPr>
      <w:r>
        <w:rPr>
          <w:noProof/>
          <w:lang w:eastAsia="en-GB"/>
        </w:rPr>
        <w:drawing>
          <wp:inline distT="0" distB="0" distL="0" distR="0">
            <wp:extent cx="5760720" cy="3268345"/>
            <wp:effectExtent l="0" t="0" r="0" b="8255"/>
            <wp:docPr id="32716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5760720" cy="3268345"/>
                    </a:xfrm>
                    <a:prstGeom prst="rect">
                      <a:avLst/>
                    </a:prstGeom>
                  </pic:spPr>
                </pic:pic>
              </a:graphicData>
            </a:graphic>
          </wp:inline>
        </w:drawing>
      </w:r>
    </w:p>
    <w:p>
      <w:pPr>
        <w:pStyle w:val="Caption"/>
      </w:pPr>
      <w:bookmarkStart w:id="34" w:name="_Ref47606703"/>
      <w:bookmarkStart w:id="35" w:name="_Ref47606645"/>
      <w:bookmarkStart w:id="36" w:name="_Toc50494130"/>
      <w:bookmarkStart w:id="37" w:name="_Toc52396908"/>
      <w:r>
        <w:t xml:space="preserve">Figure </w:t>
      </w:r>
      <w:r>
        <w:fldChar w:fldCharType="begin"/>
      </w:r>
      <w:r>
        <w:instrText xml:space="preserve"> SEQ Figure \* ARABIC </w:instrText>
      </w:r>
      <w:r>
        <w:fldChar w:fldCharType="separate"/>
      </w:r>
      <w:r>
        <w:t>136</w:t>
      </w:r>
      <w:r>
        <w:fldChar w:fldCharType="end"/>
      </w:r>
      <w:bookmarkEnd w:id="34"/>
      <w:r>
        <w:t>- Evolution of energy costs shares in production value, industry and services</w:t>
      </w:r>
      <w:bookmarkEnd w:id="35"/>
      <w:bookmarkEnd w:id="36"/>
      <w:bookmarkEnd w:id="37"/>
    </w:p>
    <w:p>
      <w:pPr>
        <w:pStyle w:val="ListParagraph"/>
        <w:keepNext/>
        <w:spacing w:after="0"/>
        <w:ind w:left="0"/>
        <w:rPr>
          <w:noProof/>
          <w:sz w:val="20"/>
          <w:szCs w:val="20"/>
          <w:lang w:val="en-US"/>
        </w:rPr>
      </w:pPr>
      <w:r>
        <w:rPr>
          <w:noProof/>
          <w:sz w:val="20"/>
          <w:szCs w:val="20"/>
          <w:lang w:val="en-US"/>
        </w:rPr>
        <w:t>Source: Own calculations</w:t>
      </w:r>
    </w:p>
    <w:p>
      <w:pPr>
        <w:pStyle w:val="ListParagraph"/>
        <w:keepNext/>
        <w:spacing w:after="0"/>
        <w:ind w:left="0"/>
        <w:rPr>
          <w:noProof/>
          <w:sz w:val="20"/>
          <w:szCs w:val="20"/>
          <w:lang w:val="en-US"/>
        </w:rPr>
      </w:pPr>
    </w:p>
    <w:p>
      <w:pPr>
        <w:pStyle w:val="ListParagraph"/>
        <w:spacing w:after="0"/>
        <w:ind w:left="0"/>
        <w:rPr>
          <w:noProof/>
          <w:sz w:val="20"/>
          <w:szCs w:val="20"/>
        </w:rPr>
      </w:pPr>
      <w:r>
        <w:rPr>
          <w:noProof/>
          <w:sz w:val="20"/>
          <w:szCs w:val="20"/>
        </w:rPr>
        <w:t xml:space="preserve">Notes: </w:t>
      </w:r>
    </w:p>
    <w:p>
      <w:pPr>
        <w:pStyle w:val="ListParagraph"/>
        <w:spacing w:after="0"/>
        <w:ind w:left="0"/>
        <w:rPr>
          <w:noProof/>
          <w:sz w:val="20"/>
          <w:szCs w:val="20"/>
        </w:rPr>
      </w:pPr>
      <w:r>
        <w:rPr>
          <w:noProof/>
          <w:sz w:val="20"/>
          <w:szCs w:val="20"/>
        </w:rPr>
        <w:t>1. Data for Malta (prior to 2016 and for 2017), Poland (prior to 2015), Slovenia (prior to 2012) and Greece (prior to 2008) is not available. Data for 2018 was missing at the time of extraction</w:t>
      </w:r>
    </w:p>
    <w:p>
      <w:pPr>
        <w:pStyle w:val="ListParagraph"/>
        <w:spacing w:after="0"/>
        <w:ind w:left="0"/>
        <w:rPr>
          <w:noProof/>
          <w:sz w:val="24"/>
          <w:szCs w:val="24"/>
        </w:rPr>
      </w:pPr>
    </w:p>
    <w:p>
      <w:pPr>
        <w:pStyle w:val="ListParagraph"/>
        <w:spacing w:after="0"/>
        <w:ind w:left="0"/>
        <w:rPr>
          <w:noProof/>
          <w:sz w:val="24"/>
          <w:szCs w:val="24"/>
        </w:rPr>
      </w:pPr>
    </w:p>
    <w:p>
      <w:pPr>
        <w:autoSpaceDE w:val="0"/>
        <w:autoSpaceDN w:val="0"/>
        <w:spacing w:after="0"/>
        <w:rPr>
          <w:noProof/>
          <w:lang w:eastAsia="en-GB"/>
        </w:rPr>
      </w:pPr>
      <w:r>
        <w:rPr>
          <w:noProof/>
          <w:sz w:val="24"/>
          <w:szCs w:val="24"/>
        </w:rPr>
        <w:fldChar w:fldCharType="begin"/>
      </w:r>
      <w:r>
        <w:rPr>
          <w:b/>
          <w:noProof/>
          <w:sz w:val="24"/>
          <w:szCs w:val="24"/>
        </w:rPr>
        <w:instrText xml:space="preserve"> REF _Ref47606737 \h  \* MERGEFORMAT </w:instrText>
      </w:r>
      <w:r>
        <w:rPr>
          <w:noProof/>
          <w:sz w:val="24"/>
          <w:szCs w:val="24"/>
        </w:rPr>
      </w:r>
      <w:r>
        <w:rPr>
          <w:b/>
          <w:noProof/>
          <w:sz w:val="24"/>
          <w:szCs w:val="24"/>
        </w:rPr>
        <w:fldChar w:fldCharType="separate"/>
      </w:r>
      <w:r>
        <w:rPr>
          <w:b/>
          <w:noProof/>
          <w:sz w:val="24"/>
          <w:szCs w:val="24"/>
        </w:rPr>
        <w:t>Figure 137</w:t>
      </w:r>
      <w:r>
        <w:rPr>
          <w:noProof/>
          <w:sz w:val="24"/>
          <w:szCs w:val="24"/>
        </w:rPr>
        <w:fldChar w:fldCharType="end"/>
      </w:r>
      <w:r>
        <w:rPr>
          <w:b/>
          <w:bCs/>
          <w:noProof/>
          <w:sz w:val="24"/>
          <w:szCs w:val="24"/>
        </w:rPr>
        <w:t xml:space="preserve"> </w:t>
      </w:r>
      <w:r>
        <w:rPr>
          <w:noProof/>
          <w:sz w:val="24"/>
          <w:szCs w:val="24"/>
        </w:rPr>
        <w:t>represents the share of energy-related costs for the manufacturing sector and across the EU Member States. Throughout the 2008-2017 period, and where data is available, the energy share has gradually decreased for the majority of Member States. At the EU level, it went from 2.2%-2.5% at the beginning of the period to 1.5%-2.0% at the end. In 2017, the share represented for industry is 1.7% (2.0 % in 2014) and for services 1% (1.2% in 2014). Member States with relatively smaller size would typically present a higher and more oscillating share than average; probably pointing to the fact that these economies have a relatively less diversified portfolio of manufacturing industries centred mainly on more energy-intensive sectors.</w:t>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Data shows that the share of energy related costs in the EU is on a consistent downward trend. Some Member States such as Belgium, France, Italy, and the Netherlands have decreased in 2017 a share of energy related costs in total production value, industry and services (lower than 1%). On the other hand, Cyprus, Denmark, Estonia, Germany, Greece, Lithuania, and Spain show in 2017 a stagnation (or even a slight increase) of this indicator. Finally, only Croatia, Cyprus, Greece, Hungary, Latvia and Luxembourg still show a share of 3% or more in 2017.</w:t>
      </w:r>
    </w:p>
    <w:p>
      <w:pPr>
        <w:pStyle w:val="ListParagraph"/>
        <w:spacing w:after="0"/>
        <w:ind w:left="0"/>
        <w:rPr>
          <w:noProof/>
          <w:sz w:val="24"/>
          <w:szCs w:val="24"/>
        </w:rPr>
      </w:pPr>
    </w:p>
    <w:p>
      <w:pPr>
        <w:pStyle w:val="ListParagraph"/>
        <w:spacing w:after="0"/>
        <w:ind w:left="0"/>
        <w:rPr>
          <w:noProof/>
          <w:sz w:val="24"/>
          <w:szCs w:val="24"/>
        </w:rPr>
      </w:pPr>
    </w:p>
    <w:p>
      <w:pPr>
        <w:pStyle w:val="ListParagraph"/>
        <w:keepNext/>
        <w:spacing w:after="0"/>
        <w:ind w:left="0"/>
        <w:rPr>
          <w:noProof/>
        </w:rPr>
      </w:pPr>
      <w:r>
        <w:rPr>
          <w:noProof/>
          <w:lang w:eastAsia="en-GB"/>
        </w:rPr>
        <w:drawing>
          <wp:inline distT="0" distB="0" distL="0" distR="0">
            <wp:extent cx="5760720" cy="3619500"/>
            <wp:effectExtent l="0" t="0" r="0" b="0"/>
            <wp:docPr id="327164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5760720" cy="3619500"/>
                    </a:xfrm>
                    <a:prstGeom prst="rect">
                      <a:avLst/>
                    </a:prstGeom>
                  </pic:spPr>
                </pic:pic>
              </a:graphicData>
            </a:graphic>
          </wp:inline>
        </w:drawing>
      </w:r>
    </w:p>
    <w:p>
      <w:pPr>
        <w:pStyle w:val="Caption"/>
      </w:pPr>
      <w:bookmarkStart w:id="38" w:name="_Ref47606737"/>
      <w:bookmarkStart w:id="39" w:name="_Toc50494131"/>
      <w:bookmarkStart w:id="40" w:name="_Toc52396909"/>
      <w:r>
        <w:t xml:space="preserve">Figure </w:t>
      </w:r>
      <w:r>
        <w:fldChar w:fldCharType="begin"/>
      </w:r>
      <w:r>
        <w:instrText xml:space="preserve"> SEQ Figure \* ARABIC </w:instrText>
      </w:r>
      <w:r>
        <w:fldChar w:fldCharType="separate"/>
      </w:r>
      <w:r>
        <w:t>137</w:t>
      </w:r>
      <w:r>
        <w:fldChar w:fldCharType="end"/>
      </w:r>
      <w:bookmarkEnd w:id="38"/>
      <w:r>
        <w:t>: Evolution of energy costs shares in production value for Manufacturing</w:t>
      </w:r>
      <w:bookmarkEnd w:id="39"/>
      <w:bookmarkEnd w:id="40"/>
    </w:p>
    <w:p>
      <w:pPr>
        <w:pStyle w:val="ListParagraph"/>
        <w:keepNext/>
        <w:spacing w:after="0"/>
        <w:ind w:left="0"/>
        <w:rPr>
          <w:noProof/>
          <w:sz w:val="20"/>
          <w:szCs w:val="20"/>
          <w:lang w:val="en-US"/>
        </w:rPr>
      </w:pPr>
      <w:r>
        <w:rPr>
          <w:noProof/>
          <w:sz w:val="20"/>
          <w:szCs w:val="20"/>
          <w:lang w:val="en-US"/>
        </w:rPr>
        <w:t>Source: Own calculations</w:t>
      </w:r>
    </w:p>
    <w:p>
      <w:pPr>
        <w:pStyle w:val="ListParagraph"/>
        <w:keepNext/>
        <w:spacing w:after="0"/>
        <w:ind w:left="0"/>
        <w:rPr>
          <w:noProof/>
          <w:sz w:val="20"/>
          <w:szCs w:val="20"/>
        </w:rPr>
      </w:pPr>
    </w:p>
    <w:p>
      <w:pPr>
        <w:pStyle w:val="ListParagraph"/>
        <w:spacing w:after="0"/>
        <w:ind w:left="0"/>
        <w:rPr>
          <w:noProof/>
          <w:sz w:val="20"/>
          <w:szCs w:val="20"/>
        </w:rPr>
      </w:pPr>
      <w:r>
        <w:rPr>
          <w:noProof/>
          <w:sz w:val="20"/>
          <w:szCs w:val="20"/>
        </w:rPr>
        <w:t xml:space="preserve">Notes: </w:t>
      </w:r>
    </w:p>
    <w:p>
      <w:pPr>
        <w:pStyle w:val="ListParagraph"/>
        <w:spacing w:after="0"/>
        <w:ind w:left="0"/>
        <w:rPr>
          <w:noProof/>
          <w:sz w:val="20"/>
          <w:szCs w:val="20"/>
        </w:rPr>
      </w:pPr>
      <w:r>
        <w:rPr>
          <w:noProof/>
          <w:sz w:val="20"/>
          <w:szCs w:val="20"/>
        </w:rPr>
        <w:t>1. Data for Malta (prior to 2016), Poland (prior to 2015), Slovenia (prior to 2012) and Greece (prior to 2008) is not available. Data for 2018 was missing at the time of extraction</w:t>
      </w:r>
    </w:p>
    <w:p>
      <w:pPr>
        <w:pStyle w:val="ListParagraph"/>
        <w:spacing w:after="0"/>
        <w:ind w:left="0"/>
        <w:rPr>
          <w:noProof/>
          <w:sz w:val="24"/>
          <w:szCs w:val="24"/>
        </w:rPr>
      </w:pPr>
    </w:p>
    <w:p>
      <w:pPr>
        <w:pStyle w:val="ListParagraph"/>
        <w:spacing w:after="0"/>
        <w:ind w:left="0"/>
        <w:rPr>
          <w:noProof/>
          <w:sz w:val="24"/>
          <w:szCs w:val="24"/>
        </w:rPr>
      </w:pPr>
      <w:r>
        <w:rPr>
          <w:noProof/>
          <w:sz w:val="24"/>
          <w:szCs w:val="24"/>
        </w:rPr>
        <w:t>It is to be noted that in 2017 large Member States such as France, Germany, Italy and Poland have a share of energy products in total production value in manufacturing which is under 2%, but not Spain, which is slightly above 2% and even sees this share increase in 2017 compared to 2016.</w:t>
      </w:r>
    </w:p>
    <w:p>
      <w:pPr>
        <w:rPr>
          <w:noProof/>
          <w:sz w:val="24"/>
          <w:szCs w:val="24"/>
        </w:rPr>
      </w:pPr>
      <w:r>
        <w:rPr>
          <w:noProof/>
          <w:sz w:val="24"/>
          <w:szCs w:val="24"/>
        </w:rPr>
        <w:br w:type="page"/>
      </w:r>
    </w:p>
    <w:p>
      <w:pPr>
        <w:pStyle w:val="ListParagraph"/>
        <w:spacing w:after="0"/>
        <w:ind w:left="0"/>
        <w:rPr>
          <w:noProof/>
          <w:sz w:val="24"/>
          <w:szCs w:val="24"/>
        </w:rPr>
      </w:pPr>
    </w:p>
    <w:p>
      <w:pPr>
        <w:pStyle w:val="ListParagraph"/>
        <w:spacing w:after="0"/>
        <w:ind w:left="0"/>
        <w:jc w:val="center"/>
        <w:rPr>
          <w:b/>
          <w:bCs/>
          <w:noProof/>
          <w:sz w:val="20"/>
          <w:szCs w:val="20"/>
        </w:rPr>
      </w:pPr>
      <w:r>
        <w:rPr>
          <w:b/>
          <w:bCs/>
          <w:noProof/>
          <w:sz w:val="20"/>
          <w:szCs w:val="20"/>
        </w:rPr>
        <w:t>Box- Data limitations</w:t>
      </w:r>
    </w:p>
    <w:tbl>
      <w:tblPr>
        <w:tblStyle w:val="TableGrid"/>
        <w:tblW w:w="0" w:type="auto"/>
        <w:tblLook w:val="04A0" w:firstRow="1" w:lastRow="0" w:firstColumn="1" w:lastColumn="0" w:noHBand="0" w:noVBand="1"/>
      </w:tblPr>
      <w:tblGrid>
        <w:gridCol w:w="9288"/>
      </w:tblGrid>
      <w:tr>
        <w:tc>
          <w:tcPr>
            <w:tcW w:w="9288" w:type="dxa"/>
          </w:tcPr>
          <w:p>
            <w:pPr>
              <w:pStyle w:val="ListParagraph"/>
              <w:ind w:left="0"/>
              <w:rPr>
                <w:noProof/>
                <w:sz w:val="24"/>
                <w:szCs w:val="24"/>
              </w:rPr>
            </w:pPr>
          </w:p>
          <w:p>
            <w:pPr>
              <w:pStyle w:val="ListParagraph"/>
              <w:numPr>
                <w:ilvl w:val="0"/>
                <w:numId w:val="16"/>
              </w:numPr>
              <w:spacing w:before="120" w:after="240"/>
              <w:ind w:right="432"/>
              <w:rPr>
                <w:noProof/>
                <w:sz w:val="24"/>
                <w:szCs w:val="24"/>
              </w:rPr>
            </w:pPr>
            <w:r>
              <w:rPr>
                <w:noProof/>
                <w:sz w:val="24"/>
                <w:szCs w:val="24"/>
              </w:rPr>
              <w:t xml:space="preserve">There is no one-on-one mapping between the economic indicators of SBS and the profit and loss account of real companies; </w:t>
            </w:r>
          </w:p>
          <w:p>
            <w:pPr>
              <w:pStyle w:val="ListParagraph"/>
              <w:spacing w:before="120" w:after="240"/>
              <w:ind w:right="432"/>
              <w:rPr>
                <w:noProof/>
                <w:sz w:val="24"/>
                <w:szCs w:val="24"/>
              </w:rPr>
            </w:pPr>
          </w:p>
          <w:p>
            <w:pPr>
              <w:pStyle w:val="ListParagraph"/>
              <w:numPr>
                <w:ilvl w:val="0"/>
                <w:numId w:val="16"/>
              </w:numPr>
              <w:spacing w:before="120" w:after="240"/>
              <w:ind w:right="432"/>
              <w:rPr>
                <w:noProof/>
                <w:sz w:val="24"/>
                <w:szCs w:val="24"/>
              </w:rPr>
            </w:pPr>
            <w:r>
              <w:rPr>
                <w:noProof/>
                <w:sz w:val="24"/>
                <w:szCs w:val="24"/>
              </w:rPr>
              <w:t>Capital expenditure (CAPEX) is difficult to collect in SBS, forcing the estimation of the energy component to rely solely on operating expenditure (OPEX); as a result the provided estimation is not assessing the long term investment and cannot determine the relative share of investment in improved energy performance tools over the total stock of investment;</w:t>
            </w:r>
          </w:p>
          <w:p>
            <w:pPr>
              <w:pStyle w:val="ListParagraph"/>
              <w:spacing w:before="120" w:after="240"/>
              <w:ind w:right="432"/>
              <w:rPr>
                <w:noProof/>
                <w:sz w:val="24"/>
                <w:szCs w:val="24"/>
              </w:rPr>
            </w:pPr>
          </w:p>
          <w:p>
            <w:pPr>
              <w:pStyle w:val="ListParagraph"/>
              <w:numPr>
                <w:ilvl w:val="0"/>
                <w:numId w:val="16"/>
              </w:numPr>
              <w:spacing w:before="120" w:after="240"/>
              <w:ind w:right="432"/>
              <w:rPr>
                <w:noProof/>
                <w:sz w:val="24"/>
                <w:szCs w:val="24"/>
              </w:rPr>
            </w:pPr>
            <w:r>
              <w:rPr>
                <w:noProof/>
                <w:sz w:val="24"/>
                <w:szCs w:val="24"/>
              </w:rPr>
              <w:t>The purchases of energy product data is available only for NACE Rev. 2 sections B (Mining and quarrying), C (Manufacturing), D (Electricity, gas, steam and air conditioning supply) and E (Water supply, sewerage, waste management and remediation activities). It is not available for important industrial sections such as Section F (Construction) and energy-intensive sections such as H (Transportation and storage). More importantly, it is not available for all services sectors. According to the 2015 Commission report on single market integration and competitiveness, the relative share of the services sector in the 2014 Total Value Added in the EU 28 stood at almost 75%, as opposed to 15% for Manufacturing.</w:t>
            </w:r>
          </w:p>
          <w:p>
            <w:pPr>
              <w:pStyle w:val="ListParagraph"/>
              <w:spacing w:before="120" w:after="240"/>
              <w:ind w:right="432"/>
              <w:rPr>
                <w:noProof/>
                <w:sz w:val="24"/>
                <w:szCs w:val="24"/>
              </w:rPr>
            </w:pPr>
          </w:p>
          <w:p>
            <w:pPr>
              <w:pStyle w:val="ListParagraph"/>
              <w:numPr>
                <w:ilvl w:val="0"/>
                <w:numId w:val="16"/>
              </w:numPr>
              <w:spacing w:before="120" w:after="240"/>
              <w:ind w:right="432"/>
              <w:rPr>
                <w:rFonts w:ascii="Courier New" w:hAnsi="Courier New" w:cs="Courier New"/>
                <w:noProof/>
                <w:sz w:val="24"/>
                <w:szCs w:val="24"/>
              </w:rPr>
            </w:pPr>
            <w:r>
              <w:rPr>
                <w:noProof/>
                <w:sz w:val="24"/>
                <w:szCs w:val="24"/>
              </w:rPr>
              <w:t>Based on the definition of the Commission Regulation (EC) No 250/2009, the structural business statistics (SBS) code "20 11 0 Purchases of energy products" includes only energy products which are purchased to be used as a fuel. Energy products purchased as a raw material or for resale without transformation (such as crude oil) are excluded.</w:t>
            </w:r>
          </w:p>
          <w:p>
            <w:pPr>
              <w:pStyle w:val="ListParagraph"/>
              <w:spacing w:before="120"/>
              <w:ind w:right="432"/>
              <w:rPr>
                <w:noProof/>
                <w:sz w:val="24"/>
                <w:szCs w:val="24"/>
              </w:rPr>
            </w:pPr>
          </w:p>
        </w:tc>
      </w:tr>
    </w:tbl>
    <w:p>
      <w:pPr>
        <w:pStyle w:val="ListParagraph"/>
        <w:spacing w:after="0"/>
        <w:ind w:left="0"/>
        <w:rPr>
          <w:noProof/>
          <w:sz w:val="24"/>
          <w:szCs w:val="24"/>
        </w:rPr>
      </w:pPr>
    </w:p>
    <w:p>
      <w:pPr>
        <w:pStyle w:val="ListParagraph"/>
        <w:spacing w:after="0"/>
        <w:ind w:left="0"/>
        <w:rPr>
          <w:noProof/>
          <w:sz w:val="24"/>
          <w:szCs w:val="24"/>
        </w:rPr>
      </w:pPr>
    </w:p>
    <w:p>
      <w:pPr>
        <w:rPr>
          <w:noProof/>
          <w:sz w:val="24"/>
          <w:szCs w:val="24"/>
        </w:rPr>
      </w:pPr>
      <w:r>
        <w:rPr>
          <w:noProof/>
          <w:sz w:val="24"/>
          <w:szCs w:val="24"/>
        </w:rPr>
        <w:br w:type="page"/>
      </w:r>
    </w:p>
    <w:p>
      <w:pPr>
        <w:pStyle w:val="Heading2"/>
        <w:numPr>
          <w:ilvl w:val="1"/>
          <w:numId w:val="1"/>
        </w:numPr>
        <w:rPr>
          <w:noProof/>
        </w:rPr>
      </w:pPr>
      <w:bookmarkStart w:id="41" w:name="_Toc524619521"/>
      <w:bookmarkStart w:id="42" w:name="_Toc524961068"/>
      <w:bookmarkStart w:id="43" w:name="_Toc525143029"/>
      <w:bookmarkStart w:id="44" w:name="_Toc525222186"/>
      <w:bookmarkStart w:id="45" w:name="_Toc525222355"/>
      <w:bookmarkStart w:id="46" w:name="_Toc526420752"/>
      <w:bookmarkStart w:id="47" w:name="_Toc526433978"/>
      <w:bookmarkStart w:id="48" w:name="_Toc526435920"/>
      <w:bookmarkStart w:id="49" w:name="_Ref526863022"/>
      <w:bookmarkStart w:id="50" w:name="_Toc530595250"/>
      <w:bookmarkStart w:id="51" w:name="_Ref46669064"/>
      <w:bookmarkStart w:id="52" w:name="_Ref46669067"/>
      <w:bookmarkStart w:id="53" w:name="_Ref48107609"/>
      <w:bookmarkStart w:id="54" w:name="_Toc50648340"/>
      <w:bookmarkStart w:id="55" w:name="_Toc50654370"/>
      <w:bookmarkStart w:id="56" w:name="_Toc50654925"/>
      <w:bookmarkStart w:id="57" w:name="_Toc50732472"/>
      <w:bookmarkStart w:id="58" w:name="_Toc52396556"/>
      <w:r>
        <w:rPr>
          <w:noProof/>
        </w:rPr>
        <w:t>Energy costs for industry</w:t>
      </w:r>
      <w:bookmarkEnd w:id="3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noProof/>
        </w:rPr>
      </w:pPr>
      <w:bookmarkStart w:id="59" w:name="_Toc468890476"/>
    </w:p>
    <w:p>
      <w:pPr>
        <w:jc w:val="left"/>
        <w:rPr>
          <w:b/>
          <w:bCs/>
          <w:noProof/>
          <w:sz w:val="24"/>
          <w:szCs w:val="24"/>
        </w:rPr>
      </w:pPr>
      <w:r>
        <w:rPr>
          <w:b/>
          <w:bCs/>
          <w:noProof/>
          <w:sz w:val="24"/>
          <w:szCs w:val="24"/>
        </w:rPr>
        <w:t>Sources, scope and methodology</w:t>
      </w:r>
    </w:p>
    <w:p>
      <w:pPr>
        <w:rPr>
          <w:noProof/>
          <w:sz w:val="24"/>
          <w:szCs w:val="24"/>
        </w:rPr>
      </w:pPr>
      <w:r>
        <w:rPr>
          <w:noProof/>
          <w:sz w:val="24"/>
          <w:szCs w:val="24"/>
        </w:rPr>
        <w:t xml:space="preserve">This chapter mainly relies on findings from studies commissioned by the European Commission to external consultants and the Commission’s works. The study on </w:t>
      </w:r>
      <w:r>
        <w:rPr>
          <w:i/>
          <w:iCs/>
          <w:noProof/>
          <w:sz w:val="24"/>
          <w:szCs w:val="24"/>
        </w:rPr>
        <w:t xml:space="preserve">'Energy prices, costs and their impact on industry and households' </w:t>
      </w:r>
      <w:r>
        <w:rPr>
          <w:noProof/>
          <w:sz w:val="24"/>
          <w:szCs w:val="24"/>
        </w:rPr>
        <w:t xml:space="preserve">by </w:t>
      </w:r>
      <w:r>
        <w:rPr>
          <w:i/>
          <w:noProof/>
          <w:sz w:val="24"/>
          <w:szCs w:val="24"/>
        </w:rPr>
        <w:t>Trinomics et altri</w:t>
      </w:r>
      <w:r>
        <w:rPr>
          <w:rStyle w:val="FootnoteReference"/>
          <w:noProof/>
          <w:sz w:val="24"/>
          <w:szCs w:val="24"/>
        </w:rPr>
        <w:footnoteReference w:id="8"/>
      </w:r>
      <w:r>
        <w:rPr>
          <w:noProof/>
          <w:sz w:val="24"/>
          <w:szCs w:val="24"/>
        </w:rPr>
        <w:t xml:space="preserve"> (2020), onwards </w:t>
      </w:r>
      <w:r>
        <w:rPr>
          <w:i/>
          <w:iCs/>
          <w:noProof/>
          <w:sz w:val="24"/>
          <w:szCs w:val="24"/>
        </w:rPr>
        <w:t>Trinomics (2020),</w:t>
      </w:r>
      <w:r>
        <w:rPr>
          <w:noProof/>
          <w:sz w:val="24"/>
          <w:szCs w:val="24"/>
        </w:rPr>
        <w:t xml:space="preserve"> provides data and analyses of 43 sectors, mainly from manufacturing sectors but also including relevant sectors from agriculture, extractive industries and services. This information has been complemented by Commission staff direct inputs and studies (e.g.  JRC Technical report on </w:t>
      </w:r>
      <w:r>
        <w:rPr>
          <w:i/>
          <w:iCs/>
          <w:noProof/>
          <w:sz w:val="24"/>
          <w:szCs w:val="24"/>
        </w:rPr>
        <w:t>'</w:t>
      </w:r>
      <w:r>
        <w:rPr>
          <w:noProof/>
          <w:sz w:val="24"/>
          <w:szCs w:val="24"/>
        </w:rPr>
        <w:t>Production costs from the iron and steel industry in the EU and third countries</w:t>
      </w:r>
      <w:r>
        <w:rPr>
          <w:i/>
          <w:iCs/>
          <w:noProof/>
          <w:sz w:val="24"/>
          <w:szCs w:val="24"/>
        </w:rPr>
        <w:t>'</w:t>
      </w:r>
      <w:r>
        <w:rPr>
          <w:noProof/>
          <w:sz w:val="24"/>
          <w:szCs w:val="24"/>
        </w:rPr>
        <w:t xml:space="preserve"> (2020)</w:t>
      </w:r>
      <w:r>
        <w:rPr>
          <w:rStyle w:val="FootnoteReference"/>
          <w:noProof/>
          <w:sz w:val="24"/>
          <w:szCs w:val="24"/>
        </w:rPr>
        <w:t xml:space="preserve"> </w:t>
      </w:r>
      <w:r>
        <w:rPr>
          <w:rStyle w:val="FootnoteReference"/>
          <w:noProof/>
          <w:sz w:val="24"/>
          <w:szCs w:val="24"/>
        </w:rPr>
        <w:footnoteReference w:id="9"/>
      </w:r>
      <w:r>
        <w:rPr>
          <w:noProof/>
          <w:sz w:val="24"/>
          <w:szCs w:val="24"/>
        </w:rPr>
        <w:t xml:space="preserve">). </w:t>
      </w:r>
    </w:p>
    <w:p>
      <w:pPr>
        <w:rPr>
          <w:noProof/>
          <w:sz w:val="24"/>
          <w:szCs w:val="24"/>
        </w:rPr>
      </w:pPr>
      <w:r>
        <w:rPr>
          <w:noProof/>
          <w:sz w:val="24"/>
          <w:szCs w:val="24"/>
        </w:rPr>
        <w:t xml:space="preserve">The </w:t>
      </w:r>
      <w:r>
        <w:rPr>
          <w:i/>
          <w:iCs/>
          <w:noProof/>
          <w:sz w:val="24"/>
          <w:szCs w:val="24"/>
        </w:rPr>
        <w:t>study by Trinomics et altri</w:t>
      </w:r>
      <w:r>
        <w:rPr>
          <w:noProof/>
          <w:sz w:val="24"/>
          <w:szCs w:val="24"/>
        </w:rPr>
        <w:t xml:space="preserve"> combines a </w:t>
      </w:r>
      <w:r>
        <w:rPr>
          <w:i/>
          <w:iCs/>
          <w:noProof/>
          <w:sz w:val="24"/>
          <w:szCs w:val="24"/>
        </w:rPr>
        <w:t>top-down approach</w:t>
      </w:r>
      <w:r>
        <w:rPr>
          <w:noProof/>
          <w:sz w:val="24"/>
          <w:szCs w:val="24"/>
        </w:rPr>
        <w:t xml:space="preserve"> using aggregated statistical data (20 manufacturing sectors at NACE 3 level, 10 manufacturing sectors at NACE 2 level, 7 non-manufacturing level at NACE 2 level and 5 other non-manufacturing at NACE level 1) with a </w:t>
      </w:r>
      <w:r>
        <w:rPr>
          <w:i/>
          <w:iCs/>
          <w:noProof/>
          <w:sz w:val="24"/>
          <w:szCs w:val="24"/>
        </w:rPr>
        <w:t>bottom-up</w:t>
      </w:r>
      <w:r>
        <w:rPr>
          <w:noProof/>
          <w:sz w:val="24"/>
          <w:szCs w:val="24"/>
        </w:rPr>
        <w:t xml:space="preserve"> approach, collecting plant data with questionnaires</w:t>
      </w:r>
      <w:r>
        <w:rPr>
          <w:rStyle w:val="FootnoteReference"/>
          <w:noProof/>
          <w:sz w:val="24"/>
          <w:szCs w:val="24"/>
        </w:rPr>
        <w:footnoteReference w:id="10"/>
      </w:r>
      <w:r>
        <w:rPr>
          <w:noProof/>
          <w:sz w:val="24"/>
          <w:szCs w:val="24"/>
        </w:rPr>
        <w:t xml:space="preserve">. </w:t>
      </w:r>
    </w:p>
    <w:p>
      <w:pPr>
        <w:rPr>
          <w:noProof/>
          <w:sz w:val="24"/>
          <w:szCs w:val="24"/>
        </w:rPr>
      </w:pPr>
      <w:r>
        <w:rPr>
          <w:noProof/>
          <w:sz w:val="24"/>
          <w:szCs w:val="24"/>
        </w:rPr>
        <w:t xml:space="preserve">The use of these two methodological approaches is complementary and provides a comprehensive idea of the importance of energy prices and costs for the EU industries. Highly aggregated data (used in a top down approach) is useful for understanding long term trends. This data is available in official statistics, with stable methodologies and long time series. But aggregated data fails to capture the diversity of the subsectors contained in it, with different products and production processes. Plant data (bottom up approach) is much better for identifying targeted sub-sectors and represent their characteristics. There is however a caveat. Plant data is generally scarce and its ‘representativity’ of a sector depends critically on having a sufficiently large sample that properly replicates the structure and general characteristics of the subsector (geographic location of the plants, proportion of large or small firms, etc.) </w:t>
      </w:r>
    </w:p>
    <w:p>
      <w:pPr>
        <w:rPr>
          <w:noProof/>
          <w:sz w:val="24"/>
          <w:szCs w:val="24"/>
        </w:rPr>
      </w:pPr>
      <w:r>
        <w:rPr>
          <w:i/>
          <w:iCs/>
          <w:noProof/>
          <w:sz w:val="24"/>
          <w:szCs w:val="24"/>
        </w:rPr>
        <w:t>Trinomics (2020)</w:t>
      </w:r>
      <w:r>
        <w:rPr>
          <w:noProof/>
          <w:sz w:val="24"/>
          <w:szCs w:val="24"/>
        </w:rPr>
        <w:t xml:space="preserve"> analysed energy costs and other indicators across 42 sectors (see </w:t>
      </w:r>
      <w:r>
        <w:rPr>
          <w:b/>
          <w:noProof/>
          <w:sz w:val="24"/>
          <w:szCs w:val="24"/>
        </w:rPr>
        <w:fldChar w:fldCharType="begin"/>
      </w:r>
      <w:r>
        <w:rPr>
          <w:b/>
          <w:noProof/>
          <w:sz w:val="24"/>
          <w:szCs w:val="24"/>
        </w:rPr>
        <w:instrText xml:space="preserve"> REF _Ref50638560 \h  \* MERGEFORMAT </w:instrText>
      </w:r>
      <w:r>
        <w:rPr>
          <w:b/>
          <w:noProof/>
          <w:sz w:val="24"/>
          <w:szCs w:val="24"/>
        </w:rPr>
      </w:r>
      <w:r>
        <w:rPr>
          <w:b/>
          <w:noProof/>
          <w:sz w:val="24"/>
          <w:szCs w:val="24"/>
        </w:rPr>
        <w:fldChar w:fldCharType="separate"/>
      </w:r>
      <w:r>
        <w:rPr>
          <w:b/>
          <w:noProof/>
          <w:sz w:val="24"/>
          <w:szCs w:val="24"/>
        </w:rPr>
        <w:t>Table 11</w:t>
      </w:r>
      <w:r>
        <w:rPr>
          <w:b/>
          <w:noProof/>
          <w:sz w:val="24"/>
          <w:szCs w:val="24"/>
        </w:rPr>
        <w:fldChar w:fldCharType="end"/>
      </w:r>
      <w:r>
        <w:rPr>
          <w:noProof/>
        </w:rPr>
        <w:t xml:space="preserve"> and </w:t>
      </w:r>
      <w:r>
        <w:rPr>
          <w:noProof/>
        </w:rPr>
        <w:fldChar w:fldCharType="begin"/>
      </w:r>
      <w:r>
        <w:rPr>
          <w:b/>
          <w:noProof/>
        </w:rPr>
        <w:instrText xml:space="preserve"> REF _Ref47722429 \h  \* MERGEFORMAT </w:instrText>
      </w:r>
      <w:r>
        <w:rPr>
          <w:noProof/>
        </w:rPr>
      </w:r>
      <w:r>
        <w:rPr>
          <w:noProof/>
        </w:rPr>
        <w:fldChar w:fldCharType="separate"/>
      </w:r>
      <w:r>
        <w:rPr>
          <w:b/>
          <w:noProof/>
          <w:sz w:val="24"/>
          <w:szCs w:val="24"/>
        </w:rPr>
        <w:t>Table 12</w:t>
      </w:r>
      <w:r>
        <w:rPr>
          <w:noProof/>
        </w:rPr>
        <w:fldChar w:fldCharType="end"/>
      </w:r>
      <w:r>
        <w:rPr>
          <w:noProof/>
          <w:sz w:val="24"/>
          <w:szCs w:val="24"/>
        </w:rPr>
        <w:t>) of different levels of aggregation. The sectors studied were those which have been identified in the two previous editions of the energy prices and cost reports on the basis of i) the i</w:t>
      </w:r>
      <w:r>
        <w:rPr>
          <w:i/>
          <w:iCs/>
          <w:noProof/>
          <w:sz w:val="24"/>
          <w:szCs w:val="24"/>
        </w:rPr>
        <w:t>mportance of energy costs for the sector</w:t>
      </w:r>
      <w:r>
        <w:rPr>
          <w:noProof/>
          <w:sz w:val="24"/>
          <w:szCs w:val="24"/>
        </w:rPr>
        <w:t xml:space="preserve">, </w:t>
      </w:r>
      <w:r>
        <w:rPr>
          <w:i/>
          <w:iCs/>
          <w:noProof/>
          <w:sz w:val="24"/>
          <w:szCs w:val="24"/>
        </w:rPr>
        <w:t>proxied</w:t>
      </w:r>
      <w:r>
        <w:rPr>
          <w:noProof/>
          <w:sz w:val="24"/>
          <w:szCs w:val="24"/>
        </w:rPr>
        <w:t xml:space="preserve"> by the energy cost per production value</w:t>
      </w:r>
      <w:r>
        <w:rPr>
          <w:rStyle w:val="FootnoteReference"/>
          <w:noProof/>
          <w:sz w:val="24"/>
          <w:szCs w:val="24"/>
        </w:rPr>
        <w:footnoteReference w:id="11"/>
      </w:r>
      <w:r>
        <w:rPr>
          <w:noProof/>
          <w:sz w:val="24"/>
          <w:szCs w:val="24"/>
        </w:rPr>
        <w:t xml:space="preserve"> ii) the sector’s e</w:t>
      </w:r>
      <w:r>
        <w:rPr>
          <w:i/>
          <w:iCs/>
          <w:noProof/>
          <w:sz w:val="24"/>
          <w:szCs w:val="24"/>
        </w:rPr>
        <w:t>conomic relevance,</w:t>
      </w:r>
      <w:r>
        <w:rPr>
          <w:noProof/>
          <w:sz w:val="24"/>
          <w:szCs w:val="24"/>
        </w:rPr>
        <w:t xml:space="preserve"> proxied by the share of sectoral value added in GDP of the country and its economic or strategic importance; and iii) the sector’s</w:t>
      </w:r>
      <w:r>
        <w:rPr>
          <w:i/>
          <w:iCs/>
          <w:noProof/>
          <w:sz w:val="24"/>
          <w:szCs w:val="24"/>
        </w:rPr>
        <w:t xml:space="preserve"> trade exposure, </w:t>
      </w:r>
      <w:r>
        <w:rPr>
          <w:noProof/>
          <w:sz w:val="24"/>
          <w:szCs w:val="24"/>
        </w:rPr>
        <w:t>proxied by the trade intensity of the sector</w:t>
      </w:r>
      <w:r>
        <w:rPr>
          <w:rStyle w:val="FootnoteReference"/>
          <w:noProof/>
          <w:sz w:val="24"/>
          <w:szCs w:val="24"/>
        </w:rPr>
        <w:footnoteReference w:id="12"/>
      </w:r>
      <w:r>
        <w:rPr>
          <w:noProof/>
          <w:sz w:val="24"/>
          <w:szCs w:val="24"/>
        </w:rPr>
        <w:t>.</w:t>
      </w:r>
    </w:p>
    <w:p>
      <w:pPr>
        <w:pStyle w:val="ListParagraph"/>
        <w:spacing w:after="0" w:line="300" w:lineRule="atLeast"/>
        <w:ind w:left="709"/>
        <w:jc w:val="left"/>
        <w:rPr>
          <w:noProof/>
          <w:sz w:val="24"/>
          <w:szCs w:val="24"/>
        </w:rPr>
      </w:pPr>
    </w:p>
    <w:p>
      <w:pPr>
        <w:spacing w:after="0"/>
        <w:jc w:val="left"/>
        <w:rPr>
          <w:b/>
          <w:bCs/>
          <w:noProof/>
          <w:sz w:val="20"/>
          <w:szCs w:val="20"/>
        </w:rPr>
      </w:pPr>
      <w:bookmarkStart w:id="60" w:name="_Ref530645531"/>
      <w:r>
        <w:rPr>
          <w:noProof/>
        </w:rPr>
        <w:br w:type="page"/>
      </w:r>
    </w:p>
    <w:p>
      <w:pPr>
        <w:pStyle w:val="Caption"/>
      </w:pPr>
      <w:bookmarkStart w:id="61" w:name="_Ref50638560"/>
      <w:bookmarkStart w:id="62" w:name="_Toc52396970"/>
      <w:r>
        <w:t xml:space="preserve">Table </w:t>
      </w:r>
      <w:r>
        <w:fldChar w:fldCharType="begin"/>
      </w:r>
      <w:r>
        <w:instrText xml:space="preserve"> SEQ Table \* ARABIC </w:instrText>
      </w:r>
      <w:r>
        <w:fldChar w:fldCharType="separate"/>
      </w:r>
      <w:r>
        <w:t>11</w:t>
      </w:r>
      <w:r>
        <w:fldChar w:fldCharType="end"/>
      </w:r>
      <w:bookmarkEnd w:id="60"/>
      <w:bookmarkEnd w:id="61"/>
      <w:r>
        <w:t xml:space="preserve"> - Coverage of manufacturing sectors</w:t>
      </w:r>
      <w:bookmarkEnd w:id="62"/>
    </w:p>
    <w:tbl>
      <w:tblPr>
        <w:tblStyle w:val="TableGrid"/>
        <w:tblW w:w="0" w:type="auto"/>
        <w:tblLook w:val="04A0" w:firstRow="1" w:lastRow="0" w:firstColumn="1" w:lastColumn="0" w:noHBand="0" w:noVBand="1"/>
      </w:tblPr>
      <w:tblGrid>
        <w:gridCol w:w="3612"/>
        <w:gridCol w:w="1161"/>
        <w:gridCol w:w="3354"/>
        <w:gridCol w:w="1161"/>
      </w:tblGrid>
      <w:tr>
        <w:tc>
          <w:tcPr>
            <w:tcW w:w="9288" w:type="dxa"/>
            <w:gridSpan w:val="4"/>
          </w:tcPr>
          <w:p>
            <w:pPr>
              <w:jc w:val="center"/>
              <w:rPr>
                <w:noProof/>
                <w:sz w:val="20"/>
                <w:szCs w:val="20"/>
                <w:u w:val="single"/>
              </w:rPr>
            </w:pPr>
            <w:r>
              <w:rPr>
                <w:noProof/>
                <w:sz w:val="20"/>
                <w:szCs w:val="20"/>
                <w:u w:val="single"/>
              </w:rPr>
              <w:t>Coverage of Manufacturing of the</w:t>
            </w:r>
            <w:r>
              <w:rPr>
                <w:i/>
                <w:iCs/>
                <w:noProof/>
                <w:sz w:val="20"/>
                <w:szCs w:val="20"/>
              </w:rPr>
              <w:t xml:space="preserve"> Study by Trinomics et altri (2020)</w:t>
            </w:r>
          </w:p>
        </w:tc>
      </w:tr>
      <w:tr>
        <w:tc>
          <w:tcPr>
            <w:tcW w:w="4773" w:type="dxa"/>
            <w:gridSpan w:val="2"/>
          </w:tcPr>
          <w:p>
            <w:pPr>
              <w:jc w:val="center"/>
              <w:rPr>
                <w:i/>
                <w:iCs/>
                <w:noProof/>
                <w:sz w:val="20"/>
                <w:szCs w:val="20"/>
              </w:rPr>
            </w:pPr>
            <w:r>
              <w:rPr>
                <w:i/>
                <w:iCs/>
                <w:noProof/>
                <w:sz w:val="20"/>
                <w:szCs w:val="20"/>
              </w:rPr>
              <w:t>Aggregated data</w:t>
            </w:r>
          </w:p>
        </w:tc>
        <w:tc>
          <w:tcPr>
            <w:tcW w:w="4515" w:type="dxa"/>
            <w:gridSpan w:val="2"/>
          </w:tcPr>
          <w:p>
            <w:pPr>
              <w:jc w:val="center"/>
              <w:rPr>
                <w:i/>
                <w:iCs/>
                <w:noProof/>
                <w:sz w:val="20"/>
                <w:szCs w:val="20"/>
              </w:rPr>
            </w:pPr>
            <w:r>
              <w:rPr>
                <w:i/>
                <w:iCs/>
                <w:noProof/>
                <w:sz w:val="20"/>
                <w:szCs w:val="20"/>
              </w:rPr>
              <w:t>Plant data</w:t>
            </w:r>
          </w:p>
        </w:tc>
      </w:tr>
      <w:tr>
        <w:trPr>
          <w:trHeight w:val="888"/>
        </w:trPr>
        <w:tc>
          <w:tcPr>
            <w:tcW w:w="3612" w:type="dxa"/>
            <w:tcBorders>
              <w:bottom w:val="single" w:sz="4" w:space="0" w:color="auto"/>
            </w:tcBorders>
            <w:vAlign w:val="center"/>
          </w:tcPr>
          <w:p>
            <w:pPr>
              <w:spacing w:line="220" w:lineRule="atLeast"/>
              <w:jc w:val="center"/>
              <w:rPr>
                <w:rFonts w:eastAsia="Times New Roman"/>
                <w:noProof/>
                <w:color w:val="000000" w:themeColor="text1"/>
                <w:sz w:val="20"/>
                <w:szCs w:val="20"/>
                <w:lang w:eastAsia="fr-FR"/>
              </w:rPr>
            </w:pPr>
            <w:r>
              <w:rPr>
                <w:rFonts w:eastAsia="Times New Roman"/>
                <w:noProof/>
                <w:color w:val="000000" w:themeColor="text1"/>
                <w:sz w:val="20"/>
                <w:szCs w:val="20"/>
                <w:lang w:eastAsia="fr-FR"/>
              </w:rPr>
              <w:t xml:space="preserve">Sector </w:t>
            </w:r>
          </w:p>
        </w:tc>
        <w:tc>
          <w:tcPr>
            <w:tcW w:w="1161" w:type="dxa"/>
            <w:tcBorders>
              <w:bottom w:val="single" w:sz="4" w:space="0" w:color="auto"/>
            </w:tcBorders>
            <w:vAlign w:val="center"/>
          </w:tcPr>
          <w:p>
            <w:pPr>
              <w:jc w:val="center"/>
              <w:rPr>
                <w:rFonts w:eastAsia="Times New Roman"/>
                <w:noProof/>
                <w:color w:val="000000" w:themeColor="text1"/>
                <w:sz w:val="20"/>
                <w:szCs w:val="20"/>
                <w:lang w:eastAsia="fr-FR"/>
              </w:rPr>
            </w:pPr>
            <w:r>
              <w:rPr>
                <w:rFonts w:eastAsia="Times New Roman"/>
                <w:noProof/>
                <w:color w:val="000000" w:themeColor="text1"/>
                <w:sz w:val="20"/>
                <w:szCs w:val="20"/>
                <w:lang w:eastAsia="fr-FR"/>
              </w:rPr>
              <w:t>Level of aggregation (NACE code)</w:t>
            </w:r>
          </w:p>
        </w:tc>
        <w:tc>
          <w:tcPr>
            <w:tcW w:w="3354" w:type="dxa"/>
            <w:tcBorders>
              <w:bottom w:val="single" w:sz="4" w:space="0" w:color="auto"/>
            </w:tcBorders>
            <w:vAlign w:val="center"/>
          </w:tcPr>
          <w:p>
            <w:pPr>
              <w:spacing w:line="220" w:lineRule="atLeast"/>
              <w:jc w:val="center"/>
              <w:rPr>
                <w:noProof/>
                <w:sz w:val="20"/>
                <w:szCs w:val="20"/>
              </w:rPr>
            </w:pPr>
            <w:r>
              <w:rPr>
                <w:rFonts w:eastAsia="Times New Roman"/>
                <w:noProof/>
                <w:color w:val="000000" w:themeColor="text1"/>
                <w:sz w:val="20"/>
                <w:szCs w:val="20"/>
                <w:lang w:eastAsia="fr-FR"/>
              </w:rPr>
              <w:t xml:space="preserve">Sector </w:t>
            </w:r>
          </w:p>
        </w:tc>
        <w:tc>
          <w:tcPr>
            <w:tcW w:w="1161" w:type="dxa"/>
            <w:tcBorders>
              <w:bottom w:val="single" w:sz="4" w:space="0" w:color="auto"/>
            </w:tcBorders>
            <w:vAlign w:val="center"/>
          </w:tcPr>
          <w:p>
            <w:pPr>
              <w:jc w:val="center"/>
              <w:rPr>
                <w:noProof/>
                <w:sz w:val="20"/>
                <w:szCs w:val="20"/>
              </w:rPr>
            </w:pPr>
            <w:r>
              <w:rPr>
                <w:rFonts w:eastAsia="Times New Roman"/>
                <w:noProof/>
                <w:color w:val="000000" w:themeColor="text1"/>
                <w:sz w:val="20"/>
                <w:szCs w:val="20"/>
                <w:lang w:eastAsia="fr-FR"/>
              </w:rPr>
              <w:t>Level of aggregation (NACE code)</w:t>
            </w:r>
          </w:p>
        </w:tc>
      </w:tr>
      <w:tr>
        <w:trPr>
          <w:trHeight w:hRule="exact" w:val="284"/>
        </w:trPr>
        <w:tc>
          <w:tcPr>
            <w:tcW w:w="3612" w:type="dxa"/>
            <w:shd w:val="clear" w:color="auto" w:fill="auto"/>
            <w:vAlign w:val="center"/>
          </w:tcPr>
          <w:p>
            <w:pPr>
              <w:spacing w:line="220" w:lineRule="atLeast"/>
              <w:jc w:val="center"/>
              <w:rPr>
                <w:rFonts w:eastAsia="Times New Roman"/>
                <w:b/>
                <w:bCs/>
                <w:noProof/>
                <w:color w:val="000000" w:themeColor="text1"/>
                <w:sz w:val="20"/>
                <w:szCs w:val="20"/>
                <w:lang w:eastAsia="fr-FR"/>
              </w:rPr>
            </w:pPr>
            <w:r>
              <w:rPr>
                <w:rFonts w:eastAsia="Times New Roman"/>
                <w:noProof/>
                <w:color w:val="000000" w:themeColor="text1"/>
                <w:sz w:val="20"/>
                <w:szCs w:val="20"/>
                <w:lang w:eastAsia="fr-FR"/>
              </w:rPr>
              <w:t>Processing of</w:t>
            </w:r>
            <w:r>
              <w:rPr>
                <w:rFonts w:eastAsia="Times New Roman"/>
                <w:b/>
                <w:bCs/>
                <w:noProof/>
                <w:color w:val="000000" w:themeColor="text1"/>
                <w:sz w:val="20"/>
                <w:szCs w:val="20"/>
                <w:lang w:eastAsia="fr-FR"/>
              </w:rPr>
              <w:t xml:space="preserve"> Fruits and vegetables</w:t>
            </w:r>
          </w:p>
        </w:tc>
        <w:tc>
          <w:tcPr>
            <w:tcW w:w="1161" w:type="dxa"/>
            <w:shd w:val="clear" w:color="auto" w:fill="auto"/>
          </w:tcPr>
          <w:p>
            <w:pPr>
              <w:rPr>
                <w:rFonts w:eastAsia="Times New Roman"/>
                <w:noProof/>
                <w:color w:val="000000" w:themeColor="text1"/>
                <w:sz w:val="20"/>
                <w:szCs w:val="20"/>
                <w:lang w:eastAsia="fr-FR"/>
              </w:rPr>
            </w:pPr>
            <w:r>
              <w:rPr>
                <w:rFonts w:eastAsia="Times New Roman"/>
                <w:noProof/>
                <w:color w:val="000000" w:themeColor="text1"/>
                <w:sz w:val="20"/>
                <w:szCs w:val="20"/>
                <w:lang w:eastAsia="fr-FR"/>
              </w:rPr>
              <w:t>C103</w:t>
            </w:r>
          </w:p>
        </w:tc>
        <w:tc>
          <w:tcPr>
            <w:tcW w:w="3354" w:type="dxa"/>
            <w:shd w:val="clear" w:color="auto" w:fill="auto"/>
          </w:tcPr>
          <w:p>
            <w:pPr>
              <w:rPr>
                <w:noProof/>
                <w:sz w:val="20"/>
                <w:szCs w:val="20"/>
              </w:rPr>
            </w:pPr>
          </w:p>
        </w:tc>
        <w:tc>
          <w:tcPr>
            <w:tcW w:w="1161" w:type="dxa"/>
            <w:shd w:val="clear" w:color="auto" w:fill="auto"/>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Grain mill</w:t>
            </w:r>
            <w:r>
              <w:rPr>
                <w:rFonts w:eastAsia="Times New Roman"/>
                <w:noProof/>
                <w:color w:val="000000" w:themeColor="text1"/>
                <w:sz w:val="20"/>
                <w:szCs w:val="20"/>
                <w:lang w:eastAsia="fr-FR"/>
              </w:rPr>
              <w:t xml:space="preserve"> and starch products</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C106</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auto"/>
            <w:vAlign w:val="center"/>
          </w:tcPr>
          <w:p>
            <w:pPr>
              <w:spacing w:line="220" w:lineRule="atLeast"/>
              <w:jc w:val="center"/>
              <w:rPr>
                <w:rFonts w:eastAsia="Times New Roman"/>
                <w:b/>
                <w:bCs/>
                <w:noProof/>
                <w:color w:val="000000" w:themeColor="text1"/>
                <w:sz w:val="20"/>
                <w:szCs w:val="20"/>
                <w:lang w:eastAsia="fr-FR"/>
              </w:rPr>
            </w:pPr>
            <w:r>
              <w:rPr>
                <w:rFonts w:eastAsia="Times New Roman"/>
                <w:noProof/>
                <w:color w:val="000000" w:themeColor="text1"/>
                <w:sz w:val="20"/>
                <w:szCs w:val="20"/>
                <w:lang w:eastAsia="fr-FR"/>
              </w:rPr>
              <w:t>Manufacturing of</w:t>
            </w:r>
            <w:r>
              <w:rPr>
                <w:rFonts w:eastAsia="Times New Roman"/>
                <w:b/>
                <w:bCs/>
                <w:noProof/>
                <w:color w:val="000000" w:themeColor="text1"/>
                <w:sz w:val="20"/>
                <w:szCs w:val="20"/>
                <w:lang w:eastAsia="fr-FR"/>
              </w:rPr>
              <w:t xml:space="preserve"> Beverages</w:t>
            </w:r>
          </w:p>
        </w:tc>
        <w:tc>
          <w:tcPr>
            <w:tcW w:w="1161" w:type="dxa"/>
            <w:shd w:val="clear" w:color="auto" w:fill="auto"/>
          </w:tcPr>
          <w:p>
            <w:pPr>
              <w:rPr>
                <w:rFonts w:eastAsia="Times New Roman"/>
                <w:noProof/>
                <w:color w:val="000000" w:themeColor="text1"/>
                <w:sz w:val="20"/>
                <w:szCs w:val="20"/>
                <w:lang w:eastAsia="fr-FR"/>
              </w:rPr>
            </w:pPr>
            <w:r>
              <w:rPr>
                <w:rFonts w:eastAsia="Times New Roman"/>
                <w:noProof/>
                <w:color w:val="000000" w:themeColor="text1"/>
                <w:sz w:val="20"/>
                <w:szCs w:val="20"/>
                <w:lang w:eastAsia="fr-FR"/>
              </w:rPr>
              <w:t>C11</w:t>
            </w:r>
          </w:p>
        </w:tc>
        <w:tc>
          <w:tcPr>
            <w:tcW w:w="3354" w:type="dxa"/>
            <w:shd w:val="clear" w:color="auto" w:fill="auto"/>
          </w:tcPr>
          <w:p>
            <w:pPr>
              <w:rPr>
                <w:rFonts w:eastAsia="Times New Roman"/>
                <w:b/>
                <w:noProof/>
                <w:color w:val="000000" w:themeColor="text1"/>
                <w:sz w:val="20"/>
                <w:szCs w:val="20"/>
                <w:lang w:eastAsia="fr-FR"/>
              </w:rPr>
            </w:pPr>
          </w:p>
        </w:tc>
        <w:tc>
          <w:tcPr>
            <w:tcW w:w="1161" w:type="dxa"/>
            <w:shd w:val="clear" w:color="auto" w:fill="auto"/>
          </w:tcPr>
          <w:p>
            <w:pPr>
              <w:rPr>
                <w:rFonts w:eastAsia="Times New Roman"/>
                <w:b/>
                <w:noProof/>
                <w:color w:val="000000" w:themeColor="text1"/>
                <w:sz w:val="20"/>
                <w:szCs w:val="20"/>
                <w:lang w:eastAsia="fr-FR"/>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noProof/>
                <w:color w:val="000000" w:themeColor="text1"/>
                <w:sz w:val="20"/>
                <w:szCs w:val="20"/>
                <w:lang w:eastAsia="fr-FR"/>
              </w:rPr>
              <w:t xml:space="preserve">Weaving of </w:t>
            </w:r>
            <w:r>
              <w:rPr>
                <w:rFonts w:eastAsia="Times New Roman"/>
                <w:b/>
                <w:bCs/>
                <w:noProof/>
                <w:color w:val="000000" w:themeColor="text1"/>
                <w:sz w:val="20"/>
                <w:szCs w:val="20"/>
                <w:lang w:eastAsia="fr-FR"/>
              </w:rPr>
              <w:t>textiles</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C132</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noProof/>
                <w:color w:val="000000" w:themeColor="text1"/>
                <w:sz w:val="20"/>
                <w:szCs w:val="20"/>
                <w:lang w:eastAsia="fr-FR"/>
              </w:rPr>
              <w:t xml:space="preserve">Sawmilling and planing of </w:t>
            </w:r>
            <w:r>
              <w:rPr>
                <w:rFonts w:eastAsia="Times New Roman"/>
                <w:b/>
                <w:bCs/>
                <w:noProof/>
                <w:color w:val="000000" w:themeColor="text1"/>
                <w:sz w:val="20"/>
                <w:szCs w:val="20"/>
                <w:lang w:eastAsia="fr-FR"/>
              </w:rPr>
              <w:t>wood</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C161</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Pulp, paper</w:t>
            </w:r>
            <w:r>
              <w:rPr>
                <w:rFonts w:eastAsia="Times New Roman"/>
                <w:noProof/>
                <w:color w:val="000000" w:themeColor="text1"/>
                <w:sz w:val="20"/>
                <w:szCs w:val="20"/>
                <w:lang w:eastAsia="fr-FR"/>
              </w:rPr>
              <w:t xml:space="preserve"> and paperboard</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C171</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auto"/>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Articles of paper</w:t>
            </w:r>
            <w:r>
              <w:rPr>
                <w:rFonts w:eastAsia="Times New Roman"/>
                <w:noProof/>
                <w:color w:val="000000" w:themeColor="text1"/>
                <w:sz w:val="20"/>
                <w:szCs w:val="20"/>
                <w:lang w:eastAsia="fr-FR"/>
              </w:rPr>
              <w:t xml:space="preserve"> and paperboard</w:t>
            </w:r>
          </w:p>
        </w:tc>
        <w:tc>
          <w:tcPr>
            <w:tcW w:w="1161" w:type="dxa"/>
            <w:shd w:val="clear" w:color="auto" w:fill="auto"/>
          </w:tcPr>
          <w:p>
            <w:pPr>
              <w:rPr>
                <w:rFonts w:eastAsia="Times New Roman"/>
                <w:noProof/>
                <w:color w:val="000000" w:themeColor="text1"/>
                <w:sz w:val="20"/>
                <w:szCs w:val="20"/>
                <w:lang w:eastAsia="fr-FR"/>
              </w:rPr>
            </w:pPr>
            <w:r>
              <w:rPr>
                <w:rFonts w:eastAsia="Times New Roman"/>
                <w:noProof/>
                <w:color w:val="000000" w:themeColor="text1"/>
                <w:sz w:val="20"/>
                <w:szCs w:val="20"/>
                <w:lang w:eastAsia="fr-FR"/>
              </w:rPr>
              <w:t>C172</w:t>
            </w:r>
          </w:p>
        </w:tc>
        <w:tc>
          <w:tcPr>
            <w:tcW w:w="3354" w:type="dxa"/>
            <w:shd w:val="clear" w:color="auto" w:fill="auto"/>
          </w:tcPr>
          <w:p>
            <w:pPr>
              <w:rPr>
                <w:rFonts w:eastAsia="Times New Roman"/>
                <w:b/>
                <w:noProof/>
                <w:color w:val="000000" w:themeColor="text1"/>
                <w:sz w:val="20"/>
                <w:szCs w:val="20"/>
                <w:lang w:eastAsia="fr-FR"/>
              </w:rPr>
            </w:pPr>
          </w:p>
        </w:tc>
        <w:tc>
          <w:tcPr>
            <w:tcW w:w="1161" w:type="dxa"/>
            <w:shd w:val="clear" w:color="auto" w:fill="auto"/>
          </w:tcPr>
          <w:p>
            <w:pPr>
              <w:rPr>
                <w:rFonts w:eastAsia="Times New Roman"/>
                <w:b/>
                <w:noProof/>
                <w:color w:val="000000" w:themeColor="text1"/>
                <w:sz w:val="20"/>
                <w:szCs w:val="20"/>
                <w:lang w:eastAsia="fr-FR"/>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Refined petroleum products</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C192</w:t>
            </w:r>
          </w:p>
        </w:tc>
        <w:tc>
          <w:tcPr>
            <w:tcW w:w="3354" w:type="dxa"/>
            <w:shd w:val="clear" w:color="auto" w:fill="F2F2F2" w:themeFill="background1" w:themeFillShade="F2"/>
          </w:tcPr>
          <w:p>
            <w:pPr>
              <w:rPr>
                <w:b/>
                <w:bCs/>
                <w:noProof/>
                <w:sz w:val="20"/>
                <w:szCs w:val="20"/>
              </w:rPr>
            </w:pPr>
            <w:r>
              <w:rPr>
                <w:b/>
                <w:bCs/>
                <w:noProof/>
                <w:sz w:val="20"/>
                <w:szCs w:val="20"/>
              </w:rPr>
              <w:t>Refineries</w:t>
            </w:r>
          </w:p>
        </w:tc>
        <w:tc>
          <w:tcPr>
            <w:tcW w:w="1161" w:type="dxa"/>
            <w:shd w:val="clear" w:color="auto" w:fill="F2F2F2" w:themeFill="background1" w:themeFillShade="F2"/>
          </w:tcPr>
          <w:p>
            <w:pPr>
              <w:rPr>
                <w:noProof/>
                <w:sz w:val="20"/>
                <w:szCs w:val="20"/>
              </w:rPr>
            </w:pPr>
            <w:r>
              <w:rPr>
                <w:noProof/>
                <w:sz w:val="20"/>
                <w:szCs w:val="20"/>
              </w:rPr>
              <w:t>C1920*</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Basic chemicals and fertilisers</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C201</w:t>
            </w:r>
          </w:p>
        </w:tc>
        <w:tc>
          <w:tcPr>
            <w:tcW w:w="3354" w:type="dxa"/>
            <w:shd w:val="clear" w:color="auto" w:fill="F2F2F2" w:themeFill="background1" w:themeFillShade="F2"/>
          </w:tcPr>
          <w:p>
            <w:pPr>
              <w:rPr>
                <w:b/>
                <w:bCs/>
                <w:noProof/>
                <w:sz w:val="20"/>
                <w:szCs w:val="20"/>
              </w:rPr>
            </w:pPr>
            <w:r>
              <w:rPr>
                <w:b/>
                <w:bCs/>
                <w:noProof/>
                <w:sz w:val="20"/>
                <w:szCs w:val="20"/>
              </w:rPr>
              <w:t>Nitrogen fertilisers</w:t>
            </w:r>
          </w:p>
        </w:tc>
        <w:tc>
          <w:tcPr>
            <w:tcW w:w="1161" w:type="dxa"/>
            <w:shd w:val="clear" w:color="auto" w:fill="F2F2F2" w:themeFill="background1" w:themeFillShade="F2"/>
          </w:tcPr>
          <w:p>
            <w:pPr>
              <w:rPr>
                <w:noProof/>
                <w:sz w:val="20"/>
                <w:szCs w:val="20"/>
              </w:rPr>
            </w:pPr>
            <w:r>
              <w:rPr>
                <w:noProof/>
                <w:sz w:val="20"/>
                <w:szCs w:val="20"/>
              </w:rPr>
              <w:t>C2015*</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Man-made fibres</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C206</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auto"/>
            <w:vAlign w:val="center"/>
          </w:tcPr>
          <w:p>
            <w:pPr>
              <w:spacing w:line="220" w:lineRule="atLeast"/>
              <w:jc w:val="center"/>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 xml:space="preserve">Basic pharmaceutical </w:t>
            </w:r>
            <w:r>
              <w:rPr>
                <w:rFonts w:eastAsia="Times New Roman"/>
                <w:noProof/>
                <w:color w:val="000000" w:themeColor="text1"/>
                <w:sz w:val="20"/>
                <w:szCs w:val="20"/>
                <w:lang w:eastAsia="fr-FR"/>
              </w:rPr>
              <w:t>products</w:t>
            </w:r>
          </w:p>
        </w:tc>
        <w:tc>
          <w:tcPr>
            <w:tcW w:w="1161" w:type="dxa"/>
            <w:shd w:val="clear" w:color="auto" w:fill="auto"/>
          </w:tcPr>
          <w:p>
            <w:pPr>
              <w:rPr>
                <w:rFonts w:eastAsia="Times New Roman"/>
                <w:noProof/>
                <w:color w:val="000000" w:themeColor="text1"/>
                <w:sz w:val="20"/>
                <w:szCs w:val="20"/>
                <w:lang w:eastAsia="fr-FR"/>
              </w:rPr>
            </w:pPr>
            <w:r>
              <w:rPr>
                <w:rFonts w:eastAsia="Times New Roman"/>
                <w:noProof/>
                <w:color w:val="000000" w:themeColor="text1"/>
                <w:sz w:val="20"/>
                <w:szCs w:val="20"/>
                <w:lang w:eastAsia="fr-FR"/>
              </w:rPr>
              <w:t>C21</w:t>
            </w:r>
          </w:p>
        </w:tc>
        <w:tc>
          <w:tcPr>
            <w:tcW w:w="3354" w:type="dxa"/>
            <w:shd w:val="clear" w:color="auto" w:fill="auto"/>
          </w:tcPr>
          <w:p>
            <w:pPr>
              <w:rPr>
                <w:rFonts w:eastAsia="Times New Roman"/>
                <w:b/>
                <w:noProof/>
                <w:color w:val="000000" w:themeColor="text1"/>
                <w:sz w:val="20"/>
                <w:szCs w:val="20"/>
                <w:lang w:eastAsia="fr-FR"/>
              </w:rPr>
            </w:pPr>
          </w:p>
        </w:tc>
        <w:tc>
          <w:tcPr>
            <w:tcW w:w="1161" w:type="dxa"/>
            <w:shd w:val="clear" w:color="auto" w:fill="auto"/>
          </w:tcPr>
          <w:p>
            <w:pPr>
              <w:rPr>
                <w:rFonts w:eastAsia="Times New Roman"/>
                <w:b/>
                <w:noProof/>
                <w:color w:val="000000" w:themeColor="text1"/>
                <w:sz w:val="20"/>
                <w:szCs w:val="20"/>
                <w:lang w:eastAsia="fr-FR"/>
              </w:rPr>
            </w:pPr>
          </w:p>
        </w:tc>
      </w:tr>
      <w:tr>
        <w:trPr>
          <w:trHeight w:hRule="exact" w:val="284"/>
        </w:trPr>
        <w:tc>
          <w:tcPr>
            <w:tcW w:w="3612" w:type="dxa"/>
            <w:shd w:val="clear" w:color="auto" w:fill="auto"/>
            <w:vAlign w:val="center"/>
          </w:tcPr>
          <w:p>
            <w:pPr>
              <w:spacing w:line="220" w:lineRule="atLeast"/>
              <w:jc w:val="center"/>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 xml:space="preserve">Plastics </w:t>
            </w:r>
            <w:r>
              <w:rPr>
                <w:rFonts w:eastAsia="Times New Roman"/>
                <w:noProof/>
                <w:color w:val="000000" w:themeColor="text1"/>
                <w:sz w:val="20"/>
                <w:szCs w:val="20"/>
                <w:lang w:eastAsia="fr-FR"/>
              </w:rPr>
              <w:t>products</w:t>
            </w:r>
          </w:p>
        </w:tc>
        <w:tc>
          <w:tcPr>
            <w:tcW w:w="1161" w:type="dxa"/>
            <w:shd w:val="clear" w:color="auto" w:fill="auto"/>
          </w:tcPr>
          <w:p>
            <w:pPr>
              <w:rPr>
                <w:rFonts w:eastAsia="Times New Roman"/>
                <w:noProof/>
                <w:color w:val="000000" w:themeColor="text1"/>
                <w:sz w:val="20"/>
                <w:szCs w:val="20"/>
                <w:lang w:eastAsia="fr-FR"/>
              </w:rPr>
            </w:pPr>
            <w:r>
              <w:rPr>
                <w:rFonts w:eastAsia="Times New Roman"/>
                <w:noProof/>
                <w:color w:val="000000" w:themeColor="text1"/>
                <w:sz w:val="20"/>
                <w:szCs w:val="20"/>
                <w:lang w:eastAsia="fr-FR"/>
              </w:rPr>
              <w:t>C222</w:t>
            </w:r>
          </w:p>
        </w:tc>
        <w:tc>
          <w:tcPr>
            <w:tcW w:w="3354" w:type="dxa"/>
            <w:shd w:val="clear" w:color="auto" w:fill="auto"/>
          </w:tcPr>
          <w:p>
            <w:pPr>
              <w:rPr>
                <w:noProof/>
                <w:sz w:val="20"/>
                <w:szCs w:val="20"/>
              </w:rPr>
            </w:pPr>
          </w:p>
        </w:tc>
        <w:tc>
          <w:tcPr>
            <w:tcW w:w="1161" w:type="dxa"/>
            <w:shd w:val="clear" w:color="auto" w:fill="auto"/>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Glass</w:t>
            </w:r>
            <w:r>
              <w:rPr>
                <w:rFonts w:eastAsia="Times New Roman"/>
                <w:noProof/>
                <w:color w:val="000000" w:themeColor="text1"/>
                <w:sz w:val="20"/>
                <w:szCs w:val="20"/>
                <w:lang w:eastAsia="fr-FR"/>
              </w:rPr>
              <w:t xml:space="preserve"> and glass products</w:t>
            </w:r>
          </w:p>
        </w:tc>
        <w:tc>
          <w:tcPr>
            <w:tcW w:w="1161" w:type="dxa"/>
            <w:shd w:val="clear" w:color="auto" w:fill="F2F2F2" w:themeFill="background1" w:themeFillShade="F2"/>
          </w:tcPr>
          <w:p>
            <w:pPr>
              <w:rPr>
                <w:rFonts w:eastAsia="Times New Roman"/>
                <w:noProof/>
                <w:color w:val="000000" w:themeColor="text1"/>
                <w:sz w:val="20"/>
                <w:szCs w:val="20"/>
                <w:lang w:eastAsia="fr-FR"/>
              </w:rPr>
            </w:pPr>
            <w:r>
              <w:rPr>
                <w:rFonts w:eastAsia="Times New Roman"/>
                <w:noProof/>
                <w:color w:val="000000" w:themeColor="text1"/>
                <w:sz w:val="20"/>
                <w:szCs w:val="20"/>
                <w:lang w:eastAsia="fr-FR"/>
              </w:rPr>
              <w:t>C231</w:t>
            </w:r>
          </w:p>
        </w:tc>
        <w:tc>
          <w:tcPr>
            <w:tcW w:w="3354" w:type="dxa"/>
            <w:shd w:val="clear" w:color="auto" w:fill="F2F2F2" w:themeFill="background1" w:themeFillShade="F2"/>
            <w:vAlign w:val="center"/>
          </w:tcPr>
          <w:p>
            <w:pPr>
              <w:rPr>
                <w:b/>
                <w:bCs/>
                <w:noProof/>
                <w:sz w:val="20"/>
                <w:szCs w:val="20"/>
              </w:rPr>
            </w:pPr>
            <w:r>
              <w:rPr>
                <w:b/>
                <w:bCs/>
                <w:noProof/>
                <w:sz w:val="20"/>
                <w:szCs w:val="20"/>
              </w:rPr>
              <w:t>Flat glass</w:t>
            </w:r>
          </w:p>
          <w:p>
            <w:pPr>
              <w:jc w:val="left"/>
              <w:rPr>
                <w:b/>
                <w:noProof/>
                <w:sz w:val="20"/>
                <w:szCs w:val="20"/>
              </w:rPr>
            </w:pPr>
          </w:p>
        </w:tc>
        <w:tc>
          <w:tcPr>
            <w:tcW w:w="1161" w:type="dxa"/>
            <w:shd w:val="clear" w:color="auto" w:fill="F2F2F2" w:themeFill="background1" w:themeFillShade="F2"/>
          </w:tcPr>
          <w:p>
            <w:pPr>
              <w:rPr>
                <w:noProof/>
                <w:sz w:val="20"/>
                <w:szCs w:val="20"/>
              </w:rPr>
            </w:pPr>
            <w:r>
              <w:rPr>
                <w:noProof/>
                <w:sz w:val="20"/>
                <w:szCs w:val="20"/>
              </w:rPr>
              <w:t>C2311*</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Refractory</w:t>
            </w:r>
            <w:r>
              <w:rPr>
                <w:rFonts w:eastAsia="Times New Roman"/>
                <w:noProof/>
                <w:color w:val="000000" w:themeColor="text1"/>
                <w:sz w:val="20"/>
                <w:szCs w:val="20"/>
                <w:lang w:eastAsia="fr-FR"/>
              </w:rPr>
              <w:t xml:space="preserve"> products</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C232</w:t>
            </w:r>
          </w:p>
        </w:tc>
        <w:tc>
          <w:tcPr>
            <w:tcW w:w="3354" w:type="dxa"/>
            <w:shd w:val="clear" w:color="auto" w:fill="F2F2F2" w:themeFill="background1" w:themeFillShade="F2"/>
            <w:vAlign w:val="center"/>
          </w:tcPr>
          <w:p>
            <w:pPr>
              <w:jc w:val="left"/>
              <w:rPr>
                <w:b/>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Clay building</w:t>
            </w:r>
            <w:r>
              <w:rPr>
                <w:rFonts w:eastAsia="Times New Roman"/>
                <w:noProof/>
                <w:color w:val="000000" w:themeColor="text1"/>
                <w:sz w:val="20"/>
                <w:szCs w:val="20"/>
                <w:lang w:eastAsia="fr-FR"/>
              </w:rPr>
              <w:t xml:space="preserve"> materials</w:t>
            </w:r>
          </w:p>
          <w:p>
            <w:pPr>
              <w:spacing w:line="220" w:lineRule="atLeast"/>
              <w:jc w:val="center"/>
              <w:rPr>
                <w:rFonts w:eastAsia="Times New Roman"/>
                <w:b/>
                <w:noProof/>
                <w:color w:val="000000" w:themeColor="text1"/>
                <w:sz w:val="20"/>
                <w:szCs w:val="20"/>
                <w:lang w:eastAsia="fr-FR"/>
              </w:rPr>
            </w:pP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C233</w:t>
            </w:r>
          </w:p>
          <w:p>
            <w:pPr>
              <w:rPr>
                <w:rFonts w:eastAsia="Times New Roman"/>
                <w:noProof/>
                <w:color w:val="000000" w:themeColor="text1"/>
                <w:sz w:val="20"/>
                <w:szCs w:val="20"/>
                <w:lang w:eastAsia="fr-FR"/>
              </w:rPr>
            </w:pP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Porcelain and ceramic</w:t>
            </w:r>
            <w:r>
              <w:rPr>
                <w:rFonts w:eastAsia="Times New Roman"/>
                <w:noProof/>
                <w:color w:val="000000" w:themeColor="text1"/>
                <w:sz w:val="20"/>
                <w:szCs w:val="20"/>
                <w:lang w:eastAsia="fr-FR"/>
              </w:rPr>
              <w:t xml:space="preserve"> products</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C234</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Cement</w:t>
            </w:r>
            <w:r>
              <w:rPr>
                <w:rFonts w:eastAsia="Times New Roman"/>
                <w:noProof/>
                <w:color w:val="000000" w:themeColor="text1"/>
                <w:sz w:val="20"/>
                <w:szCs w:val="20"/>
                <w:lang w:eastAsia="fr-FR"/>
              </w:rPr>
              <w:t>, lime and plaster</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C235</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noProof/>
                <w:color w:val="000000" w:themeColor="text1"/>
                <w:sz w:val="20"/>
                <w:szCs w:val="20"/>
                <w:lang w:eastAsia="fr-FR"/>
              </w:rPr>
              <w:t xml:space="preserve">Cutting </w:t>
            </w:r>
            <w:r>
              <w:rPr>
                <w:rFonts w:eastAsia="Times New Roman"/>
                <w:b/>
                <w:bCs/>
                <w:noProof/>
                <w:color w:val="000000" w:themeColor="text1"/>
                <w:sz w:val="20"/>
                <w:szCs w:val="20"/>
                <w:lang w:eastAsia="fr-FR"/>
              </w:rPr>
              <w:t>stone</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C237</w:t>
            </w:r>
          </w:p>
        </w:tc>
        <w:tc>
          <w:tcPr>
            <w:tcW w:w="3354" w:type="dxa"/>
            <w:shd w:val="clear" w:color="auto" w:fill="F2F2F2" w:themeFill="background1" w:themeFillShade="F2"/>
          </w:tcPr>
          <w:p>
            <w:pPr>
              <w:rPr>
                <w:noProof/>
                <w:sz w:val="20"/>
                <w:szCs w:val="20"/>
              </w:rPr>
            </w:pPr>
          </w:p>
        </w:tc>
        <w:tc>
          <w:tcPr>
            <w:tcW w:w="1161" w:type="dxa"/>
            <w:shd w:val="clear" w:color="auto" w:fill="F2F2F2" w:themeFill="background1" w:themeFillShade="F2"/>
          </w:tcPr>
          <w:p>
            <w:pPr>
              <w:rPr>
                <w:noProof/>
                <w:sz w:val="20"/>
                <w:szCs w:val="20"/>
              </w:rPr>
            </w:pPr>
          </w:p>
        </w:tc>
      </w:tr>
      <w:tr>
        <w:trPr>
          <w:trHeight w:hRule="exact" w:val="284"/>
        </w:trPr>
        <w:tc>
          <w:tcPr>
            <w:tcW w:w="3612" w:type="dxa"/>
            <w:shd w:val="clear" w:color="auto" w:fill="FFFFFF" w:themeFill="background1"/>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Abrasive products</w:t>
            </w:r>
            <w:r>
              <w:rPr>
                <w:rFonts w:eastAsia="Times New Roman"/>
                <w:noProof/>
                <w:color w:val="000000" w:themeColor="text1"/>
                <w:sz w:val="20"/>
                <w:szCs w:val="20"/>
                <w:lang w:eastAsia="fr-FR"/>
              </w:rPr>
              <w:t xml:space="preserve"> and non-metallic mineral products n.e.c</w:t>
            </w:r>
          </w:p>
        </w:tc>
        <w:tc>
          <w:tcPr>
            <w:tcW w:w="1161" w:type="dxa"/>
            <w:shd w:val="clear" w:color="auto" w:fill="FFFFFF" w:themeFill="background1"/>
          </w:tcPr>
          <w:p>
            <w:pPr>
              <w:rPr>
                <w:rFonts w:eastAsia="Times New Roman"/>
                <w:noProof/>
                <w:color w:val="000000" w:themeColor="text1"/>
                <w:sz w:val="20"/>
                <w:szCs w:val="20"/>
                <w:lang w:eastAsia="fr-FR"/>
              </w:rPr>
            </w:pPr>
            <w:r>
              <w:rPr>
                <w:rFonts w:eastAsia="Times New Roman"/>
                <w:noProof/>
                <w:color w:val="000000" w:themeColor="text1"/>
                <w:sz w:val="20"/>
                <w:szCs w:val="20"/>
                <w:lang w:eastAsia="fr-FR"/>
              </w:rPr>
              <w:t>C239</w:t>
            </w:r>
          </w:p>
        </w:tc>
        <w:tc>
          <w:tcPr>
            <w:tcW w:w="3354" w:type="dxa"/>
            <w:shd w:val="clear" w:color="auto" w:fill="FFFFFF" w:themeFill="background1"/>
          </w:tcPr>
          <w:p>
            <w:pPr>
              <w:rPr>
                <w:noProof/>
                <w:sz w:val="20"/>
                <w:szCs w:val="20"/>
              </w:rPr>
            </w:pPr>
          </w:p>
        </w:tc>
        <w:tc>
          <w:tcPr>
            <w:tcW w:w="1161" w:type="dxa"/>
            <w:shd w:val="clear" w:color="auto" w:fill="FFFFFF" w:themeFill="background1"/>
          </w:tcPr>
          <w:p>
            <w:pPr>
              <w:rPr>
                <w:noProof/>
                <w:sz w:val="20"/>
                <w:szCs w:val="20"/>
              </w:rPr>
            </w:pP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noProof/>
                <w:color w:val="000000" w:themeColor="text1"/>
                <w:sz w:val="20"/>
                <w:szCs w:val="20"/>
                <w:lang w:eastAsia="fr-FR"/>
              </w:rPr>
              <w:t xml:space="preserve">Basic </w:t>
            </w:r>
            <w:r>
              <w:rPr>
                <w:rFonts w:eastAsia="Times New Roman"/>
                <w:b/>
                <w:bCs/>
                <w:noProof/>
                <w:color w:val="000000" w:themeColor="text1"/>
                <w:sz w:val="20"/>
                <w:szCs w:val="20"/>
                <w:lang w:eastAsia="fr-FR"/>
              </w:rPr>
              <w:t>iron and steel</w:t>
            </w:r>
            <w:r>
              <w:rPr>
                <w:rFonts w:eastAsia="Times New Roman"/>
                <w:noProof/>
                <w:color w:val="000000" w:themeColor="text1"/>
                <w:sz w:val="20"/>
                <w:szCs w:val="20"/>
                <w:lang w:eastAsia="fr-FR"/>
              </w:rPr>
              <w:t xml:space="preserve"> and of ferro-alloys</w:t>
            </w:r>
          </w:p>
        </w:tc>
        <w:tc>
          <w:tcPr>
            <w:tcW w:w="1161" w:type="dxa"/>
            <w:shd w:val="clear" w:color="auto" w:fill="F2F2F2" w:themeFill="background1" w:themeFillShade="F2"/>
          </w:tcPr>
          <w:p>
            <w:pPr>
              <w:rPr>
                <w:b/>
                <w:bCs/>
                <w:noProof/>
                <w:sz w:val="20"/>
                <w:szCs w:val="20"/>
              </w:rPr>
            </w:pPr>
            <w:r>
              <w:rPr>
                <w:rFonts w:eastAsia="Times New Roman"/>
                <w:noProof/>
                <w:color w:val="000000" w:themeColor="text1"/>
                <w:sz w:val="20"/>
                <w:szCs w:val="20"/>
                <w:lang w:eastAsia="fr-FR"/>
              </w:rPr>
              <w:t>C241</w:t>
            </w:r>
          </w:p>
        </w:tc>
        <w:tc>
          <w:tcPr>
            <w:tcW w:w="3354" w:type="dxa"/>
            <w:shd w:val="clear" w:color="auto" w:fill="F2F2F2" w:themeFill="background1" w:themeFillShade="F2"/>
          </w:tcPr>
          <w:p>
            <w:pPr>
              <w:rPr>
                <w:b/>
                <w:bCs/>
                <w:noProof/>
                <w:sz w:val="20"/>
                <w:szCs w:val="20"/>
              </w:rPr>
            </w:pPr>
            <w:r>
              <w:rPr>
                <w:b/>
                <w:bCs/>
                <w:noProof/>
                <w:sz w:val="20"/>
                <w:szCs w:val="20"/>
              </w:rPr>
              <w:t>Iron and steel</w:t>
            </w:r>
          </w:p>
        </w:tc>
        <w:tc>
          <w:tcPr>
            <w:tcW w:w="1161" w:type="dxa"/>
            <w:shd w:val="clear" w:color="auto" w:fill="F2F2F2" w:themeFill="background1" w:themeFillShade="F2"/>
          </w:tcPr>
          <w:p>
            <w:pPr>
              <w:rPr>
                <w:noProof/>
                <w:sz w:val="20"/>
                <w:szCs w:val="20"/>
              </w:rPr>
            </w:pPr>
            <w:r>
              <w:rPr>
                <w:noProof/>
                <w:sz w:val="20"/>
                <w:szCs w:val="20"/>
              </w:rPr>
              <w:t>C2410+</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Non-ferrous metals</w:t>
            </w:r>
          </w:p>
        </w:tc>
        <w:tc>
          <w:tcPr>
            <w:tcW w:w="1161" w:type="dxa"/>
            <w:shd w:val="clear" w:color="auto" w:fill="F2F2F2" w:themeFill="background1" w:themeFillShade="F2"/>
          </w:tcPr>
          <w:p>
            <w:pPr>
              <w:rPr>
                <w:noProof/>
                <w:sz w:val="20"/>
                <w:szCs w:val="20"/>
              </w:rPr>
            </w:pPr>
            <w:r>
              <w:rPr>
                <w:rFonts w:eastAsia="Times New Roman"/>
                <w:noProof/>
                <w:color w:val="000000" w:themeColor="text1"/>
                <w:sz w:val="20"/>
                <w:szCs w:val="20"/>
                <w:lang w:eastAsia="fr-FR"/>
              </w:rPr>
              <w:t>C244</w:t>
            </w:r>
          </w:p>
        </w:tc>
        <w:tc>
          <w:tcPr>
            <w:tcW w:w="3354" w:type="dxa"/>
            <w:shd w:val="clear" w:color="auto" w:fill="F2F2F2" w:themeFill="background1" w:themeFillShade="F2"/>
          </w:tcPr>
          <w:p>
            <w:pPr>
              <w:rPr>
                <w:b/>
                <w:bCs/>
                <w:noProof/>
                <w:sz w:val="20"/>
                <w:szCs w:val="20"/>
              </w:rPr>
            </w:pPr>
            <w:r>
              <w:rPr>
                <w:b/>
                <w:bCs/>
                <w:noProof/>
                <w:sz w:val="20"/>
                <w:szCs w:val="20"/>
              </w:rPr>
              <w:t>Aluminium</w:t>
            </w:r>
          </w:p>
        </w:tc>
        <w:tc>
          <w:tcPr>
            <w:tcW w:w="1161" w:type="dxa"/>
            <w:shd w:val="clear" w:color="auto" w:fill="F2F2F2" w:themeFill="background1" w:themeFillShade="F2"/>
          </w:tcPr>
          <w:p>
            <w:pPr>
              <w:rPr>
                <w:noProof/>
                <w:sz w:val="20"/>
                <w:szCs w:val="20"/>
              </w:rPr>
            </w:pPr>
            <w:r>
              <w:rPr>
                <w:noProof/>
                <w:sz w:val="20"/>
                <w:szCs w:val="20"/>
              </w:rPr>
              <w:t>C2442+</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b/>
                <w:noProof/>
                <w:color w:val="000000" w:themeColor="text1"/>
                <w:sz w:val="20"/>
                <w:szCs w:val="20"/>
                <w:lang w:eastAsia="fr-FR"/>
              </w:rPr>
            </w:pPr>
          </w:p>
        </w:tc>
        <w:tc>
          <w:tcPr>
            <w:tcW w:w="1161" w:type="dxa"/>
            <w:shd w:val="clear" w:color="auto" w:fill="F2F2F2" w:themeFill="background1" w:themeFillShade="F2"/>
          </w:tcPr>
          <w:p>
            <w:pPr>
              <w:rPr>
                <w:rFonts w:eastAsia="Times New Roman"/>
                <w:noProof/>
                <w:color w:val="000000" w:themeColor="text1"/>
                <w:sz w:val="20"/>
                <w:szCs w:val="20"/>
                <w:lang w:eastAsia="fr-FR"/>
              </w:rPr>
            </w:pPr>
          </w:p>
        </w:tc>
        <w:tc>
          <w:tcPr>
            <w:tcW w:w="3354" w:type="dxa"/>
            <w:shd w:val="clear" w:color="auto" w:fill="F2F2F2" w:themeFill="background1" w:themeFillShade="F2"/>
          </w:tcPr>
          <w:p>
            <w:pPr>
              <w:rPr>
                <w:b/>
                <w:bCs/>
                <w:noProof/>
                <w:sz w:val="20"/>
                <w:szCs w:val="20"/>
              </w:rPr>
            </w:pPr>
            <w:r>
              <w:rPr>
                <w:noProof/>
                <w:sz w:val="20"/>
                <w:szCs w:val="20"/>
              </w:rPr>
              <w:t>Lead,</w:t>
            </w:r>
            <w:r>
              <w:rPr>
                <w:b/>
                <w:bCs/>
                <w:noProof/>
                <w:sz w:val="20"/>
                <w:szCs w:val="20"/>
              </w:rPr>
              <w:t xml:space="preserve"> zinc</w:t>
            </w:r>
            <w:r>
              <w:rPr>
                <w:noProof/>
                <w:sz w:val="20"/>
                <w:szCs w:val="20"/>
              </w:rPr>
              <w:t>, tin</w:t>
            </w:r>
            <w:r>
              <w:rPr>
                <w:b/>
                <w:bCs/>
                <w:noProof/>
                <w:sz w:val="20"/>
                <w:szCs w:val="20"/>
              </w:rPr>
              <w:t xml:space="preserve"> </w:t>
            </w:r>
          </w:p>
        </w:tc>
        <w:tc>
          <w:tcPr>
            <w:tcW w:w="1161" w:type="dxa"/>
            <w:shd w:val="clear" w:color="auto" w:fill="F2F2F2" w:themeFill="background1" w:themeFillShade="F2"/>
          </w:tcPr>
          <w:p>
            <w:pPr>
              <w:rPr>
                <w:noProof/>
                <w:sz w:val="20"/>
                <w:szCs w:val="20"/>
              </w:rPr>
            </w:pPr>
            <w:r>
              <w:rPr>
                <w:noProof/>
                <w:sz w:val="20"/>
                <w:szCs w:val="20"/>
              </w:rPr>
              <w:t>C2443*</w:t>
            </w:r>
          </w:p>
        </w:tc>
      </w:tr>
      <w:tr>
        <w:trPr>
          <w:trHeight w:hRule="exact" w:val="284"/>
        </w:trPr>
        <w:tc>
          <w:tcPr>
            <w:tcW w:w="3612" w:type="dxa"/>
            <w:shd w:val="clear" w:color="auto" w:fill="F2F2F2" w:themeFill="background1" w:themeFillShade="F2"/>
            <w:vAlign w:val="center"/>
          </w:tcPr>
          <w:p>
            <w:pPr>
              <w:spacing w:line="220" w:lineRule="atLeast"/>
              <w:jc w:val="center"/>
              <w:rPr>
                <w:rFonts w:eastAsia="Times New Roman"/>
                <w:b/>
                <w:noProof/>
                <w:color w:val="000000" w:themeColor="text1"/>
                <w:sz w:val="20"/>
                <w:szCs w:val="20"/>
                <w:lang w:eastAsia="fr-FR"/>
              </w:rPr>
            </w:pPr>
          </w:p>
        </w:tc>
        <w:tc>
          <w:tcPr>
            <w:tcW w:w="1161" w:type="dxa"/>
            <w:shd w:val="clear" w:color="auto" w:fill="F2F2F2" w:themeFill="background1" w:themeFillShade="F2"/>
          </w:tcPr>
          <w:p>
            <w:pPr>
              <w:rPr>
                <w:rFonts w:eastAsia="Times New Roman"/>
                <w:noProof/>
                <w:color w:val="000000" w:themeColor="text1"/>
                <w:sz w:val="20"/>
                <w:szCs w:val="20"/>
                <w:lang w:eastAsia="fr-FR"/>
              </w:rPr>
            </w:pPr>
          </w:p>
        </w:tc>
        <w:tc>
          <w:tcPr>
            <w:tcW w:w="3354" w:type="dxa"/>
            <w:shd w:val="clear" w:color="auto" w:fill="F2F2F2" w:themeFill="background1" w:themeFillShade="F2"/>
          </w:tcPr>
          <w:p>
            <w:pPr>
              <w:rPr>
                <w:b/>
                <w:bCs/>
                <w:noProof/>
                <w:sz w:val="20"/>
                <w:szCs w:val="20"/>
              </w:rPr>
            </w:pPr>
            <w:r>
              <w:rPr>
                <w:b/>
                <w:bCs/>
                <w:noProof/>
                <w:sz w:val="20"/>
                <w:szCs w:val="20"/>
              </w:rPr>
              <w:t>Copper</w:t>
            </w:r>
          </w:p>
        </w:tc>
        <w:tc>
          <w:tcPr>
            <w:tcW w:w="1161" w:type="dxa"/>
            <w:shd w:val="clear" w:color="auto" w:fill="F2F2F2" w:themeFill="background1" w:themeFillShade="F2"/>
          </w:tcPr>
          <w:p>
            <w:pPr>
              <w:rPr>
                <w:noProof/>
                <w:sz w:val="20"/>
                <w:szCs w:val="20"/>
              </w:rPr>
            </w:pPr>
            <w:r>
              <w:rPr>
                <w:noProof/>
                <w:sz w:val="20"/>
                <w:szCs w:val="20"/>
              </w:rPr>
              <w:t>C2444*</w:t>
            </w:r>
          </w:p>
        </w:tc>
      </w:tr>
      <w:tr>
        <w:trPr>
          <w:trHeight w:hRule="exact" w:val="284"/>
        </w:trPr>
        <w:tc>
          <w:tcPr>
            <w:tcW w:w="3612" w:type="dxa"/>
            <w:vAlign w:val="center"/>
          </w:tcPr>
          <w:p>
            <w:pPr>
              <w:spacing w:line="220" w:lineRule="atLeast"/>
              <w:jc w:val="center"/>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Casting of metals</w:t>
            </w:r>
          </w:p>
        </w:tc>
        <w:tc>
          <w:tcPr>
            <w:tcW w:w="1161" w:type="dxa"/>
          </w:tcPr>
          <w:p>
            <w:pPr>
              <w:rPr>
                <w:noProof/>
                <w:sz w:val="20"/>
                <w:szCs w:val="20"/>
              </w:rPr>
            </w:pPr>
            <w:r>
              <w:rPr>
                <w:rFonts w:eastAsia="Times New Roman"/>
                <w:noProof/>
                <w:color w:val="000000" w:themeColor="text1"/>
                <w:sz w:val="20"/>
                <w:szCs w:val="20"/>
                <w:lang w:eastAsia="fr-FR"/>
              </w:rPr>
              <w:t>C245</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Fabricated metal products</w:t>
            </w:r>
            <w:r>
              <w:rPr>
                <w:rFonts w:eastAsia="Times New Roman"/>
                <w:noProof/>
                <w:color w:val="000000" w:themeColor="text1"/>
                <w:sz w:val="20"/>
                <w:szCs w:val="20"/>
                <w:lang w:eastAsia="fr-FR"/>
              </w:rPr>
              <w:t xml:space="preserve"> (except machinery)</w:t>
            </w:r>
          </w:p>
        </w:tc>
        <w:tc>
          <w:tcPr>
            <w:tcW w:w="1161" w:type="dxa"/>
          </w:tcPr>
          <w:p>
            <w:pPr>
              <w:rPr>
                <w:noProof/>
                <w:sz w:val="20"/>
                <w:szCs w:val="20"/>
              </w:rPr>
            </w:pPr>
            <w:r>
              <w:rPr>
                <w:rFonts w:eastAsia="Times New Roman"/>
                <w:noProof/>
                <w:color w:val="000000" w:themeColor="text1"/>
                <w:sz w:val="20"/>
                <w:szCs w:val="20"/>
                <w:lang w:eastAsia="fr-FR"/>
              </w:rPr>
              <w:t>C25</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Computer, electronic</w:t>
            </w:r>
            <w:r>
              <w:rPr>
                <w:rFonts w:eastAsia="Times New Roman"/>
                <w:noProof/>
                <w:color w:val="000000" w:themeColor="text1"/>
                <w:sz w:val="20"/>
                <w:szCs w:val="20"/>
                <w:lang w:eastAsia="fr-FR"/>
              </w:rPr>
              <w:t xml:space="preserve"> and optical products</w:t>
            </w:r>
          </w:p>
        </w:tc>
        <w:tc>
          <w:tcPr>
            <w:tcW w:w="1161" w:type="dxa"/>
          </w:tcPr>
          <w:p>
            <w:pPr>
              <w:rPr>
                <w:noProof/>
                <w:sz w:val="20"/>
                <w:szCs w:val="20"/>
              </w:rPr>
            </w:pPr>
            <w:r>
              <w:rPr>
                <w:rFonts w:eastAsia="Times New Roman"/>
                <w:noProof/>
                <w:color w:val="000000" w:themeColor="text1"/>
                <w:sz w:val="20"/>
                <w:szCs w:val="20"/>
                <w:lang w:eastAsia="fr-FR"/>
              </w:rPr>
              <w:t>C26</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themeColor="text1"/>
                <w:sz w:val="20"/>
                <w:szCs w:val="20"/>
                <w:lang w:eastAsia="fr-FR"/>
              </w:rPr>
            </w:pPr>
            <w:r>
              <w:rPr>
                <w:rFonts w:eastAsia="Times New Roman"/>
                <w:noProof/>
                <w:color w:val="000000" w:themeColor="text1"/>
                <w:sz w:val="20"/>
                <w:szCs w:val="20"/>
                <w:lang w:eastAsia="fr-FR"/>
              </w:rPr>
              <w:t>Electrical equipment</w:t>
            </w:r>
          </w:p>
        </w:tc>
        <w:tc>
          <w:tcPr>
            <w:tcW w:w="1161" w:type="dxa"/>
          </w:tcPr>
          <w:p>
            <w:pPr>
              <w:rPr>
                <w:noProof/>
                <w:sz w:val="20"/>
                <w:szCs w:val="20"/>
              </w:rPr>
            </w:pPr>
            <w:r>
              <w:rPr>
                <w:rFonts w:eastAsia="Times New Roman"/>
                <w:noProof/>
                <w:color w:val="000000" w:themeColor="text1"/>
                <w:sz w:val="20"/>
                <w:szCs w:val="20"/>
                <w:lang w:eastAsia="fr-FR"/>
              </w:rPr>
              <w:t>C27</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 xml:space="preserve">Machinery </w:t>
            </w:r>
            <w:r>
              <w:rPr>
                <w:rFonts w:eastAsia="Times New Roman"/>
                <w:noProof/>
                <w:color w:val="000000" w:themeColor="text1"/>
                <w:sz w:val="20"/>
                <w:szCs w:val="20"/>
                <w:lang w:eastAsia="fr-FR"/>
              </w:rPr>
              <w:t>and equipment n.e.c.</w:t>
            </w:r>
          </w:p>
        </w:tc>
        <w:tc>
          <w:tcPr>
            <w:tcW w:w="1161" w:type="dxa"/>
          </w:tcPr>
          <w:p>
            <w:pPr>
              <w:rPr>
                <w:noProof/>
                <w:sz w:val="20"/>
                <w:szCs w:val="20"/>
              </w:rPr>
            </w:pPr>
            <w:r>
              <w:rPr>
                <w:rFonts w:eastAsia="Times New Roman"/>
                <w:noProof/>
                <w:color w:val="000000" w:themeColor="text1"/>
                <w:sz w:val="20"/>
                <w:szCs w:val="20"/>
                <w:lang w:eastAsia="fr-FR"/>
              </w:rPr>
              <w:t>C28</w:t>
            </w:r>
          </w:p>
        </w:tc>
        <w:tc>
          <w:tcPr>
            <w:tcW w:w="3354" w:type="dxa"/>
          </w:tcPr>
          <w:p>
            <w:pPr>
              <w:spacing w:line="220" w:lineRule="atLeast"/>
              <w:jc w:val="cente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Motor vehicles</w:t>
            </w:r>
            <w:r>
              <w:rPr>
                <w:rFonts w:eastAsia="Times New Roman"/>
                <w:noProof/>
                <w:color w:val="000000" w:themeColor="text1"/>
                <w:sz w:val="20"/>
                <w:szCs w:val="20"/>
                <w:lang w:eastAsia="fr-FR"/>
              </w:rPr>
              <w:t>, trailers and semi-trailers</w:t>
            </w:r>
          </w:p>
        </w:tc>
        <w:tc>
          <w:tcPr>
            <w:tcW w:w="1161" w:type="dxa"/>
          </w:tcPr>
          <w:p>
            <w:pPr>
              <w:rPr>
                <w:noProof/>
                <w:sz w:val="20"/>
                <w:szCs w:val="20"/>
              </w:rPr>
            </w:pPr>
            <w:r>
              <w:rPr>
                <w:rFonts w:eastAsia="Times New Roman"/>
                <w:noProof/>
                <w:color w:val="000000" w:themeColor="text1"/>
                <w:sz w:val="20"/>
                <w:szCs w:val="20"/>
                <w:lang w:eastAsia="fr-FR"/>
              </w:rPr>
              <w:t>C29</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Other transport equipment</w:t>
            </w:r>
          </w:p>
        </w:tc>
        <w:tc>
          <w:tcPr>
            <w:tcW w:w="1161" w:type="dxa"/>
          </w:tcPr>
          <w:p>
            <w:pPr>
              <w:rPr>
                <w:noProof/>
                <w:sz w:val="20"/>
                <w:szCs w:val="20"/>
              </w:rPr>
            </w:pPr>
            <w:r>
              <w:rPr>
                <w:rFonts w:eastAsia="Times New Roman"/>
                <w:noProof/>
                <w:color w:val="000000" w:themeColor="text1"/>
                <w:sz w:val="20"/>
                <w:szCs w:val="20"/>
                <w:lang w:eastAsia="fr-FR"/>
              </w:rPr>
              <w:t>C30</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Other manufacturing</w:t>
            </w:r>
          </w:p>
        </w:tc>
        <w:tc>
          <w:tcPr>
            <w:tcW w:w="1161" w:type="dxa"/>
          </w:tcPr>
          <w:p>
            <w:pPr>
              <w:rPr>
                <w:noProof/>
                <w:sz w:val="20"/>
                <w:szCs w:val="20"/>
              </w:rPr>
            </w:pPr>
            <w:r>
              <w:rPr>
                <w:rFonts w:eastAsia="Times New Roman"/>
                <w:noProof/>
                <w:color w:val="000000" w:themeColor="text1"/>
                <w:sz w:val="20"/>
                <w:szCs w:val="20"/>
                <w:lang w:eastAsia="fr-FR"/>
              </w:rPr>
              <w:t>C32</w:t>
            </w:r>
          </w:p>
        </w:tc>
        <w:tc>
          <w:tcPr>
            <w:tcW w:w="3354" w:type="dxa"/>
          </w:tcPr>
          <w:p>
            <w:pPr>
              <w:rPr>
                <w:noProof/>
                <w:sz w:val="20"/>
                <w:szCs w:val="20"/>
              </w:rPr>
            </w:pPr>
          </w:p>
        </w:tc>
        <w:tc>
          <w:tcPr>
            <w:tcW w:w="1161" w:type="dxa"/>
          </w:tcPr>
          <w:p>
            <w:pPr>
              <w:rPr>
                <w:noProof/>
                <w:sz w:val="20"/>
                <w:szCs w:val="20"/>
              </w:rPr>
            </w:pPr>
          </w:p>
        </w:tc>
      </w:tr>
      <w:tr>
        <w:trPr>
          <w:trHeight w:hRule="exact" w:val="284"/>
        </w:trPr>
        <w:tc>
          <w:tcPr>
            <w:tcW w:w="3612" w:type="dxa"/>
            <w:vAlign w:val="center"/>
          </w:tcPr>
          <w:p>
            <w:pPr>
              <w:spacing w:line="220" w:lineRule="atLeast"/>
              <w:jc w:val="center"/>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Repair, installation of machinery</w:t>
            </w:r>
          </w:p>
        </w:tc>
        <w:tc>
          <w:tcPr>
            <w:tcW w:w="1161" w:type="dxa"/>
          </w:tcPr>
          <w:p>
            <w:pPr>
              <w:rPr>
                <w:noProof/>
                <w:sz w:val="20"/>
                <w:szCs w:val="20"/>
              </w:rPr>
            </w:pPr>
            <w:r>
              <w:rPr>
                <w:rFonts w:eastAsia="Times New Roman"/>
                <w:noProof/>
                <w:color w:val="000000" w:themeColor="text1"/>
                <w:sz w:val="20"/>
                <w:szCs w:val="20"/>
                <w:lang w:eastAsia="fr-FR"/>
              </w:rPr>
              <w:t>C33</w:t>
            </w:r>
          </w:p>
        </w:tc>
        <w:tc>
          <w:tcPr>
            <w:tcW w:w="3354" w:type="dxa"/>
          </w:tcPr>
          <w:p>
            <w:pPr>
              <w:rPr>
                <w:noProof/>
                <w:sz w:val="20"/>
                <w:szCs w:val="20"/>
              </w:rPr>
            </w:pPr>
          </w:p>
        </w:tc>
        <w:tc>
          <w:tcPr>
            <w:tcW w:w="1161" w:type="dxa"/>
          </w:tcPr>
          <w:p>
            <w:pPr>
              <w:rPr>
                <w:noProof/>
                <w:sz w:val="20"/>
                <w:szCs w:val="20"/>
              </w:rPr>
            </w:pPr>
          </w:p>
        </w:tc>
      </w:tr>
    </w:tbl>
    <w:p>
      <w:pPr>
        <w:spacing w:after="0"/>
        <w:rPr>
          <w:noProof/>
          <w:sz w:val="24"/>
          <w:szCs w:val="24"/>
        </w:rPr>
      </w:pPr>
      <w:r>
        <w:rPr>
          <w:noProof/>
          <w:sz w:val="24"/>
          <w:szCs w:val="24"/>
        </w:rPr>
        <w:t>* The sector analysed is a subsector of the NACE code mentioned.</w:t>
      </w:r>
    </w:p>
    <w:p>
      <w:pPr>
        <w:spacing w:after="0"/>
        <w:rPr>
          <w:noProof/>
          <w:sz w:val="24"/>
          <w:szCs w:val="24"/>
        </w:rPr>
      </w:pPr>
      <w:r>
        <w:rPr>
          <w:noProof/>
          <w:sz w:val="24"/>
          <w:szCs w:val="24"/>
        </w:rPr>
        <w:t xml:space="preserve">+ The sector was contacted but unable to provide data due to COVID-related circumstances </w:t>
      </w:r>
    </w:p>
    <w:p>
      <w:pPr>
        <w:pStyle w:val="Sources"/>
        <w:rPr>
          <w:noProof/>
        </w:rPr>
      </w:pPr>
      <w:r>
        <w:rPr>
          <w:noProof/>
        </w:rPr>
        <w:t>Source: European Commission Services</w:t>
      </w:r>
    </w:p>
    <w:p>
      <w:pPr>
        <w:spacing w:after="0"/>
        <w:rPr>
          <w:noProof/>
          <w:sz w:val="24"/>
          <w:szCs w:val="24"/>
        </w:rPr>
      </w:pPr>
      <w:r>
        <w:rPr>
          <w:noProof/>
          <w:sz w:val="24"/>
          <w:szCs w:val="24"/>
        </w:rPr>
        <w:t>Note: Shaded sectors are those most energy-intensive</w:t>
      </w:r>
    </w:p>
    <w:p>
      <w:pPr>
        <w:spacing w:after="0"/>
        <w:rPr>
          <w:noProof/>
          <w:sz w:val="24"/>
          <w:szCs w:val="24"/>
        </w:rPr>
      </w:pPr>
    </w:p>
    <w:p>
      <w:pPr>
        <w:pStyle w:val="AAAAAtext"/>
        <w:rPr>
          <w:noProof/>
        </w:rPr>
      </w:pPr>
    </w:p>
    <w:p>
      <w:pPr>
        <w:pStyle w:val="Caption"/>
      </w:pPr>
    </w:p>
    <w:p>
      <w:pPr>
        <w:pStyle w:val="Caption"/>
      </w:pPr>
    </w:p>
    <w:p>
      <w:pPr>
        <w:pStyle w:val="Caption"/>
      </w:pPr>
    </w:p>
    <w:p>
      <w:pPr>
        <w:rPr>
          <w:noProof/>
        </w:rPr>
      </w:pPr>
    </w:p>
    <w:p>
      <w:pPr>
        <w:pStyle w:val="Caption"/>
      </w:pPr>
      <w:bookmarkStart w:id="63" w:name="_Ref47722429"/>
      <w:bookmarkStart w:id="64" w:name="_Toc52396971"/>
      <w:r>
        <w:t xml:space="preserve">Table </w:t>
      </w:r>
      <w:r>
        <w:fldChar w:fldCharType="begin"/>
      </w:r>
      <w:r>
        <w:instrText xml:space="preserve"> SEQ Table \* ARABIC </w:instrText>
      </w:r>
      <w:r>
        <w:fldChar w:fldCharType="separate"/>
      </w:r>
      <w:r>
        <w:t>12</w:t>
      </w:r>
      <w:r>
        <w:fldChar w:fldCharType="end"/>
      </w:r>
      <w:bookmarkEnd w:id="63"/>
      <w:r>
        <w:t xml:space="preserve"> - Coverage of other sectors, excluding manufacturing</w:t>
      </w:r>
      <w:bookmarkEnd w:id="64"/>
    </w:p>
    <w:tbl>
      <w:tblPr>
        <w:tblStyle w:val="TableGrid"/>
        <w:tblW w:w="9322" w:type="dxa"/>
        <w:tblLook w:val="04A0" w:firstRow="1" w:lastRow="0" w:firstColumn="1" w:lastColumn="0" w:noHBand="0" w:noVBand="1"/>
      </w:tblPr>
      <w:tblGrid>
        <w:gridCol w:w="8161"/>
        <w:gridCol w:w="1161"/>
      </w:tblGrid>
      <w:tr>
        <w:tc>
          <w:tcPr>
            <w:tcW w:w="9322" w:type="dxa"/>
            <w:gridSpan w:val="2"/>
            <w:vAlign w:val="center"/>
          </w:tcPr>
          <w:p>
            <w:pPr>
              <w:jc w:val="center"/>
              <w:rPr>
                <w:noProof/>
                <w:sz w:val="20"/>
                <w:szCs w:val="20"/>
                <w:u w:val="single"/>
              </w:rPr>
            </w:pPr>
          </w:p>
          <w:p>
            <w:pPr>
              <w:jc w:val="center"/>
              <w:rPr>
                <w:noProof/>
                <w:sz w:val="20"/>
                <w:szCs w:val="20"/>
                <w:u w:val="single"/>
              </w:rPr>
            </w:pPr>
            <w:r>
              <w:rPr>
                <w:noProof/>
                <w:sz w:val="20"/>
                <w:szCs w:val="20"/>
                <w:u w:val="single"/>
              </w:rPr>
              <w:t>Coverage of other agriculture, mining, construction and services</w:t>
            </w:r>
          </w:p>
          <w:p>
            <w:pPr>
              <w:jc w:val="center"/>
              <w:rPr>
                <w:i/>
                <w:iCs/>
                <w:noProof/>
                <w:sz w:val="20"/>
                <w:szCs w:val="20"/>
              </w:rPr>
            </w:pPr>
            <w:r>
              <w:rPr>
                <w:i/>
                <w:iCs/>
                <w:noProof/>
                <w:sz w:val="20"/>
                <w:szCs w:val="20"/>
              </w:rPr>
              <w:t xml:space="preserve">Study by Trinomics et altri </w:t>
            </w:r>
          </w:p>
        </w:tc>
      </w:tr>
      <w:tr>
        <w:tc>
          <w:tcPr>
            <w:tcW w:w="8161" w:type="dxa"/>
            <w:vAlign w:val="center"/>
          </w:tcPr>
          <w:p>
            <w:pPr>
              <w:spacing w:line="220" w:lineRule="atLeast"/>
              <w:jc w:val="center"/>
              <w:rPr>
                <w:rFonts w:eastAsia="Times New Roman"/>
                <w:noProof/>
                <w:color w:val="000000" w:themeColor="text1"/>
                <w:sz w:val="20"/>
                <w:szCs w:val="20"/>
                <w:lang w:eastAsia="fr-FR"/>
              </w:rPr>
            </w:pPr>
            <w:r>
              <w:rPr>
                <w:rFonts w:eastAsia="Times New Roman"/>
                <w:noProof/>
                <w:color w:val="000000" w:themeColor="text1"/>
                <w:sz w:val="20"/>
                <w:szCs w:val="20"/>
                <w:lang w:eastAsia="fr-FR"/>
              </w:rPr>
              <w:t>Sector</w:t>
            </w:r>
          </w:p>
        </w:tc>
        <w:tc>
          <w:tcPr>
            <w:tcW w:w="1161" w:type="dxa"/>
            <w:vAlign w:val="center"/>
          </w:tcPr>
          <w:p>
            <w:pPr>
              <w:spacing w:line="220" w:lineRule="atLeast"/>
              <w:jc w:val="center"/>
              <w:rPr>
                <w:rFonts w:eastAsia="Times New Roman"/>
                <w:noProof/>
                <w:color w:val="000000" w:themeColor="text1"/>
                <w:sz w:val="20"/>
                <w:szCs w:val="20"/>
                <w:lang w:eastAsia="fr-FR"/>
              </w:rPr>
            </w:pPr>
            <w:r>
              <w:rPr>
                <w:rFonts w:eastAsia="Times New Roman"/>
                <w:noProof/>
                <w:color w:val="000000" w:themeColor="text1"/>
                <w:sz w:val="20"/>
                <w:szCs w:val="20"/>
                <w:lang w:eastAsia="fr-FR"/>
              </w:rPr>
              <w:t>Level of aggregation (NACE code)</w:t>
            </w:r>
          </w:p>
        </w:tc>
      </w:tr>
      <w:tr>
        <w:trPr>
          <w:trHeight w:hRule="exact" w:val="284"/>
        </w:trPr>
        <w:tc>
          <w:tcPr>
            <w:tcW w:w="8161" w:type="dxa"/>
            <w:vAlign w:val="center"/>
          </w:tcPr>
          <w:p>
            <w:pPr>
              <w:spacing w:after="0"/>
              <w:jc w:val="left"/>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Agriculture, forestry and fishing</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A</w:t>
            </w:r>
          </w:p>
        </w:tc>
      </w:tr>
      <w:tr>
        <w:trPr>
          <w:trHeight w:hRule="exact" w:val="284"/>
        </w:trPr>
        <w:tc>
          <w:tcPr>
            <w:tcW w:w="8161" w:type="dxa"/>
            <w:vAlign w:val="center"/>
          </w:tcPr>
          <w:p>
            <w:pPr>
              <w:spacing w:after="0"/>
              <w:jc w:val="left"/>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Mining and quarrying</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B</w:t>
            </w:r>
          </w:p>
        </w:tc>
      </w:tr>
      <w:tr>
        <w:trPr>
          <w:trHeight w:hRule="exact" w:val="284"/>
        </w:trPr>
        <w:tc>
          <w:tcPr>
            <w:tcW w:w="8161" w:type="dxa"/>
            <w:vAlign w:val="center"/>
          </w:tcPr>
          <w:p>
            <w:pPr>
              <w:spacing w:after="0"/>
              <w:jc w:val="left"/>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Extraction of crude petroleum and natural gas</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B06</w:t>
            </w:r>
          </w:p>
        </w:tc>
      </w:tr>
      <w:tr>
        <w:trPr>
          <w:trHeight w:hRule="exact" w:val="284"/>
        </w:trPr>
        <w:tc>
          <w:tcPr>
            <w:tcW w:w="8161" w:type="dxa"/>
            <w:vAlign w:val="center"/>
          </w:tcPr>
          <w:p>
            <w:pPr>
              <w:spacing w:after="0"/>
              <w:jc w:val="left"/>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Mining</w:t>
            </w:r>
            <w:r>
              <w:rPr>
                <w:rFonts w:eastAsia="Times New Roman"/>
                <w:noProof/>
                <w:color w:val="000000" w:themeColor="text1"/>
                <w:sz w:val="20"/>
                <w:szCs w:val="20"/>
                <w:lang w:eastAsia="fr-FR"/>
              </w:rPr>
              <w:t xml:space="preserve"> of </w:t>
            </w:r>
            <w:r>
              <w:rPr>
                <w:rFonts w:eastAsia="Times New Roman"/>
                <w:b/>
                <w:bCs/>
                <w:noProof/>
                <w:color w:val="000000" w:themeColor="text1"/>
                <w:sz w:val="20"/>
                <w:szCs w:val="20"/>
                <w:lang w:eastAsia="fr-FR"/>
              </w:rPr>
              <w:t>metal ores</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B07</w:t>
            </w:r>
          </w:p>
        </w:tc>
      </w:tr>
      <w:tr>
        <w:trPr>
          <w:trHeight w:hRule="exact" w:val="284"/>
        </w:trPr>
        <w:tc>
          <w:tcPr>
            <w:tcW w:w="8161" w:type="dxa"/>
            <w:vAlign w:val="center"/>
          </w:tcPr>
          <w:p>
            <w:pPr>
              <w:spacing w:after="0"/>
              <w:jc w:val="left"/>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Other mining and quarrying</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B08</w:t>
            </w:r>
          </w:p>
        </w:tc>
      </w:tr>
      <w:tr>
        <w:trPr>
          <w:trHeight w:hRule="exact" w:val="284"/>
        </w:trPr>
        <w:tc>
          <w:tcPr>
            <w:tcW w:w="8161" w:type="dxa"/>
            <w:vAlign w:val="center"/>
          </w:tcPr>
          <w:p>
            <w:pPr>
              <w:spacing w:after="0"/>
              <w:jc w:val="left"/>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Electricity, gas,</w:t>
            </w:r>
            <w:r>
              <w:rPr>
                <w:rFonts w:eastAsia="Times New Roman"/>
                <w:noProof/>
                <w:color w:val="000000" w:themeColor="text1"/>
                <w:sz w:val="20"/>
                <w:szCs w:val="20"/>
                <w:lang w:eastAsia="fr-FR"/>
              </w:rPr>
              <w:t xml:space="preserve"> steam and air-conditioning supply</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D35</w:t>
            </w:r>
          </w:p>
        </w:tc>
      </w:tr>
      <w:tr>
        <w:trPr>
          <w:trHeight w:hRule="exact" w:val="284"/>
        </w:trPr>
        <w:tc>
          <w:tcPr>
            <w:tcW w:w="8161" w:type="dxa"/>
            <w:vAlign w:val="center"/>
          </w:tcPr>
          <w:p>
            <w:pPr>
              <w:spacing w:after="0"/>
              <w:jc w:val="left"/>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Water supply</w:t>
            </w:r>
            <w:r>
              <w:rPr>
                <w:rFonts w:eastAsia="Times New Roman"/>
                <w:noProof/>
                <w:color w:val="000000" w:themeColor="text1"/>
                <w:sz w:val="20"/>
                <w:szCs w:val="20"/>
                <w:lang w:eastAsia="fr-FR"/>
              </w:rPr>
              <w:t>, sewerage, water management and remediation activities</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E38</w:t>
            </w:r>
          </w:p>
        </w:tc>
      </w:tr>
      <w:tr>
        <w:trPr>
          <w:trHeight w:hRule="exact" w:val="284"/>
        </w:trPr>
        <w:tc>
          <w:tcPr>
            <w:tcW w:w="8161" w:type="dxa"/>
            <w:vAlign w:val="center"/>
          </w:tcPr>
          <w:p>
            <w:pPr>
              <w:spacing w:after="0"/>
              <w:jc w:val="left"/>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Construction</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F</w:t>
            </w:r>
          </w:p>
        </w:tc>
      </w:tr>
      <w:tr>
        <w:trPr>
          <w:trHeight w:hRule="exact" w:val="284"/>
        </w:trPr>
        <w:tc>
          <w:tcPr>
            <w:tcW w:w="8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 xml:space="preserve">Wholesale and retail </w:t>
            </w:r>
            <w:r>
              <w:rPr>
                <w:rFonts w:eastAsia="Times New Roman"/>
                <w:b/>
                <w:bCs/>
                <w:noProof/>
                <w:color w:val="000000" w:themeColor="text1"/>
                <w:sz w:val="20"/>
                <w:szCs w:val="20"/>
                <w:lang w:eastAsia="fr-FR"/>
              </w:rPr>
              <w:t>trade</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G</w:t>
            </w:r>
          </w:p>
        </w:tc>
      </w:tr>
      <w:tr>
        <w:trPr>
          <w:trHeight w:hRule="exact" w:val="284"/>
        </w:trPr>
        <w:tc>
          <w:tcPr>
            <w:tcW w:w="8161" w:type="dxa"/>
            <w:vAlign w:val="center"/>
          </w:tcPr>
          <w:p>
            <w:pPr>
              <w:spacing w:after="0"/>
              <w:jc w:val="left"/>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Land Transport</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H49</w:t>
            </w:r>
          </w:p>
        </w:tc>
      </w:tr>
      <w:tr>
        <w:trPr>
          <w:trHeight w:hRule="exact" w:val="284"/>
        </w:trPr>
        <w:tc>
          <w:tcPr>
            <w:tcW w:w="8161" w:type="dxa"/>
            <w:vAlign w:val="center"/>
          </w:tcPr>
          <w:p>
            <w:pPr>
              <w:spacing w:after="0"/>
              <w:jc w:val="left"/>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Air Transport</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H51</w:t>
            </w:r>
          </w:p>
        </w:tc>
      </w:tr>
      <w:tr>
        <w:trPr>
          <w:trHeight w:hRule="exact" w:val="284"/>
        </w:trPr>
        <w:tc>
          <w:tcPr>
            <w:tcW w:w="8161" w:type="dxa"/>
            <w:vAlign w:val="center"/>
          </w:tcPr>
          <w:p>
            <w:pPr>
              <w:spacing w:after="0"/>
              <w:jc w:val="left"/>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Accommodation</w:t>
            </w:r>
            <w:r>
              <w:rPr>
                <w:rFonts w:eastAsia="Times New Roman"/>
                <w:noProof/>
                <w:color w:val="000000" w:themeColor="text1"/>
                <w:sz w:val="20"/>
                <w:szCs w:val="20"/>
                <w:lang w:eastAsia="fr-FR"/>
              </w:rPr>
              <w:t xml:space="preserve"> and food service activities</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I</w:t>
            </w:r>
          </w:p>
        </w:tc>
      </w:tr>
      <w:tr>
        <w:trPr>
          <w:trHeight w:hRule="exact" w:val="284"/>
        </w:trPr>
        <w:tc>
          <w:tcPr>
            <w:tcW w:w="8161" w:type="dxa"/>
            <w:vAlign w:val="center"/>
          </w:tcPr>
          <w:p>
            <w:pPr>
              <w:spacing w:after="0"/>
              <w:jc w:val="left"/>
              <w:rPr>
                <w:rFonts w:eastAsia="Times New Roman"/>
                <w:noProof/>
                <w:color w:val="000000" w:themeColor="text1"/>
                <w:sz w:val="20"/>
                <w:szCs w:val="20"/>
                <w:lang w:eastAsia="fr-FR"/>
              </w:rPr>
            </w:pPr>
            <w:r>
              <w:rPr>
                <w:rFonts w:eastAsia="Times New Roman"/>
                <w:b/>
                <w:bCs/>
                <w:noProof/>
                <w:color w:val="000000" w:themeColor="text1"/>
                <w:sz w:val="20"/>
                <w:szCs w:val="20"/>
                <w:lang w:eastAsia="fr-FR"/>
              </w:rPr>
              <w:t xml:space="preserve">Information and communication </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J</w:t>
            </w:r>
          </w:p>
        </w:tc>
      </w:tr>
      <w:tr>
        <w:trPr>
          <w:trHeight w:hRule="exact" w:val="284"/>
        </w:trPr>
        <w:tc>
          <w:tcPr>
            <w:tcW w:w="8161" w:type="dxa"/>
            <w:vAlign w:val="center"/>
          </w:tcPr>
          <w:p>
            <w:pPr>
              <w:spacing w:after="0"/>
              <w:jc w:val="left"/>
              <w:rPr>
                <w:rFonts w:eastAsia="Times New Roman"/>
                <w:b/>
                <w:bCs/>
                <w:noProof/>
                <w:color w:val="000000" w:themeColor="text1"/>
                <w:sz w:val="20"/>
                <w:szCs w:val="20"/>
                <w:lang w:eastAsia="fr-FR"/>
              </w:rPr>
            </w:pPr>
            <w:r>
              <w:rPr>
                <w:rFonts w:eastAsia="Times New Roman"/>
                <w:b/>
                <w:bCs/>
                <w:noProof/>
                <w:color w:val="000000" w:themeColor="text1"/>
                <w:sz w:val="20"/>
                <w:szCs w:val="20"/>
                <w:lang w:eastAsia="fr-FR"/>
              </w:rPr>
              <w:t>Data Centres -</w:t>
            </w:r>
            <w:r>
              <w:rPr>
                <w:rFonts w:eastAsia="Times New Roman"/>
                <w:noProof/>
                <w:color w:val="000000" w:themeColor="text1"/>
                <w:sz w:val="16"/>
                <w:szCs w:val="16"/>
                <w:lang w:eastAsia="en-GB"/>
              </w:rPr>
              <w:t xml:space="preserve"> </w:t>
            </w:r>
            <w:r>
              <w:rPr>
                <w:rFonts w:eastAsia="Times New Roman"/>
                <w:noProof/>
                <w:color w:val="000000" w:themeColor="text1"/>
                <w:sz w:val="20"/>
                <w:szCs w:val="20"/>
                <w:lang w:eastAsia="fr-FR"/>
              </w:rPr>
              <w:t>Data processing, hosting and related activities; web portals</w:t>
            </w:r>
          </w:p>
        </w:tc>
        <w:tc>
          <w:tcPr>
            <w:tcW w:w="1161" w:type="dxa"/>
            <w:vAlign w:val="center"/>
          </w:tcPr>
          <w:p>
            <w:pPr>
              <w:spacing w:after="0"/>
              <w:jc w:val="left"/>
              <w:rPr>
                <w:rFonts w:eastAsia="Times New Roman"/>
                <w:noProof/>
                <w:color w:val="000000" w:themeColor="text1"/>
                <w:sz w:val="20"/>
                <w:szCs w:val="20"/>
                <w:lang w:eastAsia="fr-FR"/>
              </w:rPr>
            </w:pPr>
            <w:r>
              <w:rPr>
                <w:rFonts w:eastAsia="Times New Roman"/>
                <w:noProof/>
                <w:color w:val="000000" w:themeColor="text1"/>
                <w:sz w:val="20"/>
                <w:szCs w:val="20"/>
                <w:lang w:eastAsia="fr-FR"/>
              </w:rPr>
              <w:t>J631</w:t>
            </w:r>
          </w:p>
        </w:tc>
      </w:tr>
    </w:tbl>
    <w:p>
      <w:pPr>
        <w:pStyle w:val="Sources"/>
        <w:rPr>
          <w:noProof/>
        </w:rPr>
      </w:pPr>
      <w:r>
        <w:rPr>
          <w:noProof/>
        </w:rPr>
        <w:t>Source: European Commission Services</w:t>
      </w:r>
    </w:p>
    <w:p>
      <w:pPr>
        <w:rPr>
          <w:noProof/>
          <w:sz w:val="24"/>
          <w:szCs w:val="24"/>
        </w:rPr>
      </w:pPr>
    </w:p>
    <w:p>
      <w:pPr>
        <w:spacing w:after="0"/>
        <w:jc w:val="left"/>
        <w:rPr>
          <w:noProof/>
        </w:rPr>
      </w:pPr>
      <w:r>
        <w:rPr>
          <w:noProof/>
        </w:rPr>
        <w:br w:type="page"/>
      </w:r>
    </w:p>
    <w:p>
      <w:pPr>
        <w:spacing w:after="60"/>
        <w:rPr>
          <w:b/>
          <w:bCs/>
          <w:noProof/>
        </w:rPr>
      </w:pPr>
    </w:p>
    <w:p>
      <w:pPr>
        <w:spacing w:after="60"/>
        <w:rPr>
          <w:b/>
          <w:bCs/>
          <w:noProof/>
        </w:rPr>
      </w:pPr>
      <w:r>
        <w:rPr>
          <w:b/>
          <w:bCs/>
          <w:noProof/>
        </w:rPr>
        <w:t>Energy costs shares</w:t>
      </w:r>
    </w:p>
    <w:p>
      <w:pPr>
        <w:rPr>
          <w:noProof/>
          <w:sz w:val="24"/>
          <w:szCs w:val="24"/>
        </w:rPr>
      </w:pPr>
      <w:r>
        <w:rPr>
          <w:noProof/>
          <w:sz w:val="24"/>
          <w:szCs w:val="24"/>
        </w:rPr>
        <w:t>The share of energy costs in the total production cost is a good indicator of the impact that energy costs can have on the financial health and on price competitiveness of the various industrial sectors. Using Eurostat SBS, energy cost shares are calculated by dividing the purchases of energy by total production costs, where total production costs are equal to total purchases of goods and services (including energy)</w:t>
      </w:r>
      <w:r>
        <w:rPr>
          <w:rStyle w:val="FootnoteReference"/>
          <w:noProof/>
          <w:sz w:val="24"/>
          <w:szCs w:val="24"/>
        </w:rPr>
        <w:footnoteReference w:id="13"/>
      </w:r>
      <w:r>
        <w:rPr>
          <w:noProof/>
          <w:sz w:val="24"/>
          <w:szCs w:val="24"/>
        </w:rPr>
        <w:t xml:space="preserve"> plus personnel costs.</w:t>
      </w:r>
    </w:p>
    <w:p>
      <w:pPr>
        <w:rPr>
          <w:noProof/>
          <w:sz w:val="24"/>
          <w:szCs w:val="24"/>
        </w:rPr>
      </w:pPr>
      <w:r>
        <w:rPr>
          <w:noProof/>
          <w:sz w:val="24"/>
          <w:szCs w:val="24"/>
        </w:rPr>
        <w:t>When interpreting the energy costs shares based on SBS data, we should keep in mind that results of aggregated sectors usually underestimate the importance of energy costs for the industrial segments with the highest energy intensity. This is particularly true for chemicals, cement, non-ferrous metals, steel and paper sectors which include highly energy-intensive primary producers together with producers of low energy-intensive  secondary products. Self-consumption of energy (not rare in energy-intensive sectors) is also not captured by SBS data. The plant data complements aggregated data and can provide better insight of the prices and costs of industrial segments.</w:t>
      </w:r>
    </w:p>
    <w:p>
      <w:pPr>
        <w:rPr>
          <w:noProof/>
          <w:sz w:val="24"/>
          <w:szCs w:val="24"/>
        </w:rPr>
      </w:pPr>
    </w:p>
    <w:p>
      <w:pPr>
        <w:spacing w:after="60"/>
        <w:rPr>
          <w:b/>
          <w:bCs/>
          <w:noProof/>
          <w:sz w:val="24"/>
          <w:szCs w:val="24"/>
        </w:rPr>
      </w:pPr>
    </w:p>
    <w:p>
      <w:pPr>
        <w:spacing w:after="60"/>
        <w:rPr>
          <w:b/>
          <w:bCs/>
          <w:noProof/>
          <w:sz w:val="24"/>
          <w:szCs w:val="24"/>
        </w:rPr>
      </w:pPr>
      <w:r>
        <w:rPr>
          <w:b/>
          <w:bCs/>
          <w:noProof/>
          <w:sz w:val="24"/>
          <w:szCs w:val="24"/>
        </w:rPr>
        <w:t>Results on energy costs shares</w:t>
      </w:r>
    </w:p>
    <w:p>
      <w:pPr>
        <w:spacing w:after="240"/>
        <w:rPr>
          <w:bCs/>
          <w:noProof/>
          <w:sz w:val="24"/>
          <w:szCs w:val="24"/>
        </w:rPr>
      </w:pPr>
      <w:r>
        <w:rPr>
          <w:b/>
          <w:bCs/>
          <w:noProof/>
          <w:sz w:val="24"/>
          <w:szCs w:val="24"/>
        </w:rPr>
        <w:fldChar w:fldCharType="begin"/>
      </w:r>
      <w:r>
        <w:rPr>
          <w:b/>
          <w:bCs/>
          <w:noProof/>
          <w:sz w:val="24"/>
          <w:szCs w:val="24"/>
        </w:rPr>
        <w:instrText xml:space="preserve"> REF _Ref50679010 \h  \* MERGEFORMAT </w:instrText>
      </w:r>
      <w:r>
        <w:rPr>
          <w:b/>
          <w:bCs/>
          <w:noProof/>
          <w:sz w:val="24"/>
          <w:szCs w:val="24"/>
        </w:rPr>
      </w:r>
      <w:r>
        <w:rPr>
          <w:b/>
          <w:bCs/>
          <w:noProof/>
          <w:sz w:val="24"/>
          <w:szCs w:val="24"/>
        </w:rPr>
        <w:fldChar w:fldCharType="separate"/>
      </w:r>
      <w:r>
        <w:rPr>
          <w:b/>
          <w:noProof/>
          <w:sz w:val="24"/>
          <w:szCs w:val="24"/>
        </w:rPr>
        <w:t>Table 13</w:t>
      </w:r>
      <w:r>
        <w:rPr>
          <w:b/>
          <w:bCs/>
          <w:noProof/>
          <w:sz w:val="24"/>
          <w:szCs w:val="24"/>
        </w:rPr>
        <w:fldChar w:fldCharType="end"/>
      </w:r>
      <w:r>
        <w:rPr>
          <w:bCs/>
          <w:noProof/>
          <w:sz w:val="24"/>
          <w:szCs w:val="24"/>
        </w:rPr>
        <w:t xml:space="preserve"> shows the evolution of the </w:t>
      </w:r>
      <w:r>
        <w:rPr>
          <w:bCs/>
          <w:i/>
          <w:noProof/>
          <w:sz w:val="24"/>
          <w:szCs w:val="24"/>
        </w:rPr>
        <w:t>shares of energy costs in total production costs</w:t>
      </w:r>
      <w:r>
        <w:rPr>
          <w:bCs/>
          <w:noProof/>
          <w:sz w:val="24"/>
          <w:szCs w:val="24"/>
        </w:rPr>
        <w:t xml:space="preserve"> for all the manufacturing and non-manufacturing sectors studied between 2010 and 2017. </w:t>
      </w:r>
    </w:p>
    <w:p>
      <w:pPr>
        <w:rPr>
          <w:bCs/>
          <w:noProof/>
          <w:sz w:val="24"/>
          <w:szCs w:val="24"/>
        </w:rPr>
      </w:pPr>
      <w:r>
        <w:rPr>
          <w:bCs/>
          <w:noProof/>
          <w:sz w:val="24"/>
          <w:szCs w:val="24"/>
        </w:rPr>
        <w:t>The results of the analysis of the energy cost shares over the last decade do not differ much from the trends analyses of previous editions of the study:</w:t>
      </w:r>
    </w:p>
    <w:p>
      <w:pPr>
        <w:pStyle w:val="ListParagraph"/>
        <w:numPr>
          <w:ilvl w:val="0"/>
          <w:numId w:val="8"/>
        </w:numPr>
        <w:spacing w:after="240" w:line="300" w:lineRule="atLeast"/>
        <w:ind w:left="714" w:hanging="357"/>
        <w:contextualSpacing w:val="0"/>
        <w:rPr>
          <w:noProof/>
          <w:sz w:val="24"/>
          <w:szCs w:val="24"/>
        </w:rPr>
      </w:pPr>
      <w:r>
        <w:rPr>
          <w:noProof/>
          <w:sz w:val="24"/>
          <w:szCs w:val="24"/>
        </w:rPr>
        <w:t xml:space="preserve">Energy costs for the selected manufacturing sectors continue to typically account for around 1-10% of total (operational) production costs, although for some sectors the costs significantly exceed 10% (e.g. </w:t>
      </w:r>
      <w:r>
        <w:rPr>
          <w:i/>
          <w:iCs/>
          <w:noProof/>
          <w:sz w:val="24"/>
          <w:szCs w:val="24"/>
        </w:rPr>
        <w:t xml:space="preserve">Cement, lime and plaster </w:t>
      </w:r>
      <w:r>
        <w:rPr>
          <w:noProof/>
          <w:sz w:val="24"/>
          <w:szCs w:val="24"/>
        </w:rPr>
        <w:t>and</w:t>
      </w:r>
      <w:r>
        <w:rPr>
          <w:i/>
          <w:iCs/>
          <w:noProof/>
          <w:sz w:val="24"/>
          <w:szCs w:val="24"/>
        </w:rPr>
        <w:t xml:space="preserve"> Clay building materials</w:t>
      </w:r>
      <w:r>
        <w:rPr>
          <w:noProof/>
          <w:sz w:val="24"/>
          <w:szCs w:val="24"/>
        </w:rPr>
        <w:t xml:space="preserve">) </w:t>
      </w:r>
    </w:p>
    <w:p>
      <w:pPr>
        <w:pStyle w:val="ListParagraph"/>
        <w:numPr>
          <w:ilvl w:val="0"/>
          <w:numId w:val="8"/>
        </w:numPr>
        <w:spacing w:after="240" w:line="300" w:lineRule="atLeast"/>
        <w:ind w:left="714" w:hanging="357"/>
        <w:contextualSpacing w:val="0"/>
        <w:rPr>
          <w:noProof/>
          <w:sz w:val="24"/>
          <w:szCs w:val="24"/>
        </w:rPr>
      </w:pPr>
      <w:r>
        <w:rPr>
          <w:noProof/>
          <w:sz w:val="24"/>
          <w:szCs w:val="24"/>
        </w:rPr>
        <w:t xml:space="preserve">Amongst the most energy-intensive  manufacturing sectors (energy costs typically &gt;3%), energy costs accounted for more than 10% of production costs in at least one year in the </w:t>
      </w:r>
      <w:r>
        <w:rPr>
          <w:i/>
          <w:iCs/>
          <w:noProof/>
          <w:sz w:val="24"/>
          <w:szCs w:val="24"/>
        </w:rPr>
        <w:t>pulp and paper</w:t>
      </w:r>
      <w:r>
        <w:rPr>
          <w:noProof/>
          <w:sz w:val="24"/>
          <w:szCs w:val="24"/>
        </w:rPr>
        <w:t xml:space="preserve">, </w:t>
      </w:r>
      <w:r>
        <w:rPr>
          <w:i/>
          <w:iCs/>
          <w:noProof/>
          <w:sz w:val="24"/>
          <w:szCs w:val="24"/>
        </w:rPr>
        <w:t>clay building materials</w:t>
      </w:r>
      <w:r>
        <w:rPr>
          <w:noProof/>
          <w:sz w:val="24"/>
          <w:szCs w:val="24"/>
        </w:rPr>
        <w:t xml:space="preserve">, </w:t>
      </w:r>
      <w:r>
        <w:rPr>
          <w:i/>
          <w:iCs/>
          <w:noProof/>
          <w:sz w:val="24"/>
          <w:szCs w:val="24"/>
        </w:rPr>
        <w:t>iron and steel</w:t>
      </w:r>
      <w:r>
        <w:rPr>
          <w:noProof/>
          <w:sz w:val="24"/>
          <w:szCs w:val="24"/>
        </w:rPr>
        <w:t xml:space="preserve"> and in particular, the </w:t>
      </w:r>
      <w:r>
        <w:rPr>
          <w:i/>
          <w:iCs/>
          <w:noProof/>
          <w:sz w:val="24"/>
          <w:szCs w:val="24"/>
        </w:rPr>
        <w:t>cement, lime and plaster</w:t>
      </w:r>
      <w:r>
        <w:rPr>
          <w:noProof/>
          <w:sz w:val="24"/>
          <w:szCs w:val="24"/>
        </w:rPr>
        <w:t xml:space="preserve"> sectors.</w:t>
      </w:r>
    </w:p>
    <w:p>
      <w:pPr>
        <w:pStyle w:val="ListParagraph"/>
        <w:numPr>
          <w:ilvl w:val="0"/>
          <w:numId w:val="8"/>
        </w:numPr>
        <w:spacing w:after="240" w:line="300" w:lineRule="atLeast"/>
        <w:ind w:left="714" w:hanging="357"/>
        <w:contextualSpacing w:val="0"/>
        <w:rPr>
          <w:noProof/>
          <w:sz w:val="24"/>
          <w:szCs w:val="24"/>
        </w:rPr>
      </w:pPr>
      <w:r>
        <w:rPr>
          <w:noProof/>
          <w:sz w:val="24"/>
          <w:szCs w:val="24"/>
        </w:rPr>
        <w:t xml:space="preserve">Amongst the less energy-intensive manufacturing sectors (energy costs typically &lt; 3%) many sectors displayed quite low energy costs shares. For example, </w:t>
      </w:r>
      <w:r>
        <w:rPr>
          <w:i/>
          <w:iCs/>
          <w:noProof/>
          <w:sz w:val="24"/>
          <w:szCs w:val="24"/>
        </w:rPr>
        <w:t>computers and electronics</w:t>
      </w:r>
      <w:r>
        <w:rPr>
          <w:noProof/>
          <w:sz w:val="24"/>
          <w:szCs w:val="24"/>
        </w:rPr>
        <w:t xml:space="preserve">, </w:t>
      </w:r>
      <w:r>
        <w:rPr>
          <w:i/>
          <w:noProof/>
          <w:sz w:val="24"/>
          <w:szCs w:val="24"/>
        </w:rPr>
        <w:t>electrical equipment</w:t>
      </w:r>
      <w:r>
        <w:rPr>
          <w:noProof/>
          <w:sz w:val="24"/>
          <w:szCs w:val="24"/>
        </w:rPr>
        <w:t xml:space="preserve">, </w:t>
      </w:r>
      <w:r>
        <w:rPr>
          <w:i/>
          <w:noProof/>
          <w:sz w:val="24"/>
          <w:szCs w:val="24"/>
        </w:rPr>
        <w:t>machinery</w:t>
      </w:r>
      <w:r>
        <w:rPr>
          <w:noProof/>
          <w:sz w:val="24"/>
          <w:szCs w:val="24"/>
        </w:rPr>
        <w:t xml:space="preserve">, </w:t>
      </w:r>
      <w:r>
        <w:rPr>
          <w:i/>
          <w:iCs/>
          <w:noProof/>
          <w:sz w:val="24"/>
          <w:szCs w:val="24"/>
        </w:rPr>
        <w:t>motor vehicles</w:t>
      </w:r>
      <w:r>
        <w:rPr>
          <w:noProof/>
          <w:sz w:val="24"/>
          <w:szCs w:val="24"/>
        </w:rPr>
        <w:t xml:space="preserve">, </w:t>
      </w:r>
      <w:r>
        <w:rPr>
          <w:i/>
          <w:iCs/>
          <w:noProof/>
          <w:sz w:val="24"/>
          <w:szCs w:val="24"/>
        </w:rPr>
        <w:t xml:space="preserve">other transport equipment </w:t>
      </w:r>
      <w:r>
        <w:rPr>
          <w:iCs/>
          <w:noProof/>
          <w:sz w:val="24"/>
          <w:szCs w:val="24"/>
        </w:rPr>
        <w:t xml:space="preserve">and </w:t>
      </w:r>
      <w:r>
        <w:rPr>
          <w:i/>
          <w:iCs/>
          <w:noProof/>
          <w:sz w:val="24"/>
          <w:szCs w:val="24"/>
        </w:rPr>
        <w:t>pharmaceuticals</w:t>
      </w:r>
      <w:r>
        <w:rPr>
          <w:noProof/>
          <w:sz w:val="24"/>
          <w:szCs w:val="24"/>
        </w:rPr>
        <w:t xml:space="preserve"> have energy costs shares between 0.5% and 1% of total production costs. </w:t>
      </w:r>
      <w:r>
        <w:rPr>
          <w:i/>
          <w:noProof/>
          <w:sz w:val="24"/>
          <w:szCs w:val="24"/>
        </w:rPr>
        <w:t>Metal products</w:t>
      </w:r>
      <w:r>
        <w:rPr>
          <w:noProof/>
          <w:sz w:val="24"/>
          <w:szCs w:val="24"/>
        </w:rPr>
        <w:t xml:space="preserve">, </w:t>
      </w:r>
      <w:r>
        <w:rPr>
          <w:i/>
          <w:noProof/>
          <w:sz w:val="24"/>
          <w:szCs w:val="24"/>
        </w:rPr>
        <w:t>beverages</w:t>
      </w:r>
      <w:r>
        <w:rPr>
          <w:noProof/>
          <w:sz w:val="24"/>
          <w:szCs w:val="24"/>
        </w:rPr>
        <w:t xml:space="preserve">, </w:t>
      </w:r>
      <w:r>
        <w:rPr>
          <w:i/>
          <w:noProof/>
          <w:sz w:val="24"/>
          <w:szCs w:val="24"/>
        </w:rPr>
        <w:t>textiles</w:t>
      </w:r>
      <w:r>
        <w:rPr>
          <w:noProof/>
          <w:sz w:val="24"/>
          <w:szCs w:val="24"/>
        </w:rPr>
        <w:t xml:space="preserve">, </w:t>
      </w:r>
      <w:r>
        <w:rPr>
          <w:i/>
          <w:noProof/>
          <w:sz w:val="24"/>
          <w:szCs w:val="24"/>
        </w:rPr>
        <w:t>plastics</w:t>
      </w:r>
      <w:r>
        <w:rPr>
          <w:noProof/>
          <w:sz w:val="24"/>
          <w:szCs w:val="24"/>
        </w:rPr>
        <w:t xml:space="preserve"> energy costs shares are around 2%. </w:t>
      </w:r>
    </w:p>
    <w:p>
      <w:pPr>
        <w:pStyle w:val="ListParagraph"/>
        <w:numPr>
          <w:ilvl w:val="0"/>
          <w:numId w:val="8"/>
        </w:numPr>
        <w:spacing w:after="240" w:line="300" w:lineRule="atLeast"/>
        <w:ind w:left="714" w:hanging="357"/>
        <w:contextualSpacing w:val="0"/>
        <w:rPr>
          <w:noProof/>
          <w:sz w:val="24"/>
          <w:szCs w:val="24"/>
        </w:rPr>
      </w:pPr>
      <w:r>
        <w:rPr>
          <w:noProof/>
          <w:sz w:val="24"/>
          <w:szCs w:val="24"/>
        </w:rPr>
        <w:t xml:space="preserve">Over the period 2010-2017, energy cost shares have fallen in all the manufacturing sectors studied. The largest declines in cost shares were observed in the most energy-intensive  sectors like </w:t>
      </w:r>
      <w:r>
        <w:rPr>
          <w:i/>
          <w:iCs/>
          <w:noProof/>
          <w:sz w:val="24"/>
          <w:szCs w:val="24"/>
        </w:rPr>
        <w:t xml:space="preserve">cement </w:t>
      </w:r>
      <w:r>
        <w:rPr>
          <w:iCs/>
          <w:noProof/>
          <w:sz w:val="24"/>
          <w:szCs w:val="24"/>
        </w:rPr>
        <w:t xml:space="preserve">and </w:t>
      </w:r>
      <w:r>
        <w:rPr>
          <w:i/>
          <w:iCs/>
          <w:noProof/>
          <w:sz w:val="24"/>
          <w:szCs w:val="24"/>
        </w:rPr>
        <w:t xml:space="preserve">paper </w:t>
      </w:r>
      <w:r>
        <w:rPr>
          <w:noProof/>
          <w:sz w:val="24"/>
          <w:szCs w:val="24"/>
        </w:rPr>
        <w:t xml:space="preserve">(around -5%), </w:t>
      </w:r>
      <w:r>
        <w:rPr>
          <w:i/>
          <w:iCs/>
          <w:noProof/>
          <w:sz w:val="24"/>
          <w:szCs w:val="24"/>
        </w:rPr>
        <w:t>clay building materials</w:t>
      </w:r>
      <w:r>
        <w:rPr>
          <w:noProof/>
          <w:sz w:val="24"/>
          <w:szCs w:val="24"/>
        </w:rPr>
        <w:t xml:space="preserve"> and steel (around -3%), </w:t>
      </w:r>
      <w:r>
        <w:rPr>
          <w:i/>
          <w:iCs/>
          <w:noProof/>
          <w:sz w:val="24"/>
          <w:szCs w:val="24"/>
        </w:rPr>
        <w:t xml:space="preserve">glass </w:t>
      </w:r>
      <w:r>
        <w:rPr>
          <w:iCs/>
          <w:noProof/>
          <w:sz w:val="24"/>
          <w:szCs w:val="24"/>
        </w:rPr>
        <w:t>and</w:t>
      </w:r>
      <w:r>
        <w:rPr>
          <w:i/>
          <w:iCs/>
          <w:noProof/>
          <w:sz w:val="24"/>
          <w:szCs w:val="24"/>
        </w:rPr>
        <w:t xml:space="preserve"> chemicals </w:t>
      </w:r>
      <w:r>
        <w:rPr>
          <w:noProof/>
          <w:sz w:val="24"/>
          <w:szCs w:val="24"/>
        </w:rPr>
        <w:t>(-2%). Many other of the less energy-intensive sectors show smaller declines in absolute numbers but proportionally rather significant. For the vast majority of manufacturing sectors, energy costs fell while production costs rose between 2010 and 2017.</w:t>
      </w:r>
    </w:p>
    <w:p>
      <w:pPr>
        <w:pStyle w:val="ListParagraph"/>
        <w:numPr>
          <w:ilvl w:val="0"/>
          <w:numId w:val="8"/>
        </w:numPr>
        <w:spacing w:after="240" w:line="300" w:lineRule="atLeast"/>
        <w:ind w:left="714" w:hanging="357"/>
        <w:contextualSpacing w:val="0"/>
        <w:rPr>
          <w:noProof/>
          <w:sz w:val="24"/>
          <w:szCs w:val="24"/>
        </w:rPr>
      </w:pPr>
      <w:r>
        <w:rPr>
          <w:noProof/>
          <w:sz w:val="24"/>
          <w:szCs w:val="24"/>
        </w:rPr>
        <w:t xml:space="preserve">Over the period, energy costs shares also fell for the majority of non-manufacturing sectors studied with the exception of </w:t>
      </w:r>
      <w:r>
        <w:rPr>
          <w:i/>
          <w:noProof/>
          <w:sz w:val="24"/>
          <w:szCs w:val="24"/>
        </w:rPr>
        <w:t>oil and gas</w:t>
      </w:r>
      <w:r>
        <w:rPr>
          <w:noProof/>
          <w:sz w:val="24"/>
          <w:szCs w:val="24"/>
        </w:rPr>
        <w:t xml:space="preserve"> (+0.7), </w:t>
      </w:r>
      <w:r>
        <w:rPr>
          <w:i/>
          <w:noProof/>
          <w:sz w:val="24"/>
          <w:szCs w:val="24"/>
        </w:rPr>
        <w:t xml:space="preserve">air transport </w:t>
      </w:r>
      <w:r>
        <w:rPr>
          <w:noProof/>
          <w:sz w:val="24"/>
          <w:szCs w:val="24"/>
        </w:rPr>
        <w:t>(+2%) and other mining (+0.1%). The energy costs and production costs dynamics for non-manufacturing sectors were mixed.</w:t>
      </w:r>
    </w:p>
    <w:p>
      <w:pPr>
        <w:jc w:val="center"/>
        <w:rPr>
          <w:b/>
          <w:bCs/>
          <w:noProof/>
          <w:sz w:val="24"/>
          <w:szCs w:val="24"/>
        </w:rPr>
      </w:pPr>
    </w:p>
    <w:p>
      <w:pPr>
        <w:jc w:val="center"/>
        <w:rPr>
          <w:b/>
          <w:noProof/>
          <w:sz w:val="24"/>
          <w:szCs w:val="24"/>
        </w:rPr>
      </w:pPr>
      <w:r>
        <w:rPr>
          <w:b/>
          <w:bCs/>
          <w:noProof/>
          <w:sz w:val="24"/>
          <w:szCs w:val="24"/>
        </w:rPr>
        <w:t>Note on the sectors’ energy</w:t>
      </w:r>
      <w:r>
        <w:rPr>
          <w:b/>
          <w:noProof/>
          <w:sz w:val="24"/>
          <w:szCs w:val="24"/>
        </w:rPr>
        <w:t xml:space="preserve"> costs and the fuel mix</w:t>
      </w:r>
    </w:p>
    <w:p>
      <w:pPr>
        <w:spacing w:after="240"/>
        <w:rPr>
          <w:noProof/>
          <w:sz w:val="24"/>
          <w:szCs w:val="24"/>
        </w:rPr>
      </w:pPr>
      <w:r>
        <w:rPr>
          <w:noProof/>
          <w:sz w:val="24"/>
          <w:szCs w:val="24"/>
        </w:rPr>
        <w:t>Energy costs for industry are driven by energy prices and the quantities consumed of each product. In the short term, prices vary widely driving the changes in energy costs, while energy consumption tends to be more stable (as it depends on consumption patterns, the economic situation and energy efficiency). The consumption fuel mix of a sector tells us about the potential of price changes of each energy product to affect energy costs.</w:t>
      </w:r>
    </w:p>
    <w:p>
      <w:pPr>
        <w:spacing w:after="240"/>
        <w:rPr>
          <w:noProof/>
          <w:sz w:val="24"/>
          <w:szCs w:val="24"/>
        </w:rPr>
      </w:pPr>
      <w:r>
        <w:rPr>
          <w:b/>
          <w:noProof/>
          <w:sz w:val="24"/>
          <w:szCs w:val="24"/>
        </w:rPr>
        <w:fldChar w:fldCharType="begin"/>
      </w:r>
      <w:r>
        <w:rPr>
          <w:b/>
          <w:noProof/>
          <w:sz w:val="24"/>
          <w:szCs w:val="24"/>
        </w:rPr>
        <w:instrText xml:space="preserve"> REF _Ref50737015 \h  \* MERGEFORMAT </w:instrText>
      </w:r>
      <w:r>
        <w:rPr>
          <w:b/>
          <w:noProof/>
          <w:sz w:val="24"/>
          <w:szCs w:val="24"/>
        </w:rPr>
      </w:r>
      <w:r>
        <w:rPr>
          <w:b/>
          <w:noProof/>
          <w:sz w:val="24"/>
          <w:szCs w:val="24"/>
        </w:rPr>
        <w:fldChar w:fldCharType="separate"/>
      </w:r>
      <w:r>
        <w:rPr>
          <w:b/>
          <w:noProof/>
          <w:sz w:val="24"/>
          <w:szCs w:val="24"/>
        </w:rPr>
        <w:t>Figure 138</w:t>
      </w:r>
      <w:r>
        <w:rPr>
          <w:b/>
          <w:noProof/>
          <w:sz w:val="24"/>
          <w:szCs w:val="24"/>
        </w:rPr>
        <w:fldChar w:fldCharType="end"/>
      </w:r>
      <w:r>
        <w:rPr>
          <w:noProof/>
          <w:sz w:val="24"/>
          <w:szCs w:val="24"/>
        </w:rPr>
        <w:t xml:space="preserve"> displays the average importance of fuels in terms of energy consumption by sector. We can observe that electricity and gas (depending upon the specific sector) are the most consumed energy products. Amongst the most energy-intensive sectors, gas is widely used in sectors like </w:t>
      </w:r>
      <w:r>
        <w:rPr>
          <w:i/>
          <w:noProof/>
          <w:sz w:val="24"/>
          <w:szCs w:val="24"/>
        </w:rPr>
        <w:t xml:space="preserve">glass, ceramics, refractory products </w:t>
      </w:r>
      <w:r>
        <w:rPr>
          <w:noProof/>
          <w:sz w:val="24"/>
          <w:szCs w:val="24"/>
        </w:rPr>
        <w:t xml:space="preserve">and </w:t>
      </w:r>
      <w:r>
        <w:rPr>
          <w:i/>
          <w:noProof/>
          <w:sz w:val="24"/>
          <w:szCs w:val="24"/>
        </w:rPr>
        <w:t>building materials,</w:t>
      </w:r>
      <w:r>
        <w:rPr>
          <w:noProof/>
          <w:sz w:val="24"/>
          <w:szCs w:val="24"/>
        </w:rPr>
        <w:t xml:space="preserve"> while electricity is predominant in </w:t>
      </w:r>
      <w:r>
        <w:rPr>
          <w:i/>
          <w:noProof/>
          <w:sz w:val="24"/>
          <w:szCs w:val="24"/>
        </w:rPr>
        <w:t xml:space="preserve">non-ferrous metals, stone </w:t>
      </w:r>
      <w:r>
        <w:rPr>
          <w:noProof/>
          <w:sz w:val="24"/>
          <w:szCs w:val="24"/>
        </w:rPr>
        <w:t>and</w:t>
      </w:r>
      <w:r>
        <w:rPr>
          <w:i/>
          <w:noProof/>
          <w:sz w:val="24"/>
          <w:szCs w:val="24"/>
        </w:rPr>
        <w:t xml:space="preserve"> metal products</w:t>
      </w:r>
      <w:r>
        <w:rPr>
          <w:noProof/>
          <w:sz w:val="24"/>
          <w:szCs w:val="24"/>
        </w:rPr>
        <w:t xml:space="preserve">. Amongst the less energy-intensive sectors, electricity tends to be the most consumed fuel, being particularly important for sectors like </w:t>
      </w:r>
      <w:r>
        <w:rPr>
          <w:i/>
          <w:noProof/>
          <w:sz w:val="24"/>
          <w:szCs w:val="24"/>
        </w:rPr>
        <w:t xml:space="preserve">computers, plastics, textiles electrical equipment, machinery, motor vehicles. </w:t>
      </w:r>
      <w:r>
        <w:rPr>
          <w:noProof/>
          <w:sz w:val="24"/>
          <w:szCs w:val="24"/>
        </w:rPr>
        <w:t>Gas is however relevant</w:t>
      </w:r>
      <w:r>
        <w:rPr>
          <w:i/>
          <w:noProof/>
          <w:sz w:val="24"/>
          <w:szCs w:val="24"/>
        </w:rPr>
        <w:t xml:space="preserve"> </w:t>
      </w:r>
      <w:r>
        <w:rPr>
          <w:noProof/>
          <w:sz w:val="24"/>
          <w:szCs w:val="24"/>
        </w:rPr>
        <w:t xml:space="preserve">for the manufacturing of </w:t>
      </w:r>
      <w:r>
        <w:rPr>
          <w:i/>
          <w:noProof/>
          <w:sz w:val="24"/>
          <w:szCs w:val="24"/>
        </w:rPr>
        <w:t>grain, vegetables or beverages</w:t>
      </w:r>
      <w:r>
        <w:rPr>
          <w:noProof/>
          <w:sz w:val="24"/>
          <w:szCs w:val="24"/>
        </w:rPr>
        <w:t xml:space="preserve">. “Other energies”, in particular biomass, represent an important consumption share in sectors like </w:t>
      </w:r>
      <w:r>
        <w:rPr>
          <w:i/>
          <w:iCs/>
          <w:noProof/>
          <w:sz w:val="24"/>
          <w:szCs w:val="24"/>
        </w:rPr>
        <w:t>sawmills</w:t>
      </w:r>
      <w:r>
        <w:rPr>
          <w:noProof/>
          <w:sz w:val="24"/>
          <w:szCs w:val="24"/>
        </w:rPr>
        <w:t xml:space="preserve"> (&gt;80% of consumption), </w:t>
      </w:r>
      <w:r>
        <w:rPr>
          <w:i/>
          <w:iCs/>
          <w:noProof/>
          <w:sz w:val="24"/>
          <w:szCs w:val="24"/>
        </w:rPr>
        <w:t>man-made fibres</w:t>
      </w:r>
      <w:r>
        <w:rPr>
          <w:noProof/>
          <w:sz w:val="24"/>
          <w:szCs w:val="24"/>
        </w:rPr>
        <w:t xml:space="preserve"> (nearly 60%), </w:t>
      </w:r>
      <w:r>
        <w:rPr>
          <w:i/>
          <w:iCs/>
          <w:noProof/>
          <w:sz w:val="24"/>
          <w:szCs w:val="24"/>
        </w:rPr>
        <w:t>stone</w:t>
      </w:r>
      <w:r>
        <w:rPr>
          <w:noProof/>
          <w:sz w:val="24"/>
          <w:szCs w:val="24"/>
        </w:rPr>
        <w:t xml:space="preserve"> (nearly 40%) and </w:t>
      </w:r>
      <w:r>
        <w:rPr>
          <w:i/>
          <w:iCs/>
          <w:noProof/>
          <w:sz w:val="24"/>
          <w:szCs w:val="24"/>
        </w:rPr>
        <w:t>paper</w:t>
      </w:r>
      <w:r>
        <w:rPr>
          <w:noProof/>
          <w:sz w:val="24"/>
          <w:szCs w:val="24"/>
        </w:rPr>
        <w:t xml:space="preserve"> (nearly 30%).</w:t>
      </w:r>
    </w:p>
    <w:p>
      <w:pPr>
        <w:spacing w:after="240"/>
        <w:rPr>
          <w:noProof/>
          <w:sz w:val="24"/>
          <w:szCs w:val="24"/>
        </w:rPr>
      </w:pPr>
      <w:r>
        <w:rPr>
          <w:noProof/>
          <w:sz w:val="24"/>
          <w:szCs w:val="24"/>
        </w:rPr>
        <w:t xml:space="preserve">Electricity is the most expensive product as compared to the other fuels and it has the proportionally largest impact on energy costs. Electricity costs shares are traditionally high for </w:t>
      </w:r>
      <w:r>
        <w:rPr>
          <w:i/>
          <w:iCs/>
          <w:noProof/>
          <w:sz w:val="24"/>
          <w:szCs w:val="24"/>
        </w:rPr>
        <w:t>non-ferrous metals</w:t>
      </w:r>
      <w:r>
        <w:rPr>
          <w:noProof/>
          <w:sz w:val="24"/>
          <w:szCs w:val="24"/>
        </w:rPr>
        <w:t xml:space="preserve"> and less energy-intensive sectors like </w:t>
      </w:r>
      <w:r>
        <w:rPr>
          <w:i/>
          <w:iCs/>
          <w:noProof/>
          <w:sz w:val="24"/>
          <w:szCs w:val="24"/>
        </w:rPr>
        <w:t>computers or pharmaceuticals</w:t>
      </w:r>
      <w:r>
        <w:rPr>
          <w:noProof/>
          <w:sz w:val="24"/>
          <w:szCs w:val="24"/>
        </w:rPr>
        <w:t xml:space="preserve">. Natural gas has traditionally a major impact on sectors like </w:t>
      </w:r>
      <w:r>
        <w:rPr>
          <w:i/>
          <w:iCs/>
          <w:noProof/>
          <w:sz w:val="24"/>
          <w:szCs w:val="24"/>
        </w:rPr>
        <w:t>glass</w:t>
      </w:r>
      <w:r>
        <w:rPr>
          <w:i/>
          <w:noProof/>
          <w:sz w:val="24"/>
          <w:szCs w:val="24"/>
        </w:rPr>
        <w:t xml:space="preserve">, </w:t>
      </w:r>
      <w:r>
        <w:rPr>
          <w:i/>
          <w:iCs/>
          <w:noProof/>
          <w:sz w:val="24"/>
          <w:szCs w:val="24"/>
        </w:rPr>
        <w:t>ceramics</w:t>
      </w:r>
      <w:r>
        <w:rPr>
          <w:i/>
          <w:noProof/>
          <w:sz w:val="24"/>
          <w:szCs w:val="24"/>
        </w:rPr>
        <w:t xml:space="preserve"> </w:t>
      </w:r>
      <w:r>
        <w:rPr>
          <w:noProof/>
          <w:sz w:val="24"/>
          <w:szCs w:val="24"/>
        </w:rPr>
        <w:t>and</w:t>
      </w:r>
      <w:r>
        <w:rPr>
          <w:i/>
          <w:noProof/>
          <w:sz w:val="24"/>
          <w:szCs w:val="24"/>
        </w:rPr>
        <w:t xml:space="preserve"> </w:t>
      </w:r>
      <w:r>
        <w:rPr>
          <w:i/>
          <w:iCs/>
          <w:noProof/>
          <w:sz w:val="24"/>
          <w:szCs w:val="24"/>
        </w:rPr>
        <w:t>gas-intensive basic chemicals (e.g. fertilisers)</w:t>
      </w:r>
      <w:r>
        <w:rPr>
          <w:noProof/>
          <w:sz w:val="24"/>
          <w:szCs w:val="24"/>
        </w:rPr>
        <w:t xml:space="preserve">. Oil and coal have a small impact on the energy costs in most of the sectors. That said, oil costs are very important for </w:t>
      </w:r>
      <w:r>
        <w:rPr>
          <w:i/>
          <w:iCs/>
          <w:noProof/>
          <w:sz w:val="24"/>
          <w:szCs w:val="24"/>
        </w:rPr>
        <w:t xml:space="preserve">refineries </w:t>
      </w:r>
      <w:r>
        <w:rPr>
          <w:iCs/>
          <w:noProof/>
          <w:sz w:val="24"/>
          <w:szCs w:val="24"/>
        </w:rPr>
        <w:t>and significant for</w:t>
      </w:r>
      <w:r>
        <w:rPr>
          <w:noProof/>
          <w:sz w:val="24"/>
          <w:szCs w:val="24"/>
        </w:rPr>
        <w:t xml:space="preserve"> </w:t>
      </w:r>
      <w:r>
        <w:rPr>
          <w:i/>
          <w:iCs/>
          <w:noProof/>
          <w:sz w:val="24"/>
          <w:szCs w:val="24"/>
        </w:rPr>
        <w:t xml:space="preserve">cement, lime and plaster </w:t>
      </w:r>
      <w:r>
        <w:rPr>
          <w:noProof/>
          <w:sz w:val="24"/>
          <w:szCs w:val="24"/>
        </w:rPr>
        <w:t>and</w:t>
      </w:r>
      <w:r>
        <w:rPr>
          <w:i/>
          <w:iCs/>
          <w:noProof/>
          <w:sz w:val="24"/>
          <w:szCs w:val="24"/>
        </w:rPr>
        <w:t xml:space="preserve"> basic chemicals. </w:t>
      </w:r>
      <w:r>
        <w:rPr>
          <w:iCs/>
          <w:noProof/>
          <w:sz w:val="24"/>
          <w:szCs w:val="24"/>
        </w:rPr>
        <w:t xml:space="preserve">Coal costs are relevant for </w:t>
      </w:r>
      <w:r>
        <w:rPr>
          <w:i/>
          <w:iCs/>
          <w:noProof/>
          <w:sz w:val="24"/>
          <w:szCs w:val="24"/>
        </w:rPr>
        <w:t xml:space="preserve">steel </w:t>
      </w:r>
      <w:r>
        <w:rPr>
          <w:iCs/>
          <w:noProof/>
          <w:sz w:val="24"/>
          <w:szCs w:val="24"/>
        </w:rPr>
        <w:t>and other sectors with a sizable coal consumption (e.g.</w:t>
      </w:r>
      <w:r>
        <w:rPr>
          <w:noProof/>
          <w:sz w:val="24"/>
          <w:szCs w:val="24"/>
        </w:rPr>
        <w:t xml:space="preserve"> </w:t>
      </w:r>
      <w:r>
        <w:rPr>
          <w:i/>
          <w:iCs/>
          <w:noProof/>
          <w:sz w:val="24"/>
          <w:szCs w:val="24"/>
        </w:rPr>
        <w:t>abrasive products,</w:t>
      </w:r>
      <w:r>
        <w:rPr>
          <w:noProof/>
          <w:sz w:val="24"/>
          <w:szCs w:val="24"/>
        </w:rPr>
        <w:t xml:space="preserve"> </w:t>
      </w:r>
      <w:r>
        <w:rPr>
          <w:i/>
          <w:iCs/>
          <w:noProof/>
          <w:sz w:val="24"/>
          <w:szCs w:val="24"/>
        </w:rPr>
        <w:t>cement</w:t>
      </w:r>
      <w:r>
        <w:rPr>
          <w:noProof/>
          <w:sz w:val="24"/>
          <w:szCs w:val="24"/>
        </w:rPr>
        <w:t xml:space="preserve"> and </w:t>
      </w:r>
      <w:r>
        <w:rPr>
          <w:i/>
          <w:iCs/>
          <w:noProof/>
          <w:sz w:val="24"/>
          <w:szCs w:val="24"/>
        </w:rPr>
        <w:t>casting of metals)</w:t>
      </w:r>
    </w:p>
    <w:p>
      <w:pPr>
        <w:jc w:val="center"/>
        <w:rPr>
          <w:noProof/>
          <w:sz w:val="24"/>
          <w:szCs w:val="24"/>
        </w:rPr>
      </w:pPr>
      <w:r>
        <w:rPr>
          <w:noProof/>
          <w:lang w:eastAsia="en-GB"/>
        </w:rPr>
        <w:drawing>
          <wp:inline distT="0" distB="0" distL="0" distR="0">
            <wp:extent cx="5651128" cy="2843625"/>
            <wp:effectExtent l="0" t="0" r="6985" b="0"/>
            <wp:docPr id="2004831796" name="Picture 149194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946902"/>
                    <pic:cNvPicPr/>
                  </pic:nvPicPr>
                  <pic:blipFill>
                    <a:blip r:embed="rId22">
                      <a:extLst>
                        <a:ext uri="{28A0092B-C50C-407E-A947-70E740481C1C}">
                          <a14:useLocalDpi xmlns:a14="http://schemas.microsoft.com/office/drawing/2010/main"/>
                        </a:ext>
                      </a:extLst>
                    </a:blip>
                    <a:stretch>
                      <a:fillRect/>
                    </a:stretch>
                  </pic:blipFill>
                  <pic:spPr>
                    <a:xfrm>
                      <a:off x="0" y="0"/>
                      <a:ext cx="5704048" cy="2870254"/>
                    </a:xfrm>
                    <a:prstGeom prst="rect">
                      <a:avLst/>
                    </a:prstGeom>
                  </pic:spPr>
                </pic:pic>
              </a:graphicData>
            </a:graphic>
          </wp:inline>
        </w:drawing>
      </w:r>
    </w:p>
    <w:p>
      <w:pPr>
        <w:pStyle w:val="Caption"/>
      </w:pPr>
      <w:bookmarkStart w:id="65" w:name="_Ref50737015"/>
      <w:bookmarkStart w:id="66" w:name="_Toc50494132"/>
      <w:bookmarkStart w:id="67" w:name="_Toc52396910"/>
      <w:r>
        <w:t xml:space="preserve">Figure </w:t>
      </w:r>
      <w:r>
        <w:fldChar w:fldCharType="begin"/>
      </w:r>
      <w:r>
        <w:instrText xml:space="preserve"> SEQ Figure \* ARABIC </w:instrText>
      </w:r>
      <w:r>
        <w:fldChar w:fldCharType="separate"/>
      </w:r>
      <w:r>
        <w:t>138</w:t>
      </w:r>
      <w:r>
        <w:fldChar w:fldCharType="end"/>
      </w:r>
      <w:bookmarkEnd w:id="65"/>
      <w:r>
        <w:t xml:space="preserve"> - Breakdown of the energy consumption per energy carrier, EU, 2008-2017 averages</w:t>
      </w:r>
      <w:bookmarkEnd w:id="66"/>
      <w:bookmarkEnd w:id="67"/>
    </w:p>
    <w:p>
      <w:pPr>
        <w:pStyle w:val="Sources"/>
        <w:spacing w:after="0"/>
        <w:jc w:val="left"/>
        <w:rPr>
          <w:noProof/>
          <w:lang w:val="fr-BE"/>
        </w:rPr>
      </w:pPr>
      <w:r>
        <w:rPr>
          <w:noProof/>
          <w:lang w:val="fr-BE"/>
        </w:rPr>
        <w:t>Source: Trinomics et altri study (2020)</w:t>
      </w:r>
    </w:p>
    <w:p>
      <w:pPr>
        <w:spacing w:after="0"/>
        <w:jc w:val="left"/>
        <w:rPr>
          <w:noProof/>
          <w:sz w:val="20"/>
          <w:szCs w:val="20"/>
        </w:rPr>
      </w:pPr>
      <w:r>
        <w:rPr>
          <w:noProof/>
          <w:sz w:val="20"/>
          <w:szCs w:val="20"/>
        </w:rPr>
        <w:t>Note: “other” combines biomass and heat energy consumption</w:t>
      </w:r>
    </w:p>
    <w:p>
      <w:pPr>
        <w:rPr>
          <w:noProof/>
        </w:rPr>
      </w:pPr>
    </w:p>
    <w:p>
      <w:pPr>
        <w:rPr>
          <w:noProof/>
        </w:rPr>
      </w:pPr>
    </w:p>
    <w:p>
      <w:pPr>
        <w:rPr>
          <w:noProof/>
        </w:rPr>
      </w:pPr>
    </w:p>
    <w:p>
      <w:pPr>
        <w:spacing w:after="0"/>
        <w:jc w:val="left"/>
        <w:rPr>
          <w:noProof/>
        </w:rPr>
      </w:pPr>
      <w:r>
        <w:rPr>
          <w:noProof/>
        </w:rPr>
        <w:br w:type="page"/>
      </w:r>
    </w:p>
    <w:p>
      <w:pPr>
        <w:rPr>
          <w:b/>
          <w:noProof/>
          <w:sz w:val="24"/>
          <w:szCs w:val="24"/>
        </w:rPr>
        <w:sectPr>
          <w:headerReference w:type="even" r:id="rId23"/>
          <w:headerReference w:type="default" r:id="rId24"/>
          <w:footerReference w:type="even" r:id="rId25"/>
          <w:footerReference w:type="default" r:id="rId26"/>
          <w:headerReference w:type="first" r:id="rId27"/>
          <w:footerReference w:type="first" r:id="rId28"/>
          <w:footnotePr>
            <w:numStart w:val="51"/>
          </w:footnotePr>
          <w:pgSz w:w="11906" w:h="16838" w:code="9"/>
          <w:pgMar w:top="1134" w:right="1417" w:bottom="1134" w:left="1417" w:header="709" w:footer="709" w:gutter="0"/>
          <w:pgNumType w:start="152"/>
          <w:cols w:space="720"/>
          <w:docGrid w:linePitch="360"/>
        </w:sectPr>
      </w:pPr>
    </w:p>
    <w:p>
      <w:pPr>
        <w:pStyle w:val="Caption"/>
      </w:pPr>
      <w:bookmarkStart w:id="68" w:name="_Ref527037384"/>
      <w:bookmarkStart w:id="69" w:name="_Ref50679010"/>
      <w:bookmarkStart w:id="70" w:name="_Toc525817556"/>
      <w:bookmarkStart w:id="71" w:name="_Toc526433346"/>
      <w:bookmarkStart w:id="72" w:name="_Toc526433599"/>
      <w:bookmarkStart w:id="73" w:name="_Toc526435541"/>
      <w:bookmarkStart w:id="74" w:name="_Toc52396972"/>
      <w:bookmarkEnd w:id="68"/>
      <w:r>
        <w:t xml:space="preserve">Table </w:t>
      </w:r>
      <w:r>
        <w:fldChar w:fldCharType="begin"/>
      </w:r>
      <w:r>
        <w:instrText xml:space="preserve"> SEQ Table \* ARABIC </w:instrText>
      </w:r>
      <w:r>
        <w:fldChar w:fldCharType="separate"/>
      </w:r>
      <w:r>
        <w:t>13</w:t>
      </w:r>
      <w:r>
        <w:fldChar w:fldCharType="end"/>
      </w:r>
      <w:bookmarkEnd w:id="69"/>
      <w:r>
        <w:t xml:space="preserve"> - Energy costs shares in total production costs for manufacturing and non-manufacturing sectors, 2010-201</w:t>
      </w:r>
      <w:bookmarkEnd w:id="70"/>
      <w:bookmarkEnd w:id="71"/>
      <w:bookmarkEnd w:id="72"/>
      <w:bookmarkEnd w:id="73"/>
      <w:r>
        <w:t>7</w:t>
      </w:r>
      <w:bookmarkEnd w:id="74"/>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975"/>
        <w:gridCol w:w="819"/>
        <w:gridCol w:w="819"/>
        <w:gridCol w:w="818"/>
        <w:gridCol w:w="818"/>
        <w:gridCol w:w="818"/>
        <w:gridCol w:w="818"/>
        <w:gridCol w:w="818"/>
        <w:gridCol w:w="818"/>
        <w:gridCol w:w="1103"/>
        <w:gridCol w:w="1103"/>
        <w:gridCol w:w="1119"/>
        <w:gridCol w:w="1119"/>
        <w:gridCol w:w="859"/>
        <w:gridCol w:w="843"/>
      </w:tblGrid>
      <w:tr>
        <w:trPr>
          <w:trHeight w:val="720"/>
        </w:trPr>
        <w:tc>
          <w:tcPr>
            <w:tcW w:w="948" w:type="pct"/>
            <w:shd w:val="clear" w:color="auto" w:fill="4F81BD" w:themeFill="accent1"/>
            <w:noWrap/>
            <w:vAlign w:val="bottom"/>
            <w:hideMark/>
          </w:tcPr>
          <w:p>
            <w:pPr>
              <w:spacing w:after="0"/>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Manufacturing (Section C0</w:t>
            </w:r>
          </w:p>
        </w:tc>
        <w:tc>
          <w:tcPr>
            <w:tcW w:w="261" w:type="pct"/>
            <w:shd w:val="clear" w:color="auto" w:fill="4F81BD" w:themeFill="accent1"/>
            <w:noWrap/>
            <w:vAlign w:val="bottom"/>
            <w:hideMark/>
          </w:tcPr>
          <w:p>
            <w:pPr>
              <w:spacing w:after="0"/>
              <w:jc w:val="right"/>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2010</w:t>
            </w:r>
          </w:p>
        </w:tc>
        <w:tc>
          <w:tcPr>
            <w:tcW w:w="261" w:type="pct"/>
            <w:shd w:val="clear" w:color="auto" w:fill="4F81BD" w:themeFill="accent1"/>
            <w:noWrap/>
            <w:vAlign w:val="bottom"/>
            <w:hideMark/>
          </w:tcPr>
          <w:p>
            <w:pPr>
              <w:spacing w:after="0"/>
              <w:jc w:val="right"/>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2011</w:t>
            </w:r>
          </w:p>
        </w:tc>
        <w:tc>
          <w:tcPr>
            <w:tcW w:w="261" w:type="pct"/>
            <w:shd w:val="clear" w:color="auto" w:fill="4F81BD" w:themeFill="accent1"/>
            <w:noWrap/>
            <w:vAlign w:val="bottom"/>
            <w:hideMark/>
          </w:tcPr>
          <w:p>
            <w:pPr>
              <w:spacing w:after="0"/>
              <w:jc w:val="right"/>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2012</w:t>
            </w:r>
          </w:p>
        </w:tc>
        <w:tc>
          <w:tcPr>
            <w:tcW w:w="261" w:type="pct"/>
            <w:shd w:val="clear" w:color="auto" w:fill="4F81BD" w:themeFill="accent1"/>
            <w:noWrap/>
            <w:vAlign w:val="bottom"/>
            <w:hideMark/>
          </w:tcPr>
          <w:p>
            <w:pPr>
              <w:spacing w:after="0"/>
              <w:jc w:val="right"/>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2013</w:t>
            </w:r>
          </w:p>
        </w:tc>
        <w:tc>
          <w:tcPr>
            <w:tcW w:w="261" w:type="pct"/>
            <w:shd w:val="clear" w:color="auto" w:fill="4F81BD" w:themeFill="accent1"/>
            <w:noWrap/>
            <w:vAlign w:val="bottom"/>
            <w:hideMark/>
          </w:tcPr>
          <w:p>
            <w:pPr>
              <w:spacing w:after="0"/>
              <w:jc w:val="right"/>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2014</w:t>
            </w:r>
          </w:p>
        </w:tc>
        <w:tc>
          <w:tcPr>
            <w:tcW w:w="261" w:type="pct"/>
            <w:shd w:val="clear" w:color="auto" w:fill="4F81BD" w:themeFill="accent1"/>
            <w:noWrap/>
            <w:vAlign w:val="bottom"/>
            <w:hideMark/>
          </w:tcPr>
          <w:p>
            <w:pPr>
              <w:spacing w:after="0"/>
              <w:jc w:val="right"/>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2015</w:t>
            </w:r>
          </w:p>
        </w:tc>
        <w:tc>
          <w:tcPr>
            <w:tcW w:w="261" w:type="pct"/>
            <w:shd w:val="clear" w:color="auto" w:fill="4F81BD" w:themeFill="accent1"/>
            <w:noWrap/>
            <w:vAlign w:val="bottom"/>
            <w:hideMark/>
          </w:tcPr>
          <w:p>
            <w:pPr>
              <w:spacing w:after="0"/>
              <w:jc w:val="right"/>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2016</w:t>
            </w:r>
          </w:p>
        </w:tc>
        <w:tc>
          <w:tcPr>
            <w:tcW w:w="261" w:type="pct"/>
            <w:shd w:val="clear" w:color="auto" w:fill="4F81BD" w:themeFill="accent1"/>
            <w:noWrap/>
            <w:vAlign w:val="bottom"/>
            <w:hideMark/>
          </w:tcPr>
          <w:p>
            <w:pPr>
              <w:spacing w:after="0"/>
              <w:jc w:val="right"/>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2017</w:t>
            </w:r>
          </w:p>
        </w:tc>
        <w:tc>
          <w:tcPr>
            <w:tcW w:w="352" w:type="pct"/>
            <w:shd w:val="clear" w:color="auto" w:fill="4F81BD" w:themeFill="accent1"/>
            <w:vAlign w:val="center"/>
            <w:hideMark/>
          </w:tcPr>
          <w:p>
            <w:pPr>
              <w:spacing w:after="0"/>
              <w:jc w:val="center"/>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Absolute change 2010-2013</w:t>
            </w:r>
          </w:p>
        </w:tc>
        <w:tc>
          <w:tcPr>
            <w:tcW w:w="352" w:type="pct"/>
            <w:shd w:val="clear" w:color="auto" w:fill="4F81BD" w:themeFill="accent1"/>
            <w:vAlign w:val="center"/>
            <w:hideMark/>
          </w:tcPr>
          <w:p>
            <w:pPr>
              <w:spacing w:after="0"/>
              <w:jc w:val="center"/>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Absolute change 2014-2017</w:t>
            </w:r>
          </w:p>
        </w:tc>
        <w:tc>
          <w:tcPr>
            <w:tcW w:w="357" w:type="pct"/>
            <w:shd w:val="clear" w:color="auto" w:fill="4F81BD" w:themeFill="accent1"/>
            <w:vAlign w:val="center"/>
            <w:hideMark/>
          </w:tcPr>
          <w:p>
            <w:pPr>
              <w:spacing w:after="0"/>
              <w:jc w:val="center"/>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Absolute change 2010-2017</w:t>
            </w:r>
          </w:p>
        </w:tc>
        <w:tc>
          <w:tcPr>
            <w:tcW w:w="357" w:type="pct"/>
            <w:shd w:val="clear" w:color="auto" w:fill="4F81BD" w:themeFill="accent1"/>
            <w:vAlign w:val="center"/>
            <w:hideMark/>
          </w:tcPr>
          <w:p>
            <w:pPr>
              <w:spacing w:after="0"/>
              <w:jc w:val="center"/>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Relative change 2010-2017</w:t>
            </w:r>
          </w:p>
        </w:tc>
        <w:tc>
          <w:tcPr>
            <w:tcW w:w="274" w:type="pct"/>
            <w:shd w:val="clear" w:color="auto" w:fill="4F81BD" w:themeFill="accent1"/>
            <w:vAlign w:val="center"/>
            <w:hideMark/>
          </w:tcPr>
          <w:p>
            <w:pPr>
              <w:spacing w:after="0"/>
              <w:jc w:val="center"/>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Average</w:t>
            </w:r>
          </w:p>
        </w:tc>
        <w:tc>
          <w:tcPr>
            <w:tcW w:w="269" w:type="pct"/>
            <w:shd w:val="clear" w:color="auto" w:fill="4F81BD" w:themeFill="accent1"/>
            <w:vAlign w:val="center"/>
            <w:hideMark/>
          </w:tcPr>
          <w:p>
            <w:pPr>
              <w:spacing w:after="0"/>
              <w:rPr>
                <w:rFonts w:ascii="Calibri" w:eastAsia="Times New Roman" w:hAnsi="Calibri" w:cs="Calibri"/>
                <w:b/>
                <w:bCs/>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Max. level</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C103 - Fruit and vegetables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-21.9%</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2.8%</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C106 - Grain products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-30.5%</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3.3%</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3.7%</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C132 - Textiles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-40.4%</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2.5%</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3.7%</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C161 - Sawmills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-12.7%</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3.4%</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4.0%</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C171 - Pulp and paper</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6.7%</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c>
          <w:tcPr>
            <w:tcW w:w="357"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-4.7%</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-40.9%</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9.3%</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11.4%</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C172 - Articles of paper</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-29.3%</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3.0%</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C192 - Refineries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-0.5%</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-28.0%</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C201 - Basic chemicals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357"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-2.2%</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-32.7%</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5.9%</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7.1%</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C206 - Man-made fibres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-22.2%</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6.6%</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8.5%</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C222 - Plastics products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-0.5%</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-23.1%</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C231 - Glass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352"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-2.0%</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-21.7%</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8.2%</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9.7%</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C232 - Refractory products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-18.6%</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6.5%</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7.2%</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C233 - Clay building materials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-3.0%</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-25.1%</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11.1%</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12.4%</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C234 - Porcelain and ceramics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0.5%</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-22.6%</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5.0%</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5.7%</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C235 - Cement, lime and plaster</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15.2%</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352"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-3.4%</w:t>
            </w:r>
          </w:p>
        </w:tc>
        <w:tc>
          <w:tcPr>
            <w:tcW w:w="357"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-5.1%</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-25.3%</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18.3%</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21.2%</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C237 - Stone</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-5.7%</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3.4%</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4.6%</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C239 - Abrasive products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-7.3%</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5.0%</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5.2%</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C241 - Iron and steel</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7"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-2.9%</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-30.8%</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7.7%</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9.5%</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C244 - Non-ferrous metals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-23.5%</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3.7%</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4.1%</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C245 - Casting of metal</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-24.4%</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5.2%</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6.1%</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C11 - Beverages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-15.8%</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2.5%</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C21 - Pharmaceutical products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-18.6%</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C25 - Fabricated metal products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-24.9%</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C26 - Computer and electronics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-0.5%</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C27 - Electrical equipment</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-27.7%</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C28 - Machinery and equipment</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-24.0%</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C29 - Motor vehicles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-31.0%</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C30 - Other transport equipment</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0.5%</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-38.8%</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C32 - Other manufacturing</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-29.5%</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C33 - Repair of machinery</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-18.4%</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r>
      <w:tr>
        <w:trPr>
          <w:trHeight w:val="290"/>
        </w:trPr>
        <w:tc>
          <w:tcPr>
            <w:tcW w:w="948" w:type="pct"/>
            <w:shd w:val="clear" w:color="auto" w:fill="4F81BD" w:themeFill="accent1"/>
            <w:noWrap/>
            <w:vAlign w:val="bottom"/>
          </w:tcPr>
          <w:p>
            <w:pPr>
              <w:spacing w:after="0"/>
              <w:rPr>
                <w:rFonts w:ascii="Calibri" w:eastAsia="Times New Roman" w:hAnsi="Calibri" w:cs="Calibri"/>
                <w:noProof/>
                <w:color w:val="FFFFFF" w:themeColor="background1"/>
                <w:sz w:val="18"/>
                <w:szCs w:val="18"/>
                <w:lang w:eastAsia="en-GB"/>
              </w:rPr>
            </w:pPr>
            <w:r>
              <w:rPr>
                <w:rFonts w:ascii="Calibri" w:eastAsia="Times New Roman" w:hAnsi="Calibri" w:cs="Calibri"/>
                <w:b/>
                <w:bCs/>
                <w:noProof/>
                <w:color w:val="FFFFFF" w:themeColor="background1"/>
                <w:sz w:val="18"/>
                <w:szCs w:val="18"/>
                <w:lang w:eastAsia="en-GB"/>
              </w:rPr>
              <w:t>Non- Manufacturing (Other sections)</w:t>
            </w:r>
          </w:p>
        </w:tc>
        <w:tc>
          <w:tcPr>
            <w:tcW w:w="261"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261"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261"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261"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261"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261"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261"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261"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352"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352"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357"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357"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274"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c>
          <w:tcPr>
            <w:tcW w:w="269" w:type="pct"/>
            <w:shd w:val="clear" w:color="auto" w:fill="4F81BD" w:themeFill="accent1"/>
            <w:noWrap/>
            <w:vAlign w:val="bottom"/>
          </w:tcPr>
          <w:p>
            <w:pPr>
              <w:spacing w:after="0"/>
              <w:jc w:val="right"/>
              <w:rPr>
                <w:rFonts w:ascii="Calibri" w:eastAsia="Times New Roman" w:hAnsi="Calibri" w:cs="Calibri"/>
                <w:noProof/>
                <w:color w:val="FFFFFF" w:themeColor="background1"/>
                <w:sz w:val="16"/>
                <w:szCs w:val="16"/>
                <w:lang w:eastAsia="en-GB"/>
              </w:rPr>
            </w:pP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B - Mining and quarrying</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2.2%</w:t>
            </w:r>
          </w:p>
        </w:tc>
        <w:tc>
          <w:tcPr>
            <w:tcW w:w="357"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sz w:val="18"/>
                <w:szCs w:val="18"/>
                <w:lang w:eastAsia="en-GB"/>
              </w:rPr>
              <w:t>2.2%</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76.2%</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3.2%</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5.1%</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B06 - Oil and gas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357"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C00000"/>
                <w:sz w:val="18"/>
                <w:szCs w:val="18"/>
                <w:lang w:eastAsia="en-GB"/>
              </w:rPr>
              <w:t>0.7%</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380.6%</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B07 - Mining of metal ores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16.7%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-0.7%</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-13.5%</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18.7%</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20.8%</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B08 - Other mining</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8.7%</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-0.5%</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1.6%</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9.0%</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9.7%</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D35 - Electricity, gas and steam</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16.2%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14.0%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14.5%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13.0%</w:t>
            </w:r>
          </w:p>
        </w:tc>
        <w:tc>
          <w:tcPr>
            <w:tcW w:w="352"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-3.5%</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357"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-3.2%</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-19.7%</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13.7%</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16.2%</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E38 - Waste management</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-0.6%</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-15.5%</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2.0%</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2.3%</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F - Construction</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-0.2%</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-18.0%</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G - Wholesale and retail trade</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-0.1%</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-14.2%</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H49 - Land transport</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30.1%</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36.3%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33.3%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31.4%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24.8%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27.9%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26.7%</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1.3%</w:t>
            </w:r>
          </w:p>
        </w:tc>
        <w:tc>
          <w:tcPr>
            <w:tcW w:w="352"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-2.6%</w:t>
            </w:r>
          </w:p>
        </w:tc>
        <w:tc>
          <w:tcPr>
            <w:tcW w:w="357"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000000"/>
                <w:sz w:val="18"/>
                <w:szCs w:val="18"/>
                <w:lang w:eastAsia="en-GB"/>
              </w:rPr>
              <w:t>-3.4%</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-11.3%</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30.0%</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36.3%</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H51 - Air transport</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16.6%</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16.3%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15.3%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18.6%</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1.6%</w:t>
            </w:r>
          </w:p>
        </w:tc>
        <w:tc>
          <w:tcPr>
            <w:tcW w:w="357" w:type="pct"/>
            <w:shd w:val="clear" w:color="auto" w:fill="C6D9F1" w:themeFill="text2" w:themeFillTint="33"/>
            <w:noWrap/>
            <w:vAlign w:val="bottom"/>
            <w:hideMark/>
          </w:tcPr>
          <w:p>
            <w:pPr>
              <w:spacing w:after="0"/>
              <w:jc w:val="right"/>
              <w:rPr>
                <w:rFonts w:ascii="Calibri" w:eastAsia="Times New Roman" w:hAnsi="Calibri" w:cs="Calibri"/>
                <w:b/>
                <w:noProof/>
                <w:color w:val="000000"/>
                <w:sz w:val="18"/>
                <w:szCs w:val="18"/>
                <w:lang w:eastAsia="en-GB"/>
              </w:rPr>
            </w:pPr>
            <w:r>
              <w:rPr>
                <w:rFonts w:ascii="Calibri" w:eastAsia="Times New Roman" w:hAnsi="Calibri" w:cs="Calibri"/>
                <w:b/>
                <w:noProof/>
                <w:color w:val="C00000"/>
                <w:sz w:val="18"/>
                <w:szCs w:val="18"/>
                <w:lang w:eastAsia="en-GB"/>
              </w:rPr>
              <w:t>2.0%</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12.1%</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17.7%</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19.8%</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I - Accommodation and restaurants</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4.3%</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3.7%</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3.4%</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3.5%</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-0.5%</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-1.4%</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-29.6%</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3.9%</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4.7%</w:t>
            </w:r>
          </w:p>
        </w:tc>
      </w:tr>
      <w:tr>
        <w:trPr>
          <w:trHeight w:val="290"/>
        </w:trPr>
        <w:tc>
          <w:tcPr>
            <w:tcW w:w="948" w:type="pct"/>
            <w:shd w:val="clear" w:color="auto" w:fill="auto"/>
            <w:noWrap/>
            <w:vAlign w:val="bottom"/>
            <w:hideMark/>
          </w:tcPr>
          <w:p>
            <w:pPr>
              <w:spacing w:after="0"/>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J - Information and communication</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1.0%</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0.8%</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1" w:type="pct"/>
            <w:shd w:val="clear" w:color="auto" w:fill="auto"/>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-0.3%</w:t>
            </w:r>
          </w:p>
        </w:tc>
        <w:tc>
          <w:tcPr>
            <w:tcW w:w="352"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0.0%</w:t>
            </w:r>
          </w:p>
        </w:tc>
        <w:tc>
          <w:tcPr>
            <w:tcW w:w="357" w:type="pct"/>
            <w:shd w:val="clear" w:color="auto" w:fill="C6D9F1" w:themeFill="text2" w:themeFillTint="33"/>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-0.4%</w:t>
            </w:r>
          </w:p>
        </w:tc>
        <w:tc>
          <w:tcPr>
            <w:tcW w:w="357"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-29.7%</w:t>
            </w:r>
          </w:p>
        </w:tc>
        <w:tc>
          <w:tcPr>
            <w:tcW w:w="274"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0.9%</w:t>
            </w:r>
          </w:p>
        </w:tc>
        <w:tc>
          <w:tcPr>
            <w:tcW w:w="269" w:type="pct"/>
            <w:shd w:val="clear" w:color="auto" w:fill="548DD4" w:themeFill="text2" w:themeFillTint="99"/>
            <w:noWrap/>
            <w:vAlign w:val="bottom"/>
            <w:hideMark/>
          </w:tcPr>
          <w:p>
            <w:pPr>
              <w:spacing w:after="0"/>
              <w:jc w:val="right"/>
              <w:rPr>
                <w:rFonts w:ascii="Calibri" w:eastAsia="Times New Roman" w:hAnsi="Calibri" w:cs="Calibri"/>
                <w:noProof/>
                <w:color w:val="000000"/>
                <w:sz w:val="18"/>
                <w:szCs w:val="18"/>
                <w:lang w:eastAsia="en-GB"/>
              </w:rPr>
            </w:pPr>
            <w:r>
              <w:rPr>
                <w:rFonts w:ascii="Calibri" w:eastAsia="Times New Roman" w:hAnsi="Calibri" w:cs="Calibri"/>
                <w:noProof/>
                <w:color w:val="000000"/>
                <w:sz w:val="18"/>
                <w:szCs w:val="18"/>
                <w:lang w:eastAsia="en-GB"/>
              </w:rPr>
              <w:t>1.2%</w:t>
            </w:r>
          </w:p>
        </w:tc>
      </w:tr>
    </w:tbl>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noProof/>
        </w:rPr>
      </w:pPr>
    </w:p>
    <w:p>
      <w:pPr>
        <w:spacing w:after="0"/>
        <w:jc w:val="left"/>
        <w:rPr>
          <w:b/>
          <w:noProof/>
          <w:sz w:val="24"/>
          <w:szCs w:val="24"/>
        </w:rPr>
        <w:sectPr>
          <w:headerReference w:type="even" r:id="rId29"/>
          <w:headerReference w:type="default" r:id="rId30"/>
          <w:footerReference w:type="even" r:id="rId31"/>
          <w:footerReference w:type="default" r:id="rId32"/>
          <w:headerReference w:type="first" r:id="rId33"/>
          <w:footerReference w:type="first" r:id="rId34"/>
          <w:footnotePr>
            <w:numStart w:val="51"/>
          </w:footnotePr>
          <w:pgSz w:w="16838" w:h="11906" w:orient="landscape" w:code="9"/>
          <w:pgMar w:top="1418" w:right="253" w:bottom="1418" w:left="1134" w:header="709" w:footer="709" w:gutter="0"/>
          <w:cols w:space="720"/>
          <w:docGrid w:linePitch="360"/>
        </w:sectPr>
      </w:pPr>
    </w:p>
    <w:p>
      <w:pPr>
        <w:jc w:val="center"/>
        <w:rPr>
          <w:noProof/>
        </w:rPr>
      </w:pPr>
      <w:r>
        <w:rPr>
          <w:noProof/>
          <w:lang w:eastAsia="en-GB"/>
        </w:rPr>
        <w:drawing>
          <wp:inline distT="0" distB="0" distL="0" distR="0">
            <wp:extent cx="8583930" cy="4182110"/>
            <wp:effectExtent l="0" t="0" r="7620" b="8890"/>
            <wp:docPr id="1079413689" name="Picture 149194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946890"/>
                    <pic:cNvPicPr/>
                  </pic:nvPicPr>
                  <pic:blipFill>
                    <a:blip r:embed="rId35">
                      <a:extLst>
                        <a:ext uri="{28A0092B-C50C-407E-A947-70E740481C1C}">
                          <a14:useLocalDpi xmlns:a14="http://schemas.microsoft.com/office/drawing/2010/main"/>
                        </a:ext>
                      </a:extLst>
                    </a:blip>
                    <a:stretch>
                      <a:fillRect/>
                    </a:stretch>
                  </pic:blipFill>
                  <pic:spPr>
                    <a:xfrm>
                      <a:off x="0" y="0"/>
                      <a:ext cx="8583930" cy="4182110"/>
                    </a:xfrm>
                    <a:prstGeom prst="rect">
                      <a:avLst/>
                    </a:prstGeom>
                  </pic:spPr>
                </pic:pic>
              </a:graphicData>
            </a:graphic>
          </wp:inline>
        </w:drawing>
      </w:r>
    </w:p>
    <w:p>
      <w:pPr>
        <w:pStyle w:val="Caption"/>
      </w:pPr>
      <w:bookmarkStart w:id="75" w:name="_Toc52396911"/>
      <w:r>
        <w:t xml:space="preserve">Figure </w:t>
      </w:r>
      <w:r>
        <w:fldChar w:fldCharType="begin"/>
      </w:r>
      <w:r>
        <w:instrText xml:space="preserve"> SEQ Figure \* ARABIC </w:instrText>
      </w:r>
      <w:r>
        <w:fldChar w:fldCharType="separate"/>
      </w:r>
      <w:r>
        <w:t>139</w:t>
      </w:r>
      <w:r>
        <w:fldChar w:fldCharType="end"/>
      </w:r>
      <w:r>
        <w:t xml:space="preserve"> - Energy costs shares in total production costs in manufacturing sectors, 2008-2017</w:t>
      </w:r>
      <w:bookmarkEnd w:id="75"/>
    </w:p>
    <w:p>
      <w:pPr>
        <w:pStyle w:val="Sources"/>
        <w:jc w:val="left"/>
        <w:rPr>
          <w:noProof/>
          <w:lang w:val="fr-BE" w:eastAsia="de-DE"/>
        </w:rPr>
        <w:sectPr>
          <w:headerReference w:type="even" r:id="rId36"/>
          <w:headerReference w:type="default" r:id="rId37"/>
          <w:footerReference w:type="even" r:id="rId38"/>
          <w:footerReference w:type="default" r:id="rId39"/>
          <w:headerReference w:type="first" r:id="rId40"/>
          <w:footerReference w:type="first" r:id="rId41"/>
          <w:footnotePr>
            <w:numStart w:val="51"/>
          </w:footnotePr>
          <w:pgSz w:w="16838" w:h="11906" w:orient="landscape" w:code="9"/>
          <w:pgMar w:top="1418" w:right="255" w:bottom="1418" w:left="1134" w:header="709" w:footer="709" w:gutter="0"/>
          <w:cols w:space="720"/>
          <w:docGrid w:linePitch="360"/>
        </w:sectPr>
      </w:pPr>
      <w:r>
        <w:rPr>
          <w:noProof/>
          <w:lang w:val="fr-BE" w:eastAsia="de-DE"/>
        </w:rPr>
        <w:t>Source: Trinomics et altri study (2020)</w:t>
      </w:r>
    </w:p>
    <w:p>
      <w:pPr>
        <w:pStyle w:val="Sources"/>
        <w:rPr>
          <w:noProof/>
          <w:lang w:val="fr-BE" w:eastAsia="de-DE"/>
        </w:rPr>
      </w:pPr>
    </w:p>
    <w:p>
      <w:pPr>
        <w:jc w:val="center"/>
        <w:rPr>
          <w:noProof/>
        </w:rPr>
      </w:pPr>
      <w:r>
        <w:rPr>
          <w:noProof/>
          <w:lang w:eastAsia="en-GB"/>
        </w:rPr>
        <w:drawing>
          <wp:inline distT="0" distB="0" distL="0" distR="0">
            <wp:extent cx="7905790" cy="4007501"/>
            <wp:effectExtent l="0" t="0" r="0" b="0"/>
            <wp:docPr id="10528808" name="Picture 149194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946891"/>
                    <pic:cNvPicPr/>
                  </pic:nvPicPr>
                  <pic:blipFill>
                    <a:blip r:embed="rId42">
                      <a:extLst>
                        <a:ext uri="{28A0092B-C50C-407E-A947-70E740481C1C}">
                          <a14:useLocalDpi xmlns:a14="http://schemas.microsoft.com/office/drawing/2010/main"/>
                        </a:ext>
                      </a:extLst>
                    </a:blip>
                    <a:stretch>
                      <a:fillRect/>
                    </a:stretch>
                  </pic:blipFill>
                  <pic:spPr>
                    <a:xfrm>
                      <a:off x="0" y="0"/>
                      <a:ext cx="7907141" cy="4008186"/>
                    </a:xfrm>
                    <a:prstGeom prst="rect">
                      <a:avLst/>
                    </a:prstGeom>
                  </pic:spPr>
                </pic:pic>
              </a:graphicData>
            </a:graphic>
          </wp:inline>
        </w:drawing>
      </w:r>
    </w:p>
    <w:p>
      <w:pPr>
        <w:pStyle w:val="Caption"/>
      </w:pPr>
      <w:bookmarkStart w:id="76" w:name="_Toc52396912"/>
      <w:r>
        <w:t xml:space="preserve">Figure </w:t>
      </w:r>
      <w:r>
        <w:fldChar w:fldCharType="begin"/>
      </w:r>
      <w:r>
        <w:instrText xml:space="preserve"> SEQ Figure \* ARABIC </w:instrText>
      </w:r>
      <w:r>
        <w:fldChar w:fldCharType="separate"/>
      </w:r>
      <w:r>
        <w:t>140</w:t>
      </w:r>
      <w:r>
        <w:fldChar w:fldCharType="end"/>
      </w:r>
      <w:r>
        <w:t xml:space="preserve"> - Energy costs shares in total production costs in non-manufacturing sectors 2010-2017</w:t>
      </w:r>
      <w:bookmarkEnd w:id="76"/>
    </w:p>
    <w:p>
      <w:pPr>
        <w:pStyle w:val="Sources"/>
        <w:rPr>
          <w:noProof/>
          <w:lang w:val="fr-BE" w:eastAsia="de-DE"/>
        </w:rPr>
      </w:pPr>
      <w:r>
        <w:rPr>
          <w:noProof/>
          <w:lang w:val="fr-BE" w:eastAsia="de-DE"/>
        </w:rPr>
        <w:t>Source: Trinomics et altri study (2020)</w:t>
      </w:r>
    </w:p>
    <w:p>
      <w:pPr>
        <w:pBdr>
          <w:top w:val="single" w:sz="4" w:space="1" w:color="auto"/>
          <w:left w:val="single" w:sz="4" w:space="4" w:color="auto"/>
          <w:bottom w:val="single" w:sz="4" w:space="1" w:color="auto"/>
          <w:right w:val="single" w:sz="4" w:space="4" w:color="auto"/>
        </w:pBdr>
        <w:spacing w:after="0"/>
        <w:jc w:val="left"/>
        <w:rPr>
          <w:noProof/>
          <w:sz w:val="24"/>
          <w:szCs w:val="24"/>
        </w:rPr>
        <w:sectPr>
          <w:headerReference w:type="even" r:id="rId43"/>
          <w:headerReference w:type="default" r:id="rId44"/>
          <w:footerReference w:type="even" r:id="rId45"/>
          <w:footerReference w:type="default" r:id="rId46"/>
          <w:headerReference w:type="first" r:id="rId47"/>
          <w:footerReference w:type="first" r:id="rId48"/>
          <w:footnotePr>
            <w:numStart w:val="51"/>
          </w:footnotePr>
          <w:pgSz w:w="16838" w:h="11906" w:orient="landscape" w:code="9"/>
          <w:pgMar w:top="1418" w:right="255" w:bottom="1418" w:left="1134" w:header="709" w:footer="709" w:gutter="0"/>
          <w:cols w:space="720"/>
          <w:docGrid w:linePitch="360"/>
        </w:sectPr>
      </w:pPr>
      <w:r>
        <w:rPr>
          <w:noProof/>
          <w:sz w:val="20"/>
          <w:szCs w:val="20"/>
        </w:rPr>
        <w:t>Amongst the non-manufacturing sectors for which data was available energy cost shares are particularly high in 5 sectors, being comparable to or higher than cost shares in the most energy-intensive manufacturing sectors. These 5 sectors are H49 Land transport (H49), Air transport (H51), Mining of metal ores (B07), Electricity, gas and steam (D36) and other mining (B08). Clearly fuel costs are important drivers of costs in the transport and electricity and gas sectors, whilst mining is also an energy-intensive activity. It is notable that energy cost shares in Waste management (E38) and Accommodation and restaurants (I) also have cost shares of 3-5%, which is comparable to many of the energy-intensive manufacturing sectors. Energy cost shares are negligible in the construction (F) and Wholesale and retail (G) sectors</w:t>
      </w:r>
    </w:p>
    <w:p>
      <w:pPr>
        <w:spacing w:after="0"/>
        <w:jc w:val="left"/>
        <w:rPr>
          <w:b/>
          <w:noProof/>
          <w:sz w:val="24"/>
          <w:szCs w:val="24"/>
        </w:rPr>
      </w:pPr>
    </w:p>
    <w:p>
      <w:pPr>
        <w:spacing w:after="0"/>
        <w:jc w:val="left"/>
        <w:rPr>
          <w:b/>
          <w:noProof/>
          <w:sz w:val="24"/>
          <w:szCs w:val="24"/>
        </w:rPr>
      </w:pPr>
      <w:r>
        <w:rPr>
          <w:b/>
          <w:noProof/>
          <w:sz w:val="24"/>
          <w:szCs w:val="24"/>
        </w:rPr>
        <w:t>Dynamics of the energy costs shares in total production costs</w:t>
      </w:r>
    </w:p>
    <w:p>
      <w:pPr>
        <w:spacing w:after="0"/>
        <w:jc w:val="left"/>
        <w:rPr>
          <w:noProof/>
          <w:sz w:val="24"/>
          <w:szCs w:val="24"/>
        </w:rPr>
      </w:pPr>
    </w:p>
    <w:p>
      <w:pPr>
        <w:spacing w:after="0"/>
        <w:rPr>
          <w:noProof/>
          <w:sz w:val="24"/>
          <w:szCs w:val="24"/>
        </w:rPr>
      </w:pPr>
      <w:r>
        <w:rPr>
          <w:noProof/>
          <w:sz w:val="24"/>
          <w:szCs w:val="24"/>
        </w:rPr>
        <w:t xml:space="preserve">Energy costs shares in production costs changes result from the relative changes in energy costs and production costs. For instance, energy costs shares could fall if </w:t>
      </w:r>
      <w:r>
        <w:rPr>
          <w:i/>
          <w:noProof/>
          <w:sz w:val="24"/>
          <w:szCs w:val="24"/>
        </w:rPr>
        <w:t>energy costs</w:t>
      </w:r>
      <w:r>
        <w:rPr>
          <w:noProof/>
          <w:sz w:val="24"/>
          <w:szCs w:val="24"/>
        </w:rPr>
        <w:t xml:space="preserve"> grow less than </w:t>
      </w:r>
      <w:r>
        <w:rPr>
          <w:i/>
          <w:noProof/>
          <w:sz w:val="24"/>
          <w:szCs w:val="24"/>
        </w:rPr>
        <w:t>production costs</w:t>
      </w:r>
      <w:r>
        <w:rPr>
          <w:noProof/>
          <w:sz w:val="24"/>
          <w:szCs w:val="24"/>
        </w:rPr>
        <w:t xml:space="preserve"> over the period analysed. They could also rise when </w:t>
      </w:r>
      <w:r>
        <w:rPr>
          <w:i/>
          <w:noProof/>
          <w:sz w:val="24"/>
          <w:szCs w:val="24"/>
        </w:rPr>
        <w:t>energy costs</w:t>
      </w:r>
      <w:r>
        <w:rPr>
          <w:noProof/>
          <w:sz w:val="24"/>
          <w:szCs w:val="24"/>
        </w:rPr>
        <w:t xml:space="preserve"> fall if </w:t>
      </w:r>
      <w:r>
        <w:rPr>
          <w:i/>
          <w:noProof/>
          <w:sz w:val="24"/>
          <w:szCs w:val="24"/>
        </w:rPr>
        <w:t>production costs</w:t>
      </w:r>
      <w:r>
        <w:rPr>
          <w:noProof/>
          <w:sz w:val="24"/>
          <w:szCs w:val="24"/>
        </w:rPr>
        <w:t xml:space="preserve"> fall more. </w:t>
      </w:r>
      <w:r>
        <w:rPr>
          <w:b/>
          <w:noProof/>
          <w:sz w:val="24"/>
          <w:szCs w:val="24"/>
        </w:rPr>
        <w:fldChar w:fldCharType="begin"/>
      </w:r>
      <w:r>
        <w:rPr>
          <w:b/>
          <w:noProof/>
          <w:sz w:val="24"/>
          <w:szCs w:val="24"/>
        </w:rPr>
        <w:instrText xml:space="preserve"> REF _Ref50680245 \h  \* MERGEFORMAT </w:instrText>
      </w:r>
      <w:r>
        <w:rPr>
          <w:b/>
          <w:noProof/>
          <w:sz w:val="24"/>
          <w:szCs w:val="24"/>
        </w:rPr>
      </w:r>
      <w:r>
        <w:rPr>
          <w:b/>
          <w:noProof/>
          <w:sz w:val="24"/>
          <w:szCs w:val="24"/>
        </w:rPr>
        <w:fldChar w:fldCharType="separate"/>
      </w:r>
      <w:r>
        <w:rPr>
          <w:b/>
          <w:noProof/>
          <w:sz w:val="24"/>
          <w:szCs w:val="24"/>
        </w:rPr>
        <w:t>Table 14</w:t>
      </w:r>
      <w:r>
        <w:rPr>
          <w:b/>
          <w:noProof/>
          <w:sz w:val="24"/>
          <w:szCs w:val="24"/>
        </w:rPr>
        <w:fldChar w:fldCharType="end"/>
      </w:r>
      <w:r>
        <w:rPr>
          <w:noProof/>
          <w:sz w:val="24"/>
          <w:szCs w:val="24"/>
        </w:rPr>
        <w:t xml:space="preserve"> shows the change of each of these two variables for each sector in order to understand the costs dynamics that explain the evolution of the energy costs shares. We should bear in mind that the energy costs shares fell for all sectors studied except for a few non-manufacturing sectors (</w:t>
      </w:r>
      <w:r>
        <w:rPr>
          <w:i/>
          <w:noProof/>
          <w:sz w:val="24"/>
          <w:szCs w:val="24"/>
        </w:rPr>
        <w:t>air transport</w:t>
      </w:r>
      <w:r>
        <w:rPr>
          <w:noProof/>
          <w:sz w:val="24"/>
          <w:szCs w:val="24"/>
        </w:rPr>
        <w:t xml:space="preserve"> and </w:t>
      </w:r>
      <w:r>
        <w:rPr>
          <w:i/>
          <w:noProof/>
          <w:sz w:val="24"/>
          <w:szCs w:val="24"/>
        </w:rPr>
        <w:t>mining &amp; quarrying</w:t>
      </w:r>
      <w:r>
        <w:rPr>
          <w:noProof/>
          <w:sz w:val="24"/>
          <w:szCs w:val="24"/>
        </w:rPr>
        <w:t xml:space="preserve"> and its subsectors of </w:t>
      </w:r>
      <w:r>
        <w:rPr>
          <w:i/>
          <w:noProof/>
          <w:sz w:val="24"/>
          <w:szCs w:val="24"/>
        </w:rPr>
        <w:t xml:space="preserve">oil and gas </w:t>
      </w:r>
      <w:r>
        <w:rPr>
          <w:noProof/>
          <w:sz w:val="24"/>
          <w:szCs w:val="24"/>
        </w:rPr>
        <w:t xml:space="preserve">and </w:t>
      </w:r>
      <w:r>
        <w:rPr>
          <w:i/>
          <w:noProof/>
          <w:sz w:val="24"/>
          <w:szCs w:val="24"/>
        </w:rPr>
        <w:t>other mining</w:t>
      </w:r>
      <w:r>
        <w:rPr>
          <w:noProof/>
          <w:sz w:val="24"/>
          <w:szCs w:val="24"/>
        </w:rPr>
        <w:t>).</w:t>
      </w:r>
    </w:p>
    <w:p>
      <w:pPr>
        <w:spacing w:after="0"/>
        <w:jc w:val="left"/>
        <w:rPr>
          <w:noProof/>
          <w:sz w:val="24"/>
          <w:szCs w:val="24"/>
        </w:rPr>
      </w:pPr>
    </w:p>
    <w:p>
      <w:pPr>
        <w:spacing w:after="0"/>
        <w:rPr>
          <w:noProof/>
          <w:sz w:val="24"/>
          <w:szCs w:val="24"/>
        </w:rPr>
      </w:pPr>
      <w:r>
        <w:rPr>
          <w:b/>
          <w:noProof/>
          <w:sz w:val="24"/>
          <w:szCs w:val="24"/>
        </w:rPr>
        <w:fldChar w:fldCharType="begin"/>
      </w:r>
      <w:r>
        <w:rPr>
          <w:b/>
          <w:noProof/>
          <w:sz w:val="24"/>
          <w:szCs w:val="24"/>
        </w:rPr>
        <w:instrText xml:space="preserve"> REF _Ref50680737 \h  \* MERGEFORMAT </w:instrText>
      </w:r>
      <w:r>
        <w:rPr>
          <w:b/>
          <w:noProof/>
          <w:sz w:val="24"/>
          <w:szCs w:val="24"/>
        </w:rPr>
      </w:r>
      <w:r>
        <w:rPr>
          <w:b/>
          <w:noProof/>
          <w:sz w:val="24"/>
          <w:szCs w:val="24"/>
        </w:rPr>
        <w:fldChar w:fldCharType="separate"/>
      </w:r>
      <w:r>
        <w:rPr>
          <w:b/>
          <w:noProof/>
          <w:sz w:val="24"/>
          <w:szCs w:val="24"/>
        </w:rPr>
        <w:t>Table 15</w:t>
      </w:r>
      <w:r>
        <w:rPr>
          <w:b/>
          <w:noProof/>
          <w:sz w:val="24"/>
          <w:szCs w:val="24"/>
        </w:rPr>
        <w:fldChar w:fldCharType="end"/>
      </w:r>
      <w:r>
        <w:rPr>
          <w:noProof/>
          <w:sz w:val="24"/>
          <w:szCs w:val="24"/>
        </w:rPr>
        <w:t xml:space="preserve"> allows us to categorise the dynamics of the declines in energy costs shares. It shows that, between 2010 and 2017, for more than half of the sectors studied (22 out of 41), the energy costs fell while production costs grew, leading to a decrease in the energy costs shares. For about a quarter of sectors (9 out of 41), energy costs grew but less than the rise in production costs. In only one case, </w:t>
      </w:r>
      <w:r>
        <w:rPr>
          <w:i/>
          <w:noProof/>
          <w:sz w:val="24"/>
          <w:szCs w:val="24"/>
        </w:rPr>
        <w:t>air transport</w:t>
      </w:r>
      <w:r>
        <w:rPr>
          <w:noProof/>
          <w:sz w:val="24"/>
          <w:szCs w:val="24"/>
        </w:rPr>
        <w:t xml:space="preserve">, the energy costs grew more than the rise of production costs. For about another quarter of sectors (9 out of 41), both costs fell, but energy costs declined by more than production costs. Only in the case of </w:t>
      </w:r>
      <w:r>
        <w:rPr>
          <w:i/>
          <w:noProof/>
          <w:sz w:val="24"/>
          <w:szCs w:val="24"/>
        </w:rPr>
        <w:t>mining and quarrying</w:t>
      </w:r>
      <w:r>
        <w:rPr>
          <w:noProof/>
          <w:sz w:val="24"/>
          <w:szCs w:val="24"/>
        </w:rPr>
        <w:t xml:space="preserve"> and its subsector </w:t>
      </w:r>
      <w:r>
        <w:rPr>
          <w:i/>
          <w:noProof/>
          <w:sz w:val="24"/>
          <w:szCs w:val="24"/>
        </w:rPr>
        <w:t>other mining</w:t>
      </w:r>
      <w:r>
        <w:rPr>
          <w:noProof/>
          <w:sz w:val="24"/>
          <w:szCs w:val="24"/>
        </w:rPr>
        <w:t>, the energy costs fell less than the production costs, leading to an increase in their energy costs shares. Finally, for only one sector (</w:t>
      </w:r>
      <w:r>
        <w:rPr>
          <w:i/>
          <w:noProof/>
          <w:sz w:val="24"/>
          <w:szCs w:val="24"/>
        </w:rPr>
        <w:t>oil and gas</w:t>
      </w:r>
      <w:r>
        <w:rPr>
          <w:noProof/>
          <w:sz w:val="24"/>
          <w:szCs w:val="24"/>
        </w:rPr>
        <w:t>), energy costs increased while production costs decreased, leading to an unavoidable increase of the energy costs shares indicator.</w:t>
      </w:r>
    </w:p>
    <w:p>
      <w:pPr>
        <w:spacing w:after="0"/>
        <w:jc w:val="left"/>
        <w:rPr>
          <w:noProof/>
        </w:rPr>
        <w:sectPr>
          <w:headerReference w:type="even" r:id="rId49"/>
          <w:headerReference w:type="default" r:id="rId50"/>
          <w:footerReference w:type="even" r:id="rId51"/>
          <w:footerReference w:type="default" r:id="rId52"/>
          <w:headerReference w:type="first" r:id="rId53"/>
          <w:footerReference w:type="first" r:id="rId54"/>
          <w:footnotePr>
            <w:numStart w:val="51"/>
          </w:footnotePr>
          <w:pgSz w:w="11906" w:h="16838" w:code="9"/>
          <w:pgMar w:top="253" w:right="1418" w:bottom="1134" w:left="1418" w:header="709" w:footer="709" w:gutter="0"/>
          <w:cols w:space="720"/>
          <w:docGrid w:linePitch="360"/>
        </w:sectPr>
      </w:pPr>
    </w:p>
    <w:p>
      <w:pPr>
        <w:spacing w:after="0"/>
        <w:jc w:val="left"/>
        <w:rPr>
          <w:noProof/>
        </w:rPr>
      </w:pPr>
    </w:p>
    <w:p>
      <w:pPr>
        <w:spacing w:after="0"/>
        <w:jc w:val="center"/>
        <w:rPr>
          <w:noProof/>
        </w:rPr>
      </w:pPr>
    </w:p>
    <w:p>
      <w:pPr>
        <w:pStyle w:val="Caption"/>
      </w:pPr>
      <w:bookmarkStart w:id="77" w:name="_Ref50680245"/>
      <w:bookmarkStart w:id="78" w:name="_Toc52396973"/>
      <w:r>
        <w:t xml:space="preserve">Table </w:t>
      </w:r>
      <w:r>
        <w:fldChar w:fldCharType="begin"/>
      </w:r>
      <w:r>
        <w:instrText xml:space="preserve"> SEQ Table \* ARABIC </w:instrText>
      </w:r>
      <w:r>
        <w:fldChar w:fldCharType="separate"/>
      </w:r>
      <w:r>
        <w:t>14</w:t>
      </w:r>
      <w:r>
        <w:fldChar w:fldCharType="end"/>
      </w:r>
      <w:bookmarkEnd w:id="77"/>
      <w:r>
        <w:t xml:space="preserve"> – Drivers of energy costs shares in total production costs, manufacturing and non-manufacturing sectors (EU avrg)</w:t>
      </w:r>
      <w:bookmarkEnd w:id="78"/>
    </w:p>
    <w:tbl>
      <w:tblPr>
        <w:tblW w:w="0" w:type="auto"/>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317"/>
        <w:gridCol w:w="1751"/>
        <w:gridCol w:w="1314"/>
        <w:gridCol w:w="1843"/>
        <w:gridCol w:w="1804"/>
        <w:gridCol w:w="2448"/>
        <w:gridCol w:w="2471"/>
      </w:tblGrid>
      <w:tr>
        <w:trPr>
          <w:trHeight w:val="288"/>
          <w:jc w:val="center"/>
        </w:trPr>
        <w:tc>
          <w:tcPr>
            <w:tcW w:w="2317" w:type="dxa"/>
            <w:vMerge w:val="restart"/>
            <w:shd w:val="clear" w:color="auto" w:fill="4F81BD" w:themeFill="accent1"/>
            <w:noWrap/>
            <w:vAlign w:val="center"/>
          </w:tcPr>
          <w:p>
            <w:pPr>
              <w:spacing w:after="0"/>
              <w:jc w:val="center"/>
              <w:rPr>
                <w:rFonts w:ascii="Calibri" w:eastAsia="Times New Roman" w:hAnsi="Calibri"/>
                <w:b/>
                <w:bCs/>
                <w:noProof/>
                <w:color w:val="FFFFFF" w:themeColor="background1"/>
                <w:sz w:val="16"/>
                <w:szCs w:val="16"/>
                <w:lang w:eastAsia="en-GB"/>
              </w:rPr>
            </w:pPr>
            <w:r>
              <w:rPr>
                <w:rFonts w:ascii="Calibri" w:eastAsia="Times New Roman" w:hAnsi="Calibri"/>
                <w:b/>
                <w:bCs/>
                <w:noProof/>
                <w:color w:val="FFFFFF" w:themeColor="background1"/>
                <w:sz w:val="16"/>
                <w:szCs w:val="16"/>
                <w:lang w:eastAsia="en-GB"/>
              </w:rPr>
              <w:t>Manufacturing sectors</w:t>
            </w:r>
          </w:p>
        </w:tc>
        <w:tc>
          <w:tcPr>
            <w:tcW w:w="6712" w:type="dxa"/>
            <w:gridSpan w:val="4"/>
            <w:shd w:val="clear" w:color="auto" w:fill="4F81BD" w:themeFill="accent1"/>
            <w:vAlign w:val="center"/>
          </w:tcPr>
          <w:p>
            <w:pPr>
              <w:spacing w:after="0"/>
              <w:jc w:val="center"/>
              <w:rPr>
                <w:rFonts w:ascii="Calibri" w:eastAsia="Times New Roman" w:hAnsi="Calibri"/>
                <w:b/>
                <w:bCs/>
                <w:noProof/>
                <w:color w:val="FFFFFF" w:themeColor="background1"/>
                <w:sz w:val="16"/>
                <w:szCs w:val="16"/>
                <w:lang w:eastAsia="en-GB"/>
              </w:rPr>
            </w:pPr>
            <w:r>
              <w:rPr>
                <w:rFonts w:ascii="Calibri" w:eastAsia="Times New Roman" w:hAnsi="Calibri"/>
                <w:b/>
                <w:bCs/>
                <w:noProof/>
                <w:color w:val="FFFFFF" w:themeColor="background1"/>
                <w:sz w:val="16"/>
                <w:szCs w:val="16"/>
                <w:lang w:eastAsia="en-GB"/>
              </w:rPr>
              <w:t>Changes in total values across the EU27 2010-2017</w:t>
            </w:r>
          </w:p>
        </w:tc>
        <w:tc>
          <w:tcPr>
            <w:tcW w:w="4919" w:type="dxa"/>
            <w:gridSpan w:val="2"/>
            <w:shd w:val="clear" w:color="auto" w:fill="4F81BD" w:themeFill="accent1"/>
            <w:vAlign w:val="center"/>
          </w:tcPr>
          <w:p>
            <w:pPr>
              <w:spacing w:after="0"/>
              <w:jc w:val="center"/>
              <w:rPr>
                <w:rFonts w:ascii="Calibri" w:eastAsia="Times New Roman" w:hAnsi="Calibri"/>
                <w:b/>
                <w:bCs/>
                <w:noProof/>
                <w:color w:val="FFFFFF" w:themeColor="background1"/>
                <w:sz w:val="16"/>
                <w:szCs w:val="16"/>
                <w:lang w:eastAsia="en-GB"/>
              </w:rPr>
            </w:pPr>
            <w:r>
              <w:rPr>
                <w:rFonts w:ascii="Calibri" w:eastAsia="Times New Roman" w:hAnsi="Calibri"/>
                <w:b/>
                <w:bCs/>
                <w:noProof/>
                <w:color w:val="FFFFFF" w:themeColor="background1"/>
                <w:sz w:val="16"/>
                <w:szCs w:val="16"/>
                <w:lang w:eastAsia="en-GB"/>
              </w:rPr>
              <w:t>Change in energy cost share 2010-2017 (simple average)</w:t>
            </w:r>
          </w:p>
        </w:tc>
      </w:tr>
      <w:tr>
        <w:trPr>
          <w:trHeight w:val="288"/>
          <w:jc w:val="center"/>
        </w:trPr>
        <w:tc>
          <w:tcPr>
            <w:tcW w:w="2317" w:type="dxa"/>
            <w:vMerge/>
            <w:shd w:val="clear" w:color="auto" w:fill="4F81BD" w:themeFill="accent1"/>
            <w:noWrap/>
            <w:vAlign w:val="center"/>
            <w:hideMark/>
          </w:tcPr>
          <w:p>
            <w:pPr>
              <w:spacing w:after="0"/>
              <w:jc w:val="center"/>
              <w:rPr>
                <w:rFonts w:ascii="Calibri" w:eastAsia="Times New Roman" w:hAnsi="Calibri"/>
                <w:b/>
                <w:bCs/>
                <w:noProof/>
                <w:color w:val="FFFFFF" w:themeColor="background1"/>
                <w:sz w:val="16"/>
                <w:szCs w:val="16"/>
                <w:lang w:eastAsia="en-GB"/>
              </w:rPr>
            </w:pPr>
          </w:p>
        </w:tc>
        <w:tc>
          <w:tcPr>
            <w:tcW w:w="1751" w:type="dxa"/>
            <w:shd w:val="clear" w:color="auto" w:fill="4F81BD" w:themeFill="accent1"/>
            <w:noWrap/>
            <w:vAlign w:val="center"/>
            <w:hideMark/>
          </w:tcPr>
          <w:p>
            <w:pPr>
              <w:spacing w:after="0"/>
              <w:jc w:val="center"/>
              <w:rPr>
                <w:rFonts w:ascii="Calibri" w:eastAsia="Times New Roman" w:hAnsi="Calibri"/>
                <w:b/>
                <w:bCs/>
                <w:noProof/>
                <w:color w:val="FFFFFF" w:themeColor="background1"/>
                <w:sz w:val="16"/>
                <w:szCs w:val="16"/>
                <w:lang w:eastAsia="en-GB"/>
              </w:rPr>
            </w:pPr>
            <w:r>
              <w:rPr>
                <w:rFonts w:ascii="Calibri" w:eastAsia="Times New Roman" w:hAnsi="Calibri"/>
                <w:b/>
                <w:bCs/>
                <w:noProof/>
                <w:color w:val="FFFFFF" w:themeColor="background1"/>
                <w:sz w:val="16"/>
                <w:szCs w:val="16"/>
                <w:lang w:eastAsia="en-GB"/>
              </w:rPr>
              <w:t>Absolute Δ Energy costs (M€)</w:t>
            </w:r>
          </w:p>
        </w:tc>
        <w:tc>
          <w:tcPr>
            <w:tcW w:w="1314" w:type="dxa"/>
            <w:shd w:val="clear" w:color="auto" w:fill="4F81BD" w:themeFill="accent1"/>
            <w:noWrap/>
            <w:vAlign w:val="center"/>
            <w:hideMark/>
          </w:tcPr>
          <w:p>
            <w:pPr>
              <w:spacing w:after="0"/>
              <w:jc w:val="center"/>
              <w:rPr>
                <w:rFonts w:ascii="Calibri" w:eastAsia="Times New Roman" w:hAnsi="Calibri"/>
                <w:b/>
                <w:bCs/>
                <w:noProof/>
                <w:color w:val="FFFFFF" w:themeColor="background1"/>
                <w:sz w:val="16"/>
                <w:szCs w:val="16"/>
                <w:lang w:eastAsia="en-GB"/>
              </w:rPr>
            </w:pPr>
            <w:r>
              <w:rPr>
                <w:rFonts w:ascii="Calibri" w:eastAsia="Times New Roman" w:hAnsi="Calibri"/>
                <w:b/>
                <w:bCs/>
                <w:noProof/>
                <w:color w:val="FFFFFF" w:themeColor="background1"/>
                <w:sz w:val="16"/>
                <w:szCs w:val="16"/>
                <w:lang w:eastAsia="en-GB"/>
              </w:rPr>
              <w:t>Relative Δ Energy costs (%)</w:t>
            </w:r>
          </w:p>
        </w:tc>
        <w:tc>
          <w:tcPr>
            <w:tcW w:w="1843" w:type="dxa"/>
            <w:shd w:val="clear" w:color="auto" w:fill="4F81BD" w:themeFill="accent1"/>
            <w:vAlign w:val="center"/>
          </w:tcPr>
          <w:p>
            <w:pPr>
              <w:spacing w:after="0"/>
              <w:jc w:val="center"/>
              <w:rPr>
                <w:rFonts w:ascii="Calibri" w:eastAsia="Times New Roman" w:hAnsi="Calibri"/>
                <w:b/>
                <w:bCs/>
                <w:noProof/>
                <w:color w:val="FFFFFF" w:themeColor="background1"/>
                <w:sz w:val="16"/>
                <w:szCs w:val="16"/>
                <w:lang w:eastAsia="en-GB"/>
              </w:rPr>
            </w:pPr>
            <w:r>
              <w:rPr>
                <w:rFonts w:ascii="Calibri" w:eastAsia="Times New Roman" w:hAnsi="Calibri"/>
                <w:b/>
                <w:bCs/>
                <w:noProof/>
                <w:color w:val="FFFFFF" w:themeColor="background1"/>
                <w:sz w:val="16"/>
                <w:szCs w:val="16"/>
                <w:lang w:eastAsia="en-GB"/>
              </w:rPr>
              <w:t>Absolute Δ Total production costs (M€)</w:t>
            </w:r>
          </w:p>
        </w:tc>
        <w:tc>
          <w:tcPr>
            <w:tcW w:w="1804" w:type="dxa"/>
            <w:shd w:val="clear" w:color="auto" w:fill="4F81BD" w:themeFill="accent1"/>
            <w:noWrap/>
            <w:vAlign w:val="center"/>
            <w:hideMark/>
          </w:tcPr>
          <w:p>
            <w:pPr>
              <w:spacing w:after="0"/>
              <w:jc w:val="center"/>
              <w:rPr>
                <w:rFonts w:ascii="Calibri" w:eastAsia="Times New Roman" w:hAnsi="Calibri"/>
                <w:b/>
                <w:bCs/>
                <w:noProof/>
                <w:color w:val="FFFFFF" w:themeColor="background1"/>
                <w:sz w:val="16"/>
                <w:szCs w:val="16"/>
                <w:lang w:eastAsia="en-GB"/>
              </w:rPr>
            </w:pPr>
            <w:r>
              <w:rPr>
                <w:rFonts w:ascii="Calibri" w:eastAsia="Times New Roman" w:hAnsi="Calibri"/>
                <w:b/>
                <w:bCs/>
                <w:noProof/>
                <w:color w:val="FFFFFF" w:themeColor="background1"/>
                <w:sz w:val="16"/>
                <w:szCs w:val="16"/>
                <w:lang w:eastAsia="en-GB"/>
              </w:rPr>
              <w:t>Relative Δ Total production costs (%)</w:t>
            </w:r>
          </w:p>
        </w:tc>
        <w:tc>
          <w:tcPr>
            <w:tcW w:w="2448" w:type="dxa"/>
            <w:shd w:val="clear" w:color="auto" w:fill="4F81BD" w:themeFill="accent1"/>
            <w:vAlign w:val="center"/>
          </w:tcPr>
          <w:p>
            <w:pPr>
              <w:spacing w:after="0"/>
              <w:jc w:val="center"/>
              <w:rPr>
                <w:rFonts w:ascii="Calibri" w:eastAsia="Times New Roman" w:hAnsi="Calibri"/>
                <w:b/>
                <w:bCs/>
                <w:noProof/>
                <w:color w:val="FFFFFF" w:themeColor="background1"/>
                <w:sz w:val="16"/>
                <w:szCs w:val="16"/>
                <w:lang w:eastAsia="en-GB"/>
              </w:rPr>
            </w:pPr>
            <w:r>
              <w:rPr>
                <w:rFonts w:ascii="Calibri" w:eastAsia="Times New Roman" w:hAnsi="Calibri"/>
                <w:b/>
                <w:bCs/>
                <w:noProof/>
                <w:color w:val="FFFFFF" w:themeColor="background1"/>
                <w:sz w:val="16"/>
                <w:szCs w:val="16"/>
                <w:lang w:eastAsia="en-GB"/>
              </w:rPr>
              <w:t>Absolute Δ energy costs as a share of total production costs (%)</w:t>
            </w:r>
          </w:p>
        </w:tc>
        <w:tc>
          <w:tcPr>
            <w:tcW w:w="2471" w:type="dxa"/>
            <w:shd w:val="clear" w:color="auto" w:fill="4F81BD" w:themeFill="accent1"/>
            <w:noWrap/>
            <w:vAlign w:val="center"/>
            <w:hideMark/>
          </w:tcPr>
          <w:p>
            <w:pPr>
              <w:spacing w:after="0"/>
              <w:jc w:val="center"/>
              <w:rPr>
                <w:rFonts w:ascii="Calibri" w:eastAsia="Times New Roman" w:hAnsi="Calibri"/>
                <w:b/>
                <w:bCs/>
                <w:noProof/>
                <w:color w:val="FFFFFF" w:themeColor="background1"/>
                <w:sz w:val="16"/>
                <w:szCs w:val="16"/>
                <w:lang w:eastAsia="en-GB"/>
              </w:rPr>
            </w:pPr>
            <w:r>
              <w:rPr>
                <w:rFonts w:ascii="Calibri" w:eastAsia="Times New Roman" w:hAnsi="Calibri"/>
                <w:b/>
                <w:bCs/>
                <w:noProof/>
                <w:color w:val="FFFFFF" w:themeColor="background1"/>
                <w:sz w:val="16"/>
                <w:szCs w:val="16"/>
                <w:lang w:eastAsia="en-GB"/>
              </w:rPr>
              <w:t>Relative Δ energy costs as a share of total production costs (%)</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C103 - Fruit and vegetables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38.9</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4.0%</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11080.4</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24.9%</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-0.6%</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-21.9%</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C106 - Grain products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-87.9</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-10.9%</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6049.1</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22.0%</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-1.1%</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-30.5%</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C132 - Textiles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-171.7</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-41.8%</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-268.5</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-2.4%</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-1.5%</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-40.4%</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C161 - Sawmills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-1.5</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-0.2%</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3333.7</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12.5%</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-0.4%</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-12.7%</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C171 - Pulp and paper</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-2161.4</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-33.6%</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6955.3</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11.0%</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-4.7%</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-40.9%</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C172 - Articles of paper</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-322.6</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-19.0%</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8194.2</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12.6%</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-0.9%</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-29.3%</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C192 - Refineries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-47.9</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-37.9%</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-805.9</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-15.9%</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-0.6%</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-28.0%</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C201 - Basic chemicals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-2014.9</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-16.6%</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42283.7</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19.2%</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-2.2%</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-32.7%</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C206 - Man-made fibres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-67.5</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-18.8%</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230.7</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4.2%</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-1.5%</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-22.2%</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C222 - Plastics products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-180</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-4.7%</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31704.2</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19.3%</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-0.7%</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-23.1%</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C231 - Glass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-393.8</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-17.0%</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1681.3</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5.7%</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-1.8%</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-21.7%</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C232 - Refractory products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-43.6</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-18.6%</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-0.5</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0.0%</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-1.2%</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-18.6%</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C233 - Clay building materials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-305.2</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-20.2%</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812.5</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6.1%</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-3.0%</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-25.1%</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C234 - Porcelain and ceramics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-44.5</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-14.8%</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577.3</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9.1%</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-1.2%</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-22.6%</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C235 - Cement, lime and plaster</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-666.6</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-27.7%</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-381</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-3.3%</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-5.1%</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-25.3%</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C237 - Stone</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-114.7</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-28.0%</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-2805.9</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-30.9%</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-0.2%</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-5.7%</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C239 - Abrasive products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33.8</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4.3%</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1957.6</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11.1%</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-0.4%</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-7.3%</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C241 - Iron and steel</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-2769</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-29.0%</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2671.3</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2.6%</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-2.9%</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-30.8%</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C244 - Non-ferrous metals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-107.8</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-3.4%</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20126.7</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20.8%</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-1.0%</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-23.5%</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C245 - Casting of metal</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-227</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-14.5%</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3388.4</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11.6%</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-1.5%</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-24.4%</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C11 - Beverages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-100.2</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-6.8%</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6084.7</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9.7%</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-0.4%</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-15.8%</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C21 - Pharmaceutical products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-83.3</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-8.4%</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10555.6</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11.2%</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-0.2%</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-18.6%</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C25 - Fabricated metal products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-792.4</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-12.6%</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45734.3</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14.1%</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-0.6%</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-24.9%</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C26 - Computer and electronics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-80.7</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-7.1%</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-11506.4</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-7.1%</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0.0%</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-0.5%</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C27 - Electrical equipment</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-300</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-15.2%</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33430.4</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14.8%</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-0.3%</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-27.7%</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C28 - Machinery and equipment</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64.1</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1.6%</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134079.4</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25.2%</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-0.2%</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-24.0%</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C29 - Motor vehicles</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295.8</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6.7%</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287032</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35.4%</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-0.3%</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-31.0%</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C30 - Other transport equipment</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-108.7</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-16.0%</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28488.1</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27.1%</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-0.3%</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-38.8%</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C32 - Other manufacturing</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-72.6</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-10.9%</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15489</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20.9%</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-0.3%</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-29.5%</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C33 - Repair of machinery</w:t>
            </w:r>
          </w:p>
        </w:tc>
        <w:tc>
          <w:tcPr>
            <w:tcW w:w="1751"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-25.6</w:t>
            </w:r>
          </w:p>
        </w:tc>
        <w:tc>
          <w:tcPr>
            <w:tcW w:w="1314" w:type="dxa"/>
            <w:shd w:val="clear" w:color="auto" w:fill="FFFFFF" w:themeFill="background1"/>
            <w:noWrap/>
            <w:vAlign w:val="center"/>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-3.3%</w:t>
            </w:r>
          </w:p>
        </w:tc>
        <w:tc>
          <w:tcPr>
            <w:tcW w:w="1843" w:type="dxa"/>
            <w:shd w:val="clear" w:color="auto" w:fill="FFFFFF" w:themeFill="background1"/>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14038</w:t>
            </w:r>
          </w:p>
        </w:tc>
        <w:tc>
          <w:tcPr>
            <w:tcW w:w="1804" w:type="dxa"/>
            <w:shd w:val="clear" w:color="auto" w:fill="FFFFFF" w:themeFill="background1"/>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15.6%</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-0.2%</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-18.4%</w:t>
            </w:r>
          </w:p>
        </w:tc>
      </w:tr>
      <w:tr>
        <w:trPr>
          <w:trHeight w:val="288"/>
          <w:jc w:val="center"/>
        </w:trPr>
        <w:tc>
          <w:tcPr>
            <w:tcW w:w="2317" w:type="dxa"/>
            <w:shd w:val="clear" w:color="auto" w:fill="4F81BD" w:themeFill="accent1"/>
            <w:noWrap/>
            <w:vAlign w:val="center"/>
            <w:hideMark/>
          </w:tcPr>
          <w:p>
            <w:pPr>
              <w:spacing w:after="0"/>
              <w:rPr>
                <w:rFonts w:ascii="Calibri" w:eastAsia="Times New Roman" w:hAnsi="Calibri"/>
                <w:b/>
                <w:bCs/>
                <w:noProof/>
                <w:color w:val="4472C4"/>
                <w:sz w:val="18"/>
                <w:szCs w:val="18"/>
                <w:lang w:eastAsia="en-GB"/>
              </w:rPr>
            </w:pPr>
            <w:r>
              <w:rPr>
                <w:rFonts w:ascii="Calibri" w:eastAsia="Times New Roman" w:hAnsi="Calibri"/>
                <w:b/>
                <w:bCs/>
                <w:noProof/>
                <w:color w:val="FFFFFF" w:themeColor="background1"/>
                <w:sz w:val="18"/>
                <w:szCs w:val="18"/>
                <w:lang w:eastAsia="en-GB"/>
              </w:rPr>
              <w:t>Other sectors</w:t>
            </w:r>
          </w:p>
        </w:tc>
        <w:tc>
          <w:tcPr>
            <w:tcW w:w="1751" w:type="dxa"/>
            <w:shd w:val="clear" w:color="auto" w:fill="4F81BD" w:themeFill="accent1"/>
            <w:noWrap/>
            <w:vAlign w:val="center"/>
          </w:tcPr>
          <w:p>
            <w:pPr>
              <w:spacing w:after="0"/>
              <w:jc w:val="right"/>
              <w:rPr>
                <w:rFonts w:ascii="Calibri" w:eastAsia="Times New Roman" w:hAnsi="Calibri"/>
                <w:b/>
                <w:bCs/>
                <w:noProof/>
                <w:color w:val="000000"/>
                <w:sz w:val="18"/>
                <w:szCs w:val="18"/>
                <w:lang w:eastAsia="en-GB"/>
              </w:rPr>
            </w:pPr>
          </w:p>
        </w:tc>
        <w:tc>
          <w:tcPr>
            <w:tcW w:w="1314" w:type="dxa"/>
            <w:shd w:val="clear" w:color="auto" w:fill="4F81BD" w:themeFill="accent1"/>
            <w:noWrap/>
            <w:vAlign w:val="center"/>
          </w:tcPr>
          <w:p>
            <w:pPr>
              <w:spacing w:after="0"/>
              <w:jc w:val="right"/>
              <w:rPr>
                <w:rFonts w:ascii="Calibri" w:eastAsia="Times New Roman" w:hAnsi="Calibri"/>
                <w:b/>
                <w:bCs/>
                <w:noProof/>
                <w:color w:val="000000"/>
                <w:sz w:val="18"/>
                <w:szCs w:val="18"/>
                <w:lang w:eastAsia="en-GB"/>
              </w:rPr>
            </w:pPr>
          </w:p>
        </w:tc>
        <w:tc>
          <w:tcPr>
            <w:tcW w:w="1843" w:type="dxa"/>
            <w:shd w:val="clear" w:color="auto" w:fill="4F81BD" w:themeFill="accent1"/>
            <w:vAlign w:val="center"/>
          </w:tcPr>
          <w:p>
            <w:pPr>
              <w:spacing w:after="0"/>
              <w:jc w:val="right"/>
              <w:rPr>
                <w:rFonts w:ascii="Calibri" w:eastAsia="Times New Roman" w:hAnsi="Calibri"/>
                <w:b/>
                <w:bCs/>
                <w:noProof/>
                <w:color w:val="FFFFFF" w:themeColor="background1"/>
                <w:sz w:val="18"/>
                <w:szCs w:val="18"/>
                <w:lang w:eastAsia="en-GB"/>
              </w:rPr>
            </w:pPr>
          </w:p>
        </w:tc>
        <w:tc>
          <w:tcPr>
            <w:tcW w:w="1804" w:type="dxa"/>
            <w:shd w:val="clear" w:color="auto" w:fill="4F81BD" w:themeFill="accent1"/>
            <w:noWrap/>
            <w:vAlign w:val="center"/>
          </w:tcPr>
          <w:p>
            <w:pPr>
              <w:spacing w:after="0"/>
              <w:jc w:val="right"/>
              <w:rPr>
                <w:rFonts w:ascii="Calibri" w:eastAsia="Times New Roman" w:hAnsi="Calibri"/>
                <w:b/>
                <w:bCs/>
                <w:noProof/>
                <w:color w:val="000000"/>
                <w:sz w:val="18"/>
                <w:szCs w:val="18"/>
                <w:lang w:eastAsia="en-GB"/>
              </w:rPr>
            </w:pPr>
          </w:p>
        </w:tc>
        <w:tc>
          <w:tcPr>
            <w:tcW w:w="2448" w:type="dxa"/>
            <w:shd w:val="clear" w:color="auto" w:fill="4F81BD" w:themeFill="accent1"/>
            <w:vAlign w:val="center"/>
          </w:tcPr>
          <w:p>
            <w:pPr>
              <w:spacing w:after="0"/>
              <w:jc w:val="right"/>
              <w:rPr>
                <w:rFonts w:ascii="Calibri" w:eastAsia="Times New Roman" w:hAnsi="Calibri"/>
                <w:b/>
                <w:bCs/>
                <w:noProof/>
                <w:color w:val="FFFFFF" w:themeColor="background1"/>
                <w:sz w:val="18"/>
                <w:szCs w:val="18"/>
                <w:lang w:eastAsia="en-GB"/>
              </w:rPr>
            </w:pPr>
          </w:p>
        </w:tc>
        <w:tc>
          <w:tcPr>
            <w:tcW w:w="2471" w:type="dxa"/>
            <w:shd w:val="clear" w:color="auto" w:fill="4F81BD" w:themeFill="accent1"/>
            <w:noWrap/>
            <w:vAlign w:val="center"/>
          </w:tcPr>
          <w:p>
            <w:pPr>
              <w:spacing w:after="0"/>
              <w:jc w:val="right"/>
              <w:rPr>
                <w:rFonts w:ascii="Calibri" w:eastAsia="Times New Roman" w:hAnsi="Calibri"/>
                <w:b/>
                <w:bCs/>
                <w:noProof/>
                <w:color w:val="000000"/>
                <w:sz w:val="18"/>
                <w:szCs w:val="18"/>
                <w:lang w:eastAsia="en-GB"/>
              </w:rPr>
            </w:pP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B - Mining and quarrying</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-320.4</w:t>
            </w:r>
          </w:p>
        </w:tc>
        <w:tc>
          <w:tcPr>
            <w:tcW w:w="1314" w:type="dxa"/>
            <w:shd w:val="clear" w:color="auto" w:fill="FFFFFF" w:themeFill="background1"/>
            <w:noWrap/>
            <w:vAlign w:val="center"/>
          </w:tcPr>
          <w:p>
            <w:pPr>
              <w:spacing w:after="0"/>
              <w:jc w:val="right"/>
              <w:rPr>
                <w:rFonts w:ascii="Calibri" w:eastAsia="Times New Roman" w:hAnsi="Calibri"/>
                <w:noProof/>
                <w:color w:val="C00000"/>
                <w:sz w:val="18"/>
                <w:szCs w:val="18"/>
                <w:lang w:eastAsia="en-GB"/>
              </w:rPr>
            </w:pPr>
            <w:r>
              <w:rPr>
                <w:rFonts w:ascii="Calibri" w:hAnsi="Calibri" w:cs="Calibri"/>
                <w:noProof/>
                <w:color w:val="C00000"/>
                <w:sz w:val="18"/>
                <w:szCs w:val="18"/>
              </w:rPr>
              <w:t>-9.8%</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-55231.7</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color w:val="C00000"/>
                <w:sz w:val="18"/>
                <w:szCs w:val="18"/>
              </w:rPr>
              <w:t>-48.8%</w:t>
            </w:r>
          </w:p>
        </w:tc>
        <w:tc>
          <w:tcPr>
            <w:tcW w:w="2448" w:type="dxa"/>
            <w:shd w:val="clear" w:color="auto" w:fill="FDE9D9" w:themeFill="accent6" w:themeFillTint="33"/>
            <w:vAlign w:val="center"/>
          </w:tcPr>
          <w:p>
            <w:pPr>
              <w:spacing w:after="0"/>
              <w:jc w:val="right"/>
              <w:rPr>
                <w:rFonts w:ascii="Calibri" w:eastAsia="Times New Roman" w:hAnsi="Calibri"/>
                <w:b/>
                <w:noProof/>
                <w:color w:val="C00000"/>
                <w:sz w:val="18"/>
                <w:szCs w:val="18"/>
                <w:lang w:eastAsia="en-GB"/>
              </w:rPr>
            </w:pPr>
            <w:r>
              <w:rPr>
                <w:rFonts w:ascii="Calibri" w:hAnsi="Calibri" w:cs="Calibri"/>
                <w:b/>
                <w:noProof/>
                <w:color w:val="C00000"/>
                <w:sz w:val="18"/>
                <w:szCs w:val="18"/>
              </w:rPr>
              <w:t>2.2%</w:t>
            </w:r>
          </w:p>
        </w:tc>
        <w:tc>
          <w:tcPr>
            <w:tcW w:w="2471" w:type="dxa"/>
            <w:shd w:val="clear" w:color="auto" w:fill="FDE9D9" w:themeFill="accent6" w:themeFillTint="33"/>
            <w:noWrap/>
            <w:vAlign w:val="center"/>
            <w:hideMark/>
          </w:tcPr>
          <w:p>
            <w:pPr>
              <w:spacing w:after="0"/>
              <w:jc w:val="right"/>
              <w:rPr>
                <w:rFonts w:ascii="Calibri" w:eastAsia="Times New Roman" w:hAnsi="Calibri"/>
                <w:b/>
                <w:noProof/>
                <w:color w:val="C00000"/>
                <w:sz w:val="18"/>
                <w:szCs w:val="18"/>
                <w:lang w:eastAsia="en-GB"/>
              </w:rPr>
            </w:pPr>
            <w:r>
              <w:rPr>
                <w:rFonts w:ascii="Calibri" w:hAnsi="Calibri" w:cs="Calibri"/>
                <w:b/>
                <w:noProof/>
                <w:color w:val="C00000"/>
                <w:sz w:val="18"/>
                <w:szCs w:val="18"/>
              </w:rPr>
              <w:t>76.2%</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B06 - Oil and gas</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38.1</w:t>
            </w:r>
          </w:p>
        </w:tc>
        <w:tc>
          <w:tcPr>
            <w:tcW w:w="1314"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31.0%</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-49815.4</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sz w:val="18"/>
                <w:szCs w:val="18"/>
              </w:rPr>
              <w:t>-72.7%</w:t>
            </w:r>
          </w:p>
        </w:tc>
        <w:tc>
          <w:tcPr>
            <w:tcW w:w="2448" w:type="dxa"/>
            <w:shd w:val="clear" w:color="auto" w:fill="FDE9D9" w:themeFill="accent6" w:themeFillTint="33"/>
            <w:vAlign w:val="center"/>
          </w:tcPr>
          <w:p>
            <w:pPr>
              <w:spacing w:after="0"/>
              <w:jc w:val="right"/>
              <w:rPr>
                <w:rFonts w:ascii="Calibri" w:eastAsia="Times New Roman" w:hAnsi="Calibri"/>
                <w:i/>
                <w:noProof/>
                <w:color w:val="C00000"/>
                <w:sz w:val="18"/>
                <w:szCs w:val="18"/>
                <w:lang w:eastAsia="en-GB"/>
              </w:rPr>
            </w:pPr>
            <w:r>
              <w:rPr>
                <w:rFonts w:ascii="Calibri" w:hAnsi="Calibri" w:cs="Calibri"/>
                <w:i/>
                <w:noProof/>
                <w:color w:val="C00000"/>
                <w:sz w:val="18"/>
                <w:szCs w:val="18"/>
              </w:rPr>
              <w:t>0.7%</w:t>
            </w:r>
          </w:p>
        </w:tc>
        <w:tc>
          <w:tcPr>
            <w:tcW w:w="2471" w:type="dxa"/>
            <w:shd w:val="clear" w:color="auto" w:fill="FDE9D9" w:themeFill="accent6" w:themeFillTint="33"/>
            <w:noWrap/>
            <w:vAlign w:val="center"/>
            <w:hideMark/>
          </w:tcPr>
          <w:p>
            <w:pPr>
              <w:spacing w:after="0"/>
              <w:jc w:val="right"/>
              <w:rPr>
                <w:rFonts w:ascii="Calibri" w:eastAsia="Times New Roman" w:hAnsi="Calibri"/>
                <w:i/>
                <w:noProof/>
                <w:color w:val="C00000"/>
                <w:sz w:val="18"/>
                <w:szCs w:val="18"/>
                <w:lang w:eastAsia="en-GB"/>
              </w:rPr>
            </w:pPr>
            <w:r>
              <w:rPr>
                <w:rFonts w:ascii="Calibri" w:hAnsi="Calibri" w:cs="Calibri"/>
                <w:i/>
                <w:noProof/>
                <w:color w:val="C00000"/>
                <w:sz w:val="18"/>
                <w:szCs w:val="18"/>
              </w:rPr>
              <w:t>380.6%</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B07 - Mining of metal ores</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6.3</w:t>
            </w:r>
          </w:p>
        </w:tc>
        <w:tc>
          <w:tcPr>
            <w:tcW w:w="1314"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8.4%</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96.5</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sz w:val="18"/>
                <w:szCs w:val="18"/>
              </w:rPr>
              <w:t>25.3%</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-2.7%</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-13.5%</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B08 - Other mining</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-137.4</w:t>
            </w:r>
          </w:p>
        </w:tc>
        <w:tc>
          <w:tcPr>
            <w:tcW w:w="1314"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-7.6%</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-1896.4</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sz w:val="18"/>
                <w:szCs w:val="18"/>
              </w:rPr>
              <w:t>-9.0%</w:t>
            </w:r>
          </w:p>
        </w:tc>
        <w:tc>
          <w:tcPr>
            <w:tcW w:w="2448" w:type="dxa"/>
            <w:shd w:val="clear" w:color="auto" w:fill="FDE9D9" w:themeFill="accent6" w:themeFillTint="33"/>
            <w:vAlign w:val="center"/>
          </w:tcPr>
          <w:p>
            <w:pPr>
              <w:spacing w:after="0"/>
              <w:jc w:val="right"/>
              <w:rPr>
                <w:rFonts w:ascii="Calibri" w:eastAsia="Times New Roman" w:hAnsi="Calibri"/>
                <w:i/>
                <w:noProof/>
                <w:color w:val="C00000"/>
                <w:sz w:val="18"/>
                <w:szCs w:val="18"/>
                <w:lang w:eastAsia="en-GB"/>
              </w:rPr>
            </w:pPr>
            <w:r>
              <w:rPr>
                <w:rFonts w:ascii="Calibri" w:hAnsi="Calibri" w:cs="Calibri"/>
                <w:i/>
                <w:noProof/>
                <w:color w:val="C00000"/>
                <w:sz w:val="18"/>
                <w:szCs w:val="18"/>
              </w:rPr>
              <w:t>0.1%</w:t>
            </w:r>
          </w:p>
        </w:tc>
        <w:tc>
          <w:tcPr>
            <w:tcW w:w="2471" w:type="dxa"/>
            <w:shd w:val="clear" w:color="auto" w:fill="FDE9D9" w:themeFill="accent6" w:themeFillTint="33"/>
            <w:noWrap/>
            <w:vAlign w:val="center"/>
            <w:hideMark/>
          </w:tcPr>
          <w:p>
            <w:pPr>
              <w:spacing w:after="0"/>
              <w:jc w:val="right"/>
              <w:rPr>
                <w:rFonts w:ascii="Calibri" w:eastAsia="Times New Roman" w:hAnsi="Calibri"/>
                <w:i/>
                <w:noProof/>
                <w:color w:val="C00000"/>
                <w:sz w:val="18"/>
                <w:szCs w:val="18"/>
                <w:lang w:eastAsia="en-GB"/>
              </w:rPr>
            </w:pPr>
            <w:r>
              <w:rPr>
                <w:rFonts w:ascii="Calibri" w:hAnsi="Calibri" w:cs="Calibri"/>
                <w:i/>
                <w:noProof/>
                <w:color w:val="C00000"/>
                <w:sz w:val="18"/>
                <w:szCs w:val="18"/>
              </w:rPr>
              <w:t>1.6%</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D35 - Electricity, gas and steam</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-3388.1</w:t>
            </w:r>
          </w:p>
        </w:tc>
        <w:tc>
          <w:tcPr>
            <w:tcW w:w="1314"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-4.1%</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98789.9</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sz w:val="18"/>
                <w:szCs w:val="18"/>
              </w:rPr>
              <w:t>19.4%</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-3.2%</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-19.7%</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E38 - Waste management</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-16.8</w:t>
            </w:r>
          </w:p>
        </w:tc>
        <w:tc>
          <w:tcPr>
            <w:tcW w:w="1314"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-5.5%</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1859.0</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sz w:val="18"/>
                <w:szCs w:val="18"/>
              </w:rPr>
              <w:t>11.9%</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-0.3%</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-15.5%</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F - Construction</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-1815.2</w:t>
            </w:r>
          </w:p>
        </w:tc>
        <w:tc>
          <w:tcPr>
            <w:tcW w:w="1314"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-13.9%</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54740.1</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sz w:val="18"/>
                <w:szCs w:val="18"/>
              </w:rPr>
              <w:t>5.0%</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-0.2%</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-18.0%</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G - Wholesale and retail trade</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24.2</w:t>
            </w:r>
          </w:p>
        </w:tc>
        <w:tc>
          <w:tcPr>
            <w:tcW w:w="1314"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2.6%</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43054.0</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sz w:val="18"/>
                <w:szCs w:val="18"/>
              </w:rPr>
              <w:t>19.6%</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-0.1%</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-14.2%</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H49 - Land transport</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4594.7</w:t>
            </w:r>
          </w:p>
        </w:tc>
        <w:tc>
          <w:tcPr>
            <w:tcW w:w="1314"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15.1%</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30085.9</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sz w:val="18"/>
                <w:szCs w:val="18"/>
              </w:rPr>
              <w:t>29.8%</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-3.4%</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-11.3%</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H51 - Air transport</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155.6</w:t>
            </w:r>
          </w:p>
        </w:tc>
        <w:tc>
          <w:tcPr>
            <w:tcW w:w="1314"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color w:val="C00000"/>
                <w:sz w:val="18"/>
                <w:szCs w:val="18"/>
              </w:rPr>
              <w:t>22.5%</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386.4</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color w:val="C00000"/>
                <w:sz w:val="18"/>
                <w:szCs w:val="18"/>
              </w:rPr>
              <w:t>9.3%</w:t>
            </w:r>
          </w:p>
        </w:tc>
        <w:tc>
          <w:tcPr>
            <w:tcW w:w="2448" w:type="dxa"/>
            <w:shd w:val="clear" w:color="auto" w:fill="FDE9D9" w:themeFill="accent6" w:themeFillTint="33"/>
            <w:vAlign w:val="center"/>
          </w:tcPr>
          <w:p>
            <w:pPr>
              <w:spacing w:after="0"/>
              <w:jc w:val="right"/>
              <w:rPr>
                <w:rFonts w:ascii="Calibri" w:eastAsia="Times New Roman" w:hAnsi="Calibri"/>
                <w:b/>
                <w:noProof/>
                <w:color w:val="C00000"/>
                <w:sz w:val="18"/>
                <w:szCs w:val="18"/>
                <w:lang w:eastAsia="en-GB"/>
              </w:rPr>
            </w:pPr>
            <w:r>
              <w:rPr>
                <w:rFonts w:ascii="Calibri" w:hAnsi="Calibri" w:cs="Calibri"/>
                <w:b/>
                <w:noProof/>
                <w:color w:val="C00000"/>
                <w:sz w:val="18"/>
                <w:szCs w:val="18"/>
              </w:rPr>
              <w:t>2.0%</w:t>
            </w:r>
          </w:p>
        </w:tc>
        <w:tc>
          <w:tcPr>
            <w:tcW w:w="2471" w:type="dxa"/>
            <w:shd w:val="clear" w:color="auto" w:fill="FDE9D9" w:themeFill="accent6" w:themeFillTint="33"/>
            <w:noWrap/>
            <w:vAlign w:val="center"/>
            <w:hideMark/>
          </w:tcPr>
          <w:p>
            <w:pPr>
              <w:spacing w:after="0"/>
              <w:jc w:val="right"/>
              <w:rPr>
                <w:rFonts w:ascii="Calibri" w:eastAsia="Times New Roman" w:hAnsi="Calibri"/>
                <w:b/>
                <w:noProof/>
                <w:color w:val="C00000"/>
                <w:sz w:val="18"/>
                <w:szCs w:val="18"/>
                <w:lang w:eastAsia="en-GB"/>
              </w:rPr>
            </w:pPr>
            <w:r>
              <w:rPr>
                <w:rFonts w:ascii="Calibri" w:hAnsi="Calibri" w:cs="Calibri"/>
                <w:b/>
                <w:noProof/>
                <w:color w:val="C00000"/>
                <w:sz w:val="18"/>
                <w:szCs w:val="18"/>
              </w:rPr>
              <w:t>12.1%</w:t>
            </w:r>
          </w:p>
        </w:tc>
      </w:tr>
      <w:tr>
        <w:trPr>
          <w:trHeight w:val="288"/>
          <w:jc w:val="center"/>
        </w:trPr>
        <w:tc>
          <w:tcPr>
            <w:tcW w:w="2317" w:type="dxa"/>
            <w:shd w:val="clear" w:color="auto" w:fill="auto"/>
            <w:noWrap/>
            <w:vAlign w:val="center"/>
            <w:hideMark/>
          </w:tcPr>
          <w:p>
            <w:pPr>
              <w:spacing w:after="0"/>
              <w:rPr>
                <w:rFonts w:ascii="Calibri" w:eastAsia="Times New Roman" w:hAnsi="Calibri"/>
                <w:noProof/>
                <w:color w:val="000000"/>
                <w:sz w:val="18"/>
                <w:szCs w:val="18"/>
                <w:lang w:eastAsia="en-GB"/>
              </w:rPr>
            </w:pPr>
            <w:r>
              <w:rPr>
                <w:rFonts w:ascii="Calibri" w:eastAsia="Times New Roman" w:hAnsi="Calibri"/>
                <w:noProof/>
                <w:color w:val="000000"/>
                <w:sz w:val="18"/>
                <w:szCs w:val="18"/>
                <w:lang w:eastAsia="en-GB"/>
              </w:rPr>
              <w:t>I - Accommodation and restaurants</w:t>
            </w:r>
          </w:p>
        </w:tc>
        <w:tc>
          <w:tcPr>
            <w:tcW w:w="1751"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-18.5</w:t>
            </w:r>
          </w:p>
        </w:tc>
        <w:tc>
          <w:tcPr>
            <w:tcW w:w="1314" w:type="dxa"/>
            <w:shd w:val="clear" w:color="auto" w:fill="FFFFFF" w:themeFill="background1"/>
            <w:noWrap/>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-3.1%</w:t>
            </w:r>
          </w:p>
        </w:tc>
        <w:tc>
          <w:tcPr>
            <w:tcW w:w="1843" w:type="dxa"/>
            <w:shd w:val="clear" w:color="auto" w:fill="FFFFFF" w:themeFill="background1"/>
            <w:vAlign w:val="center"/>
          </w:tcPr>
          <w:p>
            <w:pPr>
              <w:spacing w:after="0"/>
              <w:jc w:val="right"/>
              <w:rPr>
                <w:rFonts w:ascii="Calibri" w:eastAsia="Times New Roman" w:hAnsi="Calibri"/>
                <w:noProof/>
                <w:sz w:val="18"/>
                <w:szCs w:val="18"/>
                <w:lang w:eastAsia="en-GB"/>
              </w:rPr>
            </w:pPr>
            <w:r>
              <w:rPr>
                <w:rFonts w:ascii="Calibri" w:hAnsi="Calibri" w:cs="Calibri"/>
                <w:noProof/>
                <w:sz w:val="18"/>
                <w:szCs w:val="18"/>
              </w:rPr>
              <w:t>4844.4</w:t>
            </w:r>
          </w:p>
        </w:tc>
        <w:tc>
          <w:tcPr>
            <w:tcW w:w="1804" w:type="dxa"/>
            <w:shd w:val="clear" w:color="auto" w:fill="FFFFFF" w:themeFill="background1"/>
            <w:noWrap/>
            <w:vAlign w:val="center"/>
            <w:hideMark/>
          </w:tcPr>
          <w:p>
            <w:pPr>
              <w:spacing w:after="0"/>
              <w:jc w:val="right"/>
              <w:rPr>
                <w:rFonts w:ascii="Calibri" w:eastAsia="Times New Roman" w:hAnsi="Calibri"/>
                <w:noProof/>
                <w:sz w:val="18"/>
                <w:szCs w:val="18"/>
                <w:lang w:eastAsia="en-GB"/>
              </w:rPr>
            </w:pPr>
            <w:r>
              <w:rPr>
                <w:rFonts w:ascii="Calibri" w:hAnsi="Calibri" w:cs="Calibri"/>
                <w:noProof/>
                <w:sz w:val="18"/>
                <w:szCs w:val="18"/>
              </w:rPr>
              <w:t>37.7%</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-1.4%</w:t>
            </w:r>
          </w:p>
        </w:tc>
        <w:tc>
          <w:tcPr>
            <w:tcW w:w="2471" w:type="dxa"/>
            <w:shd w:val="clear" w:color="auto" w:fill="FDE9D9" w:themeFill="accent6" w:themeFillTint="33"/>
            <w:noWrap/>
            <w:vAlign w:val="center"/>
            <w:hideMark/>
          </w:tcPr>
          <w:p>
            <w:pPr>
              <w:spacing w:after="0"/>
              <w:jc w:val="right"/>
              <w:rPr>
                <w:rFonts w:ascii="Calibri" w:eastAsia="Times New Roman" w:hAnsi="Calibri"/>
                <w:noProof/>
                <w:color w:val="000000"/>
                <w:sz w:val="18"/>
                <w:szCs w:val="18"/>
                <w:lang w:eastAsia="en-GB"/>
              </w:rPr>
            </w:pPr>
            <w:r>
              <w:rPr>
                <w:rFonts w:ascii="Calibri" w:hAnsi="Calibri" w:cs="Calibri"/>
                <w:noProof/>
                <w:color w:val="000000"/>
                <w:sz w:val="18"/>
                <w:szCs w:val="18"/>
              </w:rPr>
              <w:t>-29.6%</w:t>
            </w:r>
          </w:p>
        </w:tc>
      </w:tr>
      <w:tr>
        <w:trPr>
          <w:trHeight w:val="288"/>
          <w:jc w:val="center"/>
        </w:trPr>
        <w:tc>
          <w:tcPr>
            <w:tcW w:w="2317" w:type="dxa"/>
            <w:shd w:val="clear" w:color="auto" w:fill="auto"/>
            <w:noWrap/>
            <w:vAlign w:val="center"/>
          </w:tcPr>
          <w:p>
            <w:pPr>
              <w:spacing w:after="0"/>
              <w:rPr>
                <w:rFonts w:ascii="Calibri" w:eastAsia="Times New Roman" w:hAnsi="Calibri"/>
                <w:noProof/>
                <w:color w:val="000000"/>
                <w:sz w:val="16"/>
                <w:szCs w:val="16"/>
                <w:lang w:eastAsia="en-GB"/>
              </w:rPr>
            </w:pPr>
            <w:r>
              <w:rPr>
                <w:rFonts w:ascii="Calibri" w:eastAsia="Times New Roman" w:hAnsi="Calibri"/>
                <w:noProof/>
                <w:color w:val="000000"/>
                <w:sz w:val="16"/>
                <w:szCs w:val="16"/>
                <w:lang w:eastAsia="en-GB"/>
              </w:rPr>
              <w:t>J - Information and communication</w:t>
            </w:r>
          </w:p>
        </w:tc>
        <w:tc>
          <w:tcPr>
            <w:tcW w:w="1751" w:type="dxa"/>
            <w:shd w:val="clear" w:color="auto" w:fill="FFFFFF" w:themeFill="background1"/>
            <w:noWrap/>
            <w:vAlign w:val="center"/>
          </w:tcPr>
          <w:p>
            <w:pPr>
              <w:spacing w:after="0"/>
              <w:jc w:val="right"/>
              <w:rPr>
                <w:rFonts w:ascii="Calibri" w:hAnsi="Calibri" w:cs="Calibri"/>
                <w:noProof/>
                <w:sz w:val="16"/>
                <w:szCs w:val="16"/>
              </w:rPr>
            </w:pPr>
            <w:r>
              <w:rPr>
                <w:rFonts w:ascii="Calibri" w:hAnsi="Calibri" w:cs="Calibri"/>
                <w:noProof/>
                <w:sz w:val="16"/>
                <w:szCs w:val="16"/>
              </w:rPr>
              <w:t>-26.7</w:t>
            </w:r>
          </w:p>
        </w:tc>
        <w:tc>
          <w:tcPr>
            <w:tcW w:w="1314" w:type="dxa"/>
            <w:shd w:val="clear" w:color="auto" w:fill="FFFFFF" w:themeFill="background1"/>
            <w:noWrap/>
            <w:vAlign w:val="center"/>
          </w:tcPr>
          <w:p>
            <w:pPr>
              <w:spacing w:after="0"/>
              <w:jc w:val="right"/>
              <w:rPr>
                <w:rFonts w:ascii="Calibri" w:hAnsi="Calibri" w:cs="Calibri"/>
                <w:noProof/>
                <w:sz w:val="16"/>
                <w:szCs w:val="16"/>
              </w:rPr>
            </w:pPr>
            <w:r>
              <w:rPr>
                <w:rFonts w:ascii="Calibri" w:hAnsi="Calibri" w:cs="Calibri"/>
                <w:noProof/>
                <w:sz w:val="16"/>
                <w:szCs w:val="16"/>
              </w:rPr>
              <w:t>-13.7%</w:t>
            </w:r>
          </w:p>
        </w:tc>
        <w:tc>
          <w:tcPr>
            <w:tcW w:w="1843" w:type="dxa"/>
            <w:shd w:val="clear" w:color="auto" w:fill="FFFFFF" w:themeFill="background1"/>
            <w:vAlign w:val="center"/>
          </w:tcPr>
          <w:p>
            <w:pPr>
              <w:spacing w:after="0"/>
              <w:jc w:val="right"/>
              <w:rPr>
                <w:rFonts w:ascii="Calibri" w:hAnsi="Calibri" w:cs="Calibri"/>
                <w:noProof/>
                <w:sz w:val="16"/>
                <w:szCs w:val="16"/>
              </w:rPr>
            </w:pPr>
            <w:r>
              <w:rPr>
                <w:rFonts w:ascii="Calibri" w:hAnsi="Calibri" w:cs="Calibri"/>
                <w:noProof/>
                <w:sz w:val="16"/>
                <w:szCs w:val="16"/>
              </w:rPr>
              <w:t>3668.1</w:t>
            </w:r>
          </w:p>
        </w:tc>
        <w:tc>
          <w:tcPr>
            <w:tcW w:w="1804" w:type="dxa"/>
            <w:shd w:val="clear" w:color="auto" w:fill="FFFFFF" w:themeFill="background1"/>
            <w:noWrap/>
            <w:vAlign w:val="center"/>
          </w:tcPr>
          <w:p>
            <w:pPr>
              <w:spacing w:after="0"/>
              <w:jc w:val="right"/>
              <w:rPr>
                <w:rFonts w:ascii="Calibri" w:eastAsia="Times New Roman" w:hAnsi="Calibri"/>
                <w:noProof/>
                <w:sz w:val="16"/>
                <w:szCs w:val="16"/>
                <w:lang w:eastAsia="en-GB"/>
              </w:rPr>
            </w:pPr>
            <w:r>
              <w:rPr>
                <w:rFonts w:ascii="Calibri" w:hAnsi="Calibri" w:cs="Calibri"/>
                <w:noProof/>
                <w:sz w:val="16"/>
                <w:szCs w:val="16"/>
              </w:rPr>
              <w:t>22.8%</w:t>
            </w:r>
          </w:p>
        </w:tc>
        <w:tc>
          <w:tcPr>
            <w:tcW w:w="2448" w:type="dxa"/>
            <w:shd w:val="clear" w:color="auto" w:fill="FDE9D9" w:themeFill="accent6" w:themeFillTint="33"/>
            <w:vAlign w:val="center"/>
          </w:tcPr>
          <w:p>
            <w:pPr>
              <w:spacing w:after="0"/>
              <w:jc w:val="right"/>
              <w:rPr>
                <w:rFonts w:ascii="Calibri" w:eastAsia="Times New Roman" w:hAnsi="Calibri"/>
                <w:noProof/>
                <w:color w:val="000000"/>
                <w:sz w:val="16"/>
                <w:szCs w:val="16"/>
                <w:lang w:eastAsia="en-GB"/>
              </w:rPr>
            </w:pPr>
            <w:r>
              <w:rPr>
                <w:rFonts w:ascii="Calibri" w:hAnsi="Calibri" w:cs="Calibri"/>
                <w:noProof/>
                <w:color w:val="000000"/>
                <w:sz w:val="16"/>
                <w:szCs w:val="16"/>
              </w:rPr>
              <w:t>-0.4%</w:t>
            </w:r>
          </w:p>
        </w:tc>
        <w:tc>
          <w:tcPr>
            <w:tcW w:w="2471" w:type="dxa"/>
            <w:shd w:val="clear" w:color="auto" w:fill="FDE9D9" w:themeFill="accent6" w:themeFillTint="33"/>
            <w:noWrap/>
            <w:vAlign w:val="center"/>
          </w:tcPr>
          <w:p>
            <w:pPr>
              <w:spacing w:after="0"/>
              <w:jc w:val="right"/>
              <w:rPr>
                <w:rFonts w:ascii="Calibri" w:eastAsia="Times New Roman" w:hAnsi="Calibri"/>
                <w:noProof/>
                <w:color w:val="000000"/>
                <w:sz w:val="16"/>
                <w:szCs w:val="16"/>
                <w:lang w:eastAsia="en-GB"/>
              </w:rPr>
            </w:pPr>
            <w:r>
              <w:rPr>
                <w:rFonts w:ascii="Calibri" w:hAnsi="Calibri" w:cs="Calibri"/>
                <w:noProof/>
                <w:color w:val="000000"/>
                <w:sz w:val="16"/>
                <w:szCs w:val="16"/>
              </w:rPr>
              <w:t>-29.7%</w:t>
            </w:r>
          </w:p>
        </w:tc>
      </w:tr>
    </w:tbl>
    <w:p>
      <w:pPr>
        <w:spacing w:after="0"/>
        <w:jc w:val="left"/>
        <w:rPr>
          <w:noProof/>
        </w:rPr>
      </w:pPr>
    </w:p>
    <w:p>
      <w:pPr>
        <w:spacing w:after="0"/>
        <w:jc w:val="left"/>
        <w:rPr>
          <w:noProof/>
        </w:rPr>
        <w:sectPr>
          <w:headerReference w:type="even" r:id="rId55"/>
          <w:headerReference w:type="default" r:id="rId56"/>
          <w:footerReference w:type="even" r:id="rId57"/>
          <w:footerReference w:type="default" r:id="rId58"/>
          <w:headerReference w:type="first" r:id="rId59"/>
          <w:footerReference w:type="first" r:id="rId60"/>
          <w:footnotePr>
            <w:numStart w:val="51"/>
          </w:footnotePr>
          <w:pgSz w:w="16838" w:h="11906" w:orient="landscape" w:code="9"/>
          <w:pgMar w:top="1418" w:right="253" w:bottom="1418" w:left="1134" w:header="709" w:footer="709" w:gutter="0"/>
          <w:cols w:space="720"/>
          <w:docGrid w:linePitch="360"/>
        </w:sectPr>
      </w:pPr>
    </w:p>
    <w:p>
      <w:pPr>
        <w:pStyle w:val="Caption"/>
      </w:pPr>
      <w:bookmarkStart w:id="79" w:name="_Ref50680737"/>
      <w:bookmarkStart w:id="80" w:name="_Toc52396974"/>
      <w:r>
        <w:t xml:space="preserve">Table </w:t>
      </w:r>
      <w:r>
        <w:fldChar w:fldCharType="begin"/>
      </w:r>
      <w:r>
        <w:instrText xml:space="preserve"> SEQ Table \* ARABIC </w:instrText>
      </w:r>
      <w:r>
        <w:fldChar w:fldCharType="separate"/>
      </w:r>
      <w:r>
        <w:t>15</w:t>
      </w:r>
      <w:r>
        <w:fldChar w:fldCharType="end"/>
      </w:r>
      <w:bookmarkEnd w:id="79"/>
      <w:r>
        <w:t xml:space="preserve"> – Categorisation of sectors according to the energy and production costs dynamics, 2010 -2017</w:t>
      </w:r>
      <w:bookmarkEnd w:id="80"/>
    </w:p>
    <w:tbl>
      <w:tblPr>
        <w:tblStyle w:val="TableGrid"/>
        <w:tblW w:w="0" w:type="auto"/>
        <w:jc w:val="center"/>
        <w:tblLook w:val="04A0" w:firstRow="1" w:lastRow="0" w:firstColumn="1" w:lastColumn="0" w:noHBand="0" w:noVBand="1"/>
      </w:tblPr>
      <w:tblGrid>
        <w:gridCol w:w="3005"/>
        <w:gridCol w:w="4333"/>
        <w:gridCol w:w="3260"/>
      </w:tblGrid>
      <w:tr>
        <w:trPr>
          <w:jc w:val="center"/>
        </w:trPr>
        <w:tc>
          <w:tcPr>
            <w:tcW w:w="3005" w:type="dxa"/>
            <w:tcBorders>
              <w:top w:val="nil"/>
              <w:left w:val="nil"/>
              <w:bottom w:val="single" w:sz="4" w:space="0" w:color="auto"/>
              <w:right w:val="single" w:sz="4" w:space="0" w:color="auto"/>
            </w:tcBorders>
            <w:shd w:val="clear" w:color="auto" w:fill="auto"/>
            <w:vAlign w:val="center"/>
          </w:tcPr>
          <w:p>
            <w:pPr>
              <w:rPr>
                <w:rFonts w:ascii="Calibri" w:hAnsi="Calibri"/>
                <w:noProof/>
                <w:color w:val="FFFFFF" w:themeColor="background1"/>
                <w:sz w:val="16"/>
                <w:szCs w:val="16"/>
                <w:lang w:val="en-US"/>
              </w:rPr>
            </w:pPr>
          </w:p>
        </w:tc>
        <w:tc>
          <w:tcPr>
            <w:tcW w:w="4333" w:type="dxa"/>
            <w:tcBorders>
              <w:left w:val="single" w:sz="4" w:space="0" w:color="auto"/>
            </w:tcBorders>
            <w:shd w:val="clear" w:color="auto" w:fill="4F81BD" w:themeFill="accent1"/>
            <w:vAlign w:val="center"/>
          </w:tcPr>
          <w:p>
            <w:pPr>
              <w:jc w:val="center"/>
              <w:rPr>
                <w:rFonts w:ascii="Calibri" w:hAnsi="Calibri"/>
                <w:b/>
                <w:bCs/>
                <w:noProof/>
                <w:color w:val="FFFFFF" w:themeColor="background1"/>
                <w:lang w:val="en-US"/>
              </w:rPr>
            </w:pPr>
            <w:r>
              <w:rPr>
                <w:rFonts w:ascii="Calibri" w:hAnsi="Calibri"/>
                <w:b/>
                <w:bCs/>
                <w:noProof/>
                <w:color w:val="FFFFFF" w:themeColor="background1"/>
                <w:lang w:val="en-US"/>
              </w:rPr>
              <w:t>Reduced energy costs</w:t>
            </w:r>
          </w:p>
          <w:p>
            <w:pPr>
              <w:jc w:val="center"/>
              <w:rPr>
                <w:rFonts w:ascii="Calibri" w:hAnsi="Calibri"/>
                <w:b/>
                <w:bCs/>
                <w:noProof/>
                <w:color w:val="FFFFFF" w:themeColor="background1"/>
                <w:lang w:val="en-US"/>
              </w:rPr>
            </w:pPr>
            <w:r>
              <w:rPr>
                <w:rFonts w:ascii="Calibri" w:hAnsi="Calibri"/>
                <w:b/>
                <w:bCs/>
                <w:noProof/>
                <w:color w:val="FFFFFF" w:themeColor="background1"/>
                <w:lang w:val="en-US"/>
              </w:rPr>
              <w:t>(2010-2017)</w:t>
            </w:r>
          </w:p>
        </w:tc>
        <w:tc>
          <w:tcPr>
            <w:tcW w:w="3260" w:type="dxa"/>
            <w:shd w:val="clear" w:color="auto" w:fill="4F81BD" w:themeFill="accent1"/>
            <w:vAlign w:val="center"/>
          </w:tcPr>
          <w:p>
            <w:pPr>
              <w:jc w:val="center"/>
              <w:rPr>
                <w:rFonts w:ascii="Calibri" w:hAnsi="Calibri"/>
                <w:b/>
                <w:bCs/>
                <w:noProof/>
                <w:color w:val="FFFFFF" w:themeColor="background1"/>
                <w:lang w:val="en-US"/>
              </w:rPr>
            </w:pPr>
            <w:r>
              <w:rPr>
                <w:rFonts w:ascii="Calibri" w:hAnsi="Calibri"/>
                <w:b/>
                <w:bCs/>
                <w:noProof/>
                <w:color w:val="FFFFFF" w:themeColor="background1"/>
                <w:lang w:val="en-US"/>
              </w:rPr>
              <w:t>Increased energy costs</w:t>
            </w:r>
          </w:p>
          <w:p>
            <w:pPr>
              <w:jc w:val="center"/>
              <w:rPr>
                <w:rFonts w:ascii="Calibri" w:hAnsi="Calibri"/>
                <w:b/>
                <w:bCs/>
                <w:noProof/>
                <w:color w:val="FFFFFF" w:themeColor="background1"/>
                <w:lang w:val="en-US"/>
              </w:rPr>
            </w:pPr>
            <w:r>
              <w:rPr>
                <w:rFonts w:ascii="Calibri" w:hAnsi="Calibri"/>
                <w:b/>
                <w:bCs/>
                <w:noProof/>
                <w:color w:val="FFFFFF" w:themeColor="background1"/>
                <w:lang w:val="en-US"/>
              </w:rPr>
              <w:t>(2010-2017)</w:t>
            </w:r>
          </w:p>
        </w:tc>
      </w:tr>
      <w:tr>
        <w:trPr>
          <w:jc w:val="center"/>
        </w:trPr>
        <w:tc>
          <w:tcPr>
            <w:tcW w:w="3005" w:type="dxa"/>
            <w:tcBorders>
              <w:top w:val="single" w:sz="4" w:space="0" w:color="auto"/>
            </w:tcBorders>
            <w:shd w:val="clear" w:color="auto" w:fill="4F81BD" w:themeFill="accent1"/>
            <w:vAlign w:val="center"/>
          </w:tcPr>
          <w:p>
            <w:pPr>
              <w:jc w:val="center"/>
              <w:rPr>
                <w:rFonts w:ascii="Calibri" w:hAnsi="Calibri"/>
                <w:b/>
                <w:bCs/>
                <w:noProof/>
                <w:color w:val="FFFFFF" w:themeColor="background1"/>
                <w:lang w:val="en-US"/>
              </w:rPr>
            </w:pPr>
            <w:r>
              <w:rPr>
                <w:rFonts w:ascii="Calibri" w:hAnsi="Calibri"/>
                <w:b/>
                <w:bCs/>
                <w:noProof/>
                <w:color w:val="FFFFFF" w:themeColor="background1"/>
              </w:rPr>
              <w:t>Reduced production costs (2010-2017)</w:t>
            </w:r>
          </w:p>
        </w:tc>
        <w:tc>
          <w:tcPr>
            <w:tcW w:w="4333" w:type="dxa"/>
            <w:vAlign w:val="center"/>
          </w:tcPr>
          <w:p>
            <w:pPr>
              <w:pStyle w:val="ListParagraph"/>
              <w:numPr>
                <w:ilvl w:val="0"/>
                <w:numId w:val="37"/>
              </w:numPr>
              <w:spacing w:after="0"/>
              <w:jc w:val="left"/>
              <w:rPr>
                <w:rFonts w:ascii="Calibri" w:hAnsi="Calibri"/>
                <w:noProof/>
                <w:sz w:val="18"/>
                <w:szCs w:val="18"/>
                <w:lang w:val="en-US"/>
              </w:rPr>
            </w:pPr>
            <w:r>
              <w:rPr>
                <w:rFonts w:ascii="Calibri" w:hAnsi="Calibri"/>
                <w:noProof/>
                <w:sz w:val="18"/>
                <w:szCs w:val="18"/>
                <w:lang w:val="en-US"/>
              </w:rPr>
              <w:t>C26 - Computer and electronics</w:t>
            </w:r>
          </w:p>
          <w:p>
            <w:pPr>
              <w:pStyle w:val="ListParagraph"/>
              <w:numPr>
                <w:ilvl w:val="0"/>
                <w:numId w:val="37"/>
              </w:numPr>
              <w:spacing w:after="0"/>
              <w:jc w:val="left"/>
              <w:rPr>
                <w:rFonts w:ascii="Calibri" w:hAnsi="Calibri"/>
                <w:noProof/>
                <w:sz w:val="18"/>
                <w:szCs w:val="18"/>
                <w:lang w:val="en-US"/>
              </w:rPr>
            </w:pPr>
            <w:r>
              <w:rPr>
                <w:rFonts w:ascii="Calibri" w:hAnsi="Calibri"/>
                <w:noProof/>
                <w:sz w:val="18"/>
                <w:szCs w:val="18"/>
                <w:lang w:val="en-US"/>
              </w:rPr>
              <w:t>C232 - Refractory products</w:t>
            </w:r>
          </w:p>
          <w:p>
            <w:pPr>
              <w:pStyle w:val="ListParagraph"/>
              <w:numPr>
                <w:ilvl w:val="0"/>
                <w:numId w:val="37"/>
              </w:numPr>
              <w:spacing w:after="0"/>
              <w:jc w:val="left"/>
              <w:rPr>
                <w:rFonts w:ascii="Calibri" w:hAnsi="Calibri"/>
                <w:noProof/>
                <w:sz w:val="18"/>
                <w:szCs w:val="18"/>
                <w:lang w:val="en-US"/>
              </w:rPr>
            </w:pPr>
            <w:r>
              <w:rPr>
                <w:rFonts w:ascii="Calibri" w:hAnsi="Calibri"/>
                <w:noProof/>
                <w:sz w:val="18"/>
                <w:szCs w:val="18"/>
                <w:lang w:val="en-US"/>
              </w:rPr>
              <w:t>C235 - Cement, lime and plaster</w:t>
            </w:r>
          </w:p>
          <w:p>
            <w:pPr>
              <w:pStyle w:val="ListParagraph"/>
              <w:numPr>
                <w:ilvl w:val="0"/>
                <w:numId w:val="37"/>
              </w:numPr>
              <w:spacing w:after="0"/>
              <w:jc w:val="left"/>
              <w:rPr>
                <w:rFonts w:ascii="Calibri" w:hAnsi="Calibri"/>
                <w:noProof/>
                <w:sz w:val="18"/>
                <w:szCs w:val="18"/>
                <w:lang w:val="en-US"/>
              </w:rPr>
            </w:pPr>
            <w:r>
              <w:rPr>
                <w:rFonts w:ascii="Calibri" w:hAnsi="Calibri"/>
                <w:noProof/>
                <w:sz w:val="18"/>
                <w:szCs w:val="18"/>
                <w:lang w:val="en-US"/>
              </w:rPr>
              <w:t>C237 - Stone</w:t>
            </w:r>
          </w:p>
          <w:p>
            <w:pPr>
              <w:pStyle w:val="ListParagraph"/>
              <w:numPr>
                <w:ilvl w:val="0"/>
                <w:numId w:val="37"/>
              </w:numPr>
              <w:spacing w:after="0"/>
              <w:jc w:val="left"/>
              <w:rPr>
                <w:rFonts w:ascii="Calibri" w:hAnsi="Calibri"/>
                <w:noProof/>
                <w:sz w:val="18"/>
                <w:szCs w:val="18"/>
                <w:lang w:val="en-US"/>
              </w:rPr>
            </w:pPr>
            <w:r>
              <w:rPr>
                <w:rFonts w:ascii="Calibri" w:hAnsi="Calibri"/>
                <w:noProof/>
                <w:sz w:val="18"/>
                <w:szCs w:val="18"/>
                <w:lang w:val="en-US"/>
              </w:rPr>
              <w:t>C192 - Refineries</w:t>
            </w:r>
          </w:p>
          <w:p>
            <w:pPr>
              <w:pStyle w:val="ListParagraph"/>
              <w:numPr>
                <w:ilvl w:val="0"/>
                <w:numId w:val="37"/>
              </w:numPr>
              <w:spacing w:after="0"/>
              <w:jc w:val="left"/>
              <w:rPr>
                <w:rFonts w:ascii="Calibri" w:hAnsi="Calibri"/>
                <w:noProof/>
                <w:sz w:val="18"/>
                <w:szCs w:val="18"/>
                <w:lang w:val="en-US"/>
              </w:rPr>
            </w:pPr>
            <w:r>
              <w:rPr>
                <w:rFonts w:ascii="Calibri" w:hAnsi="Calibri"/>
                <w:noProof/>
                <w:sz w:val="18"/>
                <w:szCs w:val="18"/>
                <w:lang w:val="en-US"/>
              </w:rPr>
              <w:t>C132 – Textiles</w:t>
            </w:r>
          </w:p>
          <w:p>
            <w:pPr>
              <w:pStyle w:val="ListParagraph"/>
              <w:numPr>
                <w:ilvl w:val="0"/>
                <w:numId w:val="37"/>
              </w:numPr>
              <w:spacing w:after="0"/>
              <w:jc w:val="left"/>
              <w:rPr>
                <w:rFonts w:ascii="Calibri" w:hAnsi="Calibri"/>
                <w:b/>
                <w:noProof/>
                <w:sz w:val="18"/>
                <w:szCs w:val="18"/>
                <w:lang w:val="en-US"/>
              </w:rPr>
            </w:pPr>
            <w:r>
              <w:rPr>
                <w:rFonts w:ascii="Calibri" w:hAnsi="Calibri"/>
                <w:b/>
                <w:noProof/>
                <w:sz w:val="18"/>
                <w:szCs w:val="18"/>
                <w:lang w:val="en-US"/>
              </w:rPr>
              <w:t>B - Mining and quarrying</w:t>
            </w:r>
          </w:p>
          <w:p>
            <w:pPr>
              <w:pStyle w:val="ListParagraph"/>
              <w:numPr>
                <w:ilvl w:val="0"/>
                <w:numId w:val="37"/>
              </w:numPr>
              <w:spacing w:after="0"/>
              <w:jc w:val="left"/>
              <w:rPr>
                <w:rFonts w:ascii="Calibri" w:hAnsi="Calibri"/>
                <w:noProof/>
                <w:sz w:val="18"/>
                <w:szCs w:val="18"/>
                <w:lang w:val="en-US"/>
              </w:rPr>
            </w:pPr>
            <w:r>
              <w:rPr>
                <w:rFonts w:ascii="Calibri" w:hAnsi="Calibri"/>
                <w:noProof/>
                <w:sz w:val="18"/>
                <w:szCs w:val="18"/>
                <w:lang w:val="en-US"/>
              </w:rPr>
              <w:t>B07 - Mining of metal ores</w:t>
            </w:r>
          </w:p>
          <w:p>
            <w:pPr>
              <w:pStyle w:val="ListParagraph"/>
              <w:numPr>
                <w:ilvl w:val="0"/>
                <w:numId w:val="37"/>
              </w:numPr>
              <w:spacing w:after="0"/>
              <w:jc w:val="left"/>
              <w:rPr>
                <w:rFonts w:ascii="Calibri" w:hAnsi="Calibri"/>
                <w:noProof/>
                <w:sz w:val="18"/>
                <w:szCs w:val="18"/>
                <w:lang w:val="en-US"/>
              </w:rPr>
            </w:pPr>
            <w:r>
              <w:rPr>
                <w:rFonts w:ascii="Calibri" w:hAnsi="Calibri"/>
                <w:noProof/>
                <w:sz w:val="18"/>
                <w:szCs w:val="18"/>
                <w:lang w:val="en-US"/>
              </w:rPr>
              <w:t>B08 - Other mining</w:t>
            </w:r>
          </w:p>
          <w:p>
            <w:pPr>
              <w:spacing w:after="0"/>
              <w:jc w:val="left"/>
              <w:rPr>
                <w:rFonts w:ascii="Calibri" w:hAnsi="Calibri"/>
                <w:noProof/>
                <w:sz w:val="18"/>
                <w:szCs w:val="18"/>
                <w:lang w:val="en-US"/>
              </w:rPr>
            </w:pPr>
          </w:p>
        </w:tc>
        <w:tc>
          <w:tcPr>
            <w:tcW w:w="3260" w:type="dxa"/>
            <w:vAlign w:val="center"/>
          </w:tcPr>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B06 - Oil and gas</w:t>
            </w:r>
          </w:p>
          <w:p>
            <w:pPr>
              <w:pStyle w:val="ListParagraph"/>
              <w:spacing w:after="0"/>
              <w:ind w:left="360"/>
              <w:jc w:val="left"/>
              <w:rPr>
                <w:rFonts w:ascii="Calibri" w:hAnsi="Calibri"/>
                <w:noProof/>
                <w:sz w:val="18"/>
                <w:szCs w:val="18"/>
                <w:lang w:val="en-US"/>
              </w:rPr>
            </w:pPr>
          </w:p>
        </w:tc>
      </w:tr>
      <w:tr>
        <w:trPr>
          <w:jc w:val="center"/>
        </w:trPr>
        <w:tc>
          <w:tcPr>
            <w:tcW w:w="3005" w:type="dxa"/>
            <w:shd w:val="clear" w:color="auto" w:fill="4F81BD" w:themeFill="accent1"/>
            <w:vAlign w:val="center"/>
          </w:tcPr>
          <w:p>
            <w:pPr>
              <w:jc w:val="center"/>
              <w:rPr>
                <w:rFonts w:ascii="Calibri" w:hAnsi="Calibri"/>
                <w:b/>
                <w:bCs/>
                <w:noProof/>
                <w:color w:val="FFFFFF" w:themeColor="background1"/>
              </w:rPr>
            </w:pPr>
            <w:r>
              <w:rPr>
                <w:rFonts w:ascii="Calibri" w:hAnsi="Calibri"/>
                <w:b/>
                <w:bCs/>
                <w:noProof/>
                <w:color w:val="FFFFFF" w:themeColor="background1"/>
              </w:rPr>
              <w:t>Increased production costs (2010-2017)</w:t>
            </w:r>
          </w:p>
        </w:tc>
        <w:tc>
          <w:tcPr>
            <w:tcW w:w="4333" w:type="dxa"/>
            <w:vAlign w:val="center"/>
          </w:tcPr>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C33 - Repair of machinery</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C244 - Non-ferrous metals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C222 - Plastics products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C11 - Beverages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C21 - Pharmaceutical products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C32 - Other manufacturing</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C106 - Grain products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C25 - Fabricated metal products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C245 - Casting of metal</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C234 - Porcelain and ceramics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C27 - Electrical equipment</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C30 - Other transport equipment</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C201 - Basic chemicals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C231 - Glass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C206 - Man-made fibers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C172 - Articles of paper</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C233 - Clay building materials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C241 - Iron and steel</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C171 - Pulp and paper</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D35 - Electricity, gas and steam</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I - Accommodation and restaurants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E38 - Waste management</w:t>
            </w:r>
          </w:p>
        </w:tc>
        <w:tc>
          <w:tcPr>
            <w:tcW w:w="3260" w:type="dxa"/>
            <w:vAlign w:val="center"/>
          </w:tcPr>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C29 - Motor vehicles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C239 - Abrasive products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C103 - Fruit and vegetables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C28 - Machinery and equipment</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C161 – Sawmills</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H49 - Land transport</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G - Wholesale and retail trade</w:t>
            </w:r>
          </w:p>
          <w:p>
            <w:pPr>
              <w:pStyle w:val="ListParagraph"/>
              <w:numPr>
                <w:ilvl w:val="0"/>
                <w:numId w:val="38"/>
              </w:numPr>
              <w:spacing w:after="0"/>
              <w:jc w:val="left"/>
              <w:rPr>
                <w:rFonts w:ascii="Calibri" w:hAnsi="Calibri"/>
                <w:noProof/>
                <w:sz w:val="18"/>
                <w:szCs w:val="18"/>
                <w:lang w:val="en-US"/>
              </w:rPr>
            </w:pPr>
            <w:r>
              <w:rPr>
                <w:rFonts w:ascii="Calibri" w:hAnsi="Calibri"/>
                <w:noProof/>
                <w:sz w:val="18"/>
                <w:szCs w:val="18"/>
                <w:lang w:val="en-US"/>
              </w:rPr>
              <w:t xml:space="preserve">F - Construction </w:t>
            </w:r>
          </w:p>
          <w:p>
            <w:pPr>
              <w:pStyle w:val="ListParagraph"/>
              <w:numPr>
                <w:ilvl w:val="0"/>
                <w:numId w:val="38"/>
              </w:numPr>
              <w:spacing w:after="0"/>
              <w:jc w:val="left"/>
              <w:rPr>
                <w:rFonts w:ascii="Calibri" w:hAnsi="Calibri"/>
                <w:b/>
                <w:noProof/>
                <w:sz w:val="18"/>
                <w:szCs w:val="18"/>
                <w:lang w:val="en-US"/>
              </w:rPr>
            </w:pPr>
            <w:r>
              <w:rPr>
                <w:rFonts w:ascii="Calibri" w:hAnsi="Calibri"/>
                <w:b/>
                <w:noProof/>
                <w:sz w:val="18"/>
                <w:szCs w:val="18"/>
                <w:lang w:val="en-US"/>
              </w:rPr>
              <w:t>H52 – Air transport</w:t>
            </w:r>
          </w:p>
        </w:tc>
      </w:tr>
    </w:tbl>
    <w:p>
      <w:pPr>
        <w:spacing w:after="0"/>
        <w:jc w:val="left"/>
        <w:rPr>
          <w:noProof/>
        </w:rPr>
      </w:pPr>
    </w:p>
    <w:p>
      <w:pPr>
        <w:pBdr>
          <w:top w:val="single" w:sz="4" w:space="1" w:color="auto"/>
          <w:left w:val="single" w:sz="4" w:space="4" w:color="auto"/>
          <w:bottom w:val="single" w:sz="4" w:space="1" w:color="auto"/>
          <w:right w:val="single" w:sz="4" w:space="4" w:color="auto"/>
        </w:pBdr>
        <w:spacing w:after="0"/>
        <w:jc w:val="left"/>
        <w:rPr>
          <w:noProof/>
          <w:sz w:val="24"/>
          <w:szCs w:val="24"/>
        </w:rPr>
        <w:sectPr>
          <w:headerReference w:type="even" r:id="rId61"/>
          <w:headerReference w:type="default" r:id="rId62"/>
          <w:footerReference w:type="even" r:id="rId63"/>
          <w:footerReference w:type="default" r:id="rId64"/>
          <w:headerReference w:type="first" r:id="rId65"/>
          <w:footerReference w:type="first" r:id="rId66"/>
          <w:footnotePr>
            <w:numStart w:val="51"/>
          </w:footnotePr>
          <w:pgSz w:w="16838" w:h="11906" w:orient="landscape" w:code="9"/>
          <w:pgMar w:top="1418" w:right="253" w:bottom="1418" w:left="1134" w:header="709" w:footer="709" w:gutter="0"/>
          <w:cols w:space="720"/>
          <w:docGrid w:linePitch="360"/>
        </w:sectPr>
      </w:pPr>
    </w:p>
    <w:p>
      <w:pPr>
        <w:jc w:val="center"/>
        <w:rPr>
          <w:b/>
          <w:bCs/>
          <w:noProof/>
          <w:sz w:val="20"/>
          <w:szCs w:val="20"/>
        </w:rPr>
      </w:pPr>
      <w:r>
        <w:rPr>
          <w:b/>
          <w:bCs/>
          <w:noProof/>
          <w:sz w:val="20"/>
          <w:szCs w:val="20"/>
        </w:rPr>
        <w:t xml:space="preserve">Box - Energy costs of data centres </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Data centres consist of a very large number of server computers concentrated in one location, that provide on-line services over the Internet, with a high availability and reliability which are part of the contract offered to the customer. This concentration enables the sharing of a common infrastructure, such as electric power supply, cooling, high-bandwidth Internet access, security, redundancy, data storage. The servers themselves often are custom-designed and manufactured for the operator of the data centre, to achieve high performance and low energy consumption. The main energy consuming units are </w:t>
      </w:r>
    </w:p>
    <w:p>
      <w:pPr>
        <w:pStyle w:val="ListParagraph"/>
        <w:numPr>
          <w:ilvl w:val="1"/>
          <w:numId w:val="32"/>
        </w:numPr>
        <w:pBdr>
          <w:top w:val="single" w:sz="4" w:space="1" w:color="auto"/>
          <w:left w:val="single" w:sz="4" w:space="4" w:color="auto"/>
          <w:bottom w:val="single" w:sz="4" w:space="1" w:color="auto"/>
          <w:right w:val="single" w:sz="4" w:space="4" w:color="auto"/>
        </w:pBdr>
        <w:ind w:left="426" w:hanging="426"/>
        <w:contextualSpacing w:val="0"/>
        <w:rPr>
          <w:noProof/>
          <w:sz w:val="24"/>
          <w:szCs w:val="24"/>
        </w:rPr>
      </w:pPr>
      <w:r>
        <w:rPr>
          <w:noProof/>
          <w:sz w:val="24"/>
          <w:szCs w:val="24"/>
        </w:rPr>
        <w:t>the servers, which contain the central processor (CPU) and the memory (RAM): 41.3% of total energy consumption of the sector in the EU27 in 2018 (in an upward trend since 2010, when they represented only 33.7% of the total);</w:t>
      </w:r>
    </w:p>
    <w:p>
      <w:pPr>
        <w:pStyle w:val="ListParagraph"/>
        <w:numPr>
          <w:ilvl w:val="1"/>
          <w:numId w:val="32"/>
        </w:numPr>
        <w:pBdr>
          <w:top w:val="single" w:sz="4" w:space="1" w:color="auto"/>
          <w:left w:val="single" w:sz="4" w:space="4" w:color="auto"/>
          <w:bottom w:val="single" w:sz="4" w:space="1" w:color="auto"/>
          <w:right w:val="single" w:sz="4" w:space="4" w:color="auto"/>
        </w:pBdr>
        <w:ind w:left="426" w:hanging="426"/>
        <w:contextualSpacing w:val="0"/>
        <w:rPr>
          <w:noProof/>
          <w:sz w:val="24"/>
          <w:szCs w:val="24"/>
        </w:rPr>
      </w:pPr>
      <w:r>
        <w:rPr>
          <w:noProof/>
          <w:sz w:val="24"/>
          <w:szCs w:val="24"/>
        </w:rPr>
        <w:t>the cooling, which prevents the damaging of the servers by evacuating their excess heat: 28.9% of total energy consumption of the sector in the EU in 2018 (in an downward trend since 2010, when they represented only 32.8% of the total);</w:t>
      </w:r>
    </w:p>
    <w:p>
      <w:pPr>
        <w:pStyle w:val="ListParagraph"/>
        <w:numPr>
          <w:ilvl w:val="1"/>
          <w:numId w:val="32"/>
        </w:numPr>
        <w:pBdr>
          <w:top w:val="single" w:sz="4" w:space="1" w:color="auto"/>
          <w:left w:val="single" w:sz="4" w:space="4" w:color="auto"/>
          <w:bottom w:val="single" w:sz="4" w:space="1" w:color="auto"/>
          <w:right w:val="single" w:sz="4" w:space="4" w:color="auto"/>
        </w:pBdr>
        <w:ind w:left="426" w:hanging="426"/>
        <w:contextualSpacing w:val="0"/>
        <w:rPr>
          <w:noProof/>
          <w:sz w:val="24"/>
          <w:szCs w:val="24"/>
        </w:rPr>
      </w:pPr>
      <w:r>
        <w:rPr>
          <w:noProof/>
          <w:sz w:val="24"/>
          <w:szCs w:val="24"/>
        </w:rPr>
        <w:t>the uninterrupted power supply – UPS – which ensure that the servers are permanently fed with electric power, including in case of micro-interruptions of the network supply: 11.3% of total energy consumption of the sector in the EU in 2018 (in a slow downward trend since 2010, when they represented only 15.0% of the total);</w:t>
      </w:r>
    </w:p>
    <w:p>
      <w:pPr>
        <w:pStyle w:val="ListParagraph"/>
        <w:numPr>
          <w:ilvl w:val="1"/>
          <w:numId w:val="32"/>
        </w:numPr>
        <w:pBdr>
          <w:top w:val="single" w:sz="4" w:space="1" w:color="auto"/>
          <w:left w:val="single" w:sz="4" w:space="4" w:color="auto"/>
          <w:bottom w:val="single" w:sz="4" w:space="1" w:color="auto"/>
          <w:right w:val="single" w:sz="4" w:space="4" w:color="auto"/>
        </w:pBdr>
        <w:ind w:left="426" w:hanging="426"/>
        <w:contextualSpacing w:val="0"/>
        <w:rPr>
          <w:noProof/>
          <w:sz w:val="24"/>
          <w:szCs w:val="24"/>
        </w:rPr>
      </w:pPr>
      <w:r>
        <w:rPr>
          <w:noProof/>
          <w:sz w:val="24"/>
          <w:szCs w:val="24"/>
        </w:rPr>
        <w:t>the data storage (generally as hard disk drives): 12% of total energy consumption of the sector in the EU (constant over time);</w:t>
      </w:r>
    </w:p>
    <w:p>
      <w:pPr>
        <w:pStyle w:val="ListParagraph"/>
        <w:numPr>
          <w:ilvl w:val="1"/>
          <w:numId w:val="32"/>
        </w:numPr>
        <w:pBdr>
          <w:top w:val="single" w:sz="4" w:space="1" w:color="auto"/>
          <w:left w:val="single" w:sz="4" w:space="4" w:color="auto"/>
          <w:bottom w:val="single" w:sz="4" w:space="1" w:color="auto"/>
          <w:right w:val="single" w:sz="4" w:space="4" w:color="auto"/>
        </w:pBdr>
        <w:ind w:left="426" w:hanging="426"/>
        <w:contextualSpacing w:val="0"/>
        <w:rPr>
          <w:noProof/>
          <w:sz w:val="24"/>
          <w:szCs w:val="24"/>
        </w:rPr>
      </w:pPr>
      <w:r>
        <w:rPr>
          <w:noProof/>
          <w:sz w:val="24"/>
          <w:szCs w:val="24"/>
        </w:rPr>
        <w:t>the connection to the network: 3.7% of total energy consumption of the sector in the EU (constant over time).</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The evolution over time shows an increased technical efficiency of data centres, whereby a growing fraction of the energy consumption is used by the productive units (the servers, the storage and the communication network), and a decreasing part by the ancillary services that address the inefficiencies of the system, namely overheating and power interruptions (respectively: the cooling system and the UPS). </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Electricity costs of the sector of Data Centres in the EU27 has been rising sharply over the years 2010 – 2015 (from 3,600 M€ in 2010 to 5,020 M€ in 2015), and has remained stable over the years 2015 to 2018. This evolution is essentially related to the evolution of the prices for electricity for large industrial users, which followed the same pattern. Electricity costs in the UK display similar evolutions.</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The estimated </w:t>
      </w:r>
      <w:r>
        <w:rPr>
          <w:b/>
          <w:noProof/>
          <w:sz w:val="24"/>
          <w:szCs w:val="24"/>
        </w:rPr>
        <w:t xml:space="preserve">electricity costs </w:t>
      </w:r>
      <w:r>
        <w:rPr>
          <w:noProof/>
          <w:sz w:val="24"/>
          <w:szCs w:val="24"/>
        </w:rPr>
        <w:t xml:space="preserve">represent a significant </w:t>
      </w:r>
      <w:r>
        <w:rPr>
          <w:b/>
          <w:noProof/>
          <w:sz w:val="24"/>
          <w:szCs w:val="24"/>
        </w:rPr>
        <w:t>share of the overall production costs</w:t>
      </w:r>
      <w:r>
        <w:rPr>
          <w:noProof/>
          <w:sz w:val="24"/>
          <w:szCs w:val="24"/>
        </w:rPr>
        <w:t xml:space="preserve"> of the EU27 sector of data centres, comparable to that of the other energy-intensive industries: between </w:t>
      </w:r>
      <w:r>
        <w:rPr>
          <w:b/>
          <w:noProof/>
          <w:sz w:val="24"/>
          <w:szCs w:val="24"/>
        </w:rPr>
        <w:t>10.8 and 14.7%</w:t>
      </w:r>
      <w:r>
        <w:rPr>
          <w:noProof/>
          <w:sz w:val="24"/>
          <w:szCs w:val="24"/>
        </w:rPr>
        <w:t xml:space="preserve"> over the years 2010 – 2017. They also represent a small, but significant fraction of the production value of the sector: between 9.1 and 12.0%. These fractions have reached their peak in 2014 and decreased between then and 2018. The details of electricity costs and electricity costs as a share of production costs per Member State are presented in Annex D (4.1) of the Trinomics (2020).</w:t>
      </w:r>
    </w:p>
    <w:p>
      <w:pPr>
        <w:rPr>
          <w:b/>
          <w:noProof/>
          <w:sz w:val="24"/>
          <w:szCs w:val="24"/>
        </w:rPr>
      </w:pPr>
    </w:p>
    <w:p>
      <w:pPr>
        <w:rPr>
          <w:b/>
          <w:bCs/>
          <w:noProof/>
          <w:sz w:val="24"/>
          <w:szCs w:val="24"/>
        </w:rPr>
      </w:pPr>
      <w:r>
        <w:rPr>
          <w:b/>
          <w:bCs/>
          <w:noProof/>
          <w:sz w:val="24"/>
          <w:szCs w:val="24"/>
        </w:rPr>
        <w:t xml:space="preserve">Results on Gross Operating Surpluses shares </w:t>
      </w:r>
    </w:p>
    <w:p>
      <w:pPr>
        <w:rPr>
          <w:noProof/>
          <w:sz w:val="24"/>
          <w:szCs w:val="24"/>
        </w:rPr>
      </w:pPr>
      <w:r>
        <w:rPr>
          <w:noProof/>
          <w:sz w:val="24"/>
          <w:szCs w:val="24"/>
        </w:rPr>
        <w:t>Profit margins add on production costs to make up final sales prices. Profits play an important role in the cost-competitiveness of firms in the short run (when setting prices). But they are also fundamental for the competitiveness in the long run as they attract and enable investment.</w:t>
      </w:r>
    </w:p>
    <w:p>
      <w:pPr>
        <w:rPr>
          <w:noProof/>
          <w:sz w:val="24"/>
          <w:szCs w:val="24"/>
        </w:rPr>
      </w:pPr>
      <w:r>
        <w:rPr>
          <w:noProof/>
          <w:sz w:val="24"/>
          <w:szCs w:val="24"/>
        </w:rPr>
        <w:t>It is thus important to know the trends of Gross operating surplus</w:t>
      </w:r>
      <w:r>
        <w:rPr>
          <w:rStyle w:val="FootnoteReference"/>
          <w:noProof/>
          <w:sz w:val="24"/>
          <w:szCs w:val="24"/>
        </w:rPr>
        <w:footnoteReference w:id="14"/>
      </w:r>
      <w:r>
        <w:rPr>
          <w:noProof/>
          <w:sz w:val="24"/>
          <w:szCs w:val="24"/>
        </w:rPr>
        <w:t xml:space="preserve"> (GOS, a proxy for profits) for the sectors studied. </w:t>
      </w:r>
      <w:r>
        <w:rPr>
          <w:noProof/>
          <w:sz w:val="24"/>
          <w:szCs w:val="24"/>
        </w:rPr>
        <w:fldChar w:fldCharType="begin"/>
      </w:r>
      <w:r>
        <w:rPr>
          <w:b/>
          <w:noProof/>
          <w:sz w:val="24"/>
          <w:szCs w:val="24"/>
        </w:rPr>
        <w:instrText xml:space="preserve"> REF _Ref525196068 \h  \* MERGEFORMAT </w:instrText>
      </w:r>
      <w:r>
        <w:rPr>
          <w:noProof/>
          <w:sz w:val="24"/>
          <w:szCs w:val="24"/>
        </w:rPr>
      </w:r>
      <w:r>
        <w:rPr>
          <w:b/>
          <w:noProof/>
          <w:sz w:val="24"/>
          <w:szCs w:val="24"/>
        </w:rPr>
        <w:fldChar w:fldCharType="separate"/>
      </w:r>
      <w:r>
        <w:rPr>
          <w:b/>
          <w:bCs/>
          <w:noProof/>
          <w:sz w:val="24"/>
          <w:szCs w:val="24"/>
        </w:rPr>
        <w:t>Figure 141</w:t>
      </w:r>
      <w:r>
        <w:rPr>
          <w:noProof/>
          <w:sz w:val="24"/>
          <w:szCs w:val="24"/>
        </w:rPr>
        <w:fldChar w:fldCharType="end"/>
      </w:r>
      <w:r>
        <w:rPr>
          <w:noProof/>
          <w:sz w:val="24"/>
          <w:szCs w:val="24"/>
        </w:rPr>
        <w:t xml:space="preserve"> shows the average GOS as a share of production costs for the manufacturing sectors between 2010 and 2017. There has not been much changes in the overall picture over the last years. For most of the sectors, the share was between 5-15%, higher for sectors like </w:t>
      </w:r>
      <w:r>
        <w:rPr>
          <w:i/>
          <w:iCs/>
          <w:noProof/>
          <w:sz w:val="24"/>
          <w:szCs w:val="24"/>
        </w:rPr>
        <w:t>pharmaceuticals</w:t>
      </w:r>
      <w:r>
        <w:rPr>
          <w:noProof/>
          <w:sz w:val="24"/>
          <w:szCs w:val="24"/>
        </w:rPr>
        <w:t xml:space="preserve">; </w:t>
      </w:r>
      <w:r>
        <w:rPr>
          <w:i/>
          <w:iCs/>
          <w:noProof/>
          <w:sz w:val="24"/>
          <w:szCs w:val="24"/>
        </w:rPr>
        <w:t xml:space="preserve">cement, beverages, other manufacturing </w:t>
      </w:r>
      <w:r>
        <w:rPr>
          <w:noProof/>
          <w:sz w:val="24"/>
          <w:szCs w:val="24"/>
        </w:rPr>
        <w:t xml:space="preserve">and particularly lower for </w:t>
      </w:r>
      <w:r>
        <w:rPr>
          <w:i/>
          <w:noProof/>
          <w:sz w:val="24"/>
          <w:szCs w:val="24"/>
        </w:rPr>
        <w:t>refineries</w:t>
      </w:r>
      <w:r>
        <w:rPr>
          <w:noProof/>
          <w:sz w:val="24"/>
          <w:szCs w:val="24"/>
        </w:rPr>
        <w:t xml:space="preserve"> and </w:t>
      </w:r>
      <w:r>
        <w:rPr>
          <w:i/>
          <w:iCs/>
          <w:noProof/>
          <w:sz w:val="24"/>
          <w:szCs w:val="24"/>
        </w:rPr>
        <w:t>steel</w:t>
      </w:r>
      <w:r>
        <w:rPr>
          <w:noProof/>
          <w:sz w:val="24"/>
          <w:szCs w:val="24"/>
        </w:rPr>
        <w:t xml:space="preserve"> (although growing strongly at the end of the period up to 10% and recovering from negative numbers in 2009 and close to zero in 2011-2012, due to the crisis in Hungarian and Greek steel sectors). </w:t>
      </w:r>
    </w:p>
    <w:p>
      <w:pPr>
        <w:rPr>
          <w:noProof/>
          <w:sz w:val="24"/>
          <w:szCs w:val="24"/>
        </w:rPr>
      </w:pPr>
      <w:r>
        <w:rPr>
          <w:noProof/>
          <w:sz w:val="24"/>
          <w:szCs w:val="24"/>
        </w:rPr>
        <w:t xml:space="preserve">The GOS as a share of production costs increased in most of the sectors, between 2010 and 2017. The relative higher increases were in </w:t>
      </w:r>
      <w:r>
        <w:rPr>
          <w:i/>
          <w:noProof/>
          <w:sz w:val="24"/>
          <w:szCs w:val="24"/>
        </w:rPr>
        <w:t>steel</w:t>
      </w:r>
      <w:r>
        <w:rPr>
          <w:noProof/>
          <w:sz w:val="24"/>
          <w:szCs w:val="24"/>
        </w:rPr>
        <w:t xml:space="preserve"> (103%), </w:t>
      </w:r>
      <w:r>
        <w:rPr>
          <w:i/>
          <w:iCs/>
          <w:noProof/>
          <w:sz w:val="24"/>
          <w:szCs w:val="24"/>
        </w:rPr>
        <w:t>textiles</w:t>
      </w:r>
      <w:r>
        <w:rPr>
          <w:noProof/>
          <w:sz w:val="24"/>
          <w:szCs w:val="24"/>
        </w:rPr>
        <w:t xml:space="preserve"> (52%), and </w:t>
      </w:r>
      <w:r>
        <w:rPr>
          <w:i/>
          <w:iCs/>
          <w:noProof/>
          <w:sz w:val="24"/>
          <w:szCs w:val="24"/>
        </w:rPr>
        <w:t>casting of metals (</w:t>
      </w:r>
      <w:r>
        <w:rPr>
          <w:noProof/>
          <w:sz w:val="24"/>
          <w:szCs w:val="24"/>
        </w:rPr>
        <w:t xml:space="preserve">41%), while the decreases were proportionally important is some sectors, including </w:t>
      </w:r>
      <w:r>
        <w:rPr>
          <w:i/>
          <w:noProof/>
          <w:sz w:val="24"/>
          <w:szCs w:val="24"/>
        </w:rPr>
        <w:t>man-made fibres</w:t>
      </w:r>
      <w:r>
        <w:rPr>
          <w:noProof/>
          <w:sz w:val="24"/>
          <w:szCs w:val="24"/>
        </w:rPr>
        <w:t xml:space="preserve"> (-43%), </w:t>
      </w:r>
      <w:r>
        <w:rPr>
          <w:i/>
          <w:noProof/>
          <w:sz w:val="24"/>
          <w:szCs w:val="24"/>
        </w:rPr>
        <w:t xml:space="preserve">cement </w:t>
      </w:r>
      <w:r>
        <w:rPr>
          <w:noProof/>
          <w:sz w:val="24"/>
          <w:szCs w:val="24"/>
        </w:rPr>
        <w:t xml:space="preserve">(-23%), and </w:t>
      </w:r>
      <w:r>
        <w:rPr>
          <w:i/>
          <w:noProof/>
          <w:sz w:val="24"/>
          <w:szCs w:val="24"/>
        </w:rPr>
        <w:t>refineries</w:t>
      </w:r>
      <w:r>
        <w:rPr>
          <w:noProof/>
          <w:sz w:val="24"/>
          <w:szCs w:val="24"/>
        </w:rPr>
        <w:t xml:space="preserve"> (-22%).</w:t>
      </w:r>
    </w:p>
    <w:p>
      <w:pPr>
        <w:rPr>
          <w:noProof/>
        </w:rPr>
      </w:pPr>
      <w:r>
        <w:rPr>
          <w:noProof/>
          <w:lang w:eastAsia="en-GB"/>
        </w:rPr>
        <w:drawing>
          <wp:inline distT="0" distB="0" distL="0" distR="0">
            <wp:extent cx="5759450" cy="2870036"/>
            <wp:effectExtent l="0" t="0" r="0" b="6985"/>
            <wp:docPr id="312247363" name="Picture 149194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946907"/>
                    <pic:cNvPicPr/>
                  </pic:nvPicPr>
                  <pic:blipFill>
                    <a:blip r:embed="rId67" cstate="print">
                      <a:extLst>
                        <a:ext uri="{28A0092B-C50C-407E-A947-70E740481C1C}">
                          <a14:useLocalDpi xmlns:a14="http://schemas.microsoft.com/office/drawing/2010/main"/>
                        </a:ext>
                      </a:extLst>
                    </a:blip>
                    <a:stretch>
                      <a:fillRect/>
                    </a:stretch>
                  </pic:blipFill>
                  <pic:spPr>
                    <a:xfrm>
                      <a:off x="0" y="0"/>
                      <a:ext cx="5759450" cy="2870036"/>
                    </a:xfrm>
                    <a:prstGeom prst="rect">
                      <a:avLst/>
                    </a:prstGeom>
                  </pic:spPr>
                </pic:pic>
              </a:graphicData>
            </a:graphic>
          </wp:inline>
        </w:drawing>
      </w:r>
    </w:p>
    <w:p>
      <w:pPr>
        <w:pStyle w:val="Caption"/>
      </w:pPr>
      <w:bookmarkStart w:id="81" w:name="_Ref525196068"/>
      <w:bookmarkStart w:id="82" w:name="_Toc525807866"/>
      <w:bookmarkStart w:id="83" w:name="_Toc526433480"/>
      <w:bookmarkStart w:id="84" w:name="_Toc526433758"/>
      <w:bookmarkStart w:id="85" w:name="_Toc526435700"/>
      <w:bookmarkStart w:id="86" w:name="_Toc530739790"/>
      <w:bookmarkStart w:id="87" w:name="_Toc531366165"/>
      <w:bookmarkStart w:id="88" w:name="_Toc50494135"/>
      <w:bookmarkStart w:id="89" w:name="_Toc52396913"/>
      <w:r>
        <w:t xml:space="preserve">Figure </w:t>
      </w:r>
      <w:r>
        <w:fldChar w:fldCharType="begin"/>
      </w:r>
      <w:r>
        <w:instrText xml:space="preserve"> SEQ Figure \* ARABIC </w:instrText>
      </w:r>
      <w:r>
        <w:fldChar w:fldCharType="separate"/>
      </w:r>
      <w:r>
        <w:t>141</w:t>
      </w:r>
      <w:r>
        <w:fldChar w:fldCharType="end"/>
      </w:r>
      <w:bookmarkEnd w:id="81"/>
      <w:r>
        <w:t xml:space="preserve"> - Gross Operating Surplus in manufacturing sectors (average 2008-2015)</w:t>
      </w:r>
      <w:bookmarkEnd w:id="82"/>
      <w:bookmarkEnd w:id="83"/>
      <w:bookmarkEnd w:id="84"/>
      <w:bookmarkEnd w:id="85"/>
      <w:bookmarkEnd w:id="86"/>
      <w:bookmarkEnd w:id="87"/>
      <w:bookmarkEnd w:id="88"/>
      <w:bookmarkEnd w:id="89"/>
    </w:p>
    <w:p>
      <w:pPr>
        <w:pStyle w:val="Sources"/>
        <w:rPr>
          <w:noProof/>
          <w:lang w:val="fr-BE"/>
        </w:rPr>
      </w:pPr>
      <w:r>
        <w:rPr>
          <w:noProof/>
          <w:lang w:val="fr-BE"/>
        </w:rPr>
        <w:t>Source: Trinomics et altri study (2020)</w:t>
      </w:r>
    </w:p>
    <w:p>
      <w:pPr>
        <w:rPr>
          <w:noProof/>
          <w:sz w:val="20"/>
          <w:szCs w:val="20"/>
        </w:rPr>
      </w:pPr>
      <w:r>
        <w:rPr>
          <w:noProof/>
          <w:sz w:val="20"/>
          <w:szCs w:val="20"/>
        </w:rPr>
        <w:t>Note: Average of for the sector based on the MS for which total production cost and GOS data available for all years</w:t>
      </w:r>
    </w:p>
    <w:p>
      <w:pPr>
        <w:rPr>
          <w:noProof/>
        </w:rPr>
      </w:pPr>
    </w:p>
    <w:p>
      <w:pPr>
        <w:rPr>
          <w:noProof/>
          <w:sz w:val="24"/>
          <w:szCs w:val="24"/>
        </w:rPr>
      </w:pPr>
      <w:r>
        <w:rPr>
          <w:noProof/>
          <w:sz w:val="24"/>
          <w:szCs w:val="24"/>
        </w:rPr>
        <w:t xml:space="preserve">Across Member States (see </w:t>
      </w:r>
      <w:r>
        <w:rPr>
          <w:noProof/>
          <w:sz w:val="24"/>
          <w:szCs w:val="24"/>
        </w:rPr>
        <w:fldChar w:fldCharType="begin"/>
      </w:r>
      <w:r>
        <w:rPr>
          <w:b/>
          <w:noProof/>
          <w:sz w:val="24"/>
          <w:szCs w:val="24"/>
        </w:rPr>
        <w:instrText xml:space="preserve"> REF _Ref525196128 \h  \* MERGEFORMAT </w:instrText>
      </w:r>
      <w:r>
        <w:rPr>
          <w:noProof/>
          <w:sz w:val="24"/>
          <w:szCs w:val="24"/>
        </w:rPr>
      </w:r>
      <w:r>
        <w:rPr>
          <w:b/>
          <w:noProof/>
          <w:sz w:val="24"/>
          <w:szCs w:val="24"/>
        </w:rPr>
        <w:fldChar w:fldCharType="separate"/>
      </w:r>
      <w:r>
        <w:rPr>
          <w:b/>
          <w:bCs/>
          <w:noProof/>
          <w:sz w:val="24"/>
          <w:szCs w:val="24"/>
        </w:rPr>
        <w:t>Figure 142</w:t>
      </w:r>
      <w:r>
        <w:rPr>
          <w:noProof/>
          <w:sz w:val="24"/>
          <w:szCs w:val="24"/>
        </w:rPr>
        <w:fldChar w:fldCharType="end"/>
      </w:r>
      <w:r>
        <w:rPr>
          <w:noProof/>
          <w:sz w:val="24"/>
          <w:szCs w:val="24"/>
        </w:rPr>
        <w:t>), GOS as a share of production costs were in most cases in the range of 10-14% between 2010 and 2017. Shares were over 14% in Ireland, Bulgaria, Cyprus, Denmark, Hungary, Latvia, Malta and Romania and close or slightly below 10% in Belgium, Germany, Italy and the lowest (6%) in France.</w:t>
      </w:r>
    </w:p>
    <w:p>
      <w:pPr>
        <w:rPr>
          <w:noProof/>
        </w:rPr>
      </w:pPr>
    </w:p>
    <w:p>
      <w:pPr>
        <w:rPr>
          <w:noProof/>
          <w:lang w:eastAsia="en-GB"/>
        </w:rPr>
      </w:pPr>
    </w:p>
    <w:p>
      <w:pPr>
        <w:jc w:val="center"/>
        <w:rPr>
          <w:noProof/>
          <w:lang w:eastAsia="en-GB"/>
        </w:rPr>
      </w:pPr>
      <w:r>
        <w:rPr>
          <w:noProof/>
          <w:lang w:eastAsia="en-GB"/>
        </w:rPr>
        <w:drawing>
          <wp:inline distT="0" distB="0" distL="0" distR="0">
            <wp:extent cx="5845216" cy="2546680"/>
            <wp:effectExtent l="0" t="0" r="3175" b="6350"/>
            <wp:docPr id="384354549" name="Picture 149194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946906"/>
                    <pic:cNvPicPr/>
                  </pic:nvPicPr>
                  <pic:blipFill>
                    <a:blip r:embed="rId68">
                      <a:extLst>
                        <a:ext uri="{28A0092B-C50C-407E-A947-70E740481C1C}">
                          <a14:useLocalDpi xmlns:a14="http://schemas.microsoft.com/office/drawing/2010/main"/>
                        </a:ext>
                      </a:extLst>
                    </a:blip>
                    <a:stretch>
                      <a:fillRect/>
                    </a:stretch>
                  </pic:blipFill>
                  <pic:spPr>
                    <a:xfrm>
                      <a:off x="0" y="0"/>
                      <a:ext cx="5871853" cy="2558286"/>
                    </a:xfrm>
                    <a:prstGeom prst="rect">
                      <a:avLst/>
                    </a:prstGeom>
                  </pic:spPr>
                </pic:pic>
              </a:graphicData>
            </a:graphic>
          </wp:inline>
        </w:drawing>
      </w:r>
    </w:p>
    <w:p>
      <w:pPr>
        <w:pStyle w:val="Caption"/>
      </w:pPr>
      <w:bookmarkStart w:id="90" w:name="_Ref525196128"/>
      <w:bookmarkStart w:id="91" w:name="_Toc525807867"/>
      <w:bookmarkStart w:id="92" w:name="_Toc526433481"/>
      <w:bookmarkStart w:id="93" w:name="_Toc526433759"/>
      <w:bookmarkStart w:id="94" w:name="_Toc526435701"/>
      <w:bookmarkStart w:id="95" w:name="_Toc530739791"/>
      <w:bookmarkStart w:id="96" w:name="_Toc531366166"/>
      <w:bookmarkStart w:id="97" w:name="_Toc50494136"/>
      <w:bookmarkStart w:id="98" w:name="_Toc52396914"/>
      <w:r>
        <w:t xml:space="preserve">Figure </w:t>
      </w:r>
      <w:r>
        <w:fldChar w:fldCharType="begin"/>
      </w:r>
      <w:r>
        <w:instrText xml:space="preserve"> SEQ Figure \* ARABIC </w:instrText>
      </w:r>
      <w:r>
        <w:fldChar w:fldCharType="separate"/>
      </w:r>
      <w:r>
        <w:t>142</w:t>
      </w:r>
      <w:r>
        <w:fldChar w:fldCharType="end"/>
      </w:r>
      <w:bookmarkEnd w:id="90"/>
      <w:r>
        <w:t xml:space="preserve"> - Gross Operating Surplus in manufacturing in the EU and Member States, 2008-2015</w:t>
      </w:r>
      <w:bookmarkEnd w:id="91"/>
      <w:bookmarkEnd w:id="92"/>
      <w:bookmarkEnd w:id="93"/>
      <w:bookmarkEnd w:id="94"/>
      <w:bookmarkEnd w:id="95"/>
      <w:bookmarkEnd w:id="96"/>
      <w:bookmarkEnd w:id="97"/>
      <w:bookmarkEnd w:id="98"/>
    </w:p>
    <w:p>
      <w:pPr>
        <w:pStyle w:val="Sources"/>
        <w:rPr>
          <w:noProof/>
          <w:lang w:val="fr-BE"/>
        </w:rPr>
      </w:pPr>
      <w:r>
        <w:rPr>
          <w:noProof/>
          <w:lang w:val="fr-BE"/>
        </w:rPr>
        <w:t>Source: Trinomics et altri study (2020)</w:t>
      </w:r>
    </w:p>
    <w:p>
      <w:pPr>
        <w:pStyle w:val="Sources"/>
        <w:rPr>
          <w:noProof/>
          <w:color w:val="FF0000"/>
          <w:sz w:val="24"/>
          <w:szCs w:val="24"/>
          <w:lang w:val="fr-BE"/>
        </w:rPr>
      </w:pPr>
    </w:p>
    <w:p>
      <w:pPr>
        <w:rPr>
          <w:b/>
          <w:bCs/>
          <w:noProof/>
          <w:sz w:val="24"/>
          <w:szCs w:val="24"/>
        </w:rPr>
      </w:pPr>
      <w:r>
        <w:rPr>
          <w:b/>
          <w:bCs/>
          <w:noProof/>
          <w:sz w:val="24"/>
          <w:szCs w:val="24"/>
        </w:rPr>
        <w:t xml:space="preserve">International comparisons of Gross Operating Surpluses </w:t>
      </w:r>
    </w:p>
    <w:p>
      <w:pPr>
        <w:rPr>
          <w:noProof/>
          <w:sz w:val="24"/>
          <w:szCs w:val="24"/>
        </w:rPr>
      </w:pPr>
      <w:r>
        <w:rPr>
          <w:noProof/>
          <w:sz w:val="24"/>
          <w:szCs w:val="24"/>
        </w:rPr>
        <w:t xml:space="preserve">This section compares </w:t>
      </w:r>
      <w:r>
        <w:rPr>
          <w:i/>
          <w:noProof/>
          <w:sz w:val="24"/>
          <w:szCs w:val="24"/>
        </w:rPr>
        <w:t>Gross Operating Surpluses (GOS) shares in total production value</w:t>
      </w:r>
      <w:r>
        <w:rPr>
          <w:noProof/>
          <w:sz w:val="24"/>
          <w:szCs w:val="24"/>
        </w:rPr>
        <w:t xml:space="preserve"> (proxy of profitability) across </w:t>
      </w:r>
      <w:r>
        <w:rPr>
          <w:i/>
          <w:noProof/>
          <w:sz w:val="24"/>
          <w:szCs w:val="24"/>
        </w:rPr>
        <w:t>manufacturing and non-manufacturing sectors</w:t>
      </w:r>
      <w:r>
        <w:rPr>
          <w:noProof/>
          <w:sz w:val="24"/>
          <w:szCs w:val="24"/>
        </w:rPr>
        <w:t xml:space="preserve"> in the EU, its trade partners, and G20 countries (excluding Iceland for which data was insufficient).  </w:t>
      </w:r>
    </w:p>
    <w:p>
      <w:pPr>
        <w:rPr>
          <w:i/>
          <w:noProof/>
          <w:sz w:val="24"/>
          <w:szCs w:val="24"/>
        </w:rPr>
      </w:pPr>
      <w:r>
        <w:rPr>
          <w:i/>
          <w:noProof/>
          <w:sz w:val="24"/>
          <w:szCs w:val="24"/>
        </w:rPr>
        <w:t>Profitability of manufacturing sectors: EU vs G20</w:t>
      </w:r>
    </w:p>
    <w:p>
      <w:pPr>
        <w:rPr>
          <w:noProof/>
          <w:sz w:val="24"/>
          <w:szCs w:val="24"/>
        </w:rPr>
      </w:pPr>
      <w:r>
        <w:rPr>
          <w:noProof/>
          <w:sz w:val="24"/>
          <w:szCs w:val="24"/>
        </w:rPr>
        <w:t xml:space="preserve">The results of the analysis shows that the EU displays average profitability of a similar magnitude that Japan, China, the US, Norway and Switzerland, higher than in Brazil but significantly lower than the rest of the G20 countries. The average profitability in the EU manufacturing sectors is however less volatile than in most of the G20 countries </w:t>
      </w:r>
    </w:p>
    <w:p>
      <w:pPr>
        <w:rPr>
          <w:noProof/>
          <w:sz w:val="24"/>
          <w:szCs w:val="24"/>
        </w:rPr>
      </w:pPr>
      <w:r>
        <w:rPr>
          <w:noProof/>
          <w:sz w:val="24"/>
          <w:szCs w:val="24"/>
        </w:rPr>
        <w:t>When compared with its most important international trade partners, the EU manufacturing sectors show a similar profitability to those in China but lower levels than those in Japan and the United States. Between 2015 and 2017, the profitability increased in many countries, including in the EU. This rise in profitability was however not experienced in China (where it dropped in 2016), the US (where it dropped in 2016 and then rose slightly in 2017) or Japan (where it remained stable).</w:t>
      </w:r>
    </w:p>
    <w:p>
      <w:pPr>
        <w:spacing w:after="0"/>
        <w:jc w:val="center"/>
        <w:rPr>
          <w:noProof/>
        </w:rPr>
      </w:pPr>
      <w:r>
        <w:rPr>
          <w:noProof/>
          <w:lang w:eastAsia="en-GB"/>
        </w:rPr>
        <w:drawing>
          <wp:inline distT="0" distB="0" distL="0" distR="0">
            <wp:extent cx="5830097" cy="25059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844599" cy="2512153"/>
                    </a:xfrm>
                    <a:prstGeom prst="rect">
                      <a:avLst/>
                    </a:prstGeom>
                    <a:noFill/>
                    <a:ln>
                      <a:noFill/>
                    </a:ln>
                  </pic:spPr>
                </pic:pic>
              </a:graphicData>
            </a:graphic>
          </wp:inline>
        </w:drawing>
      </w:r>
    </w:p>
    <w:p>
      <w:pPr>
        <w:pStyle w:val="Caption"/>
      </w:pPr>
      <w:bookmarkStart w:id="99" w:name="_Toc50494137"/>
      <w:bookmarkStart w:id="100" w:name="_Toc52396915"/>
      <w:r>
        <w:t xml:space="preserve">Figure </w:t>
      </w:r>
      <w:r>
        <w:fldChar w:fldCharType="begin"/>
      </w:r>
      <w:r>
        <w:instrText xml:space="preserve"> SEQ Figure \* ARABIC </w:instrText>
      </w:r>
      <w:r>
        <w:fldChar w:fldCharType="separate"/>
      </w:r>
      <w:r>
        <w:t>143</w:t>
      </w:r>
      <w:r>
        <w:fldChar w:fldCharType="end"/>
      </w:r>
      <w:r>
        <w:t xml:space="preserve"> – Gross Operating Surplus shares of value added in manufacturing, EU vs G20</w:t>
      </w:r>
      <w:bookmarkEnd w:id="99"/>
      <w:bookmarkEnd w:id="100"/>
    </w:p>
    <w:p>
      <w:pPr>
        <w:rPr>
          <w:noProof/>
          <w:sz w:val="20"/>
          <w:szCs w:val="20"/>
          <w:lang w:val="fr-BE"/>
        </w:rPr>
      </w:pPr>
      <w:r>
        <w:rPr>
          <w:noProof/>
          <w:sz w:val="20"/>
          <w:szCs w:val="20"/>
          <w:lang w:val="fr-BE"/>
        </w:rPr>
        <w:t>Source: Trinomics et altri study (2020)</w:t>
      </w:r>
    </w:p>
    <w:p>
      <w:pPr>
        <w:rPr>
          <w:i/>
          <w:noProof/>
          <w:lang w:val="fr-BE"/>
        </w:rPr>
      </w:pPr>
    </w:p>
    <w:p>
      <w:pPr>
        <w:rPr>
          <w:i/>
          <w:noProof/>
          <w:sz w:val="24"/>
          <w:szCs w:val="24"/>
        </w:rPr>
      </w:pPr>
      <w:r>
        <w:rPr>
          <w:i/>
          <w:noProof/>
          <w:sz w:val="24"/>
          <w:szCs w:val="24"/>
        </w:rPr>
        <w:t>Profitability of non- manufacturing sectors: EU vs G20</w:t>
      </w:r>
    </w:p>
    <w:p>
      <w:pPr>
        <w:rPr>
          <w:noProof/>
          <w:sz w:val="24"/>
          <w:szCs w:val="24"/>
        </w:rPr>
      </w:pPr>
      <w:r>
        <w:rPr>
          <w:noProof/>
          <w:sz w:val="24"/>
          <w:szCs w:val="24"/>
        </w:rPr>
        <w:t>EU non-manufacturing displays on average a slightly lower profitability than in most of the G20 countries, yet comparable to the US and Japan and higher than in Switzerland and China. The highest average profitability of non-manufacturing sectors appears in Mexico, Saudi Arabia, and Russia</w:t>
      </w:r>
    </w:p>
    <w:p>
      <w:pPr>
        <w:rPr>
          <w:noProof/>
          <w:sz w:val="24"/>
          <w:szCs w:val="24"/>
        </w:rPr>
      </w:pPr>
      <w:r>
        <w:rPr>
          <w:noProof/>
          <w:sz w:val="24"/>
          <w:szCs w:val="24"/>
        </w:rPr>
        <w:t xml:space="preserve">In the EU, the profitability of non-manufacturing sectors is slightly (2-3%) higher than that of manufacturing, while in Japan and in the US, the profitability in manufacturing sectors is higher than in non-manufacturing sectors. </w:t>
      </w:r>
    </w:p>
    <w:p>
      <w:pPr>
        <w:jc w:val="center"/>
        <w:rPr>
          <w:noProof/>
        </w:rPr>
      </w:pPr>
      <w:r>
        <w:rPr>
          <w:noProof/>
          <w:lang w:eastAsia="en-GB"/>
        </w:rPr>
        <w:drawing>
          <wp:inline distT="0" distB="0" distL="0" distR="0">
            <wp:extent cx="5729605" cy="25527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729605" cy="2552700"/>
                    </a:xfrm>
                    <a:prstGeom prst="rect">
                      <a:avLst/>
                    </a:prstGeom>
                    <a:noFill/>
                    <a:ln>
                      <a:noFill/>
                    </a:ln>
                  </pic:spPr>
                </pic:pic>
              </a:graphicData>
            </a:graphic>
          </wp:inline>
        </w:drawing>
      </w:r>
    </w:p>
    <w:p>
      <w:pPr>
        <w:pStyle w:val="Caption"/>
      </w:pPr>
      <w:bookmarkStart w:id="101" w:name="_Toc50494138"/>
      <w:bookmarkStart w:id="102" w:name="_Toc52396916"/>
      <w:r>
        <w:t xml:space="preserve">Figure </w:t>
      </w:r>
      <w:r>
        <w:fldChar w:fldCharType="begin"/>
      </w:r>
      <w:r>
        <w:instrText xml:space="preserve"> SEQ Figure \* ARABIC </w:instrText>
      </w:r>
      <w:r>
        <w:fldChar w:fldCharType="separate"/>
      </w:r>
      <w:r>
        <w:t>144</w:t>
      </w:r>
      <w:r>
        <w:fldChar w:fldCharType="end"/>
      </w:r>
      <w:r>
        <w:t xml:space="preserve"> - Gross Operating Surplus shares of value added in non-manufacturing, EU vs G20</w:t>
      </w:r>
      <w:bookmarkEnd w:id="101"/>
      <w:bookmarkEnd w:id="102"/>
      <w:r>
        <w:t xml:space="preserve"> </w:t>
      </w:r>
    </w:p>
    <w:p>
      <w:pPr>
        <w:rPr>
          <w:noProof/>
          <w:sz w:val="20"/>
          <w:szCs w:val="20"/>
          <w:lang w:val="fr-BE"/>
        </w:rPr>
      </w:pPr>
      <w:r>
        <w:rPr>
          <w:noProof/>
          <w:sz w:val="20"/>
          <w:szCs w:val="20"/>
          <w:lang w:val="fr-BE"/>
        </w:rPr>
        <w:t>Source: Trinomics et altri study (2020)</w:t>
      </w:r>
    </w:p>
    <w:p>
      <w:pPr>
        <w:spacing w:after="0"/>
        <w:jc w:val="left"/>
        <w:rPr>
          <w:rFonts w:eastAsia="Times New Roman"/>
          <w:b/>
          <w:bCs/>
          <w:noProof/>
          <w:color w:val="000000"/>
          <w:sz w:val="32"/>
          <w:szCs w:val="32"/>
          <w:lang w:val="fr-BE"/>
        </w:rPr>
      </w:pPr>
    </w:p>
    <w:p>
      <w:pPr>
        <w:spacing w:after="0"/>
        <w:jc w:val="left"/>
        <w:rPr>
          <w:rFonts w:eastAsia="Times New Roman"/>
          <w:b/>
          <w:bCs/>
          <w:noProof/>
          <w:color w:val="000000"/>
          <w:sz w:val="32"/>
          <w:szCs w:val="32"/>
          <w:lang w:val="fr-BE"/>
        </w:rPr>
      </w:pPr>
    </w:p>
    <w:p>
      <w:pPr>
        <w:spacing w:after="0"/>
        <w:jc w:val="left"/>
        <w:rPr>
          <w:rFonts w:eastAsia="Times New Roman"/>
          <w:b/>
          <w:bCs/>
          <w:noProof/>
          <w:color w:val="000000"/>
          <w:sz w:val="32"/>
          <w:szCs w:val="32"/>
          <w:lang w:val="fr-BE"/>
        </w:rPr>
      </w:pPr>
    </w:p>
    <w:p>
      <w:pPr>
        <w:pStyle w:val="Heading2"/>
        <w:numPr>
          <w:ilvl w:val="1"/>
          <w:numId w:val="1"/>
        </w:numPr>
        <w:spacing w:after="240"/>
        <w:ind w:left="578" w:hanging="578"/>
        <w:rPr>
          <w:noProof/>
        </w:rPr>
      </w:pPr>
      <w:r>
        <w:rPr>
          <w:noProof/>
          <w:lang w:val="fr-BE"/>
        </w:rPr>
        <w:t xml:space="preserve"> </w:t>
      </w:r>
      <w:bookmarkStart w:id="103" w:name="_Toc50648341"/>
      <w:bookmarkStart w:id="104" w:name="_Toc50654371"/>
      <w:bookmarkStart w:id="105" w:name="_Toc50654926"/>
      <w:bookmarkStart w:id="106" w:name="_Toc50732473"/>
      <w:bookmarkStart w:id="107" w:name="_Toc52396557"/>
      <w:r>
        <w:rPr>
          <w:noProof/>
        </w:rPr>
        <w:t>Exploring energy intensities</w:t>
      </w:r>
      <w:bookmarkEnd w:id="103"/>
      <w:bookmarkEnd w:id="104"/>
      <w:bookmarkEnd w:id="105"/>
      <w:bookmarkEnd w:id="106"/>
      <w:bookmarkEnd w:id="107"/>
      <w:r>
        <w:rPr>
          <w:noProof/>
        </w:rPr>
        <w:t xml:space="preserve"> </w:t>
      </w:r>
      <w:bookmarkStart w:id="108" w:name="_Toc524619522"/>
      <w:bookmarkStart w:id="109" w:name="_Toc524961069"/>
      <w:bookmarkStart w:id="110" w:name="_Toc525143030"/>
      <w:bookmarkStart w:id="111" w:name="_Toc525222187"/>
      <w:bookmarkStart w:id="112" w:name="_Toc525222356"/>
      <w:bookmarkStart w:id="113" w:name="_Toc526420753"/>
      <w:bookmarkStart w:id="114" w:name="_Toc526433979"/>
      <w:bookmarkStart w:id="115" w:name="_Toc526435921"/>
      <w:bookmarkStart w:id="116" w:name="_Toc530595251"/>
      <w:bookmarkEnd w:id="59"/>
      <w:bookmarkEnd w:id="108"/>
      <w:bookmarkEnd w:id="109"/>
      <w:bookmarkEnd w:id="110"/>
      <w:bookmarkEnd w:id="111"/>
      <w:bookmarkEnd w:id="112"/>
      <w:bookmarkEnd w:id="113"/>
      <w:bookmarkEnd w:id="114"/>
      <w:bookmarkEnd w:id="115"/>
      <w:bookmarkEnd w:id="116"/>
    </w:p>
    <w:p>
      <w:pPr>
        <w:rPr>
          <w:noProof/>
          <w:sz w:val="24"/>
          <w:szCs w:val="24"/>
        </w:rPr>
      </w:pPr>
      <w:r>
        <w:rPr>
          <w:i/>
          <w:iCs/>
          <w:noProof/>
          <w:sz w:val="24"/>
          <w:szCs w:val="24"/>
        </w:rPr>
        <w:t>Energy intensity</w:t>
      </w:r>
      <w:r>
        <w:rPr>
          <w:noProof/>
          <w:sz w:val="24"/>
          <w:szCs w:val="24"/>
        </w:rPr>
        <w:t xml:space="preserve"> is the result of dividing the energy consumption by the Gross Value Added (GVA). Although energy intensity is not a direct measure of energy efficiency of production (which could be measured by dividing the energy consumption by the volume of production), it is used as proxy of it. This is because comparable production volume data is not easily available. </w:t>
      </w:r>
    </w:p>
    <w:p>
      <w:pPr>
        <w:rPr>
          <w:noProof/>
          <w:sz w:val="24"/>
          <w:szCs w:val="24"/>
        </w:rPr>
      </w:pPr>
      <w:r>
        <w:rPr>
          <w:noProof/>
          <w:sz w:val="24"/>
          <w:szCs w:val="24"/>
        </w:rPr>
        <w:t>When using energy intensity as proxy for energy efficiency it should be borne in mind that energy intensity is influenced by changes in the value added of the production, i.e. prices can change due to demand, exchange rates or other issues increasing or decreasing the value added in a way not necessarily proportional to changes in production volumes.</w:t>
      </w:r>
    </w:p>
    <w:p>
      <w:pPr>
        <w:rPr>
          <w:noProof/>
          <w:sz w:val="24"/>
          <w:szCs w:val="24"/>
        </w:rPr>
      </w:pPr>
      <w:r>
        <w:rPr>
          <w:noProof/>
          <w:sz w:val="24"/>
          <w:szCs w:val="24"/>
        </w:rPr>
        <w:fldChar w:fldCharType="begin"/>
      </w:r>
      <w:r>
        <w:rPr>
          <w:b/>
          <w:noProof/>
          <w:sz w:val="24"/>
          <w:szCs w:val="24"/>
        </w:rPr>
        <w:instrText xml:space="preserve"> REF _Ref525196273 \h  \* MERGEFORMAT </w:instrText>
      </w:r>
      <w:r>
        <w:rPr>
          <w:noProof/>
          <w:sz w:val="24"/>
          <w:szCs w:val="24"/>
        </w:rPr>
      </w:r>
      <w:r>
        <w:rPr>
          <w:noProof/>
          <w:sz w:val="24"/>
          <w:szCs w:val="24"/>
        </w:rPr>
        <w:fldChar w:fldCharType="separate"/>
      </w:r>
      <w:r>
        <w:rPr>
          <w:b/>
          <w:bCs/>
          <w:noProof/>
          <w:sz w:val="24"/>
          <w:szCs w:val="24"/>
        </w:rPr>
        <w:t>Figure 145</w:t>
      </w:r>
      <w:r>
        <w:rPr>
          <w:noProof/>
          <w:sz w:val="24"/>
          <w:szCs w:val="24"/>
        </w:rPr>
        <w:fldChar w:fldCharType="end"/>
      </w:r>
      <w:r>
        <w:rPr>
          <w:noProof/>
          <w:sz w:val="24"/>
          <w:szCs w:val="24"/>
        </w:rPr>
        <w:t xml:space="preserve"> and </w:t>
      </w:r>
      <w:r>
        <w:rPr>
          <w:noProof/>
          <w:sz w:val="24"/>
          <w:szCs w:val="24"/>
        </w:rPr>
        <w:fldChar w:fldCharType="begin"/>
      </w:r>
      <w:r>
        <w:rPr>
          <w:b/>
          <w:noProof/>
          <w:sz w:val="24"/>
          <w:szCs w:val="24"/>
        </w:rPr>
        <w:instrText xml:space="preserve"> REF _Ref525196278 \h  \* MERGEFORMAT </w:instrText>
      </w:r>
      <w:r>
        <w:rPr>
          <w:noProof/>
          <w:sz w:val="24"/>
          <w:szCs w:val="24"/>
        </w:rPr>
      </w:r>
      <w:r>
        <w:rPr>
          <w:noProof/>
          <w:sz w:val="24"/>
          <w:szCs w:val="24"/>
        </w:rPr>
        <w:fldChar w:fldCharType="separate"/>
      </w:r>
      <w:r>
        <w:rPr>
          <w:b/>
          <w:bCs/>
          <w:noProof/>
          <w:sz w:val="24"/>
          <w:szCs w:val="24"/>
        </w:rPr>
        <w:t>Figure</w:t>
      </w:r>
      <w:r>
        <w:rPr>
          <w:b/>
          <w:noProof/>
          <w:sz w:val="24"/>
          <w:szCs w:val="24"/>
        </w:rPr>
        <w:t xml:space="preserve"> 146</w:t>
      </w:r>
      <w:r>
        <w:rPr>
          <w:noProof/>
          <w:sz w:val="24"/>
          <w:szCs w:val="24"/>
        </w:rPr>
        <w:fldChar w:fldCharType="end"/>
      </w:r>
      <w:r>
        <w:rPr>
          <w:noProof/>
          <w:sz w:val="24"/>
          <w:szCs w:val="24"/>
        </w:rPr>
        <w:t xml:space="preserve"> (see next page/s) display the energy intensity of selected sectors in the period 2010-2017 showing that:</w:t>
      </w:r>
    </w:p>
    <w:p>
      <w:pPr>
        <w:pStyle w:val="ListParagraph"/>
        <w:numPr>
          <w:ilvl w:val="0"/>
          <w:numId w:val="9"/>
        </w:numPr>
        <w:ind w:left="714" w:hanging="357"/>
        <w:contextualSpacing w:val="0"/>
        <w:rPr>
          <w:noProof/>
          <w:sz w:val="24"/>
          <w:szCs w:val="24"/>
        </w:rPr>
      </w:pPr>
      <w:r>
        <w:rPr>
          <w:noProof/>
          <w:sz w:val="24"/>
          <w:szCs w:val="24"/>
        </w:rPr>
        <w:t xml:space="preserve">Energy intensity varies considerably across sectors in accordance to the various production processes. </w:t>
      </w:r>
      <w:r>
        <w:rPr>
          <w:i/>
          <w:noProof/>
          <w:sz w:val="24"/>
          <w:szCs w:val="24"/>
        </w:rPr>
        <w:t>S</w:t>
      </w:r>
      <w:r>
        <w:rPr>
          <w:i/>
          <w:iCs/>
          <w:noProof/>
          <w:sz w:val="24"/>
          <w:szCs w:val="24"/>
        </w:rPr>
        <w:t>teel</w:t>
      </w:r>
      <w:r>
        <w:rPr>
          <w:i/>
          <w:noProof/>
          <w:sz w:val="24"/>
          <w:szCs w:val="24"/>
        </w:rPr>
        <w:t xml:space="preserve"> </w:t>
      </w:r>
      <w:r>
        <w:rPr>
          <w:noProof/>
          <w:sz w:val="24"/>
          <w:szCs w:val="24"/>
        </w:rPr>
        <w:t xml:space="preserve">and </w:t>
      </w:r>
      <w:r>
        <w:rPr>
          <w:i/>
          <w:iCs/>
          <w:noProof/>
          <w:sz w:val="24"/>
          <w:szCs w:val="24"/>
        </w:rPr>
        <w:t>cement</w:t>
      </w:r>
      <w:r>
        <w:rPr>
          <w:noProof/>
          <w:sz w:val="24"/>
          <w:szCs w:val="24"/>
        </w:rPr>
        <w:t xml:space="preserve"> have the highest energy intensities (&gt;2 toe/1000 Euro) followed by </w:t>
      </w:r>
      <w:r>
        <w:rPr>
          <w:i/>
          <w:iCs/>
          <w:noProof/>
          <w:sz w:val="24"/>
          <w:szCs w:val="24"/>
        </w:rPr>
        <w:t xml:space="preserve">refineries </w:t>
      </w:r>
      <w:r>
        <w:rPr>
          <w:noProof/>
          <w:sz w:val="24"/>
          <w:szCs w:val="24"/>
        </w:rPr>
        <w:t xml:space="preserve">and </w:t>
      </w:r>
      <w:r>
        <w:rPr>
          <w:i/>
          <w:iCs/>
          <w:noProof/>
          <w:sz w:val="24"/>
          <w:szCs w:val="24"/>
        </w:rPr>
        <w:t>paper</w:t>
      </w:r>
      <w:r>
        <w:rPr>
          <w:noProof/>
          <w:sz w:val="24"/>
          <w:szCs w:val="24"/>
        </w:rPr>
        <w:t xml:space="preserve"> (&gt; 1 toe/1000 thousand Euro) and </w:t>
      </w:r>
      <w:r>
        <w:rPr>
          <w:i/>
          <w:noProof/>
          <w:sz w:val="24"/>
          <w:szCs w:val="24"/>
        </w:rPr>
        <w:t>basic chemicals</w:t>
      </w:r>
      <w:r>
        <w:rPr>
          <w:noProof/>
          <w:sz w:val="24"/>
          <w:szCs w:val="24"/>
        </w:rPr>
        <w:t xml:space="preserve"> (close to 1 toe/1000 Euro).</w:t>
      </w:r>
    </w:p>
    <w:p>
      <w:pPr>
        <w:pStyle w:val="ListParagraph"/>
        <w:numPr>
          <w:ilvl w:val="0"/>
          <w:numId w:val="9"/>
        </w:numPr>
        <w:ind w:left="714" w:hanging="357"/>
        <w:contextualSpacing w:val="0"/>
        <w:rPr>
          <w:noProof/>
          <w:sz w:val="24"/>
          <w:szCs w:val="24"/>
        </w:rPr>
      </w:pPr>
      <w:r>
        <w:rPr>
          <w:noProof/>
          <w:sz w:val="24"/>
          <w:szCs w:val="24"/>
        </w:rPr>
        <w:t xml:space="preserve">Energy intensity varied widely during the period of study in the case of </w:t>
      </w:r>
      <w:r>
        <w:rPr>
          <w:i/>
          <w:iCs/>
          <w:noProof/>
          <w:sz w:val="24"/>
          <w:szCs w:val="24"/>
        </w:rPr>
        <w:t>refineries,</w:t>
      </w:r>
      <w:r>
        <w:rPr>
          <w:noProof/>
          <w:sz w:val="24"/>
          <w:szCs w:val="24"/>
        </w:rPr>
        <w:t xml:space="preserve"> </w:t>
      </w:r>
      <w:r>
        <w:rPr>
          <w:i/>
          <w:iCs/>
          <w:noProof/>
          <w:sz w:val="24"/>
          <w:szCs w:val="24"/>
        </w:rPr>
        <w:t>steel, clay building materials</w:t>
      </w:r>
      <w:r>
        <w:rPr>
          <w:noProof/>
          <w:sz w:val="24"/>
          <w:szCs w:val="24"/>
        </w:rPr>
        <w:t xml:space="preserve"> and </w:t>
      </w:r>
      <w:r>
        <w:rPr>
          <w:i/>
          <w:iCs/>
          <w:noProof/>
          <w:sz w:val="24"/>
          <w:szCs w:val="24"/>
        </w:rPr>
        <w:t>man-made fibres</w:t>
      </w:r>
      <w:r>
        <w:rPr>
          <w:noProof/>
          <w:sz w:val="24"/>
          <w:szCs w:val="24"/>
        </w:rPr>
        <w:t xml:space="preserve"> probably reflecting price effects on the value added of production, with important spikes between 2014 and 2016</w:t>
      </w:r>
    </w:p>
    <w:p>
      <w:pPr>
        <w:pStyle w:val="ListParagraph"/>
        <w:numPr>
          <w:ilvl w:val="0"/>
          <w:numId w:val="9"/>
        </w:numPr>
        <w:ind w:left="714" w:hanging="357"/>
        <w:contextualSpacing w:val="0"/>
        <w:rPr>
          <w:noProof/>
          <w:sz w:val="24"/>
          <w:szCs w:val="24"/>
        </w:rPr>
      </w:pPr>
      <w:r>
        <w:rPr>
          <w:noProof/>
          <w:sz w:val="24"/>
          <w:szCs w:val="24"/>
        </w:rPr>
        <w:t xml:space="preserve">Energy intensity decreased in absolute terms in most of the energy-intensive sectors like </w:t>
      </w:r>
      <w:r>
        <w:rPr>
          <w:i/>
          <w:noProof/>
          <w:sz w:val="24"/>
          <w:szCs w:val="24"/>
        </w:rPr>
        <w:t>non-ferrous metals</w:t>
      </w:r>
      <w:r>
        <w:rPr>
          <w:noProof/>
          <w:sz w:val="24"/>
          <w:szCs w:val="24"/>
        </w:rPr>
        <w:t xml:space="preserve"> (-3.6%/year between 2011 and 2017), </w:t>
      </w:r>
      <w:r>
        <w:rPr>
          <w:i/>
          <w:noProof/>
          <w:sz w:val="24"/>
          <w:szCs w:val="24"/>
        </w:rPr>
        <w:t>steel</w:t>
      </w:r>
      <w:r>
        <w:rPr>
          <w:noProof/>
          <w:sz w:val="24"/>
          <w:szCs w:val="24"/>
        </w:rPr>
        <w:t xml:space="preserve"> (-1,9%/y), </w:t>
      </w:r>
      <w:r>
        <w:rPr>
          <w:i/>
          <w:noProof/>
          <w:sz w:val="24"/>
          <w:szCs w:val="24"/>
        </w:rPr>
        <w:t xml:space="preserve">refineries </w:t>
      </w:r>
      <w:r>
        <w:rPr>
          <w:iCs/>
          <w:noProof/>
          <w:sz w:val="24"/>
          <w:szCs w:val="24"/>
        </w:rPr>
        <w:t>(-11%/y)</w:t>
      </w:r>
      <w:r>
        <w:rPr>
          <w:noProof/>
          <w:sz w:val="24"/>
          <w:szCs w:val="24"/>
        </w:rPr>
        <w:t xml:space="preserve"> and </w:t>
      </w:r>
      <w:r>
        <w:rPr>
          <w:i/>
          <w:noProof/>
          <w:sz w:val="24"/>
          <w:szCs w:val="24"/>
        </w:rPr>
        <w:t xml:space="preserve">paper </w:t>
      </w:r>
      <w:r>
        <w:rPr>
          <w:iCs/>
          <w:noProof/>
          <w:sz w:val="24"/>
          <w:szCs w:val="24"/>
        </w:rPr>
        <w:t>(-3.5%/y</w:t>
      </w:r>
      <w:r>
        <w:rPr>
          <w:i/>
          <w:iCs/>
          <w:noProof/>
          <w:sz w:val="24"/>
          <w:szCs w:val="24"/>
        </w:rPr>
        <w:t xml:space="preserve">) </w:t>
      </w:r>
      <w:r>
        <w:rPr>
          <w:noProof/>
          <w:sz w:val="24"/>
          <w:szCs w:val="24"/>
        </w:rPr>
        <w:t xml:space="preserve">and </w:t>
      </w:r>
      <w:r>
        <w:rPr>
          <w:i/>
          <w:noProof/>
          <w:sz w:val="24"/>
          <w:szCs w:val="24"/>
        </w:rPr>
        <w:t>glass</w:t>
      </w:r>
      <w:r>
        <w:rPr>
          <w:noProof/>
          <w:sz w:val="24"/>
          <w:szCs w:val="24"/>
        </w:rPr>
        <w:t xml:space="preserve"> (-0.6%/y) although it increased in </w:t>
      </w:r>
      <w:r>
        <w:rPr>
          <w:i/>
          <w:noProof/>
          <w:sz w:val="24"/>
          <w:szCs w:val="24"/>
        </w:rPr>
        <w:t>cement</w:t>
      </w:r>
      <w:r>
        <w:rPr>
          <w:noProof/>
          <w:sz w:val="24"/>
          <w:szCs w:val="24"/>
        </w:rPr>
        <w:t xml:space="preserve"> (by around 2%/year between 2011 and 2017), </w:t>
      </w:r>
      <w:r>
        <w:rPr>
          <w:i/>
          <w:iCs/>
          <w:noProof/>
          <w:sz w:val="24"/>
          <w:szCs w:val="24"/>
        </w:rPr>
        <w:t xml:space="preserve">clay building materials </w:t>
      </w:r>
      <w:r>
        <w:rPr>
          <w:iCs/>
          <w:noProof/>
          <w:sz w:val="24"/>
          <w:szCs w:val="24"/>
        </w:rPr>
        <w:t>(+1.1%/y)</w:t>
      </w:r>
      <w:r>
        <w:rPr>
          <w:i/>
          <w:iCs/>
          <w:noProof/>
          <w:sz w:val="24"/>
          <w:szCs w:val="24"/>
        </w:rPr>
        <w:t>,</w:t>
      </w:r>
      <w:r>
        <w:rPr>
          <w:i/>
          <w:noProof/>
          <w:sz w:val="24"/>
          <w:szCs w:val="24"/>
        </w:rPr>
        <w:t xml:space="preserve"> sawmills </w:t>
      </w:r>
      <w:r>
        <w:rPr>
          <w:noProof/>
          <w:sz w:val="24"/>
          <w:szCs w:val="24"/>
        </w:rPr>
        <w:t xml:space="preserve">(+6%/y), </w:t>
      </w:r>
      <w:r>
        <w:rPr>
          <w:i/>
          <w:noProof/>
          <w:sz w:val="24"/>
          <w:szCs w:val="24"/>
        </w:rPr>
        <w:t>basic chemicals</w:t>
      </w:r>
      <w:r>
        <w:rPr>
          <w:i/>
          <w:iCs/>
          <w:noProof/>
          <w:sz w:val="24"/>
          <w:szCs w:val="24"/>
        </w:rPr>
        <w:t xml:space="preserve"> </w:t>
      </w:r>
      <w:r>
        <w:rPr>
          <w:iCs/>
          <w:noProof/>
          <w:sz w:val="24"/>
          <w:szCs w:val="24"/>
        </w:rPr>
        <w:t xml:space="preserve">(+0.5%/y) and </w:t>
      </w:r>
      <w:r>
        <w:rPr>
          <w:i/>
          <w:iCs/>
          <w:noProof/>
          <w:sz w:val="24"/>
          <w:szCs w:val="24"/>
        </w:rPr>
        <w:t>grain products</w:t>
      </w:r>
      <w:r>
        <w:rPr>
          <w:iCs/>
          <w:noProof/>
          <w:sz w:val="24"/>
          <w:szCs w:val="24"/>
        </w:rPr>
        <w:t xml:space="preserve"> (+0.2%/y)</w:t>
      </w:r>
      <w:r>
        <w:rPr>
          <w:noProof/>
          <w:sz w:val="24"/>
          <w:szCs w:val="24"/>
        </w:rPr>
        <w:t xml:space="preserve">. In proportional terms the energy intensity indicator fell the most in </w:t>
      </w:r>
      <w:r>
        <w:rPr>
          <w:i/>
          <w:noProof/>
          <w:sz w:val="24"/>
          <w:szCs w:val="24"/>
        </w:rPr>
        <w:t>stone</w:t>
      </w:r>
      <w:r>
        <w:rPr>
          <w:noProof/>
          <w:sz w:val="24"/>
          <w:szCs w:val="24"/>
        </w:rPr>
        <w:t xml:space="preserve"> (-60%), </w:t>
      </w:r>
      <w:r>
        <w:rPr>
          <w:i/>
          <w:noProof/>
          <w:sz w:val="24"/>
          <w:szCs w:val="24"/>
        </w:rPr>
        <w:t>man-made fibres</w:t>
      </w:r>
      <w:r>
        <w:rPr>
          <w:noProof/>
          <w:sz w:val="24"/>
          <w:szCs w:val="24"/>
        </w:rPr>
        <w:t xml:space="preserve"> (-45%), </w:t>
      </w:r>
      <w:r>
        <w:rPr>
          <w:i/>
          <w:noProof/>
          <w:sz w:val="24"/>
          <w:szCs w:val="24"/>
        </w:rPr>
        <w:t>refineries</w:t>
      </w:r>
      <w:r>
        <w:rPr>
          <w:noProof/>
          <w:sz w:val="24"/>
          <w:szCs w:val="24"/>
        </w:rPr>
        <w:t xml:space="preserve"> (-55%) and </w:t>
      </w:r>
      <w:r>
        <w:rPr>
          <w:i/>
          <w:noProof/>
          <w:sz w:val="24"/>
          <w:szCs w:val="24"/>
        </w:rPr>
        <w:t xml:space="preserve">paper </w:t>
      </w:r>
      <w:r>
        <w:rPr>
          <w:noProof/>
          <w:sz w:val="24"/>
          <w:szCs w:val="24"/>
        </w:rPr>
        <w:t>(-20%)</w:t>
      </w:r>
    </w:p>
    <w:p>
      <w:pPr>
        <w:pStyle w:val="ListParagraph"/>
        <w:numPr>
          <w:ilvl w:val="0"/>
          <w:numId w:val="9"/>
        </w:numPr>
        <w:ind w:left="714" w:hanging="357"/>
        <w:contextualSpacing w:val="0"/>
        <w:rPr>
          <w:noProof/>
          <w:sz w:val="24"/>
          <w:szCs w:val="24"/>
        </w:rPr>
      </w:pPr>
      <w:r>
        <w:rPr>
          <w:noProof/>
          <w:sz w:val="24"/>
          <w:szCs w:val="24"/>
        </w:rPr>
        <w:t xml:space="preserve">Energy intensity decreased for the vast majority of the less energy-intensive manufacturing sectors in the EU between 2011 and 2017. The decrease were small in absolute numbers but important in relative terms for many of these sectors like were also proportionally significant decreases like in </w:t>
      </w:r>
      <w:r>
        <w:rPr>
          <w:i/>
          <w:iCs/>
          <w:noProof/>
          <w:sz w:val="24"/>
          <w:szCs w:val="24"/>
        </w:rPr>
        <w:t>textiles (-20% relative fall of energy intensity indicator)</w:t>
      </w:r>
      <w:r>
        <w:rPr>
          <w:noProof/>
          <w:sz w:val="24"/>
          <w:szCs w:val="24"/>
        </w:rPr>
        <w:t xml:space="preserve">, </w:t>
      </w:r>
      <w:r>
        <w:rPr>
          <w:i/>
          <w:iCs/>
          <w:noProof/>
          <w:sz w:val="24"/>
          <w:szCs w:val="24"/>
        </w:rPr>
        <w:t>articles of paper (-20%)</w:t>
      </w:r>
      <w:r>
        <w:rPr>
          <w:noProof/>
          <w:sz w:val="24"/>
          <w:szCs w:val="24"/>
        </w:rPr>
        <w:t xml:space="preserve">, </w:t>
      </w:r>
      <w:r>
        <w:rPr>
          <w:i/>
          <w:iCs/>
          <w:noProof/>
          <w:sz w:val="24"/>
          <w:szCs w:val="24"/>
        </w:rPr>
        <w:t xml:space="preserve">electrical equipment (-27%), computers (-23%), machinery (-30%) </w:t>
      </w:r>
      <w:r>
        <w:rPr>
          <w:iCs/>
          <w:noProof/>
          <w:sz w:val="24"/>
          <w:szCs w:val="24"/>
        </w:rPr>
        <w:t>and</w:t>
      </w:r>
      <w:r>
        <w:rPr>
          <w:i/>
          <w:iCs/>
          <w:noProof/>
          <w:sz w:val="24"/>
          <w:szCs w:val="24"/>
        </w:rPr>
        <w:t xml:space="preserve"> motor vehicles (-45%)</w:t>
      </w:r>
      <w:r>
        <w:rPr>
          <w:noProof/>
          <w:sz w:val="24"/>
          <w:szCs w:val="24"/>
        </w:rPr>
        <w:t xml:space="preserve"> (although for the energy intensity of theses is very low and ranges between 0.2 and 0.01 toe/1000 euros)</w:t>
      </w:r>
    </w:p>
    <w:p>
      <w:pPr>
        <w:pStyle w:val="ListParagraph"/>
        <w:numPr>
          <w:ilvl w:val="0"/>
          <w:numId w:val="9"/>
        </w:numPr>
        <w:rPr>
          <w:noProof/>
          <w:sz w:val="24"/>
          <w:szCs w:val="24"/>
        </w:rPr>
      </w:pPr>
      <w:r>
        <w:rPr>
          <w:noProof/>
          <w:sz w:val="24"/>
          <w:szCs w:val="24"/>
        </w:rPr>
        <w:t xml:space="preserve">In </w:t>
      </w:r>
      <w:r>
        <w:rPr>
          <w:noProof/>
          <w:sz w:val="24"/>
          <w:szCs w:val="24"/>
          <w:u w:val="single"/>
        </w:rPr>
        <w:t>non-manufacturing</w:t>
      </w:r>
      <w:r>
        <w:rPr>
          <w:noProof/>
          <w:sz w:val="24"/>
          <w:szCs w:val="24"/>
        </w:rPr>
        <w:t xml:space="preserve">, energy intensity decreased in high energy intensity like </w:t>
      </w:r>
      <w:r>
        <w:rPr>
          <w:i/>
          <w:iCs/>
          <w:noProof/>
          <w:sz w:val="24"/>
          <w:szCs w:val="24"/>
        </w:rPr>
        <w:t>land transport</w:t>
      </w:r>
      <w:r>
        <w:rPr>
          <w:noProof/>
          <w:sz w:val="24"/>
          <w:szCs w:val="24"/>
        </w:rPr>
        <w:t xml:space="preserve"> and </w:t>
      </w:r>
      <w:r>
        <w:rPr>
          <w:i/>
          <w:noProof/>
          <w:sz w:val="24"/>
          <w:szCs w:val="24"/>
        </w:rPr>
        <w:t>air transport</w:t>
      </w:r>
      <w:r>
        <w:rPr>
          <w:noProof/>
          <w:sz w:val="24"/>
          <w:szCs w:val="24"/>
        </w:rPr>
        <w:t xml:space="preserve">, but increased for </w:t>
      </w:r>
      <w:r>
        <w:rPr>
          <w:i/>
          <w:noProof/>
          <w:sz w:val="24"/>
          <w:szCs w:val="24"/>
        </w:rPr>
        <w:t>electricity-gas</w:t>
      </w:r>
      <w:r>
        <w:rPr>
          <w:noProof/>
          <w:sz w:val="24"/>
          <w:szCs w:val="24"/>
        </w:rPr>
        <w:t xml:space="preserve">. Amongst those with lower energy intensity, energy intensity increased in </w:t>
      </w:r>
      <w:r>
        <w:rPr>
          <w:i/>
          <w:noProof/>
          <w:sz w:val="24"/>
          <w:szCs w:val="24"/>
        </w:rPr>
        <w:t>agriculture</w:t>
      </w:r>
      <w:r>
        <w:rPr>
          <w:noProof/>
          <w:sz w:val="24"/>
          <w:szCs w:val="24"/>
        </w:rPr>
        <w:t xml:space="preserve">, </w:t>
      </w:r>
      <w:r>
        <w:rPr>
          <w:i/>
          <w:noProof/>
          <w:sz w:val="24"/>
          <w:szCs w:val="24"/>
        </w:rPr>
        <w:t>oil and gas</w:t>
      </w:r>
      <w:r>
        <w:rPr>
          <w:noProof/>
          <w:sz w:val="24"/>
          <w:szCs w:val="24"/>
        </w:rPr>
        <w:t xml:space="preserve">, </w:t>
      </w:r>
      <w:r>
        <w:rPr>
          <w:i/>
          <w:noProof/>
          <w:sz w:val="24"/>
          <w:szCs w:val="24"/>
        </w:rPr>
        <w:t>waste management</w:t>
      </w:r>
      <w:r>
        <w:rPr>
          <w:noProof/>
          <w:sz w:val="24"/>
          <w:szCs w:val="24"/>
        </w:rPr>
        <w:t xml:space="preserve">, decreased for </w:t>
      </w:r>
      <w:r>
        <w:rPr>
          <w:i/>
          <w:iCs/>
          <w:noProof/>
          <w:sz w:val="24"/>
          <w:szCs w:val="24"/>
        </w:rPr>
        <w:t xml:space="preserve">other mining </w:t>
      </w:r>
      <w:r>
        <w:rPr>
          <w:noProof/>
          <w:sz w:val="24"/>
          <w:szCs w:val="24"/>
        </w:rPr>
        <w:t>and</w:t>
      </w:r>
      <w:r>
        <w:rPr>
          <w:i/>
          <w:iCs/>
          <w:noProof/>
          <w:sz w:val="24"/>
          <w:szCs w:val="24"/>
        </w:rPr>
        <w:t xml:space="preserve"> accommodation and restaurants</w:t>
      </w:r>
      <w:r>
        <w:rPr>
          <w:noProof/>
          <w:sz w:val="24"/>
          <w:szCs w:val="24"/>
        </w:rPr>
        <w:t xml:space="preserve"> and remained relatively stable or with very small increases or decreases in absolute terms for the rest of sectors. </w:t>
      </w:r>
    </w:p>
    <w:p>
      <w:pPr>
        <w:ind w:left="360"/>
        <w:rPr>
          <w:noProof/>
          <w:highlight w:val="yellow"/>
        </w:rPr>
        <w:sectPr>
          <w:headerReference w:type="even" r:id="rId71"/>
          <w:headerReference w:type="default" r:id="rId72"/>
          <w:footerReference w:type="even" r:id="rId73"/>
          <w:footerReference w:type="default" r:id="rId74"/>
          <w:headerReference w:type="first" r:id="rId75"/>
          <w:footerReference w:type="first" r:id="rId76"/>
          <w:footnotePr>
            <w:numStart w:val="51"/>
          </w:footnotePr>
          <w:pgSz w:w="11906" w:h="16838" w:code="9"/>
          <w:pgMar w:top="1134" w:right="1418" w:bottom="1134" w:left="1418" w:header="709" w:footer="709" w:gutter="0"/>
          <w:cols w:space="720"/>
          <w:docGrid w:linePitch="360"/>
        </w:sectPr>
      </w:pPr>
    </w:p>
    <w:p>
      <w:pPr>
        <w:rPr>
          <w:noProof/>
        </w:rPr>
      </w:pPr>
    </w:p>
    <w:p>
      <w:pPr>
        <w:jc w:val="center"/>
        <w:rPr>
          <w:noProof/>
          <w:sz w:val="24"/>
          <w:szCs w:val="24"/>
        </w:rPr>
      </w:pPr>
      <w:r>
        <w:rPr>
          <w:noProof/>
          <w:lang w:eastAsia="en-GB"/>
        </w:rPr>
        <w:drawing>
          <wp:inline distT="0" distB="0" distL="0" distR="0">
            <wp:extent cx="8736328" cy="4139565"/>
            <wp:effectExtent l="0" t="0" r="7620" b="0"/>
            <wp:docPr id="449730132" name="Picture 149194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946903"/>
                    <pic:cNvPicPr/>
                  </pic:nvPicPr>
                  <pic:blipFill>
                    <a:blip r:embed="rId77">
                      <a:extLst>
                        <a:ext uri="{28A0092B-C50C-407E-A947-70E740481C1C}">
                          <a14:useLocalDpi xmlns:a14="http://schemas.microsoft.com/office/drawing/2010/main"/>
                        </a:ext>
                      </a:extLst>
                    </a:blip>
                    <a:stretch>
                      <a:fillRect/>
                    </a:stretch>
                  </pic:blipFill>
                  <pic:spPr>
                    <a:xfrm>
                      <a:off x="0" y="0"/>
                      <a:ext cx="8736328" cy="4139565"/>
                    </a:xfrm>
                    <a:prstGeom prst="rect">
                      <a:avLst/>
                    </a:prstGeom>
                  </pic:spPr>
                </pic:pic>
              </a:graphicData>
            </a:graphic>
          </wp:inline>
        </w:drawing>
      </w:r>
    </w:p>
    <w:p>
      <w:pPr>
        <w:pStyle w:val="Caption"/>
      </w:pPr>
      <w:bookmarkStart w:id="117" w:name="_Ref525196273"/>
      <w:bookmarkStart w:id="118" w:name="_Toc525807868"/>
      <w:bookmarkStart w:id="119" w:name="_Toc526433482"/>
      <w:bookmarkStart w:id="120" w:name="_Toc526433760"/>
      <w:bookmarkStart w:id="121" w:name="_Toc526435702"/>
      <w:bookmarkStart w:id="122" w:name="_Toc530739792"/>
      <w:bookmarkStart w:id="123" w:name="_Toc531366167"/>
      <w:bookmarkStart w:id="124" w:name="_Toc50494139"/>
      <w:bookmarkStart w:id="125" w:name="_Toc52396917"/>
      <w:r>
        <w:t xml:space="preserve">Figure </w:t>
      </w:r>
      <w:r>
        <w:fldChar w:fldCharType="begin"/>
      </w:r>
      <w:r>
        <w:instrText xml:space="preserve"> SEQ Figure \* ARABIC </w:instrText>
      </w:r>
      <w:r>
        <w:fldChar w:fldCharType="separate"/>
      </w:r>
      <w:r>
        <w:t>145</w:t>
      </w:r>
      <w:r>
        <w:fldChar w:fldCharType="end"/>
      </w:r>
      <w:bookmarkEnd w:id="117"/>
      <w:r>
        <w:t xml:space="preserve"> - Energy intensity (consumption/value added in nominal terms) for the most energy-intensive manufacturing sectors (average of available countries)</w:t>
      </w:r>
      <w:bookmarkEnd w:id="118"/>
      <w:bookmarkEnd w:id="119"/>
      <w:bookmarkEnd w:id="120"/>
      <w:bookmarkEnd w:id="121"/>
      <w:r>
        <w:rPr>
          <w:rStyle w:val="FootnoteReference"/>
        </w:rPr>
        <w:footnoteReference w:id="15"/>
      </w:r>
      <w:bookmarkEnd w:id="122"/>
      <w:bookmarkEnd w:id="123"/>
      <w:bookmarkEnd w:id="124"/>
      <w:bookmarkEnd w:id="125"/>
    </w:p>
    <w:p>
      <w:pPr>
        <w:pStyle w:val="Sources"/>
        <w:rPr>
          <w:noProof/>
          <w:lang w:val="fr-BE"/>
        </w:rPr>
      </w:pPr>
      <w:r>
        <w:rPr>
          <w:noProof/>
          <w:lang w:val="fr-BE"/>
        </w:rPr>
        <w:t>Source: Trinomics et altri study (2020)</w:t>
      </w:r>
    </w:p>
    <w:p>
      <w:pPr>
        <w:spacing w:after="0"/>
        <w:jc w:val="center"/>
        <w:rPr>
          <w:noProof/>
          <w:sz w:val="24"/>
          <w:szCs w:val="24"/>
          <w:lang w:val="fr-BE"/>
        </w:rPr>
      </w:pPr>
    </w:p>
    <w:p>
      <w:pPr>
        <w:spacing w:after="0"/>
        <w:jc w:val="center"/>
        <w:rPr>
          <w:noProof/>
          <w:sz w:val="24"/>
          <w:szCs w:val="24"/>
          <w:lang w:val="fr-BE"/>
        </w:rPr>
      </w:pPr>
    </w:p>
    <w:p>
      <w:pPr>
        <w:spacing w:after="0"/>
        <w:jc w:val="center"/>
        <w:rPr>
          <w:noProof/>
          <w:lang w:eastAsia="en-GB"/>
        </w:rPr>
      </w:pPr>
      <w:r>
        <w:rPr>
          <w:noProof/>
          <w:lang w:eastAsia="en-GB"/>
        </w:rPr>
        <w:drawing>
          <wp:inline distT="0" distB="0" distL="0" distR="0">
            <wp:extent cx="8864600" cy="3633470"/>
            <wp:effectExtent l="0" t="0" r="0" b="5080"/>
            <wp:docPr id="1523830125" name="Picture 149194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946904"/>
                    <pic:cNvPicPr/>
                  </pic:nvPicPr>
                  <pic:blipFill>
                    <a:blip r:embed="rId78">
                      <a:extLst>
                        <a:ext uri="{28A0092B-C50C-407E-A947-70E740481C1C}">
                          <a14:useLocalDpi xmlns:a14="http://schemas.microsoft.com/office/drawing/2010/main"/>
                        </a:ext>
                      </a:extLst>
                    </a:blip>
                    <a:stretch>
                      <a:fillRect/>
                    </a:stretch>
                  </pic:blipFill>
                  <pic:spPr>
                    <a:xfrm>
                      <a:off x="0" y="0"/>
                      <a:ext cx="8864600" cy="3633470"/>
                    </a:xfrm>
                    <a:prstGeom prst="rect">
                      <a:avLst/>
                    </a:prstGeom>
                  </pic:spPr>
                </pic:pic>
              </a:graphicData>
            </a:graphic>
          </wp:inline>
        </w:drawing>
      </w:r>
    </w:p>
    <w:p>
      <w:pPr>
        <w:spacing w:after="0"/>
        <w:jc w:val="center"/>
        <w:rPr>
          <w:noProof/>
        </w:rPr>
      </w:pPr>
    </w:p>
    <w:p>
      <w:pPr>
        <w:pStyle w:val="Caption"/>
      </w:pPr>
      <w:bookmarkStart w:id="126" w:name="_Ref525196278"/>
      <w:bookmarkStart w:id="127" w:name="_Toc525807870"/>
      <w:bookmarkStart w:id="128" w:name="_Toc526433484"/>
      <w:bookmarkStart w:id="129" w:name="_Toc526433762"/>
      <w:bookmarkStart w:id="130" w:name="_Toc526435704"/>
      <w:bookmarkStart w:id="131" w:name="_Toc530739794"/>
      <w:bookmarkStart w:id="132" w:name="_Toc531366169"/>
      <w:bookmarkStart w:id="133" w:name="_Toc50494141"/>
      <w:bookmarkStart w:id="134" w:name="_Toc52396918"/>
      <w:r>
        <w:t xml:space="preserve">Figure </w:t>
      </w:r>
      <w:r>
        <w:fldChar w:fldCharType="begin"/>
      </w:r>
      <w:r>
        <w:instrText xml:space="preserve"> SEQ Figure \* ARABIC </w:instrText>
      </w:r>
      <w:r>
        <w:fldChar w:fldCharType="separate"/>
      </w:r>
      <w:r>
        <w:t>146</w:t>
      </w:r>
      <w:r>
        <w:fldChar w:fldCharType="end"/>
      </w:r>
      <w:bookmarkEnd w:id="126"/>
      <w:r>
        <w:t xml:space="preserve"> - Energy intensity (consumption/value added in nominal terms) for non- manufacturing sectors (average of available countries)</w:t>
      </w:r>
      <w:bookmarkEnd w:id="127"/>
      <w:bookmarkEnd w:id="128"/>
      <w:bookmarkEnd w:id="129"/>
      <w:bookmarkEnd w:id="130"/>
      <w:r>
        <w:rPr>
          <w:rStyle w:val="FootnoteReference"/>
        </w:rPr>
        <w:footnoteReference w:id="16"/>
      </w:r>
      <w:bookmarkEnd w:id="131"/>
      <w:bookmarkEnd w:id="132"/>
      <w:bookmarkEnd w:id="133"/>
      <w:bookmarkEnd w:id="134"/>
    </w:p>
    <w:p>
      <w:pPr>
        <w:pStyle w:val="Sources"/>
        <w:rPr>
          <w:noProof/>
          <w:lang w:val="fr-BE"/>
        </w:rPr>
      </w:pPr>
      <w:r>
        <w:rPr>
          <w:noProof/>
          <w:lang w:val="fr-BE"/>
        </w:rPr>
        <w:t>Source: Trinomics et altri study (2020)</w:t>
      </w:r>
    </w:p>
    <w:p>
      <w:pPr>
        <w:spacing w:after="0"/>
        <w:jc w:val="center"/>
        <w:rPr>
          <w:noProof/>
          <w:lang w:val="fr-BE"/>
        </w:rPr>
      </w:pPr>
    </w:p>
    <w:p>
      <w:pPr>
        <w:spacing w:after="0"/>
        <w:rPr>
          <w:noProof/>
          <w:lang w:val="fr-BE"/>
        </w:rPr>
        <w:sectPr>
          <w:headerReference w:type="even" r:id="rId79"/>
          <w:headerReference w:type="default" r:id="rId80"/>
          <w:footerReference w:type="even" r:id="rId81"/>
          <w:footerReference w:type="default" r:id="rId82"/>
          <w:headerReference w:type="first" r:id="rId83"/>
          <w:footerReference w:type="first" r:id="rId84"/>
          <w:footnotePr>
            <w:numStart w:val="51"/>
          </w:footnotePr>
          <w:pgSz w:w="16838" w:h="11906" w:orient="landscape" w:code="9"/>
          <w:pgMar w:top="1418" w:right="1134" w:bottom="1418" w:left="1134" w:header="709" w:footer="709" w:gutter="0"/>
          <w:cols w:space="720"/>
          <w:docGrid w:linePitch="360"/>
        </w:sectPr>
      </w:pPr>
    </w:p>
    <w:p>
      <w:pPr>
        <w:rPr>
          <w:noProof/>
          <w:lang w:val="fr-BE"/>
        </w:rPr>
      </w:pPr>
    </w:p>
    <w:p>
      <w:pPr>
        <w:pStyle w:val="Heading2"/>
        <w:numPr>
          <w:ilvl w:val="1"/>
          <w:numId w:val="1"/>
        </w:numPr>
        <w:rPr>
          <w:noProof/>
        </w:rPr>
      </w:pPr>
      <w:bookmarkStart w:id="135" w:name="_Toc449014773"/>
      <w:bookmarkStart w:id="136" w:name="_Toc50648342"/>
      <w:bookmarkStart w:id="137" w:name="_Toc50654372"/>
      <w:bookmarkStart w:id="138" w:name="_Toc50654927"/>
      <w:bookmarkStart w:id="139" w:name="_Toc50732474"/>
      <w:bookmarkStart w:id="140" w:name="_Toc52396558"/>
      <w:bookmarkStart w:id="141" w:name="_Toc524619523"/>
      <w:bookmarkStart w:id="142" w:name="_Toc524961070"/>
      <w:bookmarkStart w:id="143" w:name="_Toc525143031"/>
      <w:bookmarkStart w:id="144" w:name="_Toc525222188"/>
      <w:bookmarkStart w:id="145" w:name="_Toc525222357"/>
      <w:bookmarkStart w:id="146" w:name="_Toc526420754"/>
      <w:bookmarkStart w:id="147" w:name="_Toc526433980"/>
      <w:bookmarkStart w:id="148" w:name="_Toc526435922"/>
      <w:bookmarkStart w:id="149" w:name="_Toc530595252"/>
      <w:bookmarkEnd w:id="135"/>
      <w:r>
        <w:rPr>
          <w:noProof/>
        </w:rPr>
        <w:t>Energy costs drivers</w:t>
      </w:r>
      <w:bookmarkEnd w:id="136"/>
      <w:bookmarkEnd w:id="137"/>
      <w:bookmarkEnd w:id="138"/>
      <w:bookmarkEnd w:id="139"/>
      <w:bookmarkEnd w:id="140"/>
      <w:r>
        <w:rPr>
          <w:noProof/>
        </w:rPr>
        <w:t xml:space="preserve"> </w:t>
      </w:r>
      <w:bookmarkEnd w:id="141"/>
      <w:bookmarkEnd w:id="142"/>
      <w:bookmarkEnd w:id="143"/>
      <w:bookmarkEnd w:id="144"/>
      <w:bookmarkEnd w:id="145"/>
      <w:bookmarkEnd w:id="146"/>
      <w:bookmarkEnd w:id="147"/>
      <w:bookmarkEnd w:id="148"/>
      <w:bookmarkEnd w:id="149"/>
    </w:p>
    <w:p>
      <w:pPr>
        <w:rPr>
          <w:noProof/>
          <w:sz w:val="24"/>
          <w:szCs w:val="24"/>
        </w:rPr>
      </w:pPr>
    </w:p>
    <w:p>
      <w:pPr>
        <w:rPr>
          <w:noProof/>
          <w:sz w:val="24"/>
          <w:szCs w:val="24"/>
        </w:rPr>
      </w:pPr>
      <w:r>
        <w:rPr>
          <w:noProof/>
          <w:sz w:val="24"/>
          <w:szCs w:val="24"/>
        </w:rPr>
        <w:t xml:space="preserve">In this section we estimate how changes on energy prices, output and energy intensity impact energy costs. It also looks at the drivers of changes in output (domestic demand vs external demand) and energy intensity (physical energy efficiency, structural changes or fuel switching) to have a more comprehensive picture of the ultimate drivers of energy costs changes. </w:t>
      </w:r>
    </w:p>
    <w:p>
      <w:pPr>
        <w:rPr>
          <w:noProof/>
          <w:sz w:val="24"/>
          <w:szCs w:val="24"/>
        </w:rPr>
      </w:pPr>
      <w:r>
        <w:rPr>
          <w:noProof/>
          <w:sz w:val="24"/>
          <w:szCs w:val="24"/>
        </w:rPr>
        <w:t xml:space="preserve">The section relies on the decomposition analyses undertaken in the </w:t>
      </w:r>
      <w:r>
        <w:rPr>
          <w:i/>
          <w:iCs/>
          <w:noProof/>
          <w:sz w:val="24"/>
          <w:szCs w:val="24"/>
        </w:rPr>
        <w:t xml:space="preserve">Trinomics </w:t>
      </w:r>
      <w:r>
        <w:rPr>
          <w:noProof/>
          <w:sz w:val="24"/>
          <w:szCs w:val="24"/>
        </w:rPr>
        <w:t xml:space="preserve">(2020) which assesses the extent to which these three factors and the underlying drivers affected the energy costs of selected energy-intensive sectors in the EU and in G20 countries over 2010-2017. The specific sector scope of the decomposition analysis can be found below in </w:t>
      </w:r>
      <w:r>
        <w:rPr>
          <w:noProof/>
          <w:sz w:val="24"/>
          <w:szCs w:val="24"/>
        </w:rPr>
        <w:fldChar w:fldCharType="begin"/>
      </w:r>
      <w:r>
        <w:rPr>
          <w:noProof/>
          <w:sz w:val="24"/>
          <w:szCs w:val="24"/>
        </w:rPr>
        <w:instrText xml:space="preserve"> REF _Ref48066102 \h  \* MERGEFORMAT </w:instrText>
      </w:r>
      <w:r>
        <w:rPr>
          <w:noProof/>
          <w:sz w:val="24"/>
          <w:szCs w:val="24"/>
        </w:rPr>
      </w:r>
      <w:r>
        <w:rPr>
          <w:noProof/>
          <w:sz w:val="24"/>
          <w:szCs w:val="24"/>
        </w:rPr>
        <w:fldChar w:fldCharType="separate"/>
      </w:r>
      <w:r>
        <w:rPr>
          <w:b/>
          <w:noProof/>
          <w:sz w:val="24"/>
          <w:szCs w:val="24"/>
        </w:rPr>
        <w:t>Table 16</w:t>
      </w:r>
      <w:r>
        <w:rPr>
          <w:noProof/>
          <w:sz w:val="24"/>
          <w:szCs w:val="24"/>
        </w:rPr>
        <w:fldChar w:fldCharType="end"/>
      </w:r>
      <w:r>
        <w:rPr>
          <w:noProof/>
          <w:sz w:val="24"/>
          <w:szCs w:val="24"/>
        </w:rPr>
        <w:t xml:space="preserve"> and </w:t>
      </w:r>
      <w:r>
        <w:rPr>
          <w:noProof/>
          <w:sz w:val="24"/>
          <w:szCs w:val="24"/>
        </w:rPr>
        <w:fldChar w:fldCharType="begin"/>
      </w:r>
      <w:r>
        <w:rPr>
          <w:b/>
          <w:noProof/>
          <w:sz w:val="24"/>
          <w:szCs w:val="24"/>
        </w:rPr>
        <w:instrText xml:space="preserve"> REF _Ref48066116 \h  \* MERGEFORMAT </w:instrText>
      </w:r>
      <w:r>
        <w:rPr>
          <w:noProof/>
          <w:sz w:val="24"/>
          <w:szCs w:val="24"/>
        </w:rPr>
      </w:r>
      <w:r>
        <w:rPr>
          <w:b/>
          <w:noProof/>
          <w:sz w:val="24"/>
          <w:szCs w:val="24"/>
        </w:rPr>
        <w:fldChar w:fldCharType="separate"/>
      </w:r>
      <w:r>
        <w:rPr>
          <w:b/>
          <w:noProof/>
          <w:sz w:val="24"/>
          <w:szCs w:val="24"/>
        </w:rPr>
        <w:t>Table 17</w:t>
      </w:r>
      <w:r>
        <w:rPr>
          <w:noProof/>
          <w:sz w:val="24"/>
          <w:szCs w:val="24"/>
        </w:rPr>
        <w:fldChar w:fldCharType="end"/>
      </w:r>
      <w:r>
        <w:rPr>
          <w:b/>
          <w:noProof/>
          <w:sz w:val="24"/>
          <w:szCs w:val="24"/>
        </w:rPr>
        <w:t xml:space="preserve">. </w:t>
      </w:r>
      <w:r>
        <w:rPr>
          <w:noProof/>
          <w:sz w:val="24"/>
          <w:szCs w:val="24"/>
        </w:rPr>
        <w:t xml:space="preserve">The analysis of the decomposition analysis of sectors is undertaken at more aggregated (NACE 2) level in order to get more complete datasets. This makes that the results of the decomposition analysis are not directly comparable with the analysis of energy costs shares (section 6.2) which generally looks at a sectors with a more disaggregated (NACE 3) level.  </w:t>
      </w:r>
    </w:p>
    <w:p>
      <w:pPr>
        <w:rPr>
          <w:noProof/>
          <w:sz w:val="24"/>
          <w:szCs w:val="24"/>
        </w:rPr>
      </w:pPr>
      <w:r>
        <w:rPr>
          <w:noProof/>
          <w:sz w:val="24"/>
          <w:szCs w:val="24"/>
        </w:rPr>
        <w:t xml:space="preserve">The decomposition was carried out using the </w:t>
      </w:r>
      <w:r>
        <w:rPr>
          <w:i/>
          <w:iCs/>
          <w:noProof/>
          <w:sz w:val="24"/>
          <w:szCs w:val="24"/>
        </w:rPr>
        <w:t>Log Mean Divisia Index (LMDI)</w:t>
      </w:r>
      <w:r>
        <w:rPr>
          <w:noProof/>
          <w:sz w:val="24"/>
          <w:szCs w:val="24"/>
        </w:rPr>
        <w:t xml:space="preserve"> which shows for a given percentage change in energy costs over the period, the extent to which this change is attributable to changes in each driver over the same period. To make that analysis it was necessary to estimate the prices and the consumption by sector. The purchases of energy resulting from multiplying the estimated prices and consumption were not always similar to the results from historical data coming from 'purchases of energy' collected in Eurostat. A residual (the difference between the two) was therefore introduced in the analysis to take into account for these data discrepancies and ensure a coherent approach in the analysis of the energy costs in this document</w:t>
      </w:r>
      <w:r>
        <w:rPr>
          <w:rStyle w:val="FootnoteReference"/>
          <w:noProof/>
          <w:sz w:val="24"/>
          <w:szCs w:val="24"/>
        </w:rPr>
        <w:footnoteReference w:id="17"/>
      </w:r>
      <w:r>
        <w:rPr>
          <w:noProof/>
          <w:sz w:val="24"/>
          <w:szCs w:val="24"/>
        </w:rPr>
        <w:t>. As compared with the previous report, there were improved methodological efforts to reduce the residual and present information and analyses of the sectors where a high residual does not convey excessive uncertainty of the results. For the G20 countries there was no residual (since there is no a similar dataset as SBS).</w:t>
      </w:r>
    </w:p>
    <w:p>
      <w:pPr>
        <w:spacing w:after="0"/>
        <w:jc w:val="left"/>
        <w:rPr>
          <w:noProof/>
          <w:sz w:val="24"/>
          <w:szCs w:val="24"/>
        </w:rPr>
      </w:pPr>
      <w:r>
        <w:rPr>
          <w:noProof/>
          <w:sz w:val="24"/>
          <w:szCs w:val="24"/>
        </w:rPr>
        <w:br w:type="page"/>
      </w:r>
    </w:p>
    <w:p>
      <w:pPr>
        <w:rPr>
          <w:noProof/>
          <w:sz w:val="24"/>
          <w:szCs w:val="24"/>
        </w:rPr>
      </w:pPr>
    </w:p>
    <w:p>
      <w:pPr>
        <w:pStyle w:val="Caption"/>
      </w:pPr>
      <w:bookmarkStart w:id="150" w:name="_Ref48066102"/>
      <w:bookmarkStart w:id="151" w:name="_Toc52396975"/>
      <w:bookmarkStart w:id="152" w:name="_Ref43808587"/>
      <w:r>
        <w:t xml:space="preserve">Table </w:t>
      </w:r>
      <w:r>
        <w:fldChar w:fldCharType="begin"/>
      </w:r>
      <w:r>
        <w:instrText xml:space="preserve"> SEQ Table \* ARABIC </w:instrText>
      </w:r>
      <w:r>
        <w:fldChar w:fldCharType="separate"/>
      </w:r>
      <w:r>
        <w:t>16</w:t>
      </w:r>
      <w:r>
        <w:fldChar w:fldCharType="end"/>
      </w:r>
      <w:bookmarkEnd w:id="150"/>
      <w:r>
        <w:t xml:space="preserve"> - Sector scope of the EU27 decomposition analysis</w:t>
      </w:r>
      <w:bookmarkEnd w:id="151"/>
    </w:p>
    <w:tbl>
      <w:tblPr>
        <w:tblStyle w:val="Table1"/>
        <w:tblW w:w="4774" w:type="pct"/>
        <w:tblInd w:w="490" w:type="dxa"/>
        <w:tblLook w:val="04A0" w:firstRow="1" w:lastRow="0" w:firstColumn="1" w:lastColumn="0" w:noHBand="0" w:noVBand="1"/>
      </w:tblPr>
      <w:tblGrid>
        <w:gridCol w:w="1652"/>
        <w:gridCol w:w="981"/>
        <w:gridCol w:w="6233"/>
      </w:tblGrid>
      <w:tr>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932" w:type="pct"/>
            <w:tcBorders>
              <w:top w:val="single" w:sz="4" w:space="0" w:color="005962"/>
              <w:left w:val="single" w:sz="4" w:space="0" w:color="005962"/>
              <w:bottom w:val="single" w:sz="4" w:space="0" w:color="005962"/>
              <w:right w:val="single" w:sz="4" w:space="0" w:color="005962"/>
            </w:tcBorders>
            <w:shd w:val="clear" w:color="auto" w:fill="548DD4" w:themeFill="text2" w:themeFillTint="99"/>
            <w:hideMark/>
          </w:tcPr>
          <w:p>
            <w:pPr>
              <w:rPr>
                <w:rFonts w:eastAsia="Times New Roman"/>
                <w:noProof/>
                <w:sz w:val="16"/>
                <w:szCs w:val="16"/>
                <w:lang w:eastAsia="fr-FR"/>
              </w:rPr>
            </w:pPr>
            <w:r>
              <w:rPr>
                <w:rFonts w:eastAsia="Times New Roman"/>
                <w:noProof/>
                <w:sz w:val="16"/>
                <w:szCs w:val="16"/>
                <w:lang w:eastAsia="fr-FR"/>
              </w:rPr>
              <w:t>Section</w:t>
            </w:r>
          </w:p>
        </w:tc>
        <w:tc>
          <w:tcPr>
            <w:tcW w:w="553" w:type="pct"/>
            <w:tcBorders>
              <w:top w:val="single" w:sz="4" w:space="0" w:color="005962"/>
              <w:left w:val="single" w:sz="4" w:space="0" w:color="005962"/>
              <w:bottom w:val="single" w:sz="4" w:space="0" w:color="005962"/>
              <w:right w:val="single" w:sz="4" w:space="0" w:color="005962"/>
            </w:tcBorders>
            <w:shd w:val="clear" w:color="auto" w:fill="548DD4" w:themeFill="text2" w:themeFillTint="99"/>
            <w:hideMark/>
          </w:tcPr>
          <w:p>
            <w:pPr>
              <w:cnfStyle w:val="100000000000" w:firstRow="1" w:lastRow="0" w:firstColumn="0" w:lastColumn="0" w:oddVBand="0" w:evenVBand="0" w:oddHBand="0" w:evenHBand="0" w:firstRowFirstColumn="0" w:firstRowLastColumn="0" w:lastRowFirstColumn="0" w:lastRowLastColumn="0"/>
              <w:rPr>
                <w:rFonts w:eastAsia="Times New Roman"/>
                <w:noProof/>
                <w:sz w:val="16"/>
                <w:szCs w:val="16"/>
                <w:lang w:eastAsia="fr-FR"/>
              </w:rPr>
            </w:pPr>
            <w:r>
              <w:rPr>
                <w:rFonts w:eastAsia="Times New Roman"/>
                <w:noProof/>
                <w:sz w:val="16"/>
                <w:szCs w:val="16"/>
                <w:lang w:eastAsia="fr-FR"/>
              </w:rPr>
              <w:t>Code (NACE 2)</w:t>
            </w:r>
          </w:p>
        </w:tc>
        <w:tc>
          <w:tcPr>
            <w:tcW w:w="3515" w:type="pct"/>
            <w:tcBorders>
              <w:top w:val="single" w:sz="4" w:space="0" w:color="005962"/>
              <w:left w:val="single" w:sz="4" w:space="0" w:color="005962"/>
              <w:bottom w:val="single" w:sz="4" w:space="0" w:color="005962"/>
              <w:right w:val="single" w:sz="4" w:space="0" w:color="005962"/>
            </w:tcBorders>
            <w:shd w:val="clear" w:color="auto" w:fill="548DD4" w:themeFill="text2" w:themeFillTint="99"/>
            <w:hideMark/>
          </w:tcPr>
          <w:p>
            <w:pPr>
              <w:jc w:val="left"/>
              <w:cnfStyle w:val="100000000000" w:firstRow="1" w:lastRow="0" w:firstColumn="0" w:lastColumn="0" w:oddVBand="0" w:evenVBand="0" w:oddHBand="0" w:evenHBand="0" w:firstRowFirstColumn="0" w:firstRowLastColumn="0" w:lastRowFirstColumn="0" w:lastRowLastColumn="0"/>
              <w:rPr>
                <w:rFonts w:eastAsia="Times New Roman"/>
                <w:noProof/>
                <w:sz w:val="16"/>
                <w:szCs w:val="16"/>
                <w:lang w:eastAsia="fr-FR"/>
              </w:rPr>
            </w:pPr>
            <w:r>
              <w:rPr>
                <w:rFonts w:eastAsia="Times New Roman"/>
                <w:noProof/>
                <w:sz w:val="16"/>
                <w:szCs w:val="16"/>
                <w:lang w:eastAsia="fr-FR"/>
              </w:rPr>
              <w:t>Description</w:t>
            </w:r>
          </w:p>
        </w:tc>
      </w:tr>
      <w:tr>
        <w:trPr>
          <w:trHeight w:val="240"/>
        </w:trPr>
        <w:tc>
          <w:tcPr>
            <w:cnfStyle w:val="001000000000" w:firstRow="0" w:lastRow="0" w:firstColumn="1" w:lastColumn="0" w:oddVBand="0" w:evenVBand="0" w:oddHBand="0" w:evenHBand="0" w:firstRowFirstColumn="0" w:firstRowLastColumn="0" w:lastRowFirstColumn="0" w:lastRowLastColumn="0"/>
            <w:tcW w:w="932" w:type="pct"/>
            <w:vMerge w:val="restart"/>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r>
              <w:rPr>
                <w:rFonts w:eastAsia="Times New Roman"/>
                <w:noProof/>
                <w:color w:val="000000"/>
                <w:sz w:val="16"/>
                <w:szCs w:val="16"/>
                <w:lang w:eastAsia="fr-FR"/>
              </w:rPr>
              <w:t>C - Manufacturing</w:t>
            </w: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C10_C12</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food products; beverages and tobacco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C13_C15</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textiles, wearing apparel, leather and related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C16</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wood and of products of wood and cork, except furniture; manufacture of articles of straw and plaiting materials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C17</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paper and paper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C19</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coke and refined petroleum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C20</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chemicals and chemical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C21</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basic pharmaceutical products and pharmaceutical preparations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C22</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rubber and plastic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C23</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other non-metallic mineral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C24</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basic metals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C25</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fabricated metal products, except machinery and equipment</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C26</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computer, electronic and optical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C27</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electrical equipment</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C28</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machinery and equipment n.e.c.</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C29</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motor vehicles, trailers and semi-trailers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C30</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other transport equipment</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C31_C32</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Manufacture of furniture; other manufacturing</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553"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C33</w:t>
            </w:r>
          </w:p>
        </w:tc>
        <w:tc>
          <w:tcPr>
            <w:tcW w:w="3515"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noProof/>
                <w:color w:val="000000"/>
                <w:sz w:val="16"/>
                <w:szCs w:val="16"/>
                <w:lang w:eastAsia="fr-FR"/>
              </w:rPr>
            </w:pPr>
            <w:r>
              <w:rPr>
                <w:rFonts w:eastAsia="Times New Roman"/>
                <w:noProof/>
                <w:color w:val="000000"/>
                <w:sz w:val="16"/>
                <w:szCs w:val="16"/>
                <w:lang w:eastAsia="fr-FR"/>
              </w:rPr>
              <w:t>Repair and installation of machinery and equipment</w:t>
            </w:r>
          </w:p>
        </w:tc>
      </w:tr>
      <w:bookmarkEnd w:id="152"/>
    </w:tbl>
    <w:p>
      <w:pPr>
        <w:pStyle w:val="Caption"/>
      </w:pPr>
    </w:p>
    <w:p>
      <w:pPr>
        <w:pStyle w:val="Caption"/>
      </w:pPr>
      <w:bookmarkStart w:id="153" w:name="_Ref48066116"/>
      <w:bookmarkStart w:id="154" w:name="_Toc52396976"/>
      <w:r>
        <w:t xml:space="preserve">Table </w:t>
      </w:r>
      <w:r>
        <w:fldChar w:fldCharType="begin"/>
      </w:r>
      <w:r>
        <w:instrText xml:space="preserve"> SEQ Table \* ARABIC </w:instrText>
      </w:r>
      <w:r>
        <w:fldChar w:fldCharType="separate"/>
      </w:r>
      <w:r>
        <w:t>17</w:t>
      </w:r>
      <w:r>
        <w:fldChar w:fldCharType="end"/>
      </w:r>
      <w:bookmarkEnd w:id="153"/>
      <w:r>
        <w:t xml:space="preserve"> - Sector scope of the G20 decomposition analysis</w:t>
      </w:r>
      <w:bookmarkEnd w:id="154"/>
    </w:p>
    <w:tbl>
      <w:tblPr>
        <w:tblStyle w:val="Table1"/>
        <w:tblW w:w="4774" w:type="pct"/>
        <w:tblInd w:w="490" w:type="dxa"/>
        <w:tblLook w:val="04A0" w:firstRow="1" w:lastRow="0" w:firstColumn="1" w:lastColumn="0" w:noHBand="0" w:noVBand="1"/>
      </w:tblPr>
      <w:tblGrid>
        <w:gridCol w:w="1463"/>
        <w:gridCol w:w="1131"/>
        <w:gridCol w:w="6272"/>
      </w:tblGrid>
      <w:tr>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005962"/>
              <w:left w:val="single" w:sz="4" w:space="0" w:color="005962"/>
              <w:bottom w:val="single" w:sz="4" w:space="0" w:color="005962"/>
              <w:right w:val="single" w:sz="4" w:space="0" w:color="005962"/>
            </w:tcBorders>
            <w:shd w:val="clear" w:color="auto" w:fill="548DD4" w:themeFill="text2" w:themeFillTint="99"/>
            <w:hideMark/>
          </w:tcPr>
          <w:p>
            <w:pPr>
              <w:rPr>
                <w:rFonts w:eastAsia="Times New Roman"/>
                <w:noProof/>
                <w:sz w:val="16"/>
                <w:szCs w:val="16"/>
                <w:lang w:eastAsia="fr-FR"/>
              </w:rPr>
            </w:pPr>
            <w:r>
              <w:rPr>
                <w:rFonts w:eastAsia="Times New Roman"/>
                <w:noProof/>
                <w:sz w:val="16"/>
                <w:szCs w:val="16"/>
                <w:lang w:eastAsia="fr-FR"/>
              </w:rPr>
              <w:t>Section</w:t>
            </w:r>
          </w:p>
        </w:tc>
        <w:tc>
          <w:tcPr>
            <w:tcW w:w="638" w:type="pct"/>
            <w:tcBorders>
              <w:top w:val="single" w:sz="4" w:space="0" w:color="005962"/>
              <w:left w:val="single" w:sz="4" w:space="0" w:color="005962"/>
              <w:bottom w:val="single" w:sz="4" w:space="0" w:color="005962"/>
              <w:right w:val="single" w:sz="4" w:space="0" w:color="005962"/>
            </w:tcBorders>
            <w:shd w:val="clear" w:color="auto" w:fill="548DD4" w:themeFill="text2" w:themeFillTint="99"/>
            <w:hideMark/>
          </w:tcPr>
          <w:p>
            <w:pPr>
              <w:cnfStyle w:val="100000000000" w:firstRow="1" w:lastRow="0" w:firstColumn="0" w:lastColumn="0" w:oddVBand="0" w:evenVBand="0" w:oddHBand="0" w:evenHBand="0" w:firstRowFirstColumn="0" w:firstRowLastColumn="0" w:lastRowFirstColumn="0" w:lastRowLastColumn="0"/>
              <w:rPr>
                <w:rFonts w:eastAsia="Times New Roman"/>
                <w:noProof/>
                <w:sz w:val="16"/>
                <w:szCs w:val="16"/>
                <w:lang w:eastAsia="fr-FR"/>
              </w:rPr>
            </w:pPr>
            <w:r>
              <w:rPr>
                <w:rFonts w:eastAsia="Times New Roman"/>
                <w:noProof/>
                <w:sz w:val="16"/>
                <w:szCs w:val="16"/>
                <w:lang w:eastAsia="fr-FR"/>
              </w:rPr>
              <w:t>Code</w:t>
            </w:r>
          </w:p>
          <w:p>
            <w:pPr>
              <w:cnfStyle w:val="100000000000" w:firstRow="1" w:lastRow="0" w:firstColumn="0" w:lastColumn="0" w:oddVBand="0" w:evenVBand="0" w:oddHBand="0" w:evenHBand="0" w:firstRowFirstColumn="0" w:firstRowLastColumn="0" w:lastRowFirstColumn="0" w:lastRowLastColumn="0"/>
              <w:rPr>
                <w:rFonts w:eastAsia="Times New Roman"/>
                <w:noProof/>
                <w:sz w:val="16"/>
                <w:szCs w:val="16"/>
                <w:lang w:eastAsia="fr-FR"/>
              </w:rPr>
            </w:pPr>
            <w:r>
              <w:rPr>
                <w:rFonts w:eastAsia="Times New Roman"/>
                <w:noProof/>
                <w:sz w:val="16"/>
                <w:szCs w:val="16"/>
                <w:lang w:eastAsia="fr-FR"/>
              </w:rPr>
              <w:t xml:space="preserve"> (NACE 2)</w:t>
            </w:r>
          </w:p>
        </w:tc>
        <w:tc>
          <w:tcPr>
            <w:tcW w:w="3537" w:type="pct"/>
            <w:tcBorders>
              <w:top w:val="single" w:sz="4" w:space="0" w:color="005962"/>
              <w:left w:val="single" w:sz="4" w:space="0" w:color="005962"/>
              <w:bottom w:val="single" w:sz="4" w:space="0" w:color="005962"/>
              <w:right w:val="single" w:sz="4" w:space="0" w:color="005962"/>
            </w:tcBorders>
            <w:shd w:val="clear" w:color="auto" w:fill="548DD4" w:themeFill="text2" w:themeFillTint="99"/>
            <w:hideMark/>
          </w:tcPr>
          <w:p>
            <w:pPr>
              <w:jc w:val="left"/>
              <w:cnfStyle w:val="100000000000" w:firstRow="1" w:lastRow="0" w:firstColumn="0" w:lastColumn="0" w:oddVBand="0" w:evenVBand="0" w:oddHBand="0" w:evenHBand="0" w:firstRowFirstColumn="0" w:firstRowLastColumn="0" w:lastRowFirstColumn="0" w:lastRowLastColumn="0"/>
              <w:rPr>
                <w:rFonts w:eastAsia="Times New Roman"/>
                <w:noProof/>
                <w:sz w:val="16"/>
                <w:szCs w:val="16"/>
                <w:lang w:eastAsia="fr-FR"/>
              </w:rPr>
            </w:pPr>
            <w:r>
              <w:rPr>
                <w:rFonts w:eastAsia="Times New Roman"/>
                <w:noProof/>
                <w:sz w:val="16"/>
                <w:szCs w:val="16"/>
                <w:lang w:eastAsia="fr-FR"/>
              </w:rPr>
              <w:t>Sector Description</w:t>
            </w:r>
          </w:p>
        </w:tc>
      </w:tr>
      <w:tr>
        <w:trPr>
          <w:trHeight w:val="240"/>
        </w:trPr>
        <w:tc>
          <w:tcPr>
            <w:cnfStyle w:val="001000000000" w:firstRow="0" w:lastRow="0" w:firstColumn="1" w:lastColumn="0" w:oddVBand="0" w:evenVBand="0" w:oddHBand="0" w:evenHBand="0" w:firstRowFirstColumn="0" w:firstRowLastColumn="0" w:lastRowFirstColumn="0" w:lastRowLastColumn="0"/>
            <w:tcW w:w="825" w:type="pct"/>
            <w:vMerge w:val="restart"/>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r>
              <w:rPr>
                <w:rFonts w:eastAsia="Times New Roman"/>
                <w:noProof/>
                <w:color w:val="000000"/>
                <w:sz w:val="16"/>
                <w:szCs w:val="16"/>
                <w:lang w:eastAsia="fr-FR"/>
              </w:rPr>
              <w:t>C - Manufacturing</w:t>
            </w: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C10_C12</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food products; beverages and tobacco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C13_C15</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textiles, wearing apparel, leather and related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C16</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wood and of products of wood and cork, except furniture; manufacture of articles of straw and plaiting materials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C17</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paper and paper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C19_C21</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coke, refined petroleum products, chemicals and chemical products, basic pharmaceutical products, and pharmaceutical preparations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C21</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basic pharmaceutical products and pharmaceutical preparations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C22_C23</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rubber, plastic products,  and other non-metallic mineral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C24</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basic metals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C25</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fabricated metal products, except machinery and equipment</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C26</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computer, electronic and optical products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C27</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electrical equipment</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C28</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machinery and equipment n.e.c.</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C29</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motor vehicles, trailers and semi-trailers</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C29_C30</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motor vehicles, trailers and semi-trailers, and other transport equipment</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C30</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Manufacture of other transport equipment</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5962"/>
              <w:left w:val="single" w:sz="4" w:space="0" w:color="005962"/>
              <w:bottom w:val="single" w:sz="4" w:space="0" w:color="005962"/>
              <w:right w:val="single" w:sz="4" w:space="0" w:color="005962"/>
            </w:tcBorders>
            <w:hideMark/>
          </w:tcPr>
          <w:p>
            <w:pPr>
              <w:rPr>
                <w:rFonts w:eastAsia="Times New Roman"/>
                <w:noProof/>
                <w:color w:val="000000"/>
                <w:sz w:val="16"/>
                <w:szCs w:val="16"/>
                <w:lang w:eastAsia="fr-FR"/>
              </w:rPr>
            </w:pPr>
          </w:p>
        </w:tc>
        <w:tc>
          <w:tcPr>
            <w:tcW w:w="638" w:type="pct"/>
            <w:tcBorders>
              <w:top w:val="single" w:sz="4" w:space="0" w:color="005962"/>
              <w:left w:val="single" w:sz="4" w:space="0" w:color="005962"/>
              <w:bottom w:val="single" w:sz="4" w:space="0" w:color="005962"/>
              <w:right w:val="single" w:sz="4" w:space="0" w:color="005962"/>
            </w:tcBorders>
            <w:hideMark/>
          </w:tcPr>
          <w:p>
            <w:pPr>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C33</w:t>
            </w:r>
          </w:p>
        </w:tc>
        <w:tc>
          <w:tcPr>
            <w:tcW w:w="3537" w:type="pct"/>
            <w:tcBorders>
              <w:top w:val="single" w:sz="4" w:space="0" w:color="005962"/>
              <w:left w:val="single" w:sz="4" w:space="0" w:color="005962"/>
              <w:bottom w:val="single" w:sz="4" w:space="0" w:color="005962"/>
              <w:right w:val="single" w:sz="4" w:space="0" w:color="005962"/>
            </w:tcBorders>
            <w:hideMark/>
          </w:tcPr>
          <w:p>
            <w:pPr>
              <w:jc w:val="left"/>
              <w:cnfStyle w:val="000000000000" w:firstRow="0" w:lastRow="0" w:firstColumn="0" w:lastColumn="0" w:oddVBand="0" w:evenVBand="0" w:oddHBand="0" w:evenHBand="0" w:firstRowFirstColumn="0" w:firstRowLastColumn="0" w:lastRowFirstColumn="0" w:lastRowLastColumn="0"/>
              <w:rPr>
                <w:rFonts w:eastAsia="Times New Roman"/>
                <w:b/>
                <w:bCs/>
                <w:noProof/>
                <w:color w:val="000000"/>
                <w:sz w:val="16"/>
                <w:szCs w:val="16"/>
                <w:lang w:eastAsia="fr-FR"/>
              </w:rPr>
            </w:pPr>
            <w:r>
              <w:rPr>
                <w:noProof/>
                <w:color w:val="000000"/>
                <w:sz w:val="16"/>
                <w:szCs w:val="16"/>
              </w:rPr>
              <w:t>Repair and installation of machinery and equipment</w:t>
            </w:r>
          </w:p>
        </w:tc>
      </w:tr>
    </w:tbl>
    <w:p>
      <w:pPr>
        <w:rPr>
          <w:noProof/>
          <w:sz w:val="24"/>
          <w:szCs w:val="24"/>
        </w:rPr>
      </w:pPr>
    </w:p>
    <w:p>
      <w:pPr>
        <w:pStyle w:val="Heading3"/>
        <w:numPr>
          <w:ilvl w:val="2"/>
          <w:numId w:val="1"/>
        </w:numPr>
        <w:rPr>
          <w:noProof/>
        </w:rPr>
      </w:pPr>
      <w:bookmarkStart w:id="155" w:name="_Toc468890478"/>
      <w:bookmarkStart w:id="156" w:name="_Toc449014775"/>
      <w:r>
        <w:rPr>
          <w:noProof/>
        </w:rPr>
        <w:t xml:space="preserve"> </w:t>
      </w:r>
      <w:bookmarkStart w:id="157" w:name="_Toc50648343"/>
      <w:bookmarkStart w:id="158" w:name="_Toc50654373"/>
      <w:bookmarkStart w:id="159" w:name="_Toc50654928"/>
      <w:bookmarkStart w:id="160" w:name="_Toc50732475"/>
      <w:bookmarkStart w:id="161" w:name="_Toc52396559"/>
      <w:r>
        <w:rPr>
          <w:noProof/>
        </w:rPr>
        <w:t>Drivers of energy costs</w:t>
      </w:r>
      <w:bookmarkStart w:id="162" w:name="_Toc524619524"/>
      <w:bookmarkStart w:id="163" w:name="_Toc524961071"/>
      <w:bookmarkStart w:id="164" w:name="_Toc525143032"/>
      <w:bookmarkStart w:id="165" w:name="_Toc525222189"/>
      <w:bookmarkStart w:id="166" w:name="_Toc525222358"/>
      <w:bookmarkStart w:id="167" w:name="_Toc526420755"/>
      <w:bookmarkStart w:id="168" w:name="_Toc526433981"/>
      <w:bookmarkStart w:id="169" w:name="_Toc526435923"/>
      <w:bookmarkStart w:id="170" w:name="_Toc530595253"/>
      <w:bookmarkEnd w:id="15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pPr>
        <w:jc w:val="center"/>
        <w:rPr>
          <w:noProof/>
          <w:highlight w:val="yellow"/>
        </w:rPr>
      </w:pPr>
      <w:bookmarkStart w:id="171" w:name="_Toc443559021"/>
      <w:bookmarkStart w:id="172" w:name="_Toc444001540"/>
      <w:bookmarkStart w:id="173" w:name="_Toc444688283"/>
      <w:bookmarkStart w:id="174" w:name="_Toc444695872"/>
      <w:bookmarkStart w:id="175" w:name="_Toc444765187"/>
      <w:bookmarkStart w:id="176" w:name="_Toc444779696"/>
      <w:bookmarkStart w:id="177" w:name="_Toc445187667"/>
      <w:bookmarkEnd w:id="156"/>
    </w:p>
    <w:p>
      <w:pPr>
        <w:rPr>
          <w:noProof/>
          <w:sz w:val="24"/>
          <w:szCs w:val="24"/>
        </w:rPr>
      </w:pPr>
      <w:r>
        <w:rPr>
          <w:noProof/>
          <w:sz w:val="24"/>
          <w:szCs w:val="24"/>
        </w:rPr>
        <w:t xml:space="preserve">Using the LMDI decomposition, the key drivers of energy costs can be identified. </w:t>
      </w:r>
    </w:p>
    <w:p>
      <w:pPr>
        <w:rPr>
          <w:noProof/>
        </w:rPr>
      </w:pPr>
      <m:oMath>
        <m:r>
          <w:rPr>
            <w:rFonts w:ascii="Cambria Math" w:eastAsia="Times New Roman" w:hAnsi="Cambria Math"/>
            <w:noProof/>
            <w:snapToGrid w:val="0"/>
          </w:rPr>
          <m:t>Energy costs= Output</m:t>
        </m:r>
        <m:d>
          <m:dPr>
            <m:ctrlPr>
              <w:rPr>
                <w:rFonts w:ascii="Cambria Math" w:eastAsia="Times New Roman" w:hAnsi="Cambria Math"/>
                <w:i/>
                <w:noProof/>
                <w:snapToGrid w:val="0"/>
              </w:rPr>
            </m:ctrlPr>
          </m:dPr>
          <m:e>
            <m:r>
              <w:rPr>
                <w:rFonts w:ascii="Cambria Math" w:eastAsia="Times New Roman" w:hAnsi="Cambria Math"/>
                <w:noProof/>
                <w:snapToGrid w:val="0"/>
              </w:rPr>
              <m:t>constant</m:t>
            </m:r>
          </m:e>
        </m:d>
        <m:r>
          <w:rPr>
            <w:rFonts w:ascii="Cambria Math" w:eastAsia="Times New Roman" w:hAnsi="Cambria Math"/>
            <w:noProof/>
            <w:snapToGrid w:val="0"/>
          </w:rPr>
          <m:t>×</m:t>
        </m:r>
        <m:f>
          <m:fPr>
            <m:ctrlPr>
              <w:rPr>
                <w:rFonts w:ascii="Cambria Math" w:eastAsia="Times New Roman" w:hAnsi="Cambria Math"/>
                <w:i/>
                <w:noProof/>
                <w:snapToGrid w:val="0"/>
              </w:rPr>
            </m:ctrlPr>
          </m:fPr>
          <m:num>
            <m:r>
              <w:rPr>
                <w:rFonts w:ascii="Cambria Math" w:eastAsia="Times New Roman" w:hAnsi="Cambria Math"/>
                <w:noProof/>
                <w:snapToGrid w:val="0"/>
              </w:rPr>
              <m:t>Energy</m:t>
            </m:r>
          </m:num>
          <m:den>
            <m:r>
              <w:rPr>
                <w:rFonts w:ascii="Cambria Math" w:eastAsia="Times New Roman" w:hAnsi="Cambria Math"/>
                <w:noProof/>
                <w:snapToGrid w:val="0"/>
              </w:rPr>
              <m:t xml:space="preserve">Output </m:t>
            </m:r>
            <m:d>
              <m:dPr>
                <m:ctrlPr>
                  <w:rPr>
                    <w:rFonts w:ascii="Cambria Math" w:eastAsia="Times New Roman" w:hAnsi="Cambria Math"/>
                    <w:i/>
                    <w:noProof/>
                    <w:snapToGrid w:val="0"/>
                  </w:rPr>
                </m:ctrlPr>
              </m:dPr>
              <m:e>
                <m:r>
                  <w:rPr>
                    <w:rFonts w:ascii="Cambria Math" w:eastAsia="Times New Roman" w:hAnsi="Cambria Math"/>
                    <w:noProof/>
                    <w:snapToGrid w:val="0"/>
                  </w:rPr>
                  <m:t>constant</m:t>
                </m:r>
              </m:e>
            </m:d>
          </m:den>
        </m:f>
        <m:r>
          <w:rPr>
            <w:rFonts w:ascii="Cambria Math" w:eastAsia="Times New Roman" w:hAnsi="Cambria Math"/>
            <w:noProof/>
            <w:snapToGrid w:val="0"/>
          </w:rPr>
          <m:t xml:space="preserve"> × Price of energy</m:t>
        </m:r>
      </m:oMath>
      <w:r>
        <w:rPr>
          <w:noProof/>
          <w:snapToGrid w:val="0"/>
        </w:rPr>
        <w:t xml:space="preserve"> </w:t>
      </w:r>
    </w:p>
    <w:p>
      <w:pPr>
        <w:rPr>
          <w:noProof/>
        </w:rPr>
      </w:pPr>
    </w:p>
    <w:p>
      <w:pPr>
        <w:rPr>
          <w:noProof/>
          <w:sz w:val="24"/>
          <w:szCs w:val="24"/>
        </w:rPr>
      </w:pPr>
      <w:r>
        <w:rPr>
          <w:noProof/>
          <w:sz w:val="24"/>
          <w:szCs w:val="24"/>
        </w:rPr>
        <w:t xml:space="preserve">The analysis in this section aims to use LMDI decomposition to explain the behaviour of the energy costs observed as energy purchases of energy from SBS data. Thus, a residual is introduced in the analysis to account for the difference between estimated energy costs and the SBS data for energy </w:t>
      </w:r>
      <w:r>
        <w:rPr>
          <w:i/>
          <w:noProof/>
          <w:sz w:val="24"/>
          <w:szCs w:val="24"/>
        </w:rPr>
        <w:t>purchases of energy</w:t>
      </w:r>
      <w:r>
        <w:rPr>
          <w:noProof/>
          <w:sz w:val="24"/>
          <w:szCs w:val="24"/>
        </w:rPr>
        <w:t>. For the purposes of this analysis, the change in energy costs over time is defined as follows:</w:t>
      </w:r>
    </w:p>
    <w:p>
      <w:pPr>
        <w:spacing w:before="240" w:line="280" w:lineRule="exact"/>
        <w:ind w:left="-426" w:right="-144" w:hanging="142"/>
        <w:rPr>
          <w:rFonts w:eastAsiaTheme="minorEastAsia"/>
          <w:noProof/>
          <w:snapToGrid w:val="0"/>
        </w:rPr>
      </w:pPr>
      <m:oMathPara>
        <m:oMath>
          <m:r>
            <w:rPr>
              <w:rFonts w:ascii="Cambria Math" w:eastAsia="Times New Roman" w:hAnsi="Cambria Math"/>
              <w:noProof/>
              <w:snapToGrid w:val="0"/>
            </w:rPr>
            <m:t>∆Energy Costs=</m:t>
          </m:r>
          <m:d>
            <m:dPr>
              <m:ctrlPr>
                <w:rPr>
                  <w:rFonts w:ascii="Cambria Math" w:eastAsia="Times New Roman" w:hAnsi="Cambria Math"/>
                  <w:i/>
                  <w:noProof/>
                  <w:snapToGrid w:val="0"/>
                </w:rPr>
              </m:ctrlPr>
            </m:dPr>
            <m:e>
              <m:r>
                <w:rPr>
                  <w:rFonts w:ascii="Cambria Math" w:eastAsia="Times New Roman" w:hAnsi="Cambria Math"/>
                  <w:noProof/>
                  <w:snapToGrid w:val="0"/>
                </w:rPr>
                <m:t>real</m:t>
              </m:r>
            </m:e>
          </m:d>
          <m:r>
            <w:rPr>
              <w:rFonts w:ascii="Cambria Math" w:eastAsia="Times New Roman" w:hAnsi="Cambria Math"/>
              <w:noProof/>
              <w:snapToGrid w:val="0"/>
            </w:rPr>
            <m:t xml:space="preserve"> output effect+</m:t>
          </m:r>
          <m:d>
            <m:dPr>
              <m:ctrlPr>
                <w:rPr>
                  <w:rFonts w:ascii="Cambria Math" w:eastAsia="Times New Roman" w:hAnsi="Cambria Math"/>
                  <w:i/>
                  <w:noProof/>
                  <w:snapToGrid w:val="0"/>
                </w:rPr>
              </m:ctrlPr>
            </m:dPr>
            <m:e>
              <m:r>
                <w:rPr>
                  <w:rFonts w:ascii="Cambria Math" w:eastAsia="Times New Roman" w:hAnsi="Cambria Math"/>
                  <w:noProof/>
                  <w:snapToGrid w:val="0"/>
                </w:rPr>
                <m:t>real</m:t>
              </m:r>
            </m:e>
          </m:d>
          <m:r>
            <w:rPr>
              <w:rFonts w:ascii="Cambria Math" w:eastAsia="Times New Roman" w:hAnsi="Cambria Math"/>
              <w:noProof/>
              <w:snapToGrid w:val="0"/>
            </w:rPr>
            <m:t xml:space="preserve"> energy intensity effect+price effect+residual</m:t>
          </m:r>
        </m:oMath>
      </m:oMathPara>
    </w:p>
    <w:p>
      <w:pPr>
        <w:rPr>
          <w:noProof/>
          <w:highlight w:val="yellow"/>
        </w:rPr>
      </w:pPr>
    </w:p>
    <w:p>
      <w:pPr>
        <w:rPr>
          <w:noProof/>
          <w:sz w:val="24"/>
          <w:szCs w:val="24"/>
        </w:rPr>
      </w:pPr>
      <w:r>
        <w:rPr>
          <w:noProof/>
          <w:sz w:val="24"/>
          <w:szCs w:val="24"/>
        </w:rPr>
        <w:t xml:space="preserve">Where </w:t>
      </w:r>
    </w:p>
    <w:p>
      <w:pPr>
        <w:numPr>
          <w:ilvl w:val="0"/>
          <w:numId w:val="4"/>
        </w:numPr>
        <w:spacing w:line="300" w:lineRule="atLeast"/>
        <w:ind w:left="714" w:hanging="357"/>
        <w:jc w:val="left"/>
        <w:rPr>
          <w:noProof/>
          <w:sz w:val="24"/>
          <w:szCs w:val="24"/>
        </w:rPr>
      </w:pPr>
      <w:r>
        <w:rPr>
          <w:b/>
          <w:bCs/>
          <w:noProof/>
          <w:sz w:val="24"/>
          <w:szCs w:val="24"/>
        </w:rPr>
        <w:t>Output effect:</w:t>
      </w:r>
      <w:r>
        <w:rPr>
          <w:noProof/>
          <w:sz w:val="24"/>
          <w:szCs w:val="24"/>
        </w:rPr>
        <w:t xml:space="preserve"> the effect of changes in real production (GVA), this could be due to increases in domestic and/or external demand;</w:t>
      </w:r>
    </w:p>
    <w:p>
      <w:pPr>
        <w:numPr>
          <w:ilvl w:val="0"/>
          <w:numId w:val="4"/>
        </w:numPr>
        <w:spacing w:line="300" w:lineRule="atLeast"/>
        <w:ind w:left="714" w:hanging="357"/>
        <w:jc w:val="left"/>
        <w:rPr>
          <w:noProof/>
          <w:sz w:val="24"/>
          <w:szCs w:val="24"/>
        </w:rPr>
      </w:pPr>
      <w:r>
        <w:rPr>
          <w:b/>
          <w:bCs/>
          <w:noProof/>
          <w:sz w:val="24"/>
          <w:szCs w:val="24"/>
        </w:rPr>
        <w:t>(Real) Energy intensity effect:</w:t>
      </w:r>
      <w:r>
        <w:rPr>
          <w:noProof/>
          <w:sz w:val="24"/>
          <w:szCs w:val="24"/>
        </w:rPr>
        <w:t xml:space="preserve"> the effect of changes in energy per unit of real output (GVA) over time due to energy efficiency measures, behavioural changes and industry structural change;</w:t>
      </w:r>
    </w:p>
    <w:p>
      <w:pPr>
        <w:numPr>
          <w:ilvl w:val="0"/>
          <w:numId w:val="4"/>
        </w:numPr>
        <w:spacing w:line="300" w:lineRule="atLeast"/>
        <w:ind w:left="714" w:hanging="357"/>
        <w:jc w:val="left"/>
        <w:rPr>
          <w:noProof/>
          <w:sz w:val="24"/>
          <w:szCs w:val="24"/>
        </w:rPr>
      </w:pPr>
      <w:r>
        <w:rPr>
          <w:b/>
          <w:bCs/>
          <w:noProof/>
          <w:sz w:val="24"/>
          <w:szCs w:val="24"/>
        </w:rPr>
        <w:t>Price effects:</w:t>
      </w:r>
      <w:r>
        <w:rPr>
          <w:noProof/>
          <w:sz w:val="24"/>
          <w:szCs w:val="24"/>
        </w:rPr>
        <w:t xml:space="preserve"> the effect of changes in coal, gas and electricity prices.</w:t>
      </w:r>
    </w:p>
    <w:p>
      <w:pPr>
        <w:pStyle w:val="ListParagraph"/>
        <w:numPr>
          <w:ilvl w:val="0"/>
          <w:numId w:val="4"/>
        </w:numPr>
        <w:ind w:left="714" w:hanging="357"/>
        <w:contextualSpacing w:val="0"/>
        <w:rPr>
          <w:noProof/>
        </w:rPr>
      </w:pPr>
      <w:r>
        <w:rPr>
          <w:noProof/>
          <w:sz w:val="24"/>
          <w:szCs w:val="24"/>
        </w:rPr>
        <w:t xml:space="preserve">The </w:t>
      </w:r>
      <w:r>
        <w:rPr>
          <w:b/>
          <w:bCs/>
          <w:noProof/>
          <w:sz w:val="24"/>
          <w:szCs w:val="24"/>
        </w:rPr>
        <w:t xml:space="preserve">residual, </w:t>
      </w:r>
      <w:r>
        <w:rPr>
          <w:noProof/>
          <w:sz w:val="24"/>
          <w:szCs w:val="24"/>
        </w:rPr>
        <w:t>which</w:t>
      </w:r>
      <w:r>
        <w:rPr>
          <w:b/>
          <w:bCs/>
          <w:noProof/>
          <w:sz w:val="24"/>
          <w:szCs w:val="24"/>
        </w:rPr>
        <w:t xml:space="preserve"> </w:t>
      </w:r>
      <w:r>
        <w:rPr>
          <w:noProof/>
          <w:sz w:val="24"/>
          <w:szCs w:val="24"/>
        </w:rPr>
        <w:t>includes the effect of unexplained data discrepancy with Eurostat SBS</w:t>
      </w:r>
      <w:r>
        <w:rPr>
          <w:noProof/>
        </w:rPr>
        <w:t xml:space="preserve"> </w:t>
      </w:r>
      <w:r>
        <w:rPr>
          <w:noProof/>
          <w:sz w:val="24"/>
          <w:szCs w:val="24"/>
        </w:rPr>
        <w:t>data on 'purchases of energy'.</w:t>
      </w:r>
    </w:p>
    <w:p>
      <w:pPr>
        <w:rPr>
          <w:noProof/>
        </w:rPr>
      </w:pPr>
    </w:p>
    <w:p>
      <w:pPr>
        <w:jc w:val="center"/>
        <w:rPr>
          <w:b/>
          <w:bCs/>
          <w:noProof/>
          <w:sz w:val="20"/>
          <w:szCs w:val="20"/>
        </w:rPr>
      </w:pPr>
      <w:r>
        <w:rPr>
          <w:b/>
          <w:bCs/>
          <w:noProof/>
          <w:sz w:val="20"/>
          <w:szCs w:val="20"/>
        </w:rPr>
        <w:t>Box – Interpretation of results</w:t>
      </w:r>
    </w:p>
    <w:p>
      <w:pPr>
        <w:pBdr>
          <w:top w:val="single" w:sz="4" w:space="1" w:color="auto"/>
          <w:left w:val="single" w:sz="4" w:space="4" w:color="auto"/>
          <w:bottom w:val="single" w:sz="4" w:space="1" w:color="auto"/>
          <w:right w:val="single" w:sz="4" w:space="4" w:color="auto"/>
        </w:pBdr>
        <w:rPr>
          <w:noProof/>
        </w:rPr>
      </w:pPr>
      <w:r>
        <w:rPr>
          <w:noProof/>
        </w:rPr>
        <w:t>The interpretation of some of these effects is complex and requires additional explanations.</w:t>
      </w:r>
    </w:p>
    <w:p>
      <w:pPr>
        <w:pBdr>
          <w:top w:val="single" w:sz="4" w:space="1" w:color="auto"/>
          <w:left w:val="single" w:sz="4" w:space="4" w:color="auto"/>
          <w:bottom w:val="single" w:sz="4" w:space="1" w:color="auto"/>
          <w:right w:val="single" w:sz="4" w:space="4" w:color="auto"/>
        </w:pBdr>
        <w:rPr>
          <w:noProof/>
          <w:highlight w:val="yellow"/>
        </w:rPr>
      </w:pPr>
      <w:r>
        <w:rPr>
          <w:noProof/>
        </w:rPr>
        <w:t xml:space="preserve">The unexplained </w:t>
      </w:r>
      <w:r>
        <w:rPr>
          <w:b/>
          <w:bCs/>
          <w:noProof/>
        </w:rPr>
        <w:t>residual</w:t>
      </w:r>
      <w:r>
        <w:rPr>
          <w:noProof/>
        </w:rPr>
        <w:t xml:space="preserve"> likely arises from missing data, in particular, on energy consumption. In these cases, data gaps were filled using sectoral energy-intensity figures for those countries where data is available. In some cases, that meant relying on trends of very few countries (Germany and few others) to predict the wider sectoral trends at the EU27 level. Therefore it is possible that the residual is partly reflecting some energy intensity effects that were impossible to identify from the limited energy consumption data available. On the other hand, the residual was calculated as the difference from the Eurostat SBS data in order to ensure a coherent analysis in this section in line with the analysis on the previous sections of the chapter. However Eurostat SBS data could also present some inconsistencies as it is based on surveys which might also be partially incomplete.</w:t>
      </w:r>
    </w:p>
    <w:p>
      <w:pPr>
        <w:pBdr>
          <w:top w:val="single" w:sz="4" w:space="1" w:color="auto"/>
          <w:left w:val="single" w:sz="4" w:space="4" w:color="auto"/>
          <w:bottom w:val="single" w:sz="4" w:space="1" w:color="auto"/>
          <w:right w:val="single" w:sz="4" w:space="4" w:color="auto"/>
        </w:pBdr>
        <w:rPr>
          <w:noProof/>
          <w:highlight w:val="yellow"/>
        </w:rPr>
      </w:pPr>
      <w:r>
        <w:rPr>
          <w:noProof/>
        </w:rPr>
        <w:t xml:space="preserve">The interpretation of the </w:t>
      </w:r>
      <w:r>
        <w:rPr>
          <w:b/>
          <w:bCs/>
          <w:noProof/>
        </w:rPr>
        <w:t>price effect</w:t>
      </w:r>
      <w:r>
        <w:rPr>
          <w:noProof/>
        </w:rPr>
        <w:t xml:space="preserve"> is complex.</w:t>
      </w:r>
      <w:bookmarkStart w:id="178" w:name="_Hlk523207571"/>
      <w:r>
        <w:rPr>
          <w:noProof/>
        </w:rPr>
        <w:t xml:space="preserve"> The price effect captures the effect of changes in weighted-average energy prices on energy costs faced by firms. The prices used are nominal and exclude all recoverable tax and levies (such as VAT). The price effects are estimated by combining estimates of the energy mix at a sectoral level and estimates of energy prices (by fuel) over the period 2010-2017. Energy price for each sector and fuel is estimated by using the Eurostat price band in which most industrial production would fall into</w:t>
      </w:r>
      <w:r>
        <w:rPr>
          <w:rStyle w:val="FootnoteReference"/>
          <w:noProof/>
        </w:rPr>
        <w:footnoteReference w:id="18"/>
      </w:r>
      <w:r>
        <w:rPr>
          <w:noProof/>
        </w:rPr>
        <w:t>. Therefore the price effect does not capture the behaviour of other fuel prices (price of biomass or heat) which are assumed to behave in line with the weighted average from coal, gas and electricity prices. Finally, price for each industry sector at the EU27 level, the Member State level prices are weighted by the total value of production (by Member State). Thus, the EU27 results for each industry sector reflect a double-weighting of price: (i) (relatively stable) fuel shares used to derive a representative weighted-average fuel price for each industry and each Member State (ii) (dynamic) Member State production shares used to weight the Member State -level price effects, to derive an EU average price effect for each industry sector. This means that prices changes can be due to changes on the production structure of the sector at EU level (shifts of production across Member States) which results on changes on the weights used for calculating the prices.</w:t>
      </w:r>
    </w:p>
    <w:bookmarkEnd w:id="178"/>
    <w:p>
      <w:pPr>
        <w:rPr>
          <w:b/>
          <w:noProof/>
          <w:highlight w:val="yellow"/>
        </w:rPr>
      </w:pPr>
      <w:r>
        <w:rPr>
          <w:b/>
          <w:noProof/>
          <w:highlight w:val="yellow"/>
        </w:rPr>
        <w:br w:type="page"/>
      </w:r>
    </w:p>
    <w:p>
      <w:pPr>
        <w:rPr>
          <w:b/>
          <w:noProof/>
          <w:highlight w:val="yellow"/>
        </w:rPr>
      </w:pPr>
    </w:p>
    <w:p>
      <w:pPr>
        <w:rPr>
          <w:b/>
          <w:noProof/>
          <w:sz w:val="24"/>
          <w:szCs w:val="24"/>
          <w:u w:val="single"/>
        </w:rPr>
      </w:pPr>
      <w:r>
        <w:rPr>
          <w:b/>
          <w:bCs/>
          <w:noProof/>
          <w:sz w:val="24"/>
          <w:szCs w:val="24"/>
          <w:u w:val="single"/>
        </w:rPr>
        <w:t xml:space="preserve">A - </w:t>
      </w:r>
      <w:r>
        <w:rPr>
          <w:b/>
          <w:noProof/>
          <w:sz w:val="24"/>
          <w:szCs w:val="24"/>
          <w:u w:val="single"/>
        </w:rPr>
        <w:t>Results of the analysis of energy cost drivers at EU level</w:t>
      </w:r>
    </w:p>
    <w:p>
      <w:pPr>
        <w:rPr>
          <w:noProof/>
          <w:sz w:val="24"/>
          <w:szCs w:val="24"/>
        </w:rPr>
      </w:pPr>
      <w:r>
        <w:rPr>
          <w:noProof/>
          <w:sz w:val="24"/>
          <w:szCs w:val="24"/>
        </w:rPr>
        <w:t>The aggregate energy costs of all the manufacturing sectors fell by 13% between 2010 and 2017.</w:t>
      </w:r>
    </w:p>
    <w:p>
      <w:pPr>
        <w:rPr>
          <w:noProof/>
          <w:sz w:val="24"/>
          <w:szCs w:val="24"/>
        </w:rPr>
      </w:pPr>
      <w:r>
        <w:rPr>
          <w:noProof/>
          <w:sz w:val="24"/>
          <w:szCs w:val="24"/>
        </w:rPr>
        <w:t>This was the result of the following combined effects:</w:t>
      </w:r>
    </w:p>
    <w:p>
      <w:pPr>
        <w:pStyle w:val="ListParagraph"/>
        <w:numPr>
          <w:ilvl w:val="0"/>
          <w:numId w:val="34"/>
        </w:numPr>
        <w:spacing w:after="0" w:line="300" w:lineRule="atLeast"/>
        <w:ind w:left="709"/>
        <w:jc w:val="left"/>
        <w:rPr>
          <w:noProof/>
          <w:sz w:val="24"/>
          <w:szCs w:val="24"/>
        </w:rPr>
      </w:pPr>
      <w:r>
        <w:rPr>
          <w:noProof/>
          <w:sz w:val="24"/>
          <w:szCs w:val="24"/>
        </w:rPr>
        <w:t xml:space="preserve">lower </w:t>
      </w:r>
      <w:r>
        <w:rPr>
          <w:b/>
          <w:noProof/>
          <w:sz w:val="24"/>
          <w:szCs w:val="24"/>
        </w:rPr>
        <w:t>energy-intensity</w:t>
      </w:r>
      <w:r>
        <w:rPr>
          <w:noProof/>
          <w:sz w:val="24"/>
          <w:szCs w:val="24"/>
        </w:rPr>
        <w:t xml:space="preserve"> contributed to energy savings that reduced energy costs by 15%.</w:t>
      </w:r>
    </w:p>
    <w:p>
      <w:pPr>
        <w:pStyle w:val="ListParagraph"/>
        <w:numPr>
          <w:ilvl w:val="0"/>
          <w:numId w:val="34"/>
        </w:numPr>
        <w:spacing w:after="0" w:line="300" w:lineRule="atLeast"/>
        <w:ind w:left="709"/>
        <w:jc w:val="left"/>
        <w:rPr>
          <w:noProof/>
          <w:sz w:val="24"/>
          <w:szCs w:val="24"/>
        </w:rPr>
      </w:pPr>
      <w:r>
        <w:rPr>
          <w:b/>
          <w:noProof/>
          <w:sz w:val="24"/>
          <w:szCs w:val="24"/>
        </w:rPr>
        <w:t>real output changes</w:t>
      </w:r>
      <w:r>
        <w:rPr>
          <w:noProof/>
          <w:sz w:val="24"/>
          <w:szCs w:val="24"/>
        </w:rPr>
        <w:t xml:space="preserve"> contributed to an increase of 11% in energy costs;</w:t>
      </w:r>
    </w:p>
    <w:p>
      <w:pPr>
        <w:pStyle w:val="ListParagraph"/>
        <w:numPr>
          <w:ilvl w:val="0"/>
          <w:numId w:val="34"/>
        </w:numPr>
        <w:spacing w:after="0" w:line="300" w:lineRule="atLeast"/>
        <w:ind w:left="709"/>
        <w:jc w:val="left"/>
        <w:rPr>
          <w:noProof/>
          <w:sz w:val="24"/>
          <w:szCs w:val="24"/>
        </w:rPr>
      </w:pPr>
      <w:r>
        <w:rPr>
          <w:noProof/>
          <w:sz w:val="24"/>
          <w:szCs w:val="24"/>
        </w:rPr>
        <w:t xml:space="preserve">energy </w:t>
      </w:r>
      <w:r>
        <w:rPr>
          <w:b/>
          <w:noProof/>
          <w:sz w:val="24"/>
          <w:szCs w:val="24"/>
        </w:rPr>
        <w:t>price increases</w:t>
      </w:r>
      <w:r>
        <w:rPr>
          <w:noProof/>
          <w:sz w:val="24"/>
          <w:szCs w:val="24"/>
        </w:rPr>
        <w:t xml:space="preserve"> contributed to an increase of 2% in energy costs; </w:t>
      </w:r>
    </w:p>
    <w:p>
      <w:pPr>
        <w:pStyle w:val="ListParagraph"/>
        <w:numPr>
          <w:ilvl w:val="0"/>
          <w:numId w:val="34"/>
        </w:numPr>
        <w:spacing w:after="0" w:line="300" w:lineRule="atLeast"/>
        <w:ind w:left="709"/>
        <w:jc w:val="left"/>
        <w:rPr>
          <w:noProof/>
          <w:sz w:val="24"/>
          <w:szCs w:val="24"/>
        </w:rPr>
      </w:pPr>
      <w:r>
        <w:rPr>
          <w:noProof/>
          <w:sz w:val="24"/>
          <w:szCs w:val="24"/>
        </w:rPr>
        <w:t xml:space="preserve">Still, the </w:t>
      </w:r>
      <w:r>
        <w:rPr>
          <w:b/>
          <w:noProof/>
          <w:sz w:val="24"/>
          <w:szCs w:val="24"/>
        </w:rPr>
        <w:t>residual</w:t>
      </w:r>
      <w:r>
        <w:rPr>
          <w:noProof/>
          <w:sz w:val="24"/>
          <w:szCs w:val="24"/>
        </w:rPr>
        <w:t xml:space="preserve"> (unidentifiable factors) was responsible for driving the energy costs down by an additional 11% </w:t>
      </w:r>
    </w:p>
    <w:p>
      <w:pPr>
        <w:pStyle w:val="ListParagraph"/>
        <w:spacing w:after="0" w:line="300" w:lineRule="atLeast"/>
        <w:ind w:left="1346"/>
        <w:jc w:val="left"/>
        <w:rPr>
          <w:noProof/>
          <w:highlight w:val="yellow"/>
        </w:rPr>
      </w:pPr>
    </w:p>
    <w:p>
      <w:pPr>
        <w:rPr>
          <w:b/>
          <w:noProof/>
          <w:highlight w:val="yellow"/>
        </w:rPr>
      </w:pPr>
      <w:r>
        <w:rPr>
          <w:noProof/>
          <w:highlight w:val="yellow"/>
          <w:lang w:eastAsia="en-GB"/>
        </w:rPr>
        <w:drawing>
          <wp:inline distT="0" distB="0" distL="0" distR="0">
            <wp:extent cx="6485350" cy="28441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6522336" cy="2860398"/>
                    </a:xfrm>
                    <a:prstGeom prst="rect">
                      <a:avLst/>
                    </a:prstGeom>
                    <a:noFill/>
                    <a:ln>
                      <a:noFill/>
                    </a:ln>
                  </pic:spPr>
                </pic:pic>
              </a:graphicData>
            </a:graphic>
          </wp:inline>
        </w:drawing>
      </w:r>
    </w:p>
    <w:p>
      <w:pPr>
        <w:pStyle w:val="Caption"/>
      </w:pPr>
      <w:bookmarkStart w:id="179" w:name="_Toc525807871"/>
      <w:bookmarkStart w:id="180" w:name="_Toc526433485"/>
      <w:bookmarkStart w:id="181" w:name="_Toc526433763"/>
      <w:bookmarkStart w:id="182" w:name="_Toc526435705"/>
      <w:bookmarkStart w:id="183" w:name="_Toc530739795"/>
      <w:bookmarkStart w:id="184" w:name="_Toc531366170"/>
      <w:bookmarkStart w:id="185" w:name="_Toc50494142"/>
      <w:bookmarkStart w:id="186" w:name="_Toc52396919"/>
      <w:r>
        <w:t xml:space="preserve">Figure </w:t>
      </w:r>
      <w:r>
        <w:fldChar w:fldCharType="begin"/>
      </w:r>
      <w:r>
        <w:instrText xml:space="preserve"> SEQ Figure \* ARABIC </w:instrText>
      </w:r>
      <w:r>
        <w:fldChar w:fldCharType="separate"/>
      </w:r>
      <w:r>
        <w:t>147</w:t>
      </w:r>
      <w:r>
        <w:fldChar w:fldCharType="end"/>
      </w:r>
      <w:r>
        <w:t xml:space="preserve"> - Drivers of energy costs of the total of sectors</w:t>
      </w:r>
      <w:bookmarkEnd w:id="179"/>
      <w:bookmarkEnd w:id="180"/>
      <w:bookmarkEnd w:id="181"/>
      <w:bookmarkEnd w:id="182"/>
      <w:bookmarkEnd w:id="183"/>
      <w:bookmarkEnd w:id="184"/>
      <w:bookmarkEnd w:id="185"/>
      <w:bookmarkEnd w:id="186"/>
      <w:r>
        <w:t xml:space="preserve"> </w:t>
      </w:r>
    </w:p>
    <w:p>
      <w:pPr>
        <w:pStyle w:val="Sources"/>
        <w:jc w:val="left"/>
        <w:rPr>
          <w:noProof/>
          <w:lang w:val="en-US"/>
        </w:rPr>
      </w:pPr>
      <w:r>
        <w:rPr>
          <w:noProof/>
          <w:lang w:val="en-US"/>
        </w:rPr>
        <w:t>Source: Trinomics et altri (2020)</w:t>
      </w:r>
    </w:p>
    <w:p>
      <w:pPr>
        <w:pStyle w:val="Sources"/>
        <w:rPr>
          <w:b/>
          <w:noProof/>
          <w:u w:val="single"/>
          <w:lang w:val="en-US"/>
        </w:rPr>
      </w:pPr>
    </w:p>
    <w:p>
      <w:pPr>
        <w:spacing w:line="300" w:lineRule="atLeast"/>
        <w:jc w:val="left"/>
        <w:rPr>
          <w:b/>
          <w:noProof/>
          <w:sz w:val="24"/>
          <w:szCs w:val="24"/>
          <w:lang w:eastAsia="nl-NL"/>
        </w:rPr>
      </w:pPr>
      <w:r>
        <w:rPr>
          <w:b/>
          <w:noProof/>
          <w:sz w:val="24"/>
          <w:szCs w:val="24"/>
          <w:lang w:eastAsia="nl-NL"/>
        </w:rPr>
        <w:t>Real energy intensity effects (-15%)</w:t>
      </w:r>
    </w:p>
    <w:p>
      <w:pPr>
        <w:spacing w:after="0" w:line="300" w:lineRule="atLeast"/>
        <w:rPr>
          <w:rFonts w:eastAsia="Trebuchet MS" w:cs="Trebuchet MS"/>
          <w:noProof/>
          <w:sz w:val="24"/>
          <w:szCs w:val="24"/>
        </w:rPr>
      </w:pPr>
      <w:r>
        <w:rPr>
          <w:rFonts w:eastAsia="Trebuchet MS" w:cs="Trebuchet MS"/>
          <w:noProof/>
          <w:sz w:val="24"/>
          <w:szCs w:val="24"/>
        </w:rPr>
        <w:t xml:space="preserve">For aggregated industrial sectors in the EU27, </w:t>
      </w:r>
      <w:r>
        <w:rPr>
          <w:rFonts w:eastAsia="Trebuchet MS" w:cs="Trebuchet MS"/>
          <w:b/>
          <w:noProof/>
          <w:sz w:val="24"/>
          <w:szCs w:val="24"/>
        </w:rPr>
        <w:t>an improvement in energy intensity</w:t>
      </w:r>
      <w:r>
        <w:rPr>
          <w:rFonts w:eastAsia="Trebuchet MS" w:cs="Trebuchet MS"/>
          <w:b/>
          <w:bCs/>
          <w:noProof/>
          <w:sz w:val="24"/>
          <w:szCs w:val="24"/>
        </w:rPr>
        <w:t xml:space="preserve"> contributed to a reduction in energy costs</w:t>
      </w:r>
      <w:r>
        <w:rPr>
          <w:rFonts w:eastAsia="Trebuchet MS" w:cs="Trebuchet MS"/>
          <w:noProof/>
          <w:sz w:val="24"/>
          <w:szCs w:val="24"/>
        </w:rPr>
        <w:t xml:space="preserve"> between 2010 and 2017. This trend is reflected in all but two industry sectors (</w:t>
      </w:r>
      <w:r>
        <w:rPr>
          <w:noProof/>
          <w:sz w:val="24"/>
          <w:szCs w:val="24"/>
          <w:lang w:eastAsia="nl-NL"/>
        </w:rPr>
        <w:t>coke &amp; petroleum and wood products</w:t>
      </w:r>
      <w:r>
        <w:rPr>
          <w:b/>
          <w:bCs/>
          <w:noProof/>
          <w:sz w:val="24"/>
          <w:szCs w:val="24"/>
          <w:lang w:eastAsia="nl-NL"/>
        </w:rPr>
        <w:t>)</w:t>
      </w:r>
      <w:r>
        <w:rPr>
          <w:rFonts w:eastAsia="Trebuchet MS" w:cs="Trebuchet MS"/>
          <w:noProof/>
          <w:sz w:val="24"/>
          <w:szCs w:val="24"/>
        </w:rPr>
        <w:t>.</w:t>
      </w:r>
    </w:p>
    <w:p>
      <w:pPr>
        <w:spacing w:after="0" w:line="300" w:lineRule="atLeast"/>
        <w:jc w:val="left"/>
        <w:rPr>
          <w:rFonts w:eastAsia="Trebuchet MS" w:cs="Trebuchet MS"/>
          <w:noProof/>
          <w:sz w:val="24"/>
          <w:szCs w:val="24"/>
        </w:rPr>
      </w:pPr>
    </w:p>
    <w:p>
      <w:pPr>
        <w:spacing w:after="0" w:line="300" w:lineRule="atLeast"/>
        <w:rPr>
          <w:noProof/>
          <w:sz w:val="24"/>
          <w:szCs w:val="24"/>
        </w:rPr>
      </w:pPr>
      <w:r>
        <w:rPr>
          <w:noProof/>
          <w:sz w:val="24"/>
          <w:szCs w:val="24"/>
        </w:rPr>
        <w:t xml:space="preserve">The </w:t>
      </w:r>
      <w:r>
        <w:rPr>
          <w:b/>
          <w:bCs/>
          <w:noProof/>
          <w:sz w:val="24"/>
          <w:szCs w:val="24"/>
        </w:rPr>
        <w:t>largest reduction in energy intensity was observed in the less energy-intensive sectors</w:t>
      </w:r>
      <w:r>
        <w:rPr>
          <w:noProof/>
          <w:sz w:val="24"/>
          <w:szCs w:val="24"/>
        </w:rPr>
        <w:t>. This reduction in energy intensity typically happened in sectors where output had increased. There are two plausible explanations for this. First, the reduction in energy intensity came through economies of scale. Second, fast output growth might have also led to investments in new, more efficient, industrial equipment and factories.</w:t>
      </w:r>
    </w:p>
    <w:p>
      <w:pPr>
        <w:spacing w:after="0" w:line="300" w:lineRule="atLeast"/>
        <w:rPr>
          <w:rFonts w:eastAsia="Trebuchet MS" w:cs="Trebuchet MS"/>
          <w:noProof/>
          <w:sz w:val="24"/>
          <w:szCs w:val="24"/>
        </w:rPr>
      </w:pPr>
    </w:p>
    <w:p>
      <w:pPr>
        <w:spacing w:after="0" w:line="300" w:lineRule="atLeast"/>
        <w:rPr>
          <w:noProof/>
          <w:sz w:val="24"/>
          <w:szCs w:val="24"/>
        </w:rPr>
      </w:pPr>
      <w:r>
        <w:rPr>
          <w:noProof/>
          <w:sz w:val="24"/>
          <w:szCs w:val="24"/>
        </w:rPr>
        <w:t xml:space="preserve">The </w:t>
      </w:r>
      <w:r>
        <w:rPr>
          <w:b/>
          <w:noProof/>
          <w:sz w:val="24"/>
          <w:szCs w:val="24"/>
        </w:rPr>
        <w:t>most energy-intensive industries</w:t>
      </w:r>
      <w:r>
        <w:rPr>
          <w:noProof/>
          <w:sz w:val="24"/>
          <w:szCs w:val="24"/>
        </w:rPr>
        <w:t xml:space="preserve"> saw much smaller improvements in energy intensity over the period. This could be because these industries have already invested heavily in energy efficiency to maintain international competitiveness.</w:t>
      </w:r>
    </w:p>
    <w:p>
      <w:pPr>
        <w:spacing w:after="0" w:line="300" w:lineRule="atLeast"/>
        <w:rPr>
          <w:noProof/>
          <w:sz w:val="24"/>
          <w:szCs w:val="24"/>
        </w:rPr>
      </w:pPr>
    </w:p>
    <w:p>
      <w:pPr>
        <w:spacing w:after="0" w:line="300" w:lineRule="atLeast"/>
        <w:rPr>
          <w:b/>
          <w:bCs/>
          <w:noProof/>
          <w:sz w:val="24"/>
          <w:szCs w:val="24"/>
        </w:rPr>
      </w:pPr>
      <w:r>
        <w:rPr>
          <w:noProof/>
          <w:sz w:val="24"/>
          <w:szCs w:val="24"/>
        </w:rPr>
        <w:t xml:space="preserve">The energy intensity effect was analysed further to see the extent to which </w:t>
      </w:r>
      <w:r>
        <w:rPr>
          <w:b/>
          <w:noProof/>
          <w:sz w:val="24"/>
          <w:szCs w:val="24"/>
        </w:rPr>
        <w:t>industry structural change</w:t>
      </w:r>
      <w:r>
        <w:rPr>
          <w:noProof/>
          <w:sz w:val="24"/>
          <w:szCs w:val="24"/>
        </w:rPr>
        <w:t xml:space="preserve"> or </w:t>
      </w:r>
      <w:r>
        <w:rPr>
          <w:b/>
          <w:bCs/>
          <w:noProof/>
          <w:sz w:val="24"/>
          <w:szCs w:val="24"/>
        </w:rPr>
        <w:t>fuel switching</w:t>
      </w:r>
      <w:r>
        <w:rPr>
          <w:noProof/>
          <w:sz w:val="24"/>
          <w:szCs w:val="24"/>
        </w:rPr>
        <w:t xml:space="preserve"> contributed the improvements in energy intensity observed over the period. Overall, neither structural change nor fuel switch was found to be a substantial driver of the energy intensity effect. This suggests that </w:t>
      </w:r>
      <w:r>
        <w:rPr>
          <w:b/>
          <w:bCs/>
          <w:noProof/>
          <w:sz w:val="24"/>
          <w:szCs w:val="24"/>
        </w:rPr>
        <w:t>real energy efficiency improvements drove the reduction in energy intensity over the period.</w:t>
      </w:r>
    </w:p>
    <w:p>
      <w:pPr>
        <w:spacing w:after="0" w:line="300" w:lineRule="atLeast"/>
        <w:rPr>
          <w:noProof/>
          <w:sz w:val="24"/>
          <w:szCs w:val="24"/>
        </w:rPr>
      </w:pPr>
    </w:p>
    <w:p>
      <w:pPr>
        <w:spacing w:after="0" w:line="300" w:lineRule="atLeast"/>
        <w:rPr>
          <w:noProof/>
          <w:sz w:val="24"/>
          <w:szCs w:val="24"/>
          <w:lang w:eastAsia="nl-NL"/>
        </w:rPr>
      </w:pPr>
      <w:r>
        <w:rPr>
          <w:noProof/>
          <w:sz w:val="24"/>
          <w:szCs w:val="24"/>
          <w:lang w:eastAsia="nl-NL"/>
        </w:rPr>
        <w:t>As in the EU27, industrial sectors in the US, and China have generally experienced improvements in energy intensity that have driven down energy costs over time.</w:t>
      </w:r>
    </w:p>
    <w:p>
      <w:pPr>
        <w:pStyle w:val="Sources"/>
        <w:rPr>
          <w:b/>
          <w:noProof/>
          <w:sz w:val="24"/>
          <w:szCs w:val="24"/>
          <w:u w:val="single"/>
          <w:lang w:val="en-US" w:eastAsia="nl-NL"/>
        </w:rPr>
      </w:pPr>
    </w:p>
    <w:p>
      <w:pPr>
        <w:pStyle w:val="Sources"/>
        <w:rPr>
          <w:b/>
          <w:noProof/>
          <w:lang w:val="en-US"/>
        </w:rPr>
      </w:pPr>
      <w:r>
        <w:rPr>
          <w:b/>
          <w:noProof/>
          <w:sz w:val="24"/>
          <w:szCs w:val="24"/>
          <w:lang w:val="en-US" w:eastAsia="nl-NL"/>
        </w:rPr>
        <w:t>Real output effect (+11%)</w:t>
      </w:r>
    </w:p>
    <w:p>
      <w:pPr>
        <w:spacing w:after="0" w:line="300" w:lineRule="atLeast"/>
        <w:rPr>
          <w:rFonts w:eastAsia="Trebuchet MS" w:cs="Trebuchet MS"/>
          <w:noProof/>
          <w:sz w:val="24"/>
          <w:szCs w:val="24"/>
        </w:rPr>
      </w:pPr>
      <w:r>
        <w:rPr>
          <w:rFonts w:eastAsia="Trebuchet MS" w:cs="Trebuchet MS"/>
          <w:noProof/>
          <w:sz w:val="24"/>
          <w:szCs w:val="24"/>
        </w:rPr>
        <w:t>Output increased in most EU27 sectors contributing to increasing industrial energy use and costs (in absolute terms). Energy-intensive sectors had the lowest output growth, while sectors with lower energy intensity generally saw higher output growth.</w:t>
      </w:r>
    </w:p>
    <w:p>
      <w:pPr>
        <w:spacing w:after="0" w:line="300" w:lineRule="atLeast"/>
        <w:rPr>
          <w:rFonts w:eastAsia="Trebuchet MS" w:cs="Trebuchet MS"/>
          <w:noProof/>
          <w:sz w:val="24"/>
          <w:szCs w:val="24"/>
        </w:rPr>
      </w:pPr>
    </w:p>
    <w:p>
      <w:pPr>
        <w:spacing w:after="0" w:line="300" w:lineRule="atLeast"/>
        <w:rPr>
          <w:noProof/>
          <w:sz w:val="24"/>
          <w:szCs w:val="24"/>
        </w:rPr>
      </w:pPr>
      <w:r>
        <w:rPr>
          <w:noProof/>
          <w:sz w:val="24"/>
          <w:szCs w:val="24"/>
        </w:rPr>
        <w:t xml:space="preserve">For most industry sectors, output growth was driven by </w:t>
      </w:r>
      <w:r>
        <w:rPr>
          <w:b/>
          <w:bCs/>
          <w:noProof/>
          <w:sz w:val="24"/>
          <w:szCs w:val="24"/>
        </w:rPr>
        <w:t>growth in</w:t>
      </w:r>
      <w:r>
        <w:rPr>
          <w:noProof/>
          <w:sz w:val="24"/>
          <w:szCs w:val="24"/>
        </w:rPr>
        <w:t xml:space="preserve"> </w:t>
      </w:r>
      <w:r>
        <w:rPr>
          <w:b/>
          <w:bCs/>
          <w:noProof/>
          <w:sz w:val="24"/>
          <w:szCs w:val="24"/>
        </w:rPr>
        <w:t>demand within the EU27 (domestic demand)</w:t>
      </w:r>
      <w:r>
        <w:rPr>
          <w:noProof/>
          <w:sz w:val="24"/>
          <w:szCs w:val="24"/>
        </w:rPr>
        <w:t xml:space="preserve">, implying that the EU’s international competitiveness in manufacturing has remained relatively unchanged over the period. </w:t>
      </w:r>
    </w:p>
    <w:p>
      <w:pPr>
        <w:spacing w:after="0" w:line="300" w:lineRule="atLeast"/>
        <w:rPr>
          <w:noProof/>
          <w:sz w:val="24"/>
          <w:szCs w:val="24"/>
        </w:rPr>
      </w:pPr>
    </w:p>
    <w:p>
      <w:pPr>
        <w:spacing w:after="0" w:line="300" w:lineRule="atLeast"/>
        <w:rPr>
          <w:noProof/>
          <w:sz w:val="24"/>
          <w:szCs w:val="24"/>
          <w:lang w:eastAsia="nl-NL"/>
        </w:rPr>
      </w:pPr>
      <w:r>
        <w:rPr>
          <w:noProof/>
          <w:sz w:val="24"/>
          <w:szCs w:val="24"/>
        </w:rPr>
        <w:t xml:space="preserve">A few industry sectors saw an improvement due to </w:t>
      </w:r>
      <w:r>
        <w:rPr>
          <w:b/>
          <w:noProof/>
          <w:sz w:val="24"/>
          <w:szCs w:val="24"/>
        </w:rPr>
        <w:t>external demand</w:t>
      </w:r>
      <w:r>
        <w:rPr>
          <w:noProof/>
          <w:sz w:val="24"/>
          <w:szCs w:val="24"/>
        </w:rPr>
        <w:t xml:space="preserve"> that contributed to the increase in sector output i) </w:t>
      </w:r>
      <w:r>
        <w:rPr>
          <w:bCs/>
          <w:i/>
          <w:noProof/>
          <w:sz w:val="24"/>
          <w:szCs w:val="24"/>
        </w:rPr>
        <w:t>Pharmaceuticals</w:t>
      </w:r>
      <w:r>
        <w:rPr>
          <w:i/>
          <w:noProof/>
          <w:sz w:val="24"/>
          <w:szCs w:val="24"/>
        </w:rPr>
        <w:t xml:space="preserve">, </w:t>
      </w:r>
      <w:r>
        <w:rPr>
          <w:noProof/>
          <w:sz w:val="24"/>
          <w:szCs w:val="24"/>
        </w:rPr>
        <w:t xml:space="preserve">where net exports grew substantially over the period and ii) </w:t>
      </w:r>
      <w:r>
        <w:rPr>
          <w:bCs/>
          <w:i/>
          <w:noProof/>
          <w:sz w:val="24"/>
          <w:szCs w:val="24"/>
          <w:lang w:eastAsia="nl-NL"/>
        </w:rPr>
        <w:t>Motor vehicles and transport equipment</w:t>
      </w:r>
      <w:r>
        <w:rPr>
          <w:noProof/>
          <w:sz w:val="24"/>
          <w:szCs w:val="24"/>
          <w:lang w:eastAsia="nl-NL"/>
        </w:rPr>
        <w:t xml:space="preserve">, where exports growth outweighed import growth. Conversely, a few sectors saw a reduction in the net external trade such as </w:t>
      </w:r>
      <w:r>
        <w:rPr>
          <w:bCs/>
          <w:i/>
          <w:noProof/>
          <w:sz w:val="24"/>
          <w:szCs w:val="24"/>
        </w:rPr>
        <w:t>computers and electronics</w:t>
      </w:r>
      <w:r>
        <w:rPr>
          <w:noProof/>
          <w:sz w:val="24"/>
          <w:szCs w:val="24"/>
        </w:rPr>
        <w:t xml:space="preserve"> and </w:t>
      </w:r>
      <w:r>
        <w:rPr>
          <w:bCs/>
          <w:i/>
          <w:noProof/>
          <w:sz w:val="24"/>
          <w:szCs w:val="24"/>
        </w:rPr>
        <w:t>textiles</w:t>
      </w:r>
      <w:r>
        <w:rPr>
          <w:b/>
          <w:bCs/>
          <w:noProof/>
          <w:sz w:val="24"/>
          <w:szCs w:val="24"/>
        </w:rPr>
        <w:t xml:space="preserve"> </w:t>
      </w:r>
      <w:r>
        <w:rPr>
          <w:noProof/>
          <w:sz w:val="24"/>
          <w:szCs w:val="24"/>
        </w:rPr>
        <w:t>where imports grew faster than both exports and domestic demand, suggesting a loss of EU competitiveness despite increasing domestic demand and export growth.</w:t>
      </w:r>
    </w:p>
    <w:p>
      <w:pPr>
        <w:spacing w:after="0" w:line="300" w:lineRule="atLeast"/>
        <w:rPr>
          <w:noProof/>
          <w:sz w:val="24"/>
          <w:szCs w:val="24"/>
          <w:lang w:eastAsia="nl-NL"/>
        </w:rPr>
      </w:pPr>
    </w:p>
    <w:p>
      <w:pPr>
        <w:spacing w:after="0" w:line="300" w:lineRule="atLeast"/>
        <w:rPr>
          <w:noProof/>
          <w:sz w:val="24"/>
          <w:szCs w:val="24"/>
          <w:lang w:eastAsia="nl-NL"/>
        </w:rPr>
      </w:pPr>
      <w:r>
        <w:rPr>
          <w:noProof/>
          <w:sz w:val="24"/>
          <w:szCs w:val="24"/>
          <w:lang w:eastAsia="nl-NL"/>
        </w:rPr>
        <w:t xml:space="preserve">Sectoral </w:t>
      </w:r>
      <w:r>
        <w:rPr>
          <w:bCs/>
          <w:noProof/>
          <w:sz w:val="24"/>
          <w:szCs w:val="24"/>
          <w:lang w:eastAsia="nl-NL"/>
        </w:rPr>
        <w:t>output has generally increased</w:t>
      </w:r>
      <w:r>
        <w:rPr>
          <w:noProof/>
          <w:sz w:val="24"/>
          <w:szCs w:val="24"/>
          <w:lang w:eastAsia="nl-NL"/>
        </w:rPr>
        <w:t xml:space="preserve"> over time in the </w:t>
      </w:r>
      <w:r>
        <w:rPr>
          <w:b/>
          <w:noProof/>
          <w:sz w:val="24"/>
          <w:szCs w:val="24"/>
          <w:lang w:eastAsia="nl-NL"/>
        </w:rPr>
        <w:t>EU’s main trading partners</w:t>
      </w:r>
      <w:r>
        <w:rPr>
          <w:noProof/>
          <w:sz w:val="24"/>
          <w:szCs w:val="24"/>
          <w:lang w:eastAsia="nl-NL"/>
        </w:rPr>
        <w:t xml:space="preserve">, driving up energy demand and therefore costs with the exception of the </w:t>
      </w:r>
      <w:r>
        <w:rPr>
          <w:bCs/>
          <w:noProof/>
          <w:sz w:val="24"/>
          <w:szCs w:val="24"/>
          <w:lang w:eastAsia="nl-NL"/>
        </w:rPr>
        <w:t>UK where industrial output has contracted since 2010</w:t>
      </w:r>
      <w:r>
        <w:rPr>
          <w:noProof/>
          <w:sz w:val="24"/>
          <w:szCs w:val="24"/>
          <w:lang w:eastAsia="nl-NL"/>
        </w:rPr>
        <w:t xml:space="preserve">  </w:t>
      </w:r>
    </w:p>
    <w:p>
      <w:pPr>
        <w:spacing w:after="0" w:line="300" w:lineRule="atLeast"/>
        <w:jc w:val="left"/>
        <w:rPr>
          <w:noProof/>
          <w:sz w:val="24"/>
          <w:szCs w:val="24"/>
          <w:lang w:eastAsia="nl-NL"/>
        </w:rPr>
      </w:pPr>
    </w:p>
    <w:p>
      <w:pPr>
        <w:spacing w:after="0" w:line="300" w:lineRule="atLeast"/>
        <w:rPr>
          <w:noProof/>
          <w:sz w:val="24"/>
          <w:szCs w:val="24"/>
          <w:lang w:eastAsia="nl-NL"/>
        </w:rPr>
      </w:pPr>
    </w:p>
    <w:p>
      <w:pPr>
        <w:spacing w:line="300" w:lineRule="atLeast"/>
        <w:rPr>
          <w:b/>
          <w:noProof/>
          <w:sz w:val="24"/>
          <w:szCs w:val="24"/>
          <w:lang w:eastAsia="nl-NL"/>
        </w:rPr>
      </w:pPr>
      <w:r>
        <w:rPr>
          <w:b/>
          <w:noProof/>
          <w:sz w:val="24"/>
          <w:szCs w:val="24"/>
          <w:lang w:eastAsia="nl-NL"/>
        </w:rPr>
        <w:t xml:space="preserve">Fuel price effects (+2%) </w:t>
      </w:r>
    </w:p>
    <w:p>
      <w:pPr>
        <w:spacing w:after="0" w:line="300" w:lineRule="atLeast"/>
        <w:rPr>
          <w:rFonts w:eastAsia="Trebuchet MS" w:cs="Trebuchet MS"/>
          <w:noProof/>
          <w:sz w:val="24"/>
          <w:szCs w:val="24"/>
        </w:rPr>
      </w:pPr>
      <w:r>
        <w:rPr>
          <w:rFonts w:eastAsia="Trebuchet MS" w:cs="Trebuchet MS"/>
          <w:noProof/>
          <w:sz w:val="24"/>
          <w:szCs w:val="24"/>
        </w:rPr>
        <w:t xml:space="preserve">In most EU27 industry sectors, </w:t>
      </w:r>
      <w:r>
        <w:rPr>
          <w:rFonts w:eastAsia="Trebuchet MS" w:cs="Trebuchet MS"/>
          <w:b/>
          <w:bCs/>
          <w:noProof/>
          <w:sz w:val="24"/>
          <w:szCs w:val="24"/>
        </w:rPr>
        <w:t>increases in average energy prices</w:t>
      </w:r>
      <w:r>
        <w:rPr>
          <w:rFonts w:eastAsia="Trebuchet MS" w:cs="Trebuchet MS"/>
          <w:noProof/>
          <w:sz w:val="24"/>
          <w:szCs w:val="24"/>
        </w:rPr>
        <w:t xml:space="preserve"> have contributed to an increase in energy costs over the period 2010-2017. This is </w:t>
      </w:r>
      <w:r>
        <w:rPr>
          <w:rFonts w:eastAsia="Trebuchet MS" w:cs="Trebuchet MS"/>
          <w:b/>
          <w:bCs/>
          <w:noProof/>
          <w:sz w:val="24"/>
          <w:szCs w:val="24"/>
        </w:rPr>
        <w:t>largely driven by increases in industrial electricity prices</w:t>
      </w:r>
      <w:r>
        <w:rPr>
          <w:rFonts w:eastAsia="Trebuchet MS" w:cs="Trebuchet MS"/>
          <w:noProof/>
          <w:sz w:val="24"/>
          <w:szCs w:val="24"/>
        </w:rPr>
        <w:t>.</w:t>
      </w:r>
    </w:p>
    <w:p>
      <w:pPr>
        <w:spacing w:after="0" w:line="300" w:lineRule="atLeast"/>
        <w:rPr>
          <w:noProof/>
          <w:sz w:val="24"/>
          <w:szCs w:val="24"/>
        </w:rPr>
      </w:pPr>
    </w:p>
    <w:p>
      <w:pPr>
        <w:spacing w:after="0" w:line="300" w:lineRule="atLeast"/>
        <w:rPr>
          <w:rFonts w:eastAsia="Trebuchet MS" w:cs="Trebuchet MS"/>
          <w:noProof/>
          <w:sz w:val="24"/>
          <w:szCs w:val="24"/>
        </w:rPr>
      </w:pPr>
      <w:r>
        <w:rPr>
          <w:noProof/>
          <w:sz w:val="24"/>
          <w:szCs w:val="24"/>
        </w:rPr>
        <w:t xml:space="preserve">Sectors where </w:t>
      </w:r>
      <w:r>
        <w:rPr>
          <w:bCs/>
          <w:noProof/>
          <w:sz w:val="24"/>
          <w:szCs w:val="24"/>
        </w:rPr>
        <w:t>oil, coal or gas</w:t>
      </w:r>
      <w:r>
        <w:rPr>
          <w:noProof/>
          <w:sz w:val="24"/>
          <w:szCs w:val="24"/>
        </w:rPr>
        <w:t xml:space="preserve"> make </w:t>
      </w:r>
      <w:r>
        <w:rPr>
          <w:rFonts w:eastAsia="Trebuchet MS" w:cs="Trebuchet MS"/>
          <w:noProof/>
          <w:sz w:val="24"/>
          <w:szCs w:val="24"/>
        </w:rPr>
        <w:t xml:space="preserve">up a larger share of the energy mix have seen smaller impact of energy prices on energy costs, as prices have fallen for these fuels over the period. </w:t>
      </w:r>
    </w:p>
    <w:p>
      <w:pPr>
        <w:spacing w:after="0" w:line="300" w:lineRule="atLeast"/>
        <w:rPr>
          <w:rFonts w:eastAsia="Trebuchet MS" w:cs="Trebuchet MS"/>
          <w:noProof/>
          <w:sz w:val="24"/>
          <w:szCs w:val="24"/>
        </w:rPr>
      </w:pPr>
    </w:p>
    <w:p>
      <w:pPr>
        <w:spacing w:after="0" w:line="300" w:lineRule="atLeast"/>
        <w:rPr>
          <w:rFonts w:eastAsia="Trebuchet MS" w:cs="Trebuchet MS"/>
          <w:noProof/>
          <w:sz w:val="24"/>
          <w:szCs w:val="24"/>
        </w:rPr>
      </w:pPr>
      <w:r>
        <w:rPr>
          <w:rFonts w:eastAsia="Trebuchet MS" w:cs="Trebuchet MS"/>
          <w:noProof/>
          <w:sz w:val="24"/>
          <w:szCs w:val="24"/>
        </w:rPr>
        <w:t>Within the EU27, large relative increases in output are evident in countries where the average prices has decreased and large decrease in output are evident in countries where the average price has increased between 2010-2017. This suggests that energy prices impacted output growth for some industry sectors.</w:t>
      </w:r>
    </w:p>
    <w:p>
      <w:pPr>
        <w:spacing w:after="0" w:line="300" w:lineRule="atLeast"/>
        <w:jc w:val="left"/>
        <w:rPr>
          <w:rFonts w:eastAsia="Trebuchet MS" w:cs="Trebuchet MS"/>
          <w:noProof/>
          <w:sz w:val="24"/>
          <w:szCs w:val="24"/>
        </w:rPr>
      </w:pPr>
    </w:p>
    <w:p>
      <w:pPr>
        <w:spacing w:after="0" w:line="300" w:lineRule="atLeast"/>
        <w:jc w:val="left"/>
        <w:rPr>
          <w:noProof/>
          <w:sz w:val="24"/>
          <w:szCs w:val="24"/>
          <w:lang w:eastAsia="nl-NL"/>
        </w:rPr>
      </w:pPr>
      <w:r>
        <w:rPr>
          <w:noProof/>
          <w:sz w:val="24"/>
          <w:szCs w:val="24"/>
          <w:lang w:eastAsia="nl-NL"/>
        </w:rPr>
        <w:t>Average energy prices increased over the period for most country-sector combinations in the EU27’s major trading partners (US, UK and China)</w:t>
      </w:r>
    </w:p>
    <w:p>
      <w:pPr>
        <w:spacing w:after="0" w:line="300" w:lineRule="atLeast"/>
        <w:jc w:val="left"/>
        <w:rPr>
          <w:noProof/>
          <w:sz w:val="24"/>
          <w:szCs w:val="24"/>
          <w:lang w:eastAsia="nl-NL"/>
        </w:rPr>
      </w:pPr>
    </w:p>
    <w:p>
      <w:pPr>
        <w:spacing w:after="0" w:line="300" w:lineRule="atLeast"/>
        <w:rPr>
          <w:noProof/>
          <w:sz w:val="24"/>
          <w:szCs w:val="24"/>
          <w:lang w:eastAsia="nl-NL"/>
        </w:rPr>
      </w:pPr>
      <w:r>
        <w:rPr>
          <w:noProof/>
          <w:sz w:val="24"/>
          <w:szCs w:val="24"/>
          <w:lang w:eastAsia="nl-NL"/>
        </w:rPr>
        <w:t xml:space="preserve">For most sectors, there is a positive price effect and a negative energy intensity effect. This suggests that </w:t>
      </w:r>
      <w:r>
        <w:rPr>
          <w:b/>
          <w:bCs/>
          <w:noProof/>
          <w:sz w:val="24"/>
          <w:szCs w:val="24"/>
          <w:lang w:eastAsia="nl-NL"/>
        </w:rPr>
        <w:t>higher prices might have been an important element in driving down energy costs through improved real energy efficiency improvement</w:t>
      </w:r>
      <w:r>
        <w:rPr>
          <w:noProof/>
          <w:sz w:val="24"/>
          <w:szCs w:val="24"/>
          <w:lang w:eastAsia="nl-NL"/>
        </w:rPr>
        <w:t>.</w:t>
      </w:r>
    </w:p>
    <w:p>
      <w:pPr>
        <w:spacing w:after="0" w:line="300" w:lineRule="atLeast"/>
        <w:jc w:val="left"/>
        <w:rPr>
          <w:noProof/>
          <w:sz w:val="24"/>
          <w:szCs w:val="24"/>
          <w:lang w:eastAsia="nl-NL"/>
        </w:rPr>
      </w:pPr>
    </w:p>
    <w:p>
      <w:pPr>
        <w:spacing w:line="300" w:lineRule="atLeast"/>
        <w:jc w:val="left"/>
        <w:rPr>
          <w:b/>
          <w:noProof/>
          <w:sz w:val="24"/>
          <w:szCs w:val="24"/>
          <w:lang w:eastAsia="nl-NL"/>
        </w:rPr>
      </w:pPr>
      <w:r>
        <w:rPr>
          <w:b/>
          <w:noProof/>
          <w:sz w:val="24"/>
          <w:szCs w:val="24"/>
          <w:lang w:eastAsia="nl-NL"/>
        </w:rPr>
        <w:t>Residual effects (-15%)</w:t>
      </w:r>
    </w:p>
    <w:p>
      <w:pPr>
        <w:spacing w:line="300" w:lineRule="atLeast"/>
        <w:rPr>
          <w:noProof/>
          <w:sz w:val="24"/>
          <w:szCs w:val="24"/>
        </w:rPr>
      </w:pPr>
      <w:r>
        <w:rPr>
          <w:noProof/>
          <w:sz w:val="24"/>
          <w:szCs w:val="24"/>
        </w:rPr>
        <w:t>Comparing the EU27 energy costs estimated from its components (price and energy consumption) with the Eurostat SBS purchase of energy products shows there is a residual effect contributing to the evolution of energy costs. The residual effect for most sectors shows a negative bias implying we are not capturing some factor reducing energy cost over the period.</w:t>
      </w:r>
    </w:p>
    <w:p>
      <w:pPr>
        <w:spacing w:line="300" w:lineRule="atLeast"/>
        <w:rPr>
          <w:noProof/>
          <w:sz w:val="24"/>
          <w:szCs w:val="24"/>
        </w:rPr>
      </w:pPr>
      <w:r>
        <w:rPr>
          <w:noProof/>
          <w:sz w:val="24"/>
          <w:szCs w:val="24"/>
        </w:rPr>
        <w:t>This residual effect encapsulates some known limitations of the analysis:</w:t>
      </w:r>
    </w:p>
    <w:p>
      <w:pPr>
        <w:pStyle w:val="ListParagraph"/>
        <w:numPr>
          <w:ilvl w:val="0"/>
          <w:numId w:val="35"/>
        </w:numPr>
        <w:spacing w:line="300" w:lineRule="atLeast"/>
        <w:ind w:left="714" w:hanging="357"/>
        <w:contextualSpacing w:val="0"/>
        <w:rPr>
          <w:noProof/>
          <w:sz w:val="24"/>
          <w:szCs w:val="24"/>
        </w:rPr>
      </w:pPr>
      <w:r>
        <w:rPr>
          <w:b/>
          <w:bCs/>
          <w:noProof/>
          <w:sz w:val="24"/>
          <w:szCs w:val="24"/>
        </w:rPr>
        <w:t xml:space="preserve">Price trends of other fuels – </w:t>
      </w:r>
      <w:r>
        <w:rPr>
          <w:noProof/>
          <w:sz w:val="24"/>
          <w:szCs w:val="24"/>
        </w:rPr>
        <w:t xml:space="preserve">energy price data is only available for the four main fuels (coal, electricity, gas, oil). Some sectors have large shares of alternative fuels (biomass, waste &amp; heat) in their fuel mix which we cannot capture in the price effect. Examples include </w:t>
      </w:r>
      <w:r>
        <w:rPr>
          <w:bCs/>
          <w:i/>
          <w:noProof/>
          <w:sz w:val="24"/>
          <w:szCs w:val="24"/>
        </w:rPr>
        <w:t>wood</w:t>
      </w:r>
      <w:r>
        <w:rPr>
          <w:i/>
          <w:noProof/>
          <w:sz w:val="24"/>
          <w:szCs w:val="24"/>
        </w:rPr>
        <w:t xml:space="preserve"> &amp; </w:t>
      </w:r>
      <w:r>
        <w:rPr>
          <w:bCs/>
          <w:i/>
          <w:noProof/>
          <w:sz w:val="24"/>
          <w:szCs w:val="24"/>
        </w:rPr>
        <w:t>paper</w:t>
      </w:r>
      <w:r>
        <w:rPr>
          <w:noProof/>
          <w:sz w:val="24"/>
          <w:szCs w:val="24"/>
        </w:rPr>
        <w:t xml:space="preserve"> (high use of biomass and waste) and </w:t>
      </w:r>
      <w:r>
        <w:rPr>
          <w:bCs/>
          <w:i/>
          <w:noProof/>
          <w:sz w:val="24"/>
          <w:szCs w:val="24"/>
        </w:rPr>
        <w:t>chemicals</w:t>
      </w:r>
      <w:r>
        <w:rPr>
          <w:noProof/>
          <w:sz w:val="24"/>
          <w:szCs w:val="24"/>
        </w:rPr>
        <w:t xml:space="preserve"> (High use of heat)</w:t>
      </w:r>
    </w:p>
    <w:p>
      <w:pPr>
        <w:pStyle w:val="ListParagraph"/>
        <w:numPr>
          <w:ilvl w:val="0"/>
          <w:numId w:val="35"/>
        </w:numPr>
        <w:spacing w:line="300" w:lineRule="atLeast"/>
        <w:ind w:left="714" w:hanging="357"/>
        <w:contextualSpacing w:val="0"/>
        <w:rPr>
          <w:noProof/>
          <w:sz w:val="24"/>
          <w:szCs w:val="24"/>
        </w:rPr>
      </w:pPr>
      <w:r>
        <w:rPr>
          <w:b/>
          <w:bCs/>
          <w:noProof/>
          <w:sz w:val="24"/>
          <w:szCs w:val="24"/>
        </w:rPr>
        <w:t>Addition exemptions from taxes &amp; levies –</w:t>
      </w:r>
      <w:r>
        <w:rPr>
          <w:noProof/>
          <w:sz w:val="24"/>
          <w:szCs w:val="24"/>
        </w:rPr>
        <w:t xml:space="preserve"> In the analysis we use average industry prices for each fuel (excluding VAT and recoverable taxes) however for some </w:t>
      </w:r>
      <w:r>
        <w:rPr>
          <w:b/>
          <w:bCs/>
          <w:noProof/>
          <w:sz w:val="24"/>
          <w:szCs w:val="24"/>
        </w:rPr>
        <w:t>energy-intensive industries</w:t>
      </w:r>
      <w:r>
        <w:rPr>
          <w:noProof/>
          <w:sz w:val="24"/>
          <w:szCs w:val="24"/>
        </w:rPr>
        <w:t xml:space="preserve">, there are specific exemptions from taxes and levies. These could include sectors such as the manufacture of </w:t>
      </w:r>
      <w:r>
        <w:rPr>
          <w:bCs/>
          <w:i/>
          <w:noProof/>
          <w:sz w:val="24"/>
          <w:szCs w:val="24"/>
        </w:rPr>
        <w:t>Chemicals</w:t>
      </w:r>
      <w:r>
        <w:rPr>
          <w:noProof/>
          <w:sz w:val="24"/>
          <w:szCs w:val="24"/>
        </w:rPr>
        <w:t xml:space="preserve"> and </w:t>
      </w:r>
      <w:r>
        <w:rPr>
          <w:bCs/>
          <w:i/>
          <w:noProof/>
          <w:sz w:val="24"/>
          <w:szCs w:val="24"/>
        </w:rPr>
        <w:t>Basic Metals</w:t>
      </w:r>
      <w:r>
        <w:rPr>
          <w:noProof/>
          <w:sz w:val="24"/>
          <w:szCs w:val="24"/>
        </w:rPr>
        <w:t>.</w:t>
      </w:r>
    </w:p>
    <w:p>
      <w:pPr>
        <w:pStyle w:val="ListParagraph"/>
        <w:numPr>
          <w:ilvl w:val="0"/>
          <w:numId w:val="35"/>
        </w:numPr>
        <w:spacing w:line="300" w:lineRule="atLeast"/>
        <w:ind w:left="714" w:hanging="357"/>
        <w:contextualSpacing w:val="0"/>
        <w:rPr>
          <w:noProof/>
          <w:sz w:val="24"/>
          <w:szCs w:val="24"/>
        </w:rPr>
      </w:pPr>
      <w:r>
        <w:rPr>
          <w:b/>
          <w:bCs/>
          <w:noProof/>
          <w:sz w:val="24"/>
          <w:szCs w:val="24"/>
        </w:rPr>
        <w:t xml:space="preserve">Issues with the underlying data </w:t>
      </w:r>
      <w:r>
        <w:rPr>
          <w:noProof/>
          <w:sz w:val="24"/>
          <w:szCs w:val="24"/>
        </w:rPr>
        <w:t>– This includes missing data or inconsistencies in the Eurostat SBS data, which is based on a survey of businesses.</w:t>
      </w:r>
    </w:p>
    <w:p>
      <w:pPr>
        <w:spacing w:after="0" w:line="300" w:lineRule="atLeast"/>
        <w:rPr>
          <w:rFonts w:eastAsia="Trebuchet MS" w:cs="Trebuchet MS"/>
          <w:noProof/>
          <w:sz w:val="24"/>
          <w:szCs w:val="24"/>
        </w:rPr>
      </w:pPr>
      <w:r>
        <w:rPr>
          <w:rFonts w:eastAsia="Trebuchet MS" w:cs="Trebuchet MS"/>
          <w:noProof/>
          <w:sz w:val="24"/>
          <w:szCs w:val="24"/>
        </w:rPr>
        <w:t xml:space="preserve">Regression analysis shows that across the whole manufacturing sector and EU27, the individual drivers of turnover, average energy prices and energy intensity do explain a reasonable proportion of the variance in SBS energy cost data. </w:t>
      </w:r>
    </w:p>
    <w:p>
      <w:pPr>
        <w:spacing w:after="0" w:line="300" w:lineRule="atLeast"/>
        <w:jc w:val="left"/>
        <w:rPr>
          <w:rFonts w:eastAsia="Trebuchet MS" w:cs="Trebuchet MS"/>
          <w:noProof/>
          <w:sz w:val="24"/>
          <w:szCs w:val="24"/>
        </w:rPr>
      </w:pPr>
    </w:p>
    <w:p>
      <w:pPr>
        <w:spacing w:line="300" w:lineRule="atLeast"/>
        <w:jc w:val="left"/>
        <w:rPr>
          <w:rFonts w:eastAsia="Trebuchet MS" w:cs="Trebuchet MS"/>
          <w:b/>
          <w:noProof/>
          <w:sz w:val="24"/>
          <w:szCs w:val="24"/>
        </w:rPr>
      </w:pPr>
      <w:r>
        <w:rPr>
          <w:b/>
          <w:noProof/>
          <w:sz w:val="24"/>
          <w:szCs w:val="24"/>
          <w:lang w:eastAsia="nl-NL"/>
        </w:rPr>
        <w:t>Energy costs contribution to production costs</w:t>
      </w:r>
    </w:p>
    <w:p>
      <w:pPr>
        <w:spacing w:after="0" w:line="300" w:lineRule="atLeast"/>
        <w:rPr>
          <w:noProof/>
          <w:sz w:val="24"/>
          <w:szCs w:val="24"/>
          <w:lang w:eastAsia="nl-NL"/>
        </w:rPr>
      </w:pPr>
      <w:r>
        <w:rPr>
          <w:noProof/>
          <w:sz w:val="24"/>
          <w:szCs w:val="24"/>
          <w:lang w:eastAsia="nl-NL"/>
        </w:rPr>
        <w:t xml:space="preserve">At the EU27-level, an increase in total industry production costs over the period is almost entirely explained by increases in other (non-energy) costs. </w:t>
      </w:r>
      <w:r>
        <w:rPr>
          <w:b/>
          <w:bCs/>
          <w:noProof/>
          <w:sz w:val="24"/>
          <w:szCs w:val="24"/>
          <w:lang w:eastAsia="nl-NL"/>
        </w:rPr>
        <w:t>Energy costs have contributed to a very small, almost insignificant, reduction in total production costs</w:t>
      </w:r>
      <w:r>
        <w:rPr>
          <w:noProof/>
          <w:sz w:val="24"/>
          <w:szCs w:val="24"/>
          <w:lang w:eastAsia="nl-NL"/>
        </w:rPr>
        <w:t>.</w:t>
      </w:r>
    </w:p>
    <w:p>
      <w:pPr>
        <w:spacing w:after="0" w:line="300" w:lineRule="atLeast"/>
        <w:rPr>
          <w:noProof/>
          <w:sz w:val="24"/>
          <w:szCs w:val="24"/>
          <w:lang w:eastAsia="nl-NL"/>
        </w:rPr>
      </w:pPr>
      <w:r>
        <w:rPr>
          <w:noProof/>
          <w:sz w:val="24"/>
          <w:szCs w:val="24"/>
          <w:lang w:eastAsia="nl-NL"/>
        </w:rPr>
        <w:t>Furthermore, the share of energy costs as a proportion of total production costs is lower in 2017 when compared to the share in 2010 for most industrial sectors.</w:t>
      </w:r>
    </w:p>
    <w:p>
      <w:pPr>
        <w:spacing w:after="0" w:line="300" w:lineRule="atLeast"/>
        <w:rPr>
          <w:noProof/>
          <w:sz w:val="24"/>
          <w:szCs w:val="24"/>
          <w:lang w:eastAsia="nl-NL"/>
        </w:rPr>
      </w:pPr>
      <w:r>
        <w:rPr>
          <w:noProof/>
          <w:sz w:val="24"/>
          <w:szCs w:val="24"/>
          <w:lang w:eastAsia="nl-NL"/>
        </w:rPr>
        <w:t xml:space="preserve">Estimated </w:t>
      </w:r>
      <w:r>
        <w:rPr>
          <w:b/>
          <w:bCs/>
          <w:noProof/>
          <w:sz w:val="24"/>
          <w:szCs w:val="24"/>
          <w:lang w:eastAsia="nl-NL"/>
        </w:rPr>
        <w:t>energy costs in the EU’s main trading partners (US, UK, and China) have generally increased</w:t>
      </w:r>
      <w:r>
        <w:rPr>
          <w:noProof/>
          <w:sz w:val="24"/>
          <w:szCs w:val="24"/>
          <w:lang w:eastAsia="nl-NL"/>
        </w:rPr>
        <w:t xml:space="preserve"> over the past years. </w:t>
      </w:r>
    </w:p>
    <w:p>
      <w:pPr>
        <w:rPr>
          <w:rFonts w:eastAsia="Trebuchet MS" w:cs="Trebuchet MS"/>
          <w:noProof/>
          <w:sz w:val="24"/>
          <w:szCs w:val="24"/>
        </w:rPr>
      </w:pPr>
    </w:p>
    <w:p>
      <w:pPr>
        <w:spacing w:after="0"/>
        <w:jc w:val="left"/>
        <w:rPr>
          <w:b/>
          <w:bCs/>
          <w:noProof/>
          <w:sz w:val="24"/>
          <w:szCs w:val="24"/>
          <w:u w:val="single"/>
        </w:rPr>
      </w:pPr>
    </w:p>
    <w:p>
      <w:pPr>
        <w:rPr>
          <w:b/>
          <w:noProof/>
          <w:sz w:val="24"/>
          <w:szCs w:val="24"/>
          <w:u w:val="single"/>
        </w:rPr>
      </w:pPr>
      <w:r>
        <w:rPr>
          <w:b/>
          <w:bCs/>
          <w:noProof/>
          <w:sz w:val="24"/>
          <w:szCs w:val="24"/>
          <w:u w:val="single"/>
        </w:rPr>
        <w:t xml:space="preserve">B- </w:t>
      </w:r>
      <w:r>
        <w:rPr>
          <w:b/>
          <w:noProof/>
          <w:sz w:val="24"/>
          <w:szCs w:val="24"/>
          <w:u w:val="single"/>
        </w:rPr>
        <w:t>Results of the analysis energy costs drivers in the EU</w:t>
      </w:r>
      <w:r>
        <w:rPr>
          <w:b/>
          <w:bCs/>
          <w:noProof/>
          <w:sz w:val="24"/>
          <w:szCs w:val="24"/>
          <w:u w:val="single"/>
        </w:rPr>
        <w:t xml:space="preserve"> at sector level </w:t>
      </w:r>
    </w:p>
    <w:p>
      <w:pPr>
        <w:rPr>
          <w:noProof/>
          <w:sz w:val="24"/>
          <w:szCs w:val="24"/>
        </w:rPr>
      </w:pPr>
      <w:r>
        <w:rPr>
          <w:b/>
          <w:noProof/>
          <w:sz w:val="24"/>
          <w:szCs w:val="24"/>
        </w:rPr>
        <w:fldChar w:fldCharType="begin"/>
      </w:r>
      <w:r>
        <w:rPr>
          <w:b/>
          <w:noProof/>
          <w:sz w:val="24"/>
          <w:szCs w:val="24"/>
        </w:rPr>
        <w:instrText xml:space="preserve"> REF _Ref48066410 \h  \* MERGEFORMAT </w:instrText>
      </w:r>
      <w:r>
        <w:rPr>
          <w:b/>
          <w:noProof/>
          <w:sz w:val="24"/>
          <w:szCs w:val="24"/>
        </w:rPr>
      </w:r>
      <w:r>
        <w:rPr>
          <w:b/>
          <w:noProof/>
          <w:sz w:val="24"/>
          <w:szCs w:val="24"/>
        </w:rPr>
        <w:fldChar w:fldCharType="separate"/>
      </w:r>
      <w:r>
        <w:rPr>
          <w:b/>
          <w:noProof/>
        </w:rPr>
        <w:t>Table 18</w:t>
      </w:r>
      <w:r>
        <w:rPr>
          <w:b/>
          <w:noProof/>
          <w:sz w:val="24"/>
          <w:szCs w:val="24"/>
        </w:rPr>
        <w:fldChar w:fldCharType="end"/>
      </w:r>
      <w:r>
        <w:rPr>
          <w:noProof/>
          <w:sz w:val="24"/>
          <w:szCs w:val="24"/>
        </w:rPr>
        <w:t xml:space="preserve"> shows the effect of the various energy cost drivers (prices, real output, real energy intensity) vary widely across the EU sectors. The residual also varies significantly across sectors signalling which sectors have the most robust estimates. A detailed analysis of the effects by sector can be found in Annex F of the Trinomics (2020).</w:t>
      </w:r>
    </w:p>
    <w:p>
      <w:pPr>
        <w:rPr>
          <w:noProof/>
          <w:sz w:val="24"/>
          <w:szCs w:val="24"/>
        </w:rPr>
      </w:pPr>
    </w:p>
    <w:p>
      <w:pPr>
        <w:rPr>
          <w:noProof/>
          <w:sz w:val="24"/>
          <w:szCs w:val="24"/>
        </w:rPr>
      </w:pPr>
    </w:p>
    <w:p>
      <w:pPr>
        <w:rPr>
          <w:noProof/>
          <w:sz w:val="24"/>
          <w:szCs w:val="24"/>
        </w:rPr>
      </w:pPr>
    </w:p>
    <w:p>
      <w:pPr>
        <w:pStyle w:val="Caption"/>
      </w:pPr>
      <w:bookmarkStart w:id="187" w:name="_Ref48066410"/>
      <w:bookmarkStart w:id="188" w:name="_Toc52396977"/>
      <w:r>
        <w:t xml:space="preserve">Table </w:t>
      </w:r>
      <w:r>
        <w:fldChar w:fldCharType="begin"/>
      </w:r>
      <w:r>
        <w:instrText xml:space="preserve"> SEQ Table \* ARABIC </w:instrText>
      </w:r>
      <w:r>
        <w:fldChar w:fldCharType="separate"/>
      </w:r>
      <w:r>
        <w:t>18</w:t>
      </w:r>
      <w:r>
        <w:fldChar w:fldCharType="end"/>
      </w:r>
      <w:bookmarkEnd w:id="187"/>
      <w:r>
        <w:t xml:space="preserve"> - Decomposition of energy cost drivers by sectors in the EU between 2010 and 2017</w:t>
      </w:r>
      <w:bookmarkEnd w:id="188"/>
    </w:p>
    <w:tbl>
      <w:tblPr>
        <w:tblW w:w="9555" w:type="dxa"/>
        <w:tblLayout w:type="fixed"/>
        <w:tblLook w:val="04A0" w:firstRow="1" w:lastRow="0" w:firstColumn="1" w:lastColumn="0" w:noHBand="0" w:noVBand="1"/>
      </w:tblPr>
      <w:tblGrid>
        <w:gridCol w:w="860"/>
        <w:gridCol w:w="2378"/>
        <w:gridCol w:w="1052"/>
        <w:gridCol w:w="1053"/>
        <w:gridCol w:w="1053"/>
        <w:gridCol w:w="1053"/>
        <w:gridCol w:w="1053"/>
        <w:gridCol w:w="1053"/>
      </w:tblGrid>
      <w:tr>
        <w:trPr>
          <w:trHeight w:val="958"/>
        </w:trPr>
        <w:tc>
          <w:tcPr>
            <w:tcW w:w="860" w:type="dxa"/>
            <w:tcBorders>
              <w:top w:val="single" w:sz="8" w:space="0" w:color="005962"/>
              <w:bottom w:val="single" w:sz="4" w:space="0" w:color="auto"/>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Sector Code</w:t>
            </w:r>
          </w:p>
        </w:tc>
        <w:tc>
          <w:tcPr>
            <w:tcW w:w="2378" w:type="dxa"/>
            <w:tcBorders>
              <w:top w:val="single" w:sz="8" w:space="0" w:color="005962"/>
              <w:left w:val="nil"/>
              <w:bottom w:val="single" w:sz="4" w:space="0" w:color="auto"/>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 xml:space="preserve">Sector </w:t>
            </w:r>
          </w:p>
          <w:p>
            <w:pPr>
              <w:jc w:val="center"/>
              <w:rPr>
                <w:rFonts w:eastAsia="Times New Roman"/>
                <w:b/>
                <w:bCs/>
                <w:noProof/>
                <w:color w:val="FFFFFF"/>
                <w:sz w:val="16"/>
                <w:szCs w:val="16"/>
                <w:lang w:eastAsia="en-GB"/>
              </w:rPr>
            </w:pPr>
            <w:r>
              <w:rPr>
                <w:rFonts w:eastAsia="Times New Roman"/>
                <w:b/>
                <w:bCs/>
                <w:noProof/>
                <w:color w:val="FFFFFF"/>
                <w:sz w:val="16"/>
                <w:szCs w:val="16"/>
                <w:lang w:eastAsia="en-GB"/>
              </w:rPr>
              <w:t>(Description)</w:t>
            </w:r>
          </w:p>
        </w:tc>
        <w:tc>
          <w:tcPr>
            <w:tcW w:w="1052" w:type="dxa"/>
            <w:tcBorders>
              <w:top w:val="single" w:sz="8" w:space="0" w:color="005962"/>
              <w:left w:val="nil"/>
              <w:bottom w:val="single" w:sz="4" w:space="0" w:color="auto"/>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Price effect</w:t>
            </w:r>
          </w:p>
        </w:tc>
        <w:tc>
          <w:tcPr>
            <w:tcW w:w="1053" w:type="dxa"/>
            <w:tcBorders>
              <w:top w:val="single" w:sz="8" w:space="0" w:color="005962"/>
              <w:left w:val="nil"/>
              <w:bottom w:val="single" w:sz="4" w:space="0" w:color="auto"/>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 xml:space="preserve"> Real output effect</w:t>
            </w:r>
          </w:p>
        </w:tc>
        <w:tc>
          <w:tcPr>
            <w:tcW w:w="1053" w:type="dxa"/>
            <w:tcBorders>
              <w:top w:val="single" w:sz="8" w:space="0" w:color="005962"/>
              <w:left w:val="nil"/>
              <w:bottom w:val="single" w:sz="4" w:space="0" w:color="auto"/>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Real energy intensity effect</w:t>
            </w:r>
          </w:p>
        </w:tc>
        <w:tc>
          <w:tcPr>
            <w:tcW w:w="1053" w:type="dxa"/>
            <w:tcBorders>
              <w:top w:val="single" w:sz="8" w:space="0" w:color="005962"/>
              <w:left w:val="nil"/>
              <w:bottom w:val="single" w:sz="4" w:space="0" w:color="auto"/>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Residual</w:t>
            </w:r>
          </w:p>
        </w:tc>
        <w:tc>
          <w:tcPr>
            <w:tcW w:w="1053" w:type="dxa"/>
            <w:tcBorders>
              <w:top w:val="single" w:sz="8" w:space="0" w:color="005962"/>
              <w:left w:val="nil"/>
              <w:bottom w:val="single" w:sz="4" w:space="0" w:color="auto"/>
              <w:right w:val="single" w:sz="4" w:space="0" w:color="auto"/>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Total effect</w:t>
            </w:r>
          </w:p>
        </w:tc>
        <w:tc>
          <w:tcPr>
            <w:tcW w:w="1053" w:type="dxa"/>
            <w:tcBorders>
              <w:top w:val="single" w:sz="8" w:space="0" w:color="005962"/>
              <w:left w:val="single" w:sz="4" w:space="0" w:color="auto"/>
              <w:bottom w:val="single" w:sz="4" w:space="0" w:color="auto"/>
            </w:tcBorders>
            <w:shd w:val="clear" w:color="auto" w:fill="548DD4" w:themeFill="text2" w:themeFillTint="99"/>
            <w:vAlign w:val="center"/>
            <w:hideMark/>
          </w:tcPr>
          <w:p>
            <w:pPr>
              <w:jc w:val="center"/>
              <w:rPr>
                <w:rFonts w:eastAsia="Times New Roman"/>
                <w:b/>
                <w:bCs/>
                <w:noProof/>
                <w:color w:val="FFFFFF"/>
                <w:sz w:val="16"/>
                <w:szCs w:val="16"/>
                <w:lang w:eastAsia="en-GB"/>
              </w:rPr>
            </w:pPr>
            <w:r>
              <w:rPr>
                <w:b/>
                <w:bCs/>
                <w:noProof/>
                <w:color w:val="FFFFFF"/>
                <w:sz w:val="16"/>
                <w:szCs w:val="16"/>
              </w:rPr>
              <w:t>2017 EU27 Energy Intensity (toe per million €)</w:t>
            </w:r>
          </w:p>
        </w:tc>
      </w:tr>
      <w:tr>
        <w:trPr>
          <w:trHeight w:val="233"/>
        </w:trPr>
        <w:tc>
          <w:tcPr>
            <w:tcW w:w="9555" w:type="dxa"/>
            <w:gridSpan w:val="8"/>
            <w:tcBorders>
              <w:top w:val="single" w:sz="4" w:space="0" w:color="auto"/>
              <w:bottom w:val="single" w:sz="4" w:space="0" w:color="005962"/>
            </w:tcBorders>
            <w:vAlign w:val="center"/>
          </w:tcPr>
          <w:p>
            <w:pPr>
              <w:rPr>
                <w:b/>
                <w:bCs/>
                <w:noProof/>
                <w:sz w:val="4"/>
                <w:szCs w:val="4"/>
              </w:rPr>
            </w:pPr>
          </w:p>
          <w:p>
            <w:pPr>
              <w:jc w:val="center"/>
              <w:rPr>
                <w:b/>
                <w:noProof/>
                <w:sz w:val="16"/>
                <w:szCs w:val="16"/>
              </w:rPr>
            </w:pPr>
            <w:r>
              <w:rPr>
                <w:b/>
                <w:noProof/>
                <w:sz w:val="16"/>
                <w:szCs w:val="16"/>
              </w:rPr>
              <w:t>High energy-intensive sectors</w:t>
            </w:r>
          </w:p>
        </w:tc>
      </w:tr>
      <w:tr>
        <w:trPr>
          <w:trHeight w:val="233"/>
        </w:trPr>
        <w:tc>
          <w:tcPr>
            <w:tcW w:w="860" w:type="dxa"/>
            <w:tcBorders>
              <w:top w:val="single" w:sz="4"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C20*</w:t>
            </w:r>
          </w:p>
        </w:tc>
        <w:tc>
          <w:tcPr>
            <w:tcW w:w="2378"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chemicals and chemical products</w:t>
            </w:r>
          </w:p>
        </w:tc>
        <w:tc>
          <w:tcPr>
            <w:tcW w:w="1052"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-4.2%</w:t>
            </w:r>
          </w:p>
        </w:tc>
        <w:tc>
          <w:tcPr>
            <w:tcW w:w="1053"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2.0%</w:t>
            </w:r>
          </w:p>
        </w:tc>
        <w:tc>
          <w:tcPr>
            <w:tcW w:w="1053"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-6.8%</w:t>
            </w:r>
          </w:p>
        </w:tc>
        <w:tc>
          <w:tcPr>
            <w:tcW w:w="1053"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-5.6%</w:t>
            </w:r>
          </w:p>
        </w:tc>
        <w:tc>
          <w:tcPr>
            <w:tcW w:w="1053"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-14.6%</w:t>
            </w:r>
          </w:p>
        </w:tc>
        <w:tc>
          <w:tcPr>
            <w:tcW w:w="1053" w:type="dxa"/>
            <w:tcBorders>
              <w:top w:val="single" w:sz="4"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190.8 </w:t>
            </w:r>
          </w:p>
        </w:tc>
      </w:tr>
      <w:tr>
        <w:trPr>
          <w:trHeight w:val="348"/>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C17*</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paper and paper products</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0.7%</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7.9%</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-9.6%</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-27.7%</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-28.7%</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182.3 </w:t>
            </w:r>
          </w:p>
        </w:tc>
      </w:tr>
      <w:tr>
        <w:trPr>
          <w:trHeight w:val="348"/>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C24*</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basic metals</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4.7%</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12.7%</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-12.8%</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-24.2%</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-19.6%</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174.1 </w:t>
            </w:r>
          </w:p>
        </w:tc>
      </w:tr>
      <w:tr>
        <w:trPr>
          <w:trHeight w:val="348"/>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C19</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coke and refined petroleum products</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-6.3%</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-34.4%</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37.6%</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-5.4%</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-8.6%</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158.8 </w:t>
            </w:r>
          </w:p>
        </w:tc>
      </w:tr>
      <w:tr>
        <w:trPr>
          <w:trHeight w:val="233"/>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C23</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other non-metallic mineral products</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1.3%</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0.8%</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-15.3%</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-3.1%</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-16.4%</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158.2 </w:t>
            </w:r>
          </w:p>
        </w:tc>
      </w:tr>
      <w:tr>
        <w:trPr>
          <w:trHeight w:val="844"/>
        </w:trPr>
        <w:tc>
          <w:tcPr>
            <w:tcW w:w="860" w:type="dxa"/>
            <w:tcBorders>
              <w:top w:val="single" w:sz="8" w:space="0" w:color="005962"/>
              <w:left w:val="single" w:sz="4" w:space="0" w:color="005962"/>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C16*</w:t>
            </w:r>
          </w:p>
        </w:tc>
        <w:tc>
          <w:tcPr>
            <w:tcW w:w="2378"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wood and of products of wood and cork, except furniture; manufacture of articles of straw and plaiting materials</w:t>
            </w:r>
          </w:p>
        </w:tc>
        <w:tc>
          <w:tcPr>
            <w:tcW w:w="1052"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10.2%</w:t>
            </w:r>
          </w:p>
        </w:tc>
        <w:tc>
          <w:tcPr>
            <w:tcW w:w="1053"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-2.2%</w:t>
            </w:r>
          </w:p>
        </w:tc>
        <w:tc>
          <w:tcPr>
            <w:tcW w:w="1053"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11.0%</w:t>
            </w:r>
          </w:p>
        </w:tc>
        <w:tc>
          <w:tcPr>
            <w:tcW w:w="1053"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-25.7%</w:t>
            </w:r>
          </w:p>
        </w:tc>
        <w:tc>
          <w:tcPr>
            <w:tcW w:w="1053"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-6.7%</w:t>
            </w:r>
          </w:p>
        </w:tc>
        <w:tc>
          <w:tcPr>
            <w:tcW w:w="1053" w:type="dxa"/>
            <w:tcBorders>
              <w:top w:val="single" w:sz="8" w:space="0" w:color="005962"/>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75.5 </w:t>
            </w:r>
          </w:p>
        </w:tc>
      </w:tr>
      <w:tr>
        <w:trPr>
          <w:trHeight w:val="299"/>
        </w:trPr>
        <w:tc>
          <w:tcPr>
            <w:tcW w:w="9555" w:type="dxa"/>
            <w:gridSpan w:val="8"/>
            <w:tcBorders>
              <w:top w:val="single" w:sz="4" w:space="0" w:color="005962"/>
              <w:bottom w:val="single" w:sz="4" w:space="0" w:color="005962"/>
            </w:tcBorders>
            <w:vAlign w:val="bottom"/>
          </w:tcPr>
          <w:p>
            <w:pPr>
              <w:jc w:val="center"/>
              <w:rPr>
                <w:b/>
                <w:noProof/>
                <w:sz w:val="16"/>
                <w:szCs w:val="16"/>
              </w:rPr>
            </w:pPr>
            <w:r>
              <w:rPr>
                <w:b/>
                <w:noProof/>
                <w:sz w:val="16"/>
                <w:szCs w:val="16"/>
              </w:rPr>
              <w:t>Lower energy-intensive sectors</w:t>
            </w:r>
          </w:p>
        </w:tc>
      </w:tr>
      <w:tr>
        <w:trPr>
          <w:trHeight w:val="463"/>
        </w:trPr>
        <w:tc>
          <w:tcPr>
            <w:tcW w:w="860" w:type="dxa"/>
            <w:tcBorders>
              <w:top w:val="single" w:sz="4"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C10_C12</w:t>
            </w:r>
          </w:p>
        </w:tc>
        <w:tc>
          <w:tcPr>
            <w:tcW w:w="2378"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food products; beverages and tobacco products</w:t>
            </w:r>
          </w:p>
        </w:tc>
        <w:tc>
          <w:tcPr>
            <w:tcW w:w="1052"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6.7%</w:t>
            </w:r>
          </w:p>
        </w:tc>
        <w:tc>
          <w:tcPr>
            <w:tcW w:w="1053"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10.2%</w:t>
            </w:r>
          </w:p>
        </w:tc>
        <w:tc>
          <w:tcPr>
            <w:tcW w:w="1053"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-6.0%</w:t>
            </w:r>
          </w:p>
        </w:tc>
        <w:tc>
          <w:tcPr>
            <w:tcW w:w="1053"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-13.0%</w:t>
            </w:r>
          </w:p>
        </w:tc>
        <w:tc>
          <w:tcPr>
            <w:tcW w:w="1053" w:type="dxa"/>
            <w:tcBorders>
              <w:top w:val="single" w:sz="4"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-2.1%</w:t>
            </w:r>
          </w:p>
        </w:tc>
        <w:tc>
          <w:tcPr>
            <w:tcW w:w="1053" w:type="dxa"/>
            <w:tcBorders>
              <w:top w:val="single" w:sz="4"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26.9 </w:t>
            </w:r>
          </w:p>
        </w:tc>
      </w:tr>
      <w:tr>
        <w:trPr>
          <w:trHeight w:val="348"/>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C22</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rubber and plastic products</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2.4%</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10.4%</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-37.1%</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22.0%</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-2.3%</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22.4 </w:t>
            </w:r>
          </w:p>
        </w:tc>
      </w:tr>
      <w:tr>
        <w:trPr>
          <w:trHeight w:val="233"/>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C13_C15</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textiles, wearing apparel, leather and related products</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8.1%</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-1.4%</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-9.9%</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-48.7%</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-51.8%</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21.5 </w:t>
            </w:r>
          </w:p>
        </w:tc>
      </w:tr>
      <w:tr>
        <w:trPr>
          <w:trHeight w:val="577"/>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C21</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basic pharmaceutical products and pharmaceutical preparations</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11.6%</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14.7%</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-32.3%</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-3.8%</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-9.8%</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19.3 </w:t>
            </w:r>
          </w:p>
        </w:tc>
      </w:tr>
      <w:tr>
        <w:trPr>
          <w:trHeight w:val="348"/>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C25</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fabricated metal products, except machinery and equipment</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10.1%</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9.3%</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-14.5%</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-13.2%</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-8.4%</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17.5 </w:t>
            </w:r>
          </w:p>
        </w:tc>
      </w:tr>
      <w:tr>
        <w:trPr>
          <w:trHeight w:val="577"/>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C31_C32</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furniture; other manufacturing</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2.2%</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4.4%</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-10.9%</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-4.0%</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-8.3%</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11.0 </w:t>
            </w:r>
          </w:p>
        </w:tc>
      </w:tr>
      <w:tr>
        <w:trPr>
          <w:trHeight w:val="348"/>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C33</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Repair and installation of machinery and equipment</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16.7%</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-5.4%</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-5.7%</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0.3%</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rPr>
              <w:t>5.9%</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10.1 </w:t>
            </w:r>
          </w:p>
        </w:tc>
      </w:tr>
      <w:tr>
        <w:trPr>
          <w:trHeight w:val="233"/>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C28</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machinery and equipment n.e.c.</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13.6%</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16.6%</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-26.0%</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-2.0%</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rPr>
              <w:t>2.1%</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9.5 </w:t>
            </w:r>
          </w:p>
        </w:tc>
      </w:tr>
      <w:tr>
        <w:trPr>
          <w:trHeight w:val="348"/>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C27</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electrical equipment</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10.1%</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4.6%</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-15.3%</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-14.8%</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-15.4%</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8.3 </w:t>
            </w:r>
          </w:p>
        </w:tc>
      </w:tr>
      <w:tr>
        <w:trPr>
          <w:trHeight w:val="471"/>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C26</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computer, electronic and optical products</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11.4%</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14.7%</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-11.1%</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-23.8%</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-8.9%</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6.5 </w:t>
            </w:r>
          </w:p>
        </w:tc>
      </w:tr>
      <w:tr>
        <w:trPr>
          <w:trHeight w:val="348"/>
        </w:trPr>
        <w:tc>
          <w:tcPr>
            <w:tcW w:w="860" w:type="dxa"/>
            <w:tcBorders>
              <w:top w:val="single" w:sz="8" w:space="0" w:color="005962"/>
              <w:left w:val="single" w:sz="4" w:space="0" w:color="005962"/>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C29</w:t>
            </w:r>
          </w:p>
        </w:tc>
        <w:tc>
          <w:tcPr>
            <w:tcW w:w="2378"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motor vehicles, trailers and semi-trailers</w:t>
            </w:r>
          </w:p>
        </w:tc>
        <w:tc>
          <w:tcPr>
            <w:tcW w:w="1052"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6.9%</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40.4%</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-36.7%</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-3.5%</w:t>
            </w:r>
          </w:p>
        </w:tc>
        <w:tc>
          <w:tcPr>
            <w:tcW w:w="1053" w:type="dxa"/>
            <w:tcBorders>
              <w:top w:val="single" w:sz="8" w:space="0" w:color="005962"/>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rPr>
              <w:t>7.0%</w:t>
            </w:r>
          </w:p>
        </w:tc>
        <w:tc>
          <w:tcPr>
            <w:tcW w:w="1053" w:type="dxa"/>
            <w:tcBorders>
              <w:top w:val="single" w:sz="8" w:space="0" w:color="005962"/>
              <w:left w:val="nil"/>
              <w:bottom w:val="single" w:sz="8"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6.1 </w:t>
            </w:r>
          </w:p>
        </w:tc>
      </w:tr>
      <w:tr>
        <w:trPr>
          <w:trHeight w:val="233"/>
        </w:trPr>
        <w:tc>
          <w:tcPr>
            <w:tcW w:w="860" w:type="dxa"/>
            <w:tcBorders>
              <w:top w:val="single" w:sz="8" w:space="0" w:color="005962"/>
              <w:left w:val="single" w:sz="4" w:space="0" w:color="005962"/>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C30</w:t>
            </w:r>
          </w:p>
        </w:tc>
        <w:tc>
          <w:tcPr>
            <w:tcW w:w="2378"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other transport equipment</w:t>
            </w:r>
          </w:p>
        </w:tc>
        <w:tc>
          <w:tcPr>
            <w:tcW w:w="1052"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12.3%</w:t>
            </w:r>
          </w:p>
        </w:tc>
        <w:tc>
          <w:tcPr>
            <w:tcW w:w="1053"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42.0%</w:t>
            </w:r>
          </w:p>
        </w:tc>
        <w:tc>
          <w:tcPr>
            <w:tcW w:w="1053"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-60.5%</w:t>
            </w:r>
          </w:p>
        </w:tc>
        <w:tc>
          <w:tcPr>
            <w:tcW w:w="1053"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-3.0%</w:t>
            </w:r>
          </w:p>
        </w:tc>
        <w:tc>
          <w:tcPr>
            <w:tcW w:w="1053" w:type="dxa"/>
            <w:tcBorders>
              <w:top w:val="single" w:sz="8" w:space="0" w:color="005962"/>
              <w:left w:val="nil"/>
              <w:bottom w:val="single" w:sz="4"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-9.2%</w:t>
            </w:r>
          </w:p>
        </w:tc>
        <w:tc>
          <w:tcPr>
            <w:tcW w:w="1053" w:type="dxa"/>
            <w:tcBorders>
              <w:top w:val="single" w:sz="8" w:space="0" w:color="005962"/>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 xml:space="preserve">4.3 </w:t>
            </w:r>
          </w:p>
        </w:tc>
      </w:tr>
      <w:tr>
        <w:trPr>
          <w:trHeight w:val="93"/>
        </w:trPr>
        <w:tc>
          <w:tcPr>
            <w:tcW w:w="860" w:type="dxa"/>
            <w:tcBorders>
              <w:top w:val="single" w:sz="4" w:space="0" w:color="005962"/>
              <w:bottom w:val="single" w:sz="4" w:space="0" w:color="005962"/>
            </w:tcBorders>
            <w:shd w:val="clear" w:color="auto" w:fill="FFFFFF"/>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 </w:t>
            </w:r>
          </w:p>
        </w:tc>
        <w:tc>
          <w:tcPr>
            <w:tcW w:w="2378" w:type="dxa"/>
            <w:tcBorders>
              <w:top w:val="single" w:sz="4" w:space="0" w:color="005962"/>
              <w:bottom w:val="single" w:sz="4" w:space="0" w:color="005962"/>
            </w:tcBorders>
            <w:shd w:val="clear" w:color="auto" w:fill="FFFFFF"/>
            <w:vAlign w:val="center"/>
            <w:hideMark/>
          </w:tcPr>
          <w:p>
            <w:pPr>
              <w:rPr>
                <w:rFonts w:eastAsia="Times New Roman"/>
                <w:noProof/>
                <w:color w:val="000000"/>
                <w:sz w:val="16"/>
                <w:szCs w:val="16"/>
                <w:lang w:eastAsia="en-GB"/>
              </w:rPr>
            </w:pPr>
            <w:r>
              <w:rPr>
                <w:rFonts w:eastAsia="Times New Roman"/>
                <w:noProof/>
                <w:color w:val="000000"/>
                <w:sz w:val="16"/>
                <w:szCs w:val="16"/>
                <w:lang w:eastAsia="en-GB"/>
              </w:rPr>
              <w:t> </w:t>
            </w:r>
          </w:p>
        </w:tc>
        <w:tc>
          <w:tcPr>
            <w:tcW w:w="1052" w:type="dxa"/>
            <w:tcBorders>
              <w:top w:val="single" w:sz="4" w:space="0" w:color="005962"/>
              <w:bottom w:val="single" w:sz="4" w:space="0" w:color="005962"/>
            </w:tcBorders>
            <w:shd w:val="clear" w:color="auto" w:fill="FFFFFF"/>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 </w:t>
            </w:r>
          </w:p>
        </w:tc>
        <w:tc>
          <w:tcPr>
            <w:tcW w:w="1053" w:type="dxa"/>
            <w:tcBorders>
              <w:top w:val="single" w:sz="4" w:space="0" w:color="005962"/>
              <w:bottom w:val="single" w:sz="4" w:space="0" w:color="005962"/>
            </w:tcBorders>
            <w:shd w:val="clear" w:color="auto" w:fill="FFFFFF"/>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 </w:t>
            </w:r>
          </w:p>
        </w:tc>
        <w:tc>
          <w:tcPr>
            <w:tcW w:w="1053" w:type="dxa"/>
            <w:tcBorders>
              <w:top w:val="single" w:sz="4" w:space="0" w:color="005962"/>
              <w:bottom w:val="single" w:sz="4" w:space="0" w:color="005962"/>
            </w:tcBorders>
            <w:shd w:val="clear" w:color="auto" w:fill="FFFFFF"/>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 </w:t>
            </w:r>
          </w:p>
        </w:tc>
        <w:tc>
          <w:tcPr>
            <w:tcW w:w="1053" w:type="dxa"/>
            <w:tcBorders>
              <w:top w:val="single" w:sz="4" w:space="0" w:color="005962"/>
              <w:bottom w:val="single" w:sz="4" w:space="0" w:color="005962"/>
            </w:tcBorders>
            <w:shd w:val="clear" w:color="auto" w:fill="FFFFFF"/>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 </w:t>
            </w:r>
          </w:p>
        </w:tc>
        <w:tc>
          <w:tcPr>
            <w:tcW w:w="1053" w:type="dxa"/>
            <w:tcBorders>
              <w:top w:val="single" w:sz="4" w:space="0" w:color="005962"/>
              <w:bottom w:val="single" w:sz="4" w:space="0" w:color="005962"/>
            </w:tcBorders>
            <w:shd w:val="clear" w:color="auto" w:fill="FFFFFF"/>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 </w:t>
            </w:r>
          </w:p>
        </w:tc>
        <w:tc>
          <w:tcPr>
            <w:tcW w:w="1053" w:type="dxa"/>
            <w:tcBorders>
              <w:top w:val="single" w:sz="4" w:space="0" w:color="005962"/>
              <w:bottom w:val="single" w:sz="4" w:space="0" w:color="005962"/>
            </w:tcBorders>
            <w:shd w:val="clear" w:color="auto" w:fill="FFFFFF"/>
            <w:vAlign w:val="center"/>
            <w:hideMark/>
          </w:tcPr>
          <w:p>
            <w:pPr>
              <w:rPr>
                <w:rFonts w:eastAsia="Times New Roman"/>
                <w:noProof/>
                <w:color w:val="000000"/>
                <w:sz w:val="16"/>
                <w:szCs w:val="16"/>
                <w:lang w:eastAsia="en-GB"/>
              </w:rPr>
            </w:pPr>
          </w:p>
        </w:tc>
      </w:tr>
      <w:tr>
        <w:trPr>
          <w:trHeight w:val="233"/>
        </w:trPr>
        <w:tc>
          <w:tcPr>
            <w:tcW w:w="860" w:type="dxa"/>
            <w:tcBorders>
              <w:top w:val="single" w:sz="4" w:space="0" w:color="005962"/>
              <w:left w:val="single" w:sz="4" w:space="0" w:color="005962"/>
              <w:bottom w:val="single" w:sz="4" w:space="0" w:color="005962"/>
              <w:right w:val="single" w:sz="8" w:space="0" w:color="005962"/>
            </w:tcBorders>
            <w:vAlign w:val="center"/>
            <w:hideMark/>
          </w:tcPr>
          <w:p>
            <w:pPr>
              <w:jc w:val="center"/>
              <w:rPr>
                <w:rFonts w:eastAsia="Times New Roman"/>
                <w:b/>
                <w:bCs/>
                <w:noProof/>
                <w:sz w:val="16"/>
                <w:szCs w:val="16"/>
                <w:lang w:eastAsia="en-GB"/>
              </w:rPr>
            </w:pPr>
            <w:r>
              <w:rPr>
                <w:b/>
                <w:bCs/>
                <w:noProof/>
                <w:sz w:val="16"/>
                <w:szCs w:val="16"/>
              </w:rPr>
              <w:t>T</w:t>
            </w:r>
          </w:p>
        </w:tc>
        <w:tc>
          <w:tcPr>
            <w:tcW w:w="2378" w:type="dxa"/>
            <w:tcBorders>
              <w:top w:val="single" w:sz="4" w:space="0" w:color="005962"/>
              <w:left w:val="nil"/>
              <w:bottom w:val="single" w:sz="4" w:space="0" w:color="005962"/>
              <w:right w:val="single" w:sz="8" w:space="0" w:color="005962"/>
            </w:tcBorders>
            <w:vAlign w:val="center"/>
            <w:hideMark/>
          </w:tcPr>
          <w:p>
            <w:pPr>
              <w:jc w:val="center"/>
              <w:rPr>
                <w:rFonts w:eastAsia="Times New Roman"/>
                <w:b/>
                <w:bCs/>
                <w:noProof/>
                <w:sz w:val="16"/>
                <w:szCs w:val="16"/>
                <w:lang w:eastAsia="en-GB"/>
              </w:rPr>
            </w:pPr>
            <w:r>
              <w:rPr>
                <w:b/>
                <w:bCs/>
                <w:noProof/>
                <w:sz w:val="16"/>
                <w:szCs w:val="16"/>
              </w:rPr>
              <w:t>Total (Of sectors with complete data)</w:t>
            </w:r>
          </w:p>
        </w:tc>
        <w:tc>
          <w:tcPr>
            <w:tcW w:w="1052" w:type="dxa"/>
            <w:tcBorders>
              <w:top w:val="single" w:sz="4" w:space="0" w:color="005962"/>
              <w:left w:val="nil"/>
              <w:bottom w:val="single" w:sz="4" w:space="0" w:color="005962"/>
              <w:right w:val="single" w:sz="8" w:space="0" w:color="005962"/>
            </w:tcBorders>
            <w:vAlign w:val="center"/>
            <w:hideMark/>
          </w:tcPr>
          <w:p>
            <w:pPr>
              <w:jc w:val="center"/>
              <w:rPr>
                <w:rFonts w:eastAsia="Times New Roman"/>
                <w:b/>
                <w:bCs/>
                <w:noProof/>
                <w:sz w:val="16"/>
                <w:szCs w:val="16"/>
                <w:lang w:eastAsia="en-GB"/>
              </w:rPr>
            </w:pPr>
            <w:r>
              <w:rPr>
                <w:b/>
                <w:bCs/>
                <w:noProof/>
                <w:sz w:val="16"/>
                <w:szCs w:val="16"/>
              </w:rPr>
              <w:t>1.8%</w:t>
            </w:r>
          </w:p>
        </w:tc>
        <w:tc>
          <w:tcPr>
            <w:tcW w:w="1053" w:type="dxa"/>
            <w:tcBorders>
              <w:top w:val="single" w:sz="4" w:space="0" w:color="005962"/>
              <w:left w:val="nil"/>
              <w:bottom w:val="single" w:sz="4" w:space="0" w:color="005962"/>
              <w:right w:val="single" w:sz="8" w:space="0" w:color="005962"/>
            </w:tcBorders>
            <w:vAlign w:val="center"/>
            <w:hideMark/>
          </w:tcPr>
          <w:p>
            <w:pPr>
              <w:jc w:val="center"/>
              <w:rPr>
                <w:rFonts w:eastAsia="Times New Roman"/>
                <w:b/>
                <w:bCs/>
                <w:noProof/>
                <w:sz w:val="16"/>
                <w:szCs w:val="16"/>
                <w:lang w:eastAsia="en-GB"/>
              </w:rPr>
            </w:pPr>
            <w:r>
              <w:rPr>
                <w:b/>
                <w:bCs/>
                <w:noProof/>
                <w:sz w:val="16"/>
                <w:szCs w:val="16"/>
              </w:rPr>
              <w:t>11.4%</w:t>
            </w:r>
          </w:p>
        </w:tc>
        <w:tc>
          <w:tcPr>
            <w:tcW w:w="1053" w:type="dxa"/>
            <w:tcBorders>
              <w:top w:val="single" w:sz="4" w:space="0" w:color="005962"/>
              <w:left w:val="nil"/>
              <w:bottom w:val="single" w:sz="4" w:space="0" w:color="005962"/>
              <w:right w:val="single" w:sz="8" w:space="0" w:color="005962"/>
            </w:tcBorders>
            <w:vAlign w:val="center"/>
            <w:hideMark/>
          </w:tcPr>
          <w:p>
            <w:pPr>
              <w:jc w:val="center"/>
              <w:rPr>
                <w:rFonts w:eastAsia="Times New Roman"/>
                <w:b/>
                <w:bCs/>
                <w:noProof/>
                <w:sz w:val="16"/>
                <w:szCs w:val="16"/>
                <w:lang w:eastAsia="en-GB"/>
              </w:rPr>
            </w:pPr>
            <w:r>
              <w:rPr>
                <w:b/>
                <w:bCs/>
                <w:noProof/>
                <w:sz w:val="16"/>
                <w:szCs w:val="16"/>
              </w:rPr>
              <w:t>-15.0%</w:t>
            </w:r>
          </w:p>
        </w:tc>
        <w:tc>
          <w:tcPr>
            <w:tcW w:w="1053" w:type="dxa"/>
            <w:tcBorders>
              <w:top w:val="single" w:sz="4" w:space="0" w:color="005962"/>
              <w:left w:val="nil"/>
              <w:bottom w:val="single" w:sz="4" w:space="0" w:color="005962"/>
              <w:right w:val="single" w:sz="8" w:space="0" w:color="005962"/>
            </w:tcBorders>
            <w:vAlign w:val="center"/>
            <w:hideMark/>
          </w:tcPr>
          <w:p>
            <w:pPr>
              <w:jc w:val="center"/>
              <w:rPr>
                <w:rFonts w:eastAsia="Times New Roman"/>
                <w:b/>
                <w:bCs/>
                <w:noProof/>
                <w:sz w:val="16"/>
                <w:szCs w:val="16"/>
                <w:lang w:eastAsia="en-GB"/>
              </w:rPr>
            </w:pPr>
            <w:r>
              <w:rPr>
                <w:b/>
                <w:bCs/>
                <w:noProof/>
                <w:sz w:val="16"/>
                <w:szCs w:val="16"/>
              </w:rPr>
              <w:t>-11.1%</w:t>
            </w:r>
          </w:p>
        </w:tc>
        <w:tc>
          <w:tcPr>
            <w:tcW w:w="1053" w:type="dxa"/>
            <w:tcBorders>
              <w:top w:val="single" w:sz="4" w:space="0" w:color="005962"/>
              <w:left w:val="nil"/>
              <w:bottom w:val="single" w:sz="4" w:space="0" w:color="005962"/>
              <w:right w:val="single" w:sz="8" w:space="0" w:color="005962"/>
            </w:tcBorders>
            <w:vAlign w:val="center"/>
            <w:hideMark/>
          </w:tcPr>
          <w:p>
            <w:pPr>
              <w:jc w:val="center"/>
              <w:rPr>
                <w:rFonts w:eastAsia="Times New Roman"/>
                <w:b/>
                <w:bCs/>
                <w:noProof/>
                <w:sz w:val="16"/>
                <w:szCs w:val="16"/>
                <w:lang w:eastAsia="en-GB"/>
              </w:rPr>
            </w:pPr>
            <w:r>
              <w:rPr>
                <w:b/>
                <w:bCs/>
                <w:noProof/>
                <w:sz w:val="16"/>
                <w:szCs w:val="16"/>
              </w:rPr>
              <w:t>-13.0%</w:t>
            </w:r>
          </w:p>
        </w:tc>
        <w:tc>
          <w:tcPr>
            <w:tcW w:w="1053" w:type="dxa"/>
            <w:tcBorders>
              <w:top w:val="single" w:sz="4" w:space="0" w:color="005962"/>
              <w:left w:val="nil"/>
              <w:bottom w:val="single" w:sz="4" w:space="0" w:color="005962"/>
              <w:right w:val="single" w:sz="4" w:space="0" w:color="005962"/>
            </w:tcBorders>
            <w:vAlign w:val="center"/>
            <w:hideMark/>
          </w:tcPr>
          <w:p>
            <w:pPr>
              <w:jc w:val="center"/>
              <w:rPr>
                <w:rFonts w:eastAsia="Times New Roman"/>
                <w:b/>
                <w:bCs/>
                <w:noProof/>
                <w:sz w:val="16"/>
                <w:szCs w:val="16"/>
                <w:lang w:eastAsia="en-GB"/>
              </w:rPr>
            </w:pPr>
            <w:r>
              <w:rPr>
                <w:b/>
                <w:bCs/>
                <w:noProof/>
                <w:sz w:val="16"/>
                <w:szCs w:val="16"/>
              </w:rPr>
              <w:t xml:space="preserve">50.6 </w:t>
            </w:r>
          </w:p>
        </w:tc>
      </w:tr>
    </w:tbl>
    <w:p>
      <w:pPr>
        <w:rPr>
          <w:noProof/>
          <w:sz w:val="20"/>
          <w:szCs w:val="20"/>
        </w:rPr>
      </w:pPr>
      <w:r>
        <w:rPr>
          <w:i/>
          <w:noProof/>
          <w:sz w:val="20"/>
          <w:szCs w:val="20"/>
        </w:rPr>
        <w:t xml:space="preserve">Source: </w:t>
      </w:r>
      <w:r>
        <w:rPr>
          <w:noProof/>
          <w:sz w:val="20"/>
          <w:szCs w:val="20"/>
        </w:rPr>
        <w:t>Own estimates based on the LMDI methodoloy and sorted according to energy intensity in 2017</w:t>
      </w:r>
    </w:p>
    <w:p>
      <w:pPr>
        <w:rPr>
          <w:b/>
          <w:bCs/>
          <w:noProof/>
          <w:sz w:val="24"/>
          <w:szCs w:val="24"/>
        </w:rPr>
      </w:pPr>
    </w:p>
    <w:p>
      <w:pPr>
        <w:rPr>
          <w:noProof/>
          <w:sz w:val="24"/>
          <w:szCs w:val="24"/>
          <w:lang w:eastAsia="nl-NL"/>
        </w:rPr>
      </w:pPr>
      <w:r>
        <w:rPr>
          <w:noProof/>
          <w:sz w:val="24"/>
          <w:szCs w:val="24"/>
        </w:rPr>
        <w:t xml:space="preserve">The </w:t>
      </w:r>
      <w:r>
        <w:rPr>
          <w:b/>
          <w:bCs/>
          <w:noProof/>
          <w:sz w:val="24"/>
          <w:szCs w:val="24"/>
        </w:rPr>
        <w:t xml:space="preserve">energy intensity effects </w:t>
      </w:r>
      <w:r>
        <w:rPr>
          <w:noProof/>
          <w:sz w:val="24"/>
          <w:szCs w:val="24"/>
        </w:rPr>
        <w:t xml:space="preserve">contributed to a very significant reduction of the energy costs for the majority of manufacturing sectors analysed. The sectors that have seen the largest energy cost savings due to energy intensity improvements were </w:t>
      </w:r>
      <w:r>
        <w:rPr>
          <w:i/>
          <w:iCs/>
          <w:noProof/>
          <w:sz w:val="24"/>
          <w:szCs w:val="24"/>
        </w:rPr>
        <w:t xml:space="preserve">transport equipment </w:t>
      </w:r>
      <w:r>
        <w:rPr>
          <w:iCs/>
          <w:noProof/>
          <w:sz w:val="24"/>
          <w:szCs w:val="24"/>
        </w:rPr>
        <w:t>(-60%),</w:t>
      </w:r>
      <w:r>
        <w:rPr>
          <w:i/>
          <w:iCs/>
          <w:noProof/>
          <w:sz w:val="24"/>
          <w:szCs w:val="24"/>
        </w:rPr>
        <w:t xml:space="preserve"> motor vehicles</w:t>
      </w:r>
      <w:r>
        <w:rPr>
          <w:iCs/>
          <w:noProof/>
          <w:sz w:val="24"/>
          <w:szCs w:val="24"/>
        </w:rPr>
        <w:t xml:space="preserve"> (-37%) </w:t>
      </w:r>
      <w:r>
        <w:rPr>
          <w:i/>
          <w:iCs/>
          <w:noProof/>
          <w:sz w:val="24"/>
          <w:szCs w:val="24"/>
        </w:rPr>
        <w:t xml:space="preserve">plastics </w:t>
      </w:r>
      <w:r>
        <w:rPr>
          <w:iCs/>
          <w:noProof/>
          <w:sz w:val="24"/>
          <w:szCs w:val="24"/>
        </w:rPr>
        <w:t>(-37%),</w:t>
      </w:r>
      <w:r>
        <w:rPr>
          <w:i/>
          <w:iCs/>
          <w:noProof/>
          <w:sz w:val="24"/>
          <w:szCs w:val="24"/>
        </w:rPr>
        <w:t xml:space="preserve"> pharmaceuticals </w:t>
      </w:r>
      <w:r>
        <w:rPr>
          <w:iCs/>
          <w:noProof/>
          <w:sz w:val="24"/>
          <w:szCs w:val="24"/>
        </w:rPr>
        <w:t>(-32%)</w:t>
      </w:r>
      <w:r>
        <w:rPr>
          <w:i/>
          <w:iCs/>
          <w:noProof/>
          <w:sz w:val="24"/>
          <w:szCs w:val="24"/>
        </w:rPr>
        <w:t xml:space="preserve"> </w:t>
      </w:r>
      <w:r>
        <w:rPr>
          <w:iCs/>
          <w:noProof/>
          <w:sz w:val="24"/>
          <w:szCs w:val="24"/>
        </w:rPr>
        <w:t>and</w:t>
      </w:r>
      <w:r>
        <w:rPr>
          <w:i/>
          <w:iCs/>
          <w:noProof/>
          <w:sz w:val="24"/>
          <w:szCs w:val="24"/>
        </w:rPr>
        <w:t xml:space="preserve"> machinery </w:t>
      </w:r>
      <w:r>
        <w:rPr>
          <w:iCs/>
          <w:noProof/>
          <w:sz w:val="24"/>
          <w:szCs w:val="24"/>
        </w:rPr>
        <w:t>(-26%) while the sectors</w:t>
      </w:r>
      <w:r>
        <w:rPr>
          <w:i/>
          <w:iCs/>
          <w:noProof/>
          <w:sz w:val="24"/>
          <w:szCs w:val="24"/>
        </w:rPr>
        <w:t xml:space="preserve"> </w:t>
      </w:r>
      <w:r>
        <w:rPr>
          <w:noProof/>
          <w:sz w:val="24"/>
          <w:szCs w:val="24"/>
          <w:lang w:eastAsia="nl-NL"/>
        </w:rPr>
        <w:t xml:space="preserve">where a positive energy intensity effect has contributed to an increase in energy costs were </w:t>
      </w:r>
      <w:r>
        <w:rPr>
          <w:i/>
          <w:iCs/>
          <w:noProof/>
          <w:sz w:val="24"/>
          <w:szCs w:val="24"/>
          <w:lang w:eastAsia="nl-NL"/>
        </w:rPr>
        <w:t xml:space="preserve">refineries </w:t>
      </w:r>
      <w:r>
        <w:rPr>
          <w:iCs/>
          <w:noProof/>
          <w:sz w:val="24"/>
          <w:szCs w:val="24"/>
          <w:lang w:eastAsia="nl-NL"/>
        </w:rPr>
        <w:t>(11</w:t>
      </w:r>
      <w:r>
        <w:rPr>
          <w:iCs/>
          <w:noProof/>
          <w:sz w:val="24"/>
          <w:szCs w:val="24"/>
        </w:rPr>
        <w:t>%</w:t>
      </w:r>
      <w:r>
        <w:rPr>
          <w:iCs/>
          <w:noProof/>
          <w:sz w:val="24"/>
          <w:szCs w:val="24"/>
          <w:lang w:eastAsia="nl-NL"/>
        </w:rPr>
        <w:t>)</w:t>
      </w:r>
      <w:r>
        <w:rPr>
          <w:i/>
          <w:iCs/>
          <w:noProof/>
          <w:sz w:val="24"/>
          <w:szCs w:val="24"/>
          <w:lang w:eastAsia="nl-NL"/>
        </w:rPr>
        <w:t xml:space="preserve"> </w:t>
      </w:r>
      <w:r>
        <w:rPr>
          <w:noProof/>
          <w:sz w:val="24"/>
          <w:szCs w:val="24"/>
          <w:lang w:eastAsia="nl-NL"/>
        </w:rPr>
        <w:t xml:space="preserve">and </w:t>
      </w:r>
      <w:r>
        <w:rPr>
          <w:i/>
          <w:iCs/>
          <w:noProof/>
          <w:sz w:val="24"/>
          <w:szCs w:val="24"/>
          <w:lang w:eastAsia="nl-NL"/>
        </w:rPr>
        <w:t xml:space="preserve">wood </w:t>
      </w:r>
      <w:r>
        <w:rPr>
          <w:iCs/>
          <w:noProof/>
          <w:sz w:val="24"/>
          <w:szCs w:val="24"/>
          <w:lang w:eastAsia="nl-NL"/>
        </w:rPr>
        <w:t>(10</w:t>
      </w:r>
      <w:r>
        <w:rPr>
          <w:iCs/>
          <w:noProof/>
          <w:sz w:val="24"/>
          <w:szCs w:val="24"/>
        </w:rPr>
        <w:t>%</w:t>
      </w:r>
      <w:r>
        <w:rPr>
          <w:iCs/>
          <w:noProof/>
          <w:sz w:val="24"/>
          <w:szCs w:val="24"/>
          <w:lang w:eastAsia="nl-NL"/>
        </w:rPr>
        <w:t>)</w:t>
      </w:r>
      <w:r>
        <w:rPr>
          <w:noProof/>
          <w:sz w:val="24"/>
          <w:szCs w:val="24"/>
          <w:lang w:eastAsia="nl-NL"/>
        </w:rPr>
        <w:t>.</w:t>
      </w:r>
    </w:p>
    <w:p>
      <w:pPr>
        <w:rPr>
          <w:noProof/>
          <w:sz w:val="24"/>
          <w:szCs w:val="24"/>
        </w:rPr>
      </w:pPr>
      <w:r>
        <w:rPr>
          <w:noProof/>
          <w:sz w:val="24"/>
          <w:szCs w:val="24"/>
          <w:lang w:eastAsia="nl-NL"/>
        </w:rPr>
        <w:t>E</w:t>
      </w:r>
      <w:r>
        <w:rPr>
          <w:rFonts w:eastAsia="Trebuchet MS" w:cs="Trebuchet MS"/>
          <w:noProof/>
          <w:sz w:val="24"/>
          <w:szCs w:val="24"/>
        </w:rPr>
        <w:t xml:space="preserve">nergy consumption has mostly decreased in industry sectors over the period whereas gross output has mostly increased, driving down energy intensity over time and reducing </w:t>
      </w:r>
      <w:r>
        <w:rPr>
          <w:noProof/>
          <w:sz w:val="24"/>
          <w:szCs w:val="24"/>
          <w:lang w:eastAsia="nl-NL"/>
        </w:rPr>
        <w:t xml:space="preserve">energy costs. </w:t>
      </w:r>
      <w:r>
        <w:rPr>
          <w:noProof/>
          <w:sz w:val="24"/>
          <w:szCs w:val="24"/>
        </w:rPr>
        <w:t>Energy efficiency can improve due to a number of factors such as i) changes in the fuel mix ii) structural changes within each industry sector iii) and actual energy efficiency improvements (behavioural changes or investment in energy efficient equipment in response to higher prices or policies</w:t>
      </w:r>
      <w:r>
        <w:rPr>
          <w:rStyle w:val="FootnoteReference"/>
          <w:noProof/>
          <w:sz w:val="24"/>
          <w:szCs w:val="24"/>
        </w:rPr>
        <w:footnoteReference w:id="19"/>
      </w:r>
      <w:r>
        <w:rPr>
          <w:noProof/>
          <w:sz w:val="24"/>
          <w:szCs w:val="24"/>
        </w:rPr>
        <w:t>). Further analysis shows that most of the energy efficiency observed is mainly due to real energy efficiency</w:t>
      </w:r>
      <w:r>
        <w:rPr>
          <w:bCs/>
          <w:noProof/>
          <w:sz w:val="24"/>
          <w:szCs w:val="24"/>
        </w:rPr>
        <w:t xml:space="preserve"> rather than structural change or fuel switching, which appeared to have a negligible effect on the changes of energy intensity of the sectors (Trinomics study s</w:t>
      </w:r>
      <w:r>
        <w:rPr>
          <w:noProof/>
          <w:sz w:val="24"/>
          <w:szCs w:val="24"/>
        </w:rPr>
        <w:t>ection 4.4.5)</w:t>
      </w:r>
      <w:r>
        <w:rPr>
          <w:rFonts w:eastAsia="Trebuchet MS" w:cs="Trebuchet MS"/>
          <w:noProof/>
          <w:sz w:val="24"/>
          <w:szCs w:val="24"/>
        </w:rPr>
        <w:t>.</w:t>
      </w:r>
      <w:r>
        <w:rPr>
          <w:noProof/>
          <w:sz w:val="24"/>
          <w:szCs w:val="24"/>
        </w:rPr>
        <w:t xml:space="preserve"> </w:t>
      </w:r>
    </w:p>
    <w:p>
      <w:pPr>
        <w:rPr>
          <w:noProof/>
          <w:sz w:val="24"/>
          <w:szCs w:val="24"/>
        </w:rPr>
      </w:pPr>
      <w:r>
        <w:rPr>
          <w:noProof/>
          <w:sz w:val="24"/>
          <w:szCs w:val="24"/>
        </w:rPr>
        <w:t xml:space="preserve">All the sectors with the highest decreases in energy intensity have registered an increase in gross output and a decrease in energy consumption between 2010 and 2017. Sectors </w:t>
      </w:r>
      <w:r>
        <w:rPr>
          <w:i/>
          <w:noProof/>
          <w:sz w:val="24"/>
          <w:szCs w:val="24"/>
        </w:rPr>
        <w:t>transport equipment</w:t>
      </w:r>
      <w:r>
        <w:rPr>
          <w:noProof/>
          <w:sz w:val="24"/>
          <w:szCs w:val="24"/>
        </w:rPr>
        <w:t xml:space="preserve"> and </w:t>
      </w:r>
      <w:r>
        <w:rPr>
          <w:i/>
          <w:noProof/>
          <w:sz w:val="24"/>
          <w:szCs w:val="24"/>
        </w:rPr>
        <w:t>motor vehicles</w:t>
      </w:r>
      <w:r>
        <w:rPr>
          <w:noProof/>
          <w:sz w:val="24"/>
          <w:szCs w:val="24"/>
        </w:rPr>
        <w:t xml:space="preserve">, two low energy-intensity sectors, have had some of the highest relative increase in gross output over the period. Apart from the reasons mentioned above (recent investments in energy efficient processes), low energy-intensive sectors may be benefiting from economies of scale. </w:t>
      </w:r>
    </w:p>
    <w:p>
      <w:pPr>
        <w:rPr>
          <w:noProof/>
          <w:sz w:val="24"/>
          <w:szCs w:val="24"/>
        </w:rPr>
      </w:pPr>
      <w:r>
        <w:rPr>
          <w:noProof/>
          <w:sz w:val="24"/>
          <w:szCs w:val="24"/>
        </w:rPr>
        <w:t xml:space="preserve">It is also interesting to see that reduction in (real) energy intensity was almost systematically higher among the ‘less energy-intensive’ sectors as compared with the 'most energy-intensive sectors'. </w:t>
      </w:r>
      <w:r>
        <w:rPr>
          <w:b/>
          <w:noProof/>
          <w:sz w:val="24"/>
          <w:szCs w:val="24"/>
        </w:rPr>
        <w:fldChar w:fldCharType="begin"/>
      </w:r>
      <w:r>
        <w:rPr>
          <w:b/>
          <w:noProof/>
          <w:sz w:val="24"/>
          <w:szCs w:val="24"/>
        </w:rPr>
        <w:instrText xml:space="preserve"> REF _Ref50489041 \h  \* MERGEFORMAT </w:instrText>
      </w:r>
      <w:r>
        <w:rPr>
          <w:b/>
          <w:noProof/>
          <w:sz w:val="24"/>
          <w:szCs w:val="24"/>
        </w:rPr>
      </w:r>
      <w:r>
        <w:rPr>
          <w:b/>
          <w:noProof/>
          <w:sz w:val="24"/>
          <w:szCs w:val="24"/>
        </w:rPr>
        <w:fldChar w:fldCharType="separate"/>
      </w:r>
      <w:r>
        <w:rPr>
          <w:b/>
          <w:noProof/>
          <w:sz w:val="24"/>
          <w:szCs w:val="24"/>
        </w:rPr>
        <w:t>Figure 148</w:t>
      </w:r>
      <w:r>
        <w:rPr>
          <w:b/>
          <w:noProof/>
          <w:sz w:val="24"/>
          <w:szCs w:val="24"/>
        </w:rPr>
        <w:fldChar w:fldCharType="end"/>
      </w:r>
      <w:r>
        <w:rPr>
          <w:b/>
          <w:noProof/>
          <w:sz w:val="24"/>
          <w:szCs w:val="24"/>
        </w:rPr>
        <w:t xml:space="preserve"> </w:t>
      </w:r>
      <w:r>
        <w:rPr>
          <w:noProof/>
          <w:sz w:val="24"/>
          <w:szCs w:val="24"/>
        </w:rPr>
        <w:t xml:space="preserve">and </w:t>
      </w:r>
      <w:r>
        <w:rPr>
          <w:b/>
          <w:noProof/>
          <w:sz w:val="24"/>
          <w:szCs w:val="24"/>
        </w:rPr>
        <w:fldChar w:fldCharType="begin"/>
      </w:r>
      <w:r>
        <w:rPr>
          <w:b/>
          <w:noProof/>
          <w:sz w:val="24"/>
          <w:szCs w:val="24"/>
        </w:rPr>
        <w:instrText xml:space="preserve"> REF _Ref50489056 \h  \* MERGEFORMAT </w:instrText>
      </w:r>
      <w:r>
        <w:rPr>
          <w:b/>
          <w:noProof/>
          <w:sz w:val="24"/>
          <w:szCs w:val="24"/>
        </w:rPr>
      </w:r>
      <w:r>
        <w:rPr>
          <w:b/>
          <w:noProof/>
          <w:sz w:val="24"/>
          <w:szCs w:val="24"/>
        </w:rPr>
        <w:fldChar w:fldCharType="separate"/>
      </w:r>
      <w:r>
        <w:rPr>
          <w:b/>
          <w:noProof/>
          <w:sz w:val="24"/>
          <w:szCs w:val="24"/>
        </w:rPr>
        <w:t>Figure 149</w:t>
      </w:r>
      <w:r>
        <w:rPr>
          <w:b/>
          <w:noProof/>
          <w:sz w:val="24"/>
          <w:szCs w:val="24"/>
        </w:rPr>
        <w:fldChar w:fldCharType="end"/>
      </w:r>
      <w:r>
        <w:rPr>
          <w:noProof/>
          <w:sz w:val="24"/>
          <w:szCs w:val="24"/>
        </w:rPr>
        <w:t xml:space="preserve"> show examples that support this assessment. These results have however to be taken with certain precaution as, in many cases, they are reliant on consumption data (or estimations) from very few countries</w:t>
      </w:r>
      <w:r>
        <w:rPr>
          <w:rStyle w:val="FootnoteReference"/>
          <w:noProof/>
          <w:sz w:val="24"/>
          <w:szCs w:val="24"/>
        </w:rPr>
        <w:footnoteReference w:id="20"/>
      </w:r>
      <w:r>
        <w:rPr>
          <w:noProof/>
          <w:sz w:val="24"/>
          <w:szCs w:val="24"/>
        </w:rPr>
        <w:t>. And structural changes within sectors are difficult to interpret (as there can be considerable heterogeneity at the level of aggregation studied, i.e. NACE 2-digit level</w:t>
      </w:r>
      <w:r>
        <w:rPr>
          <w:rStyle w:val="FootnoteReference"/>
          <w:noProof/>
          <w:sz w:val="24"/>
          <w:szCs w:val="24"/>
        </w:rPr>
        <w:footnoteReference w:id="21"/>
      </w:r>
      <w:r>
        <w:rPr>
          <w:noProof/>
          <w:sz w:val="24"/>
          <w:szCs w:val="24"/>
        </w:rPr>
        <w:t xml:space="preserve">). </w:t>
      </w:r>
    </w:p>
    <w:p>
      <w:pPr>
        <w:rPr>
          <w:noProof/>
          <w:sz w:val="24"/>
          <w:szCs w:val="24"/>
        </w:rPr>
      </w:pPr>
    </w:p>
    <w:p>
      <w:pPr>
        <w:jc w:val="center"/>
        <w:rPr>
          <w:noProof/>
          <w:highlight w:val="yellow"/>
        </w:rPr>
      </w:pPr>
      <w:r>
        <w:rPr>
          <w:noProof/>
          <w:lang w:eastAsia="en-GB"/>
        </w:rPr>
        <w:drawing>
          <wp:inline distT="0" distB="0" distL="0" distR="0">
            <wp:extent cx="5071367" cy="3564693"/>
            <wp:effectExtent l="0" t="0" r="0" b="0"/>
            <wp:docPr id="1236880880" name="Picture 141798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985259"/>
                    <pic:cNvPicPr/>
                  </pic:nvPicPr>
                  <pic:blipFill>
                    <a:blip r:embed="rId86">
                      <a:extLst>
                        <a:ext uri="{28A0092B-C50C-407E-A947-70E740481C1C}">
                          <a14:useLocalDpi xmlns:a14="http://schemas.microsoft.com/office/drawing/2010/main"/>
                        </a:ext>
                      </a:extLst>
                    </a:blip>
                    <a:stretch>
                      <a:fillRect/>
                    </a:stretch>
                  </pic:blipFill>
                  <pic:spPr>
                    <a:xfrm>
                      <a:off x="0" y="0"/>
                      <a:ext cx="5084032" cy="3573595"/>
                    </a:xfrm>
                    <a:prstGeom prst="rect">
                      <a:avLst/>
                    </a:prstGeom>
                  </pic:spPr>
                </pic:pic>
              </a:graphicData>
            </a:graphic>
          </wp:inline>
        </w:drawing>
      </w:r>
    </w:p>
    <w:p>
      <w:pPr>
        <w:pStyle w:val="Caption"/>
      </w:pPr>
      <w:bookmarkStart w:id="189" w:name="_Ref50489041"/>
      <w:bookmarkStart w:id="190" w:name="_Toc50494143"/>
      <w:bookmarkStart w:id="191" w:name="_Toc52396920"/>
      <w:r>
        <w:t xml:space="preserve">Figure </w:t>
      </w:r>
      <w:r>
        <w:fldChar w:fldCharType="begin"/>
      </w:r>
      <w:r>
        <w:instrText xml:space="preserve"> SEQ Figure \* ARABIC </w:instrText>
      </w:r>
      <w:r>
        <w:fldChar w:fldCharType="separate"/>
      </w:r>
      <w:r>
        <w:t>148</w:t>
      </w:r>
      <w:r>
        <w:fldChar w:fldCharType="end"/>
      </w:r>
      <w:bookmarkEnd w:id="189"/>
      <w:r>
        <w:t xml:space="preserve"> - Changes in gross output and energy consumption in high energy-intensity sectors, 2010-2017</w:t>
      </w:r>
      <w:bookmarkEnd w:id="190"/>
      <w:bookmarkEnd w:id="191"/>
    </w:p>
    <w:p>
      <w:pPr>
        <w:rPr>
          <w:noProof/>
          <w:highlight w:val="yellow"/>
        </w:rPr>
      </w:pPr>
    </w:p>
    <w:p>
      <w:pPr>
        <w:rPr>
          <w:noProof/>
          <w:highlight w:val="yellow"/>
        </w:rPr>
      </w:pPr>
    </w:p>
    <w:p>
      <w:pPr>
        <w:jc w:val="center"/>
        <w:rPr>
          <w:noProof/>
          <w:highlight w:val="yellow"/>
        </w:rPr>
      </w:pPr>
      <w:r>
        <w:rPr>
          <w:noProof/>
          <w:lang w:eastAsia="en-GB"/>
        </w:rPr>
        <w:drawing>
          <wp:inline distT="0" distB="0" distL="0" distR="0">
            <wp:extent cx="5112546" cy="2997134"/>
            <wp:effectExtent l="0" t="0" r="0" b="0"/>
            <wp:docPr id="1236880881" name="Picture 141798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985257"/>
                    <pic:cNvPicPr/>
                  </pic:nvPicPr>
                  <pic:blipFill>
                    <a:blip r:embed="rId87">
                      <a:extLst>
                        <a:ext uri="{28A0092B-C50C-407E-A947-70E740481C1C}">
                          <a14:useLocalDpi xmlns:a14="http://schemas.microsoft.com/office/drawing/2010/main"/>
                        </a:ext>
                      </a:extLst>
                    </a:blip>
                    <a:stretch>
                      <a:fillRect/>
                    </a:stretch>
                  </pic:blipFill>
                  <pic:spPr>
                    <a:xfrm>
                      <a:off x="0" y="0"/>
                      <a:ext cx="5118077" cy="3000377"/>
                    </a:xfrm>
                    <a:prstGeom prst="rect">
                      <a:avLst/>
                    </a:prstGeom>
                  </pic:spPr>
                </pic:pic>
              </a:graphicData>
            </a:graphic>
          </wp:inline>
        </w:drawing>
      </w:r>
    </w:p>
    <w:p>
      <w:pPr>
        <w:pStyle w:val="Caption"/>
      </w:pPr>
      <w:bookmarkStart w:id="192" w:name="_Ref50489056"/>
      <w:bookmarkStart w:id="193" w:name="_Toc50494144"/>
      <w:bookmarkStart w:id="194" w:name="_Toc52396921"/>
      <w:r>
        <w:t xml:space="preserve">Figure </w:t>
      </w:r>
      <w:r>
        <w:fldChar w:fldCharType="begin"/>
      </w:r>
      <w:r>
        <w:instrText xml:space="preserve"> SEQ Figure \* ARABIC </w:instrText>
      </w:r>
      <w:r>
        <w:fldChar w:fldCharType="separate"/>
      </w:r>
      <w:r>
        <w:t>149</w:t>
      </w:r>
      <w:r>
        <w:fldChar w:fldCharType="end"/>
      </w:r>
      <w:bookmarkEnd w:id="192"/>
      <w:r>
        <w:t xml:space="preserve"> - Changes in gross output and energy consumption in low energy-intensity sectors, 2010-2017</w:t>
      </w:r>
      <w:bookmarkEnd w:id="193"/>
      <w:bookmarkEnd w:id="194"/>
    </w:p>
    <w:p>
      <w:pPr>
        <w:rPr>
          <w:noProof/>
          <w:sz w:val="24"/>
          <w:szCs w:val="24"/>
        </w:rPr>
      </w:pPr>
    </w:p>
    <w:p>
      <w:pPr>
        <w:rPr>
          <w:noProof/>
          <w:sz w:val="24"/>
          <w:szCs w:val="24"/>
        </w:rPr>
      </w:pPr>
      <w:r>
        <w:rPr>
          <w:noProof/>
          <w:sz w:val="24"/>
          <w:szCs w:val="24"/>
        </w:rPr>
        <w:t xml:space="preserve">The </w:t>
      </w:r>
      <w:r>
        <w:rPr>
          <w:b/>
          <w:bCs/>
          <w:noProof/>
          <w:sz w:val="24"/>
          <w:szCs w:val="24"/>
        </w:rPr>
        <w:t>price effect</w:t>
      </w:r>
      <w:r>
        <w:rPr>
          <w:noProof/>
          <w:sz w:val="24"/>
          <w:szCs w:val="24"/>
        </w:rPr>
        <w:t xml:space="preserve"> was small although positive in most of the industry sectors analysed. The price change was driven by the combined effect of higher electricity prices and lower gas and oil prices over the period 2010-2017. Energy price increases also contributed to small changes in energy costs due to the fact that energy cost represent a rather small part of total production costs, especially in the less energy-intensive sectors.</w:t>
      </w:r>
    </w:p>
    <w:p>
      <w:pPr>
        <w:rPr>
          <w:noProof/>
          <w:sz w:val="24"/>
          <w:szCs w:val="24"/>
        </w:rPr>
      </w:pPr>
      <w:r>
        <w:rPr>
          <w:noProof/>
          <w:sz w:val="24"/>
          <w:szCs w:val="24"/>
        </w:rPr>
        <w:t xml:space="preserve">The price effect was the highest in less energy-intensive sectors such as </w:t>
      </w:r>
      <w:r>
        <w:rPr>
          <w:i/>
          <w:noProof/>
          <w:sz w:val="24"/>
          <w:szCs w:val="24"/>
        </w:rPr>
        <w:t>repair of machinery (17%)</w:t>
      </w:r>
      <w:r>
        <w:rPr>
          <w:noProof/>
          <w:sz w:val="24"/>
          <w:szCs w:val="24"/>
        </w:rPr>
        <w:t xml:space="preserve">, </w:t>
      </w:r>
      <w:r>
        <w:rPr>
          <w:i/>
          <w:noProof/>
          <w:sz w:val="24"/>
          <w:szCs w:val="24"/>
        </w:rPr>
        <w:t>machinery (14%)</w:t>
      </w:r>
      <w:r>
        <w:rPr>
          <w:noProof/>
          <w:sz w:val="24"/>
          <w:szCs w:val="24"/>
        </w:rPr>
        <w:t xml:space="preserve">, </w:t>
      </w:r>
      <w:r>
        <w:rPr>
          <w:i/>
          <w:noProof/>
          <w:sz w:val="24"/>
          <w:szCs w:val="24"/>
        </w:rPr>
        <w:t>transport equipment (12%)</w:t>
      </w:r>
      <w:r>
        <w:rPr>
          <w:noProof/>
          <w:sz w:val="24"/>
          <w:szCs w:val="24"/>
        </w:rPr>
        <w:t xml:space="preserve"> and </w:t>
      </w:r>
      <w:r>
        <w:rPr>
          <w:i/>
          <w:noProof/>
          <w:sz w:val="24"/>
          <w:szCs w:val="24"/>
        </w:rPr>
        <w:t>pharmaceuti</w:t>
      </w:r>
      <w:r>
        <w:rPr>
          <w:noProof/>
          <w:sz w:val="24"/>
          <w:szCs w:val="24"/>
        </w:rPr>
        <w:t xml:space="preserve">cals (12%). The price effects in the high energy-intensive industries were overall low or modest such as in the case of </w:t>
      </w:r>
      <w:r>
        <w:rPr>
          <w:i/>
          <w:noProof/>
          <w:sz w:val="24"/>
          <w:szCs w:val="24"/>
        </w:rPr>
        <w:t>paper</w:t>
      </w:r>
      <w:r>
        <w:rPr>
          <w:noProof/>
          <w:sz w:val="24"/>
          <w:szCs w:val="24"/>
        </w:rPr>
        <w:t xml:space="preserve"> (+0.7%) and </w:t>
      </w:r>
      <w:r>
        <w:rPr>
          <w:i/>
          <w:noProof/>
          <w:sz w:val="24"/>
          <w:szCs w:val="24"/>
        </w:rPr>
        <w:t>non-metallic mineral products</w:t>
      </w:r>
      <w:r>
        <w:rPr>
          <w:noProof/>
          <w:sz w:val="24"/>
          <w:szCs w:val="24"/>
        </w:rPr>
        <w:t xml:space="preserve"> (+1.3), </w:t>
      </w:r>
      <w:r>
        <w:rPr>
          <w:i/>
          <w:noProof/>
          <w:sz w:val="24"/>
          <w:szCs w:val="24"/>
        </w:rPr>
        <w:t>basic metals</w:t>
      </w:r>
      <w:r>
        <w:rPr>
          <w:noProof/>
          <w:sz w:val="24"/>
          <w:szCs w:val="24"/>
        </w:rPr>
        <w:t xml:space="preserve"> (+5%) or even negative in the case of</w:t>
      </w:r>
      <w:r>
        <w:rPr>
          <w:i/>
          <w:noProof/>
          <w:sz w:val="24"/>
          <w:szCs w:val="24"/>
        </w:rPr>
        <w:t xml:space="preserve"> chemicals (-4%) </w:t>
      </w:r>
      <w:r>
        <w:rPr>
          <w:noProof/>
          <w:sz w:val="24"/>
          <w:szCs w:val="24"/>
        </w:rPr>
        <w:t xml:space="preserve">and </w:t>
      </w:r>
      <w:r>
        <w:rPr>
          <w:i/>
          <w:noProof/>
          <w:sz w:val="24"/>
          <w:szCs w:val="24"/>
        </w:rPr>
        <w:t>refineries</w:t>
      </w:r>
      <w:r>
        <w:rPr>
          <w:noProof/>
          <w:sz w:val="24"/>
          <w:szCs w:val="24"/>
        </w:rPr>
        <w:t xml:space="preserve"> (-7%). Low or negative price effects appeared in the sectors which importantly rely on oil and gas, the prices of which declined over the period.</w:t>
      </w:r>
    </w:p>
    <w:p>
      <w:pPr>
        <w:rPr>
          <w:noProof/>
          <w:sz w:val="24"/>
          <w:szCs w:val="24"/>
        </w:rPr>
      </w:pPr>
      <w:r>
        <w:rPr>
          <w:noProof/>
          <w:sz w:val="24"/>
          <w:szCs w:val="24"/>
        </w:rPr>
        <w:t xml:space="preserve">The relatively small price effect in sectors in which electricity plays an important is largely because production took place in Member States where energy price rises were modest and/or because production shifted to Member States where energy prices are lower. For instance, for the highly energy-intensive of </w:t>
      </w:r>
      <w:r>
        <w:rPr>
          <w:i/>
          <w:iCs/>
          <w:noProof/>
          <w:sz w:val="24"/>
          <w:szCs w:val="24"/>
        </w:rPr>
        <w:t xml:space="preserve">paper, </w:t>
      </w:r>
      <w:r>
        <w:rPr>
          <w:noProof/>
          <w:sz w:val="24"/>
          <w:szCs w:val="24"/>
        </w:rPr>
        <w:t xml:space="preserve">production moved away from Italy (with a high sectoral average energy price in 2017) while increased in countries with lower average energy prices, such as Finland, Germany, the Netherland, and Poland. In the case of </w:t>
      </w:r>
      <w:r>
        <w:rPr>
          <w:i/>
          <w:noProof/>
          <w:sz w:val="24"/>
          <w:szCs w:val="24"/>
        </w:rPr>
        <w:t>non-metallic mineral products</w:t>
      </w:r>
      <w:r>
        <w:rPr>
          <w:noProof/>
          <w:sz w:val="24"/>
          <w:szCs w:val="24"/>
        </w:rPr>
        <w:t xml:space="preserve">, the growth in output was highest in France, Germany, and Poland in absolute terms. This was paired with a decrease in average energy prices decreased in both Germany and Poland over the time </w:t>
      </w:r>
    </w:p>
    <w:p>
      <w:pPr>
        <w:rPr>
          <w:noProof/>
          <w:sz w:val="24"/>
          <w:szCs w:val="24"/>
        </w:rPr>
      </w:pPr>
    </w:p>
    <w:p>
      <w:pPr>
        <w:rPr>
          <w:noProof/>
          <w:sz w:val="24"/>
          <w:szCs w:val="24"/>
        </w:rPr>
      </w:pPr>
      <w:r>
        <w:rPr>
          <w:noProof/>
          <w:sz w:val="24"/>
          <w:szCs w:val="24"/>
        </w:rPr>
        <w:t xml:space="preserve">The </w:t>
      </w:r>
      <w:r>
        <w:rPr>
          <w:b/>
          <w:bCs/>
          <w:noProof/>
          <w:sz w:val="24"/>
          <w:szCs w:val="24"/>
        </w:rPr>
        <w:t>real output effect</w:t>
      </w:r>
      <w:r>
        <w:rPr>
          <w:noProof/>
          <w:sz w:val="24"/>
          <w:szCs w:val="24"/>
        </w:rPr>
        <w:t xml:space="preserve"> was positive for most sectors and contributed significantly to increase energy costs at EU level. </w:t>
      </w:r>
    </w:p>
    <w:p>
      <w:pPr>
        <w:rPr>
          <w:noProof/>
          <w:sz w:val="24"/>
          <w:szCs w:val="24"/>
        </w:rPr>
      </w:pPr>
      <w:r>
        <w:rPr>
          <w:noProof/>
          <w:sz w:val="24"/>
          <w:szCs w:val="24"/>
        </w:rPr>
        <w:t xml:space="preserve">The growth in real output contribute to rise energy cost particularly in the manufacturing of </w:t>
      </w:r>
      <w:r>
        <w:rPr>
          <w:i/>
          <w:noProof/>
          <w:sz w:val="24"/>
          <w:szCs w:val="24"/>
        </w:rPr>
        <w:t>transport equipment</w:t>
      </w:r>
      <w:r>
        <w:rPr>
          <w:noProof/>
          <w:sz w:val="24"/>
          <w:szCs w:val="24"/>
        </w:rPr>
        <w:t xml:space="preserve"> (+42%), </w:t>
      </w:r>
      <w:r>
        <w:rPr>
          <w:i/>
          <w:noProof/>
          <w:sz w:val="24"/>
          <w:szCs w:val="24"/>
        </w:rPr>
        <w:t>motor vehicles</w:t>
      </w:r>
      <w:r>
        <w:rPr>
          <w:noProof/>
          <w:sz w:val="24"/>
          <w:szCs w:val="24"/>
        </w:rPr>
        <w:t xml:space="preserve"> (40%), </w:t>
      </w:r>
      <w:r>
        <w:rPr>
          <w:i/>
          <w:noProof/>
          <w:sz w:val="24"/>
          <w:szCs w:val="24"/>
        </w:rPr>
        <w:t>computers</w:t>
      </w:r>
      <w:r>
        <w:rPr>
          <w:noProof/>
          <w:sz w:val="24"/>
          <w:szCs w:val="24"/>
        </w:rPr>
        <w:t xml:space="preserve"> and </w:t>
      </w:r>
      <w:r>
        <w:rPr>
          <w:i/>
          <w:noProof/>
          <w:sz w:val="24"/>
          <w:szCs w:val="24"/>
        </w:rPr>
        <w:t>pharmaceuticals</w:t>
      </w:r>
      <w:r>
        <w:rPr>
          <w:noProof/>
          <w:sz w:val="24"/>
          <w:szCs w:val="24"/>
        </w:rPr>
        <w:t xml:space="preserve"> (+15%), </w:t>
      </w:r>
      <w:r>
        <w:rPr>
          <w:i/>
          <w:noProof/>
          <w:sz w:val="24"/>
          <w:szCs w:val="24"/>
        </w:rPr>
        <w:t>basic metals</w:t>
      </w:r>
      <w:r>
        <w:rPr>
          <w:noProof/>
          <w:sz w:val="24"/>
          <w:szCs w:val="24"/>
        </w:rPr>
        <w:t xml:space="preserve"> (+12%), </w:t>
      </w:r>
      <w:r>
        <w:rPr>
          <w:i/>
          <w:noProof/>
          <w:sz w:val="24"/>
          <w:szCs w:val="24"/>
        </w:rPr>
        <w:t xml:space="preserve">plastics </w:t>
      </w:r>
      <w:r>
        <w:rPr>
          <w:noProof/>
          <w:sz w:val="24"/>
          <w:szCs w:val="24"/>
        </w:rPr>
        <w:t xml:space="preserve">and </w:t>
      </w:r>
      <w:r>
        <w:rPr>
          <w:i/>
          <w:noProof/>
          <w:sz w:val="24"/>
          <w:szCs w:val="24"/>
        </w:rPr>
        <w:t>beverages</w:t>
      </w:r>
      <w:r>
        <w:rPr>
          <w:noProof/>
          <w:sz w:val="24"/>
          <w:szCs w:val="24"/>
        </w:rPr>
        <w:t xml:space="preserve"> (+10%). Few sectors, with sector specific economic dynamics, like </w:t>
      </w:r>
      <w:r>
        <w:rPr>
          <w:i/>
          <w:noProof/>
          <w:sz w:val="24"/>
          <w:szCs w:val="24"/>
        </w:rPr>
        <w:t>refineries</w:t>
      </w:r>
      <w:r>
        <w:rPr>
          <w:noProof/>
          <w:sz w:val="24"/>
          <w:szCs w:val="24"/>
        </w:rPr>
        <w:t xml:space="preserve"> (-34%) and </w:t>
      </w:r>
      <w:r>
        <w:rPr>
          <w:i/>
          <w:noProof/>
          <w:sz w:val="24"/>
          <w:szCs w:val="24"/>
        </w:rPr>
        <w:t>textiles</w:t>
      </w:r>
      <w:r>
        <w:rPr>
          <w:noProof/>
          <w:sz w:val="24"/>
          <w:szCs w:val="24"/>
        </w:rPr>
        <w:t xml:space="preserve"> (-1%) saw a reduction of real output over the period 2010-2017.</w:t>
      </w:r>
    </w:p>
    <w:p>
      <w:pPr>
        <w:rPr>
          <w:noProof/>
          <w:sz w:val="24"/>
          <w:szCs w:val="24"/>
        </w:rPr>
      </w:pPr>
      <w:r>
        <w:rPr>
          <w:noProof/>
          <w:sz w:val="24"/>
          <w:szCs w:val="24"/>
        </w:rPr>
        <w:t xml:space="preserve">The increase in </w:t>
      </w:r>
      <w:r>
        <w:rPr>
          <w:i/>
          <w:noProof/>
          <w:sz w:val="24"/>
          <w:szCs w:val="24"/>
        </w:rPr>
        <w:t>transport equipment</w:t>
      </w:r>
      <w:r>
        <w:rPr>
          <w:noProof/>
          <w:sz w:val="24"/>
          <w:szCs w:val="24"/>
        </w:rPr>
        <w:t xml:space="preserve"> and </w:t>
      </w:r>
      <w:r>
        <w:rPr>
          <w:i/>
          <w:noProof/>
          <w:sz w:val="24"/>
          <w:szCs w:val="24"/>
        </w:rPr>
        <w:t>motor vehicles</w:t>
      </w:r>
      <w:r>
        <w:rPr>
          <w:noProof/>
          <w:sz w:val="24"/>
          <w:szCs w:val="24"/>
        </w:rPr>
        <w:t xml:space="preserve"> represented more than 40% of the contribution of output growth to the rise in total energy costs in the EU. The sectors’ increase was due to large increase in activity in Germany, France, and Italy (in absolute terms). These sectors have experienced an increase in economic activity even though there is a positive price effect on energy costs. However, both sectors have experienced significant reduction in energy intensity, suggesting that international competitiveness has partially improved because of improved energy efficiency.</w:t>
      </w:r>
    </w:p>
    <w:p>
      <w:pPr>
        <w:rPr>
          <w:b/>
          <w:bCs/>
          <w:noProof/>
          <w:sz w:val="24"/>
          <w:szCs w:val="24"/>
        </w:rPr>
      </w:pPr>
    </w:p>
    <w:p>
      <w:pPr>
        <w:rPr>
          <w:noProof/>
          <w:sz w:val="24"/>
          <w:szCs w:val="24"/>
        </w:rPr>
      </w:pPr>
      <w:r>
        <w:rPr>
          <w:noProof/>
          <w:sz w:val="24"/>
          <w:szCs w:val="24"/>
        </w:rPr>
        <w:t xml:space="preserve">The </w:t>
      </w:r>
      <w:r>
        <w:rPr>
          <w:b/>
          <w:noProof/>
          <w:sz w:val="24"/>
          <w:szCs w:val="24"/>
        </w:rPr>
        <w:t>residual term</w:t>
      </w:r>
      <w:r>
        <w:rPr>
          <w:noProof/>
          <w:sz w:val="24"/>
          <w:szCs w:val="24"/>
        </w:rPr>
        <w:t xml:space="preserve"> isolates the unexplained component of changes in energy costs (based on available price and energy consumption data). This residual arises because there are (sometimes large) discrepancies between the calculation of energy costs and the ‘Purchases of Energy Products’ data from Eurostat SBS.  </w:t>
      </w:r>
    </w:p>
    <w:p>
      <w:pPr>
        <w:rPr>
          <w:noProof/>
          <w:sz w:val="24"/>
          <w:szCs w:val="24"/>
        </w:rPr>
      </w:pPr>
      <w:r>
        <w:rPr>
          <w:noProof/>
          <w:sz w:val="24"/>
          <w:szCs w:val="24"/>
        </w:rPr>
        <w:t xml:space="preserve">The residual factor can be due to known data limitations: i) </w:t>
      </w:r>
      <w:r>
        <w:rPr>
          <w:i/>
          <w:noProof/>
          <w:sz w:val="24"/>
          <w:szCs w:val="24"/>
        </w:rPr>
        <w:t>Uncaptured fuel switching effects</w:t>
      </w:r>
      <w:r>
        <w:rPr>
          <w:noProof/>
          <w:sz w:val="24"/>
          <w:szCs w:val="24"/>
        </w:rPr>
        <w:t xml:space="preserve"> as a result of other fuels not accounted for in the analysis. These include renewables, bioenergy, and heat which are very important in some of analysed sectors like wood and paper; ii) </w:t>
      </w:r>
      <w:r>
        <w:rPr>
          <w:i/>
          <w:noProof/>
          <w:sz w:val="24"/>
          <w:szCs w:val="24"/>
        </w:rPr>
        <w:t>Uncaptured industry specific price effects</w:t>
      </w:r>
      <w:r>
        <w:rPr>
          <w:noProof/>
          <w:sz w:val="24"/>
          <w:szCs w:val="24"/>
        </w:rPr>
        <w:t xml:space="preserve"> such as tax and levy exemptions which  are likely to affect the results of some of the analysed energy-intensive sectors such as chemical and basic metals iii) issues with the underlying data such as missing data leading to some country-sector combinations heavily relying on data filling techniques or inconsistencies in the Eurostat SBS data. This issue is not sector-specific and will be explored further in the regression-based analysis.</w:t>
      </w:r>
    </w:p>
    <w:p>
      <w:pPr>
        <w:rPr>
          <w:noProof/>
          <w:sz w:val="24"/>
          <w:szCs w:val="24"/>
        </w:rPr>
      </w:pPr>
      <w:r>
        <w:rPr>
          <w:noProof/>
          <w:sz w:val="24"/>
          <w:szCs w:val="24"/>
        </w:rPr>
        <w:t>The results of the sectors with proportionally higher residual effects should be looked at with certain caution.</w:t>
      </w:r>
    </w:p>
    <w:p>
      <w:pPr>
        <w:rPr>
          <w:b/>
          <w:noProof/>
          <w:sz w:val="24"/>
          <w:szCs w:val="24"/>
          <w:u w:val="single"/>
        </w:rPr>
      </w:pPr>
    </w:p>
    <w:p>
      <w:pPr>
        <w:rPr>
          <w:b/>
          <w:noProof/>
          <w:sz w:val="24"/>
          <w:szCs w:val="24"/>
          <w:u w:val="single"/>
        </w:rPr>
      </w:pPr>
      <w:r>
        <w:rPr>
          <w:b/>
          <w:noProof/>
          <w:sz w:val="24"/>
          <w:szCs w:val="24"/>
          <w:u w:val="single"/>
        </w:rPr>
        <w:t>C- Results of the analysis of energy costs drivers at G20 countries</w:t>
      </w:r>
    </w:p>
    <w:p>
      <w:pPr>
        <w:rPr>
          <w:noProof/>
          <w:sz w:val="24"/>
          <w:szCs w:val="24"/>
        </w:rPr>
      </w:pPr>
      <w:r>
        <w:rPr>
          <w:noProof/>
          <w:sz w:val="24"/>
          <w:szCs w:val="24"/>
        </w:rPr>
        <w:t xml:space="preserve">The analysis of the effects driving energy costs of industrial sectors in G20 countries covers the 2010-2016 period and focuses on China (CN), the United Kingdom (UK), Mexico (MX) and the United States (US). These were the G20 countries and time span for which available data was complete across industry sectors. For each of the sectors, the G20 results available are ranked based on each country’s energy intensity, with the most energy-intensive G20 country ranked first for each sector. The analysis of the impact of the different effects on energy costs responds to very diverse international dynamics of sectors and countries. A detailed description of these can be found in the Trinomics et altri study (2020). </w:t>
      </w:r>
    </w:p>
    <w:p>
      <w:pPr>
        <w:pStyle w:val="Caption"/>
      </w:pPr>
      <w:bookmarkStart w:id="195" w:name="_Toc52396978"/>
      <w:r>
        <w:t xml:space="preserve">Table </w:t>
      </w:r>
      <w:r>
        <w:fldChar w:fldCharType="begin"/>
      </w:r>
      <w:r>
        <w:instrText xml:space="preserve"> SEQ Table \* ARABIC </w:instrText>
      </w:r>
      <w:r>
        <w:fldChar w:fldCharType="separate"/>
      </w:r>
      <w:r>
        <w:t>19</w:t>
      </w:r>
      <w:r>
        <w:fldChar w:fldCharType="end"/>
      </w:r>
      <w:r>
        <w:t>- Decomposition of energy cost drivers for G20 countries over the period (2010-2016)</w:t>
      </w:r>
      <w:bookmarkEnd w:id="195"/>
    </w:p>
    <w:tbl>
      <w:tblPr>
        <w:tblW w:w="9180" w:type="dxa"/>
        <w:tblLook w:val="04A0" w:firstRow="1" w:lastRow="0" w:firstColumn="1" w:lastColumn="0" w:noHBand="0" w:noVBand="1"/>
      </w:tblPr>
      <w:tblGrid>
        <w:gridCol w:w="930"/>
        <w:gridCol w:w="1187"/>
        <w:gridCol w:w="2254"/>
        <w:gridCol w:w="840"/>
        <w:gridCol w:w="993"/>
        <w:gridCol w:w="992"/>
        <w:gridCol w:w="850"/>
        <w:gridCol w:w="1134"/>
      </w:tblGrid>
      <w:tr>
        <w:trPr>
          <w:trHeight w:val="1452"/>
        </w:trPr>
        <w:tc>
          <w:tcPr>
            <w:tcW w:w="930" w:type="dxa"/>
            <w:tcBorders>
              <w:top w:val="single" w:sz="8" w:space="0" w:color="005962"/>
              <w:left w:val="single" w:sz="8" w:space="0" w:color="005962"/>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Country</w:t>
            </w:r>
          </w:p>
        </w:tc>
        <w:tc>
          <w:tcPr>
            <w:tcW w:w="1187"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 xml:space="preserve">Sector </w:t>
            </w:r>
          </w:p>
          <w:p>
            <w:pPr>
              <w:jc w:val="center"/>
              <w:rPr>
                <w:rFonts w:eastAsia="Times New Roman"/>
                <w:b/>
                <w:bCs/>
                <w:noProof/>
                <w:color w:val="FFFFFF"/>
                <w:sz w:val="16"/>
                <w:szCs w:val="16"/>
                <w:lang w:eastAsia="en-GB"/>
              </w:rPr>
            </w:pPr>
            <w:r>
              <w:rPr>
                <w:rFonts w:eastAsia="Times New Roman"/>
                <w:b/>
                <w:bCs/>
                <w:noProof/>
                <w:color w:val="FFFFFF"/>
                <w:sz w:val="16"/>
                <w:szCs w:val="16"/>
                <w:lang w:eastAsia="en-GB"/>
              </w:rPr>
              <w:t>Code</w:t>
            </w:r>
          </w:p>
        </w:tc>
        <w:tc>
          <w:tcPr>
            <w:tcW w:w="2254"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 xml:space="preserve">Sector </w:t>
            </w:r>
          </w:p>
          <w:p>
            <w:pPr>
              <w:jc w:val="center"/>
              <w:rPr>
                <w:rFonts w:eastAsia="Times New Roman"/>
                <w:b/>
                <w:bCs/>
                <w:noProof/>
                <w:color w:val="FFFFFF"/>
                <w:sz w:val="16"/>
                <w:szCs w:val="16"/>
                <w:lang w:eastAsia="en-GB"/>
              </w:rPr>
            </w:pPr>
            <w:r>
              <w:rPr>
                <w:rFonts w:eastAsia="Times New Roman"/>
                <w:b/>
                <w:bCs/>
                <w:noProof/>
                <w:color w:val="FFFFFF"/>
                <w:sz w:val="16"/>
                <w:szCs w:val="16"/>
                <w:lang w:eastAsia="en-GB"/>
              </w:rPr>
              <w:t>(Description)</w:t>
            </w:r>
          </w:p>
        </w:tc>
        <w:tc>
          <w:tcPr>
            <w:tcW w:w="840"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Price effect</w:t>
            </w:r>
          </w:p>
        </w:tc>
        <w:tc>
          <w:tcPr>
            <w:tcW w:w="993"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 xml:space="preserve"> Real output effect</w:t>
            </w:r>
          </w:p>
        </w:tc>
        <w:tc>
          <w:tcPr>
            <w:tcW w:w="992"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Real energy intensity effect</w:t>
            </w:r>
          </w:p>
        </w:tc>
        <w:tc>
          <w:tcPr>
            <w:tcW w:w="850"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Total effect</w:t>
            </w:r>
          </w:p>
        </w:tc>
        <w:tc>
          <w:tcPr>
            <w:tcW w:w="1134"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 xml:space="preserve">2016 Energy Intensity </w:t>
            </w:r>
          </w:p>
          <w:p>
            <w:pPr>
              <w:jc w:val="center"/>
              <w:rPr>
                <w:rFonts w:eastAsia="Times New Roman"/>
                <w:b/>
                <w:bCs/>
                <w:noProof/>
                <w:color w:val="FFFFFF"/>
                <w:sz w:val="16"/>
                <w:szCs w:val="16"/>
                <w:lang w:eastAsia="en-GB"/>
              </w:rPr>
            </w:pPr>
            <w:r>
              <w:rPr>
                <w:rFonts w:eastAsia="Times New Roman"/>
                <w:b/>
                <w:bCs/>
                <w:noProof/>
                <w:color w:val="FFFFFF"/>
                <w:sz w:val="16"/>
                <w:szCs w:val="16"/>
                <w:lang w:eastAsia="en-GB"/>
              </w:rPr>
              <w:t>(toe per million €)</w:t>
            </w:r>
          </w:p>
        </w:tc>
      </w:tr>
      <w:tr>
        <w:trPr>
          <w:trHeight w:val="315"/>
        </w:trPr>
        <w:tc>
          <w:tcPr>
            <w:tcW w:w="930" w:type="dxa"/>
            <w:tcBorders>
              <w:top w:val="single" w:sz="4" w:space="0" w:color="005962"/>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US*</w:t>
            </w:r>
          </w:p>
        </w:tc>
        <w:tc>
          <w:tcPr>
            <w:tcW w:w="1187" w:type="dxa"/>
            <w:vMerge w:val="restart"/>
            <w:tcBorders>
              <w:top w:val="single" w:sz="4" w:space="0" w:color="005962"/>
              <w:left w:val="single" w:sz="4" w:space="0" w:color="005962"/>
              <w:bottom w:val="double" w:sz="6" w:space="0" w:color="005962"/>
              <w:right w:val="single" w:sz="4" w:space="0" w:color="005962"/>
            </w:tcBorders>
            <w:vAlign w:val="center"/>
            <w:hideMark/>
          </w:tcPr>
          <w:p>
            <w:pPr>
              <w:jc w:val="center"/>
              <w:rPr>
                <w:rFonts w:eastAsia="Times New Roman"/>
                <w:noProof/>
                <w:sz w:val="16"/>
                <w:szCs w:val="16"/>
                <w:lang w:eastAsia="en-GB"/>
              </w:rPr>
            </w:pPr>
            <w:r>
              <w:rPr>
                <w:rFonts w:eastAsia="Times New Roman"/>
                <w:noProof/>
                <w:sz w:val="16"/>
                <w:szCs w:val="16"/>
                <w:lang w:eastAsia="en-GB"/>
              </w:rPr>
              <w:t>C10_C12</w:t>
            </w:r>
          </w:p>
        </w:tc>
        <w:tc>
          <w:tcPr>
            <w:tcW w:w="2254" w:type="dxa"/>
            <w:vMerge w:val="restart"/>
            <w:tcBorders>
              <w:top w:val="single" w:sz="4" w:space="0" w:color="005962"/>
              <w:left w:val="single" w:sz="4" w:space="0" w:color="005962"/>
              <w:bottom w:val="double" w:sz="6" w:space="0" w:color="005962"/>
              <w:right w:val="single" w:sz="4" w:space="0" w:color="005962"/>
            </w:tcBorders>
            <w:vAlign w:val="center"/>
            <w:hideMark/>
          </w:tcPr>
          <w:p>
            <w:pPr>
              <w:jc w:val="center"/>
              <w:rPr>
                <w:rFonts w:eastAsia="Times New Roman"/>
                <w:noProof/>
                <w:sz w:val="16"/>
                <w:szCs w:val="16"/>
                <w:lang w:eastAsia="en-GB"/>
              </w:rPr>
            </w:pPr>
            <w:r>
              <w:rPr>
                <w:rFonts w:eastAsia="Times New Roman"/>
                <w:noProof/>
                <w:sz w:val="16"/>
                <w:szCs w:val="16"/>
                <w:lang w:eastAsia="en-GB"/>
              </w:rPr>
              <w:t>Manufacture of food products; beverages and tobacco products</w:t>
            </w:r>
          </w:p>
        </w:tc>
        <w:tc>
          <w:tcPr>
            <w:tcW w:w="840" w:type="dxa"/>
            <w:tcBorders>
              <w:top w:val="single" w:sz="4" w:space="0" w:color="005962"/>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5.0%</w:t>
            </w:r>
          </w:p>
        </w:tc>
        <w:tc>
          <w:tcPr>
            <w:tcW w:w="993" w:type="dxa"/>
            <w:tcBorders>
              <w:top w:val="single" w:sz="4" w:space="0" w:color="005962"/>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33.6%</w:t>
            </w:r>
          </w:p>
        </w:tc>
        <w:tc>
          <w:tcPr>
            <w:tcW w:w="992" w:type="dxa"/>
            <w:tcBorders>
              <w:top w:val="single" w:sz="4" w:space="0" w:color="005962"/>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-22.5%</w:t>
            </w:r>
          </w:p>
        </w:tc>
        <w:tc>
          <w:tcPr>
            <w:tcW w:w="850" w:type="dxa"/>
            <w:tcBorders>
              <w:top w:val="single" w:sz="4" w:space="0" w:color="005962"/>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16.1%</w:t>
            </w:r>
          </w:p>
        </w:tc>
        <w:tc>
          <w:tcPr>
            <w:tcW w:w="1134" w:type="dxa"/>
            <w:tcBorders>
              <w:top w:val="single" w:sz="4" w:space="0" w:color="005962"/>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34.5</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TR</w:t>
            </w: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-36.1%</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19.9%</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23.4%</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7.1%</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31.6</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CN</w:t>
            </w: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61.9%</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112.6%</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-121.2%</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53.4%</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23.4</w:t>
            </w:r>
          </w:p>
        </w:tc>
      </w:tr>
      <w:tr>
        <w:trPr>
          <w:trHeight w:val="315"/>
        </w:trPr>
        <w:tc>
          <w:tcPr>
            <w:tcW w:w="930" w:type="dxa"/>
            <w:tcBorders>
              <w:top w:val="nil"/>
              <w:left w:val="single" w:sz="4" w:space="0" w:color="005962"/>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UK</w:t>
            </w: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24.9%</w:t>
            </w:r>
          </w:p>
        </w:tc>
        <w:tc>
          <w:tcPr>
            <w:tcW w:w="993"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6.7%</w:t>
            </w:r>
          </w:p>
        </w:tc>
        <w:tc>
          <w:tcPr>
            <w:tcW w:w="992"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-11.8%</w:t>
            </w:r>
          </w:p>
        </w:tc>
        <w:tc>
          <w:tcPr>
            <w:tcW w:w="850"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19.8%</w:t>
            </w:r>
          </w:p>
        </w:tc>
        <w:tc>
          <w:tcPr>
            <w:tcW w:w="1134"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21.0</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UK</w:t>
            </w:r>
          </w:p>
        </w:tc>
        <w:tc>
          <w:tcPr>
            <w:tcW w:w="1187" w:type="dxa"/>
            <w:vMerge w:val="restart"/>
            <w:tcBorders>
              <w:top w:val="nil"/>
              <w:left w:val="single" w:sz="4" w:space="0" w:color="005962"/>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C13_C15</w:t>
            </w:r>
          </w:p>
        </w:tc>
        <w:tc>
          <w:tcPr>
            <w:tcW w:w="2254"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sz w:val="16"/>
                <w:szCs w:val="16"/>
                <w:lang w:eastAsia="en-GB"/>
              </w:rPr>
            </w:pPr>
            <w:r>
              <w:rPr>
                <w:rFonts w:eastAsia="Times New Roman"/>
                <w:noProof/>
                <w:sz w:val="16"/>
                <w:szCs w:val="16"/>
                <w:lang w:eastAsia="en-GB"/>
              </w:rPr>
              <w:t>Manufacture of textiles, wearing apparel, leather and related products</w:t>
            </w: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24.1%</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-11.9%</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-2.6%</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9.6%</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48.5</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TR</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-52.9%</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20.1%</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42.3%</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9.5%</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37.4</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19.8%</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45.6%</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-41.6%</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23.7%</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31.9</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68.7%</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96.8%</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-100.8%</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64.7%</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29.2</w:t>
            </w:r>
          </w:p>
        </w:tc>
      </w:tr>
      <w:tr>
        <w:trPr>
          <w:trHeight w:val="315"/>
        </w:trPr>
        <w:tc>
          <w:tcPr>
            <w:tcW w:w="930" w:type="dxa"/>
            <w:tcBorders>
              <w:top w:val="nil"/>
              <w:left w:val="single" w:sz="4" w:space="0" w:color="005962"/>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MX*</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-26.4%</w:t>
            </w:r>
          </w:p>
        </w:tc>
        <w:tc>
          <w:tcPr>
            <w:tcW w:w="993"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-14.5%</w:t>
            </w:r>
          </w:p>
        </w:tc>
        <w:tc>
          <w:tcPr>
            <w:tcW w:w="992"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31.9%</w:t>
            </w:r>
          </w:p>
        </w:tc>
        <w:tc>
          <w:tcPr>
            <w:tcW w:w="850"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-9.0%</w:t>
            </w:r>
          </w:p>
        </w:tc>
        <w:tc>
          <w:tcPr>
            <w:tcW w:w="1134"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0.3</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TR</w:t>
            </w:r>
          </w:p>
        </w:tc>
        <w:tc>
          <w:tcPr>
            <w:tcW w:w="1187" w:type="dxa"/>
            <w:vMerge w:val="restart"/>
            <w:tcBorders>
              <w:top w:val="nil"/>
              <w:left w:val="single" w:sz="4" w:space="0" w:color="005962"/>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C16</w:t>
            </w:r>
          </w:p>
        </w:tc>
        <w:tc>
          <w:tcPr>
            <w:tcW w:w="2254"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sz w:val="16"/>
                <w:szCs w:val="16"/>
                <w:lang w:eastAsia="en-GB"/>
              </w:rPr>
            </w:pPr>
            <w:r>
              <w:rPr>
                <w:rFonts w:eastAsia="Times New Roman"/>
                <w:noProof/>
                <w:sz w:val="16"/>
                <w:szCs w:val="16"/>
                <w:lang w:eastAsia="en-GB"/>
              </w:rPr>
              <w:t>Manufacture of wood and of products of wood and cork, except furniture; manufacture of articles of straw and plaiting materials</w:t>
            </w: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-41.0%</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23.8%</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68.6%</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51.4%</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82.1</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-2.0%</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48.9%</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-43.5%</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3.4%</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51.2</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39.8%</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-42.0%</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80.5%</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78.3%</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22.7</w:t>
            </w:r>
          </w:p>
        </w:tc>
      </w:tr>
      <w:tr>
        <w:trPr>
          <w:trHeight w:val="315"/>
        </w:trPr>
        <w:tc>
          <w:tcPr>
            <w:tcW w:w="930" w:type="dxa"/>
            <w:tcBorders>
              <w:top w:val="nil"/>
              <w:left w:val="single" w:sz="4" w:space="0" w:color="005962"/>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73.3%</w:t>
            </w:r>
          </w:p>
        </w:tc>
        <w:tc>
          <w:tcPr>
            <w:tcW w:w="993"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110.8%</w:t>
            </w:r>
          </w:p>
        </w:tc>
        <w:tc>
          <w:tcPr>
            <w:tcW w:w="992"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-137.0%</w:t>
            </w:r>
          </w:p>
        </w:tc>
        <w:tc>
          <w:tcPr>
            <w:tcW w:w="850"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47.0%</w:t>
            </w:r>
          </w:p>
        </w:tc>
        <w:tc>
          <w:tcPr>
            <w:tcW w:w="1134"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14.5</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US*</w:t>
            </w:r>
          </w:p>
        </w:tc>
        <w:tc>
          <w:tcPr>
            <w:tcW w:w="1187" w:type="dxa"/>
            <w:vMerge w:val="restart"/>
            <w:tcBorders>
              <w:top w:val="nil"/>
              <w:left w:val="single" w:sz="4" w:space="0" w:color="005962"/>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C17</w:t>
            </w:r>
          </w:p>
        </w:tc>
        <w:tc>
          <w:tcPr>
            <w:tcW w:w="2254"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sz w:val="16"/>
                <w:szCs w:val="16"/>
                <w:lang w:eastAsia="en-GB"/>
              </w:rPr>
            </w:pPr>
            <w:r>
              <w:rPr>
                <w:rFonts w:eastAsia="Times New Roman"/>
                <w:noProof/>
                <w:sz w:val="16"/>
                <w:szCs w:val="16"/>
                <w:lang w:eastAsia="en-GB"/>
              </w:rPr>
              <w:t>Manufacture of paper and paper products</w:t>
            </w: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20.0%</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28.8%</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-28.4%</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20.4%</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268.8</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44.7%</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-12.3%</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23.1%</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55.5%</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169.4</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TR</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-40.1%</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22.8%</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57.2%</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39.9%</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86.1</w:t>
            </w:r>
          </w:p>
        </w:tc>
      </w:tr>
      <w:tr>
        <w:trPr>
          <w:trHeight w:val="315"/>
        </w:trPr>
        <w:tc>
          <w:tcPr>
            <w:tcW w:w="930" w:type="dxa"/>
            <w:tcBorders>
              <w:top w:val="nil"/>
              <w:left w:val="single" w:sz="4" w:space="0" w:color="005962"/>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74.4%</w:t>
            </w:r>
          </w:p>
        </w:tc>
        <w:tc>
          <w:tcPr>
            <w:tcW w:w="993"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87.1%</w:t>
            </w:r>
          </w:p>
        </w:tc>
        <w:tc>
          <w:tcPr>
            <w:tcW w:w="992"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-112.2%</w:t>
            </w:r>
          </w:p>
        </w:tc>
        <w:tc>
          <w:tcPr>
            <w:tcW w:w="850"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49.3%</w:t>
            </w:r>
          </w:p>
        </w:tc>
        <w:tc>
          <w:tcPr>
            <w:tcW w:w="1134"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65.0</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CN</w:t>
            </w:r>
          </w:p>
        </w:tc>
        <w:tc>
          <w:tcPr>
            <w:tcW w:w="1187" w:type="dxa"/>
            <w:vMerge w:val="restart"/>
            <w:tcBorders>
              <w:top w:val="nil"/>
              <w:left w:val="single" w:sz="4" w:space="0" w:color="005962"/>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C19_C21</w:t>
            </w:r>
          </w:p>
        </w:tc>
        <w:tc>
          <w:tcPr>
            <w:tcW w:w="2254"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sz w:val="16"/>
                <w:szCs w:val="16"/>
                <w:lang w:eastAsia="en-GB"/>
              </w:rPr>
            </w:pPr>
            <w:r>
              <w:rPr>
                <w:rFonts w:eastAsia="Times New Roman"/>
                <w:noProof/>
                <w:sz w:val="16"/>
                <w:szCs w:val="16"/>
                <w:lang w:eastAsia="en-GB"/>
              </w:rPr>
              <w:t>Manufacture of coke, refined petroleum products, chemicals and chemical products</w:t>
            </w:r>
            <w:r>
              <w:rPr>
                <w:noProof/>
                <w:color w:val="000000"/>
                <w:sz w:val="16"/>
                <w:szCs w:val="16"/>
              </w:rPr>
              <w:t>, basic pharmaceutical products, and pharmaceutical preparations</w:t>
            </w: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31.7%</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110.3%</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-77.6%</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64.5%</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70.9</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TR</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-34.5%</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19.4%</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50.9%</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35.7%</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57.6</w:t>
            </w:r>
          </w:p>
        </w:tc>
      </w:tr>
      <w:tr>
        <w:trPr>
          <w:trHeight w:val="315"/>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-2.2%</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31.3%</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-28.3%</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0.8%</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52.5</w:t>
            </w:r>
          </w:p>
        </w:tc>
      </w:tr>
      <w:tr>
        <w:trPr>
          <w:trHeight w:val="315"/>
        </w:trPr>
        <w:tc>
          <w:tcPr>
            <w:tcW w:w="930" w:type="dxa"/>
            <w:tcBorders>
              <w:top w:val="nil"/>
              <w:left w:val="single" w:sz="4" w:space="0" w:color="005962"/>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sz w:val="16"/>
                <w:szCs w:val="16"/>
                <w:lang w:eastAsia="en-GB"/>
              </w:rPr>
            </w:pPr>
          </w:p>
        </w:tc>
        <w:tc>
          <w:tcPr>
            <w:tcW w:w="840"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28.4%</w:t>
            </w:r>
          </w:p>
        </w:tc>
        <w:tc>
          <w:tcPr>
            <w:tcW w:w="993"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-41.5%</w:t>
            </w:r>
          </w:p>
        </w:tc>
        <w:tc>
          <w:tcPr>
            <w:tcW w:w="992"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15.2%</w:t>
            </w:r>
          </w:p>
        </w:tc>
        <w:tc>
          <w:tcPr>
            <w:tcW w:w="850"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2.1%</w:t>
            </w:r>
          </w:p>
        </w:tc>
        <w:tc>
          <w:tcPr>
            <w:tcW w:w="1134" w:type="dxa"/>
            <w:tcBorders>
              <w:top w:val="nil"/>
              <w:left w:val="nil"/>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33.0</w:t>
            </w:r>
          </w:p>
        </w:tc>
      </w:tr>
      <w:tr>
        <w:trPr>
          <w:trHeight w:val="371"/>
        </w:trPr>
        <w:tc>
          <w:tcPr>
            <w:tcW w:w="930" w:type="dxa"/>
            <w:tcBorders>
              <w:top w:val="nil"/>
              <w:left w:val="single" w:sz="4" w:space="0" w:color="005962"/>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CN</w:t>
            </w:r>
          </w:p>
        </w:tc>
        <w:tc>
          <w:tcPr>
            <w:tcW w:w="1187" w:type="dxa"/>
            <w:tcBorders>
              <w:top w:val="nil"/>
              <w:left w:val="single" w:sz="4" w:space="0" w:color="005962"/>
              <w:bottom w:val="double" w:sz="6"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C21</w:t>
            </w:r>
          </w:p>
        </w:tc>
        <w:tc>
          <w:tcPr>
            <w:tcW w:w="2254" w:type="dxa"/>
            <w:tcBorders>
              <w:top w:val="nil"/>
              <w:left w:val="single" w:sz="4" w:space="0" w:color="005962"/>
              <w:bottom w:val="double" w:sz="6" w:space="0" w:color="005962"/>
              <w:right w:val="single" w:sz="4" w:space="0" w:color="005962"/>
            </w:tcBorders>
            <w:vAlign w:val="center"/>
            <w:hideMark/>
          </w:tcPr>
          <w:p>
            <w:pPr>
              <w:jc w:val="center"/>
              <w:rPr>
                <w:rFonts w:eastAsia="Times New Roman"/>
                <w:noProof/>
                <w:sz w:val="16"/>
                <w:szCs w:val="16"/>
                <w:lang w:eastAsia="en-GB"/>
              </w:rPr>
            </w:pPr>
            <w:r>
              <w:rPr>
                <w:rFonts w:eastAsia="Times New Roman"/>
                <w:noProof/>
                <w:sz w:val="16"/>
                <w:szCs w:val="16"/>
                <w:lang w:eastAsia="en-GB"/>
              </w:rPr>
              <w:t>Manufacture of basic pharmaceutical products and pharmaceutical preparations</w:t>
            </w:r>
          </w:p>
        </w:tc>
        <w:tc>
          <w:tcPr>
            <w:tcW w:w="84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-0.6%</w:t>
            </w:r>
          </w:p>
        </w:tc>
        <w:tc>
          <w:tcPr>
            <w:tcW w:w="993"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129.2%</w:t>
            </w:r>
          </w:p>
        </w:tc>
        <w:tc>
          <w:tcPr>
            <w:tcW w:w="992"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-74.1%</w:t>
            </w:r>
          </w:p>
        </w:tc>
        <w:tc>
          <w:tcPr>
            <w:tcW w:w="850"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54.5%</w:t>
            </w:r>
          </w:p>
        </w:tc>
        <w:tc>
          <w:tcPr>
            <w:tcW w:w="1134" w:type="dxa"/>
            <w:tcBorders>
              <w:top w:val="nil"/>
              <w:left w:val="nil"/>
              <w:bottom w:val="single" w:sz="4" w:space="0" w:color="005962"/>
              <w:right w:val="single" w:sz="4" w:space="0" w:color="005962"/>
            </w:tcBorders>
            <w:noWrap/>
            <w:vAlign w:val="center"/>
            <w:hideMark/>
          </w:tcPr>
          <w:p>
            <w:pPr>
              <w:jc w:val="center"/>
              <w:rPr>
                <w:rFonts w:eastAsia="Times New Roman"/>
                <w:noProof/>
                <w:sz w:val="16"/>
                <w:szCs w:val="16"/>
                <w:lang w:eastAsia="en-GB"/>
              </w:rPr>
            </w:pPr>
            <w:r>
              <w:rPr>
                <w:rFonts w:eastAsia="Times New Roman"/>
                <w:noProof/>
                <w:sz w:val="16"/>
                <w:szCs w:val="16"/>
                <w:lang w:eastAsia="en-GB"/>
              </w:rPr>
              <w:t>33.5</w:t>
            </w:r>
          </w:p>
        </w:tc>
      </w:tr>
    </w:tbl>
    <w:p>
      <w:pPr>
        <w:rPr>
          <w:noProof/>
          <w:sz w:val="24"/>
          <w:szCs w:val="24"/>
        </w:rPr>
      </w:pPr>
    </w:p>
    <w:p>
      <w:pPr>
        <w:rPr>
          <w:noProof/>
          <w:sz w:val="24"/>
          <w:szCs w:val="24"/>
        </w:rPr>
      </w:pPr>
    </w:p>
    <w:p>
      <w:pPr>
        <w:rPr>
          <w:b/>
          <w:noProof/>
          <w:sz w:val="24"/>
          <w:szCs w:val="24"/>
        </w:rPr>
      </w:pPr>
    </w:p>
    <w:p>
      <w:pPr>
        <w:rPr>
          <w:b/>
          <w:noProof/>
          <w:sz w:val="24"/>
          <w:szCs w:val="24"/>
          <w:u w:val="single"/>
        </w:rPr>
      </w:pPr>
      <w:r>
        <w:rPr>
          <w:b/>
          <w:noProof/>
          <w:sz w:val="24"/>
          <w:szCs w:val="24"/>
          <w:u w:val="single"/>
        </w:rPr>
        <w:t>D- Drivers of output effect in the EU and G20</w:t>
      </w:r>
    </w:p>
    <w:p>
      <w:pPr>
        <w:rPr>
          <w:noProof/>
          <w:sz w:val="24"/>
          <w:szCs w:val="24"/>
        </w:rPr>
      </w:pPr>
      <w:r>
        <w:rPr>
          <w:noProof/>
          <w:sz w:val="24"/>
          <w:szCs w:val="24"/>
        </w:rPr>
        <w:t xml:space="preserve">The </w:t>
      </w:r>
      <w:r>
        <w:rPr>
          <w:bCs/>
          <w:noProof/>
          <w:sz w:val="24"/>
          <w:szCs w:val="24"/>
        </w:rPr>
        <w:t xml:space="preserve">EU, the US, and China have experienced increases in total industrial gross output </w:t>
      </w:r>
      <w:r>
        <w:rPr>
          <w:noProof/>
          <w:sz w:val="24"/>
          <w:szCs w:val="24"/>
        </w:rPr>
        <w:t xml:space="preserve">over time driven by </w:t>
      </w:r>
      <w:r>
        <w:rPr>
          <w:bCs/>
          <w:noProof/>
          <w:sz w:val="24"/>
          <w:szCs w:val="24"/>
        </w:rPr>
        <w:t>increased domestic demand</w:t>
      </w:r>
      <w:r>
        <w:rPr>
          <w:noProof/>
          <w:sz w:val="24"/>
          <w:szCs w:val="24"/>
        </w:rPr>
        <w:t xml:space="preserve">. </w:t>
      </w:r>
      <w:r>
        <w:rPr>
          <w:bCs/>
          <w:noProof/>
          <w:sz w:val="24"/>
          <w:szCs w:val="24"/>
        </w:rPr>
        <w:t>Although higher exports in all three areas have contributed moderately to gross output although this was generally compensated by increasing imports</w:t>
      </w:r>
      <w:r>
        <w:rPr>
          <w:noProof/>
          <w:sz w:val="24"/>
          <w:szCs w:val="24"/>
        </w:rPr>
        <w:t>.</w:t>
      </w:r>
    </w:p>
    <w:p>
      <w:pPr>
        <w:rPr>
          <w:noProof/>
          <w:sz w:val="24"/>
          <w:szCs w:val="24"/>
        </w:rPr>
      </w:pPr>
      <w:r>
        <w:rPr>
          <w:noProof/>
          <w:sz w:val="24"/>
          <w:szCs w:val="24"/>
        </w:rPr>
        <w:t xml:space="preserve"> The UK experienced a negative output effect driven by a strong growth of imports that were bigger than exports and the small growth in domestic demand. A detailed account of the varied sectorial developments can be found in the Trinomics (2020)</w:t>
      </w:r>
    </w:p>
    <w:p>
      <w:pPr>
        <w:rPr>
          <w:noProof/>
          <w:sz w:val="24"/>
          <w:szCs w:val="24"/>
        </w:rPr>
      </w:pPr>
    </w:p>
    <w:p>
      <w:pPr>
        <w:rPr>
          <w:noProof/>
          <w:sz w:val="24"/>
          <w:szCs w:val="24"/>
        </w:rPr>
      </w:pPr>
    </w:p>
    <w:p>
      <w:pPr>
        <w:jc w:val="center"/>
        <w:rPr>
          <w:noProof/>
          <w:sz w:val="24"/>
          <w:szCs w:val="24"/>
        </w:rPr>
      </w:pPr>
      <w:r>
        <w:rPr>
          <w:noProof/>
          <w:lang w:eastAsia="en-GB"/>
        </w:rPr>
        <w:drawing>
          <wp:inline distT="0" distB="0" distL="0" distR="0">
            <wp:extent cx="5345338" cy="3879850"/>
            <wp:effectExtent l="0" t="0" r="8255" b="6350"/>
            <wp:docPr id="1236880894" name="Picture 141798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985251"/>
                    <pic:cNvPicPr/>
                  </pic:nvPicPr>
                  <pic:blipFill>
                    <a:blip r:embed="rId88">
                      <a:extLst>
                        <a:ext uri="{28A0092B-C50C-407E-A947-70E740481C1C}">
                          <a14:useLocalDpi xmlns:a14="http://schemas.microsoft.com/office/drawing/2010/main"/>
                        </a:ext>
                      </a:extLst>
                    </a:blip>
                    <a:stretch>
                      <a:fillRect/>
                    </a:stretch>
                  </pic:blipFill>
                  <pic:spPr>
                    <a:xfrm>
                      <a:off x="0" y="0"/>
                      <a:ext cx="5349373" cy="3882778"/>
                    </a:xfrm>
                    <a:prstGeom prst="rect">
                      <a:avLst/>
                    </a:prstGeom>
                  </pic:spPr>
                </pic:pic>
              </a:graphicData>
            </a:graphic>
          </wp:inline>
        </w:drawing>
      </w:r>
    </w:p>
    <w:p>
      <w:pPr>
        <w:pStyle w:val="Caption"/>
      </w:pPr>
      <w:bookmarkStart w:id="196" w:name="_Toc50494145"/>
      <w:bookmarkStart w:id="197" w:name="_Toc52396922"/>
      <w:r>
        <w:t xml:space="preserve">Figure </w:t>
      </w:r>
      <w:r>
        <w:fldChar w:fldCharType="begin"/>
      </w:r>
      <w:r>
        <w:instrText xml:space="preserve"> SEQ Figure \* ARABIC </w:instrText>
      </w:r>
      <w:r>
        <w:fldChar w:fldCharType="separate"/>
      </w:r>
      <w:r>
        <w:t>150</w:t>
      </w:r>
      <w:r>
        <w:fldChar w:fldCharType="end"/>
      </w:r>
      <w:r>
        <w:t>- Decomposition of output effect in EU, UK, US and China</w:t>
      </w:r>
      <w:bookmarkEnd w:id="196"/>
      <w:bookmarkEnd w:id="197"/>
      <w:r>
        <w:t xml:space="preserve"> </w:t>
      </w:r>
    </w:p>
    <w:p>
      <w:pPr>
        <w:spacing w:after="0"/>
        <w:jc w:val="left"/>
        <w:rPr>
          <w:noProof/>
          <w:sz w:val="24"/>
          <w:szCs w:val="24"/>
        </w:rPr>
      </w:pPr>
      <w:r>
        <w:rPr>
          <w:noProof/>
          <w:sz w:val="24"/>
          <w:szCs w:val="24"/>
        </w:rPr>
        <w:br w:type="page"/>
      </w:r>
    </w:p>
    <w:p>
      <w:pPr>
        <w:pStyle w:val="Caption"/>
      </w:pPr>
      <w:bookmarkStart w:id="198" w:name="_Toc52396979"/>
      <w:r>
        <w:t xml:space="preserve">Table </w:t>
      </w:r>
      <w:r>
        <w:fldChar w:fldCharType="begin"/>
      </w:r>
      <w:r>
        <w:instrText xml:space="preserve"> SEQ Table \* ARABIC </w:instrText>
      </w:r>
      <w:r>
        <w:fldChar w:fldCharType="separate"/>
      </w:r>
      <w:r>
        <w:t>20</w:t>
      </w:r>
      <w:r>
        <w:fldChar w:fldCharType="end"/>
      </w:r>
      <w:r>
        <w:t xml:space="preserve"> - Decomposition of output drivers for the EU27 and main G20 trade partners, 2010-2017</w:t>
      </w:r>
      <w:bookmarkEnd w:id="198"/>
    </w:p>
    <w:tbl>
      <w:tblPr>
        <w:tblW w:w="9003" w:type="dxa"/>
        <w:jc w:val="center"/>
        <w:tblLook w:val="04A0" w:firstRow="1" w:lastRow="0" w:firstColumn="1" w:lastColumn="0" w:noHBand="0" w:noVBand="1"/>
      </w:tblPr>
      <w:tblGrid>
        <w:gridCol w:w="1323"/>
        <w:gridCol w:w="1020"/>
        <w:gridCol w:w="2900"/>
        <w:gridCol w:w="980"/>
        <w:gridCol w:w="880"/>
        <w:gridCol w:w="880"/>
        <w:gridCol w:w="1020"/>
      </w:tblGrid>
      <w:tr>
        <w:trPr>
          <w:trHeight w:val="720"/>
          <w:jc w:val="center"/>
        </w:trPr>
        <w:tc>
          <w:tcPr>
            <w:tcW w:w="1323" w:type="dxa"/>
            <w:tcBorders>
              <w:top w:val="single" w:sz="8" w:space="0" w:color="005962"/>
              <w:left w:val="single" w:sz="8" w:space="0" w:color="005962"/>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Area</w:t>
            </w:r>
          </w:p>
        </w:tc>
        <w:tc>
          <w:tcPr>
            <w:tcW w:w="1020"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Sector Code</w:t>
            </w:r>
          </w:p>
        </w:tc>
        <w:tc>
          <w:tcPr>
            <w:tcW w:w="2900"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 xml:space="preserve">Sector </w:t>
            </w:r>
          </w:p>
          <w:p>
            <w:pPr>
              <w:jc w:val="center"/>
              <w:rPr>
                <w:rFonts w:eastAsia="Times New Roman"/>
                <w:b/>
                <w:bCs/>
                <w:noProof/>
                <w:color w:val="FFFFFF"/>
                <w:sz w:val="16"/>
                <w:szCs w:val="16"/>
                <w:lang w:eastAsia="en-GB"/>
              </w:rPr>
            </w:pPr>
            <w:r>
              <w:rPr>
                <w:rFonts w:eastAsia="Times New Roman"/>
                <w:b/>
                <w:bCs/>
                <w:noProof/>
                <w:color w:val="FFFFFF"/>
                <w:sz w:val="16"/>
                <w:szCs w:val="16"/>
                <w:lang w:eastAsia="en-GB"/>
              </w:rPr>
              <w:t>Description</w:t>
            </w:r>
          </w:p>
        </w:tc>
        <w:tc>
          <w:tcPr>
            <w:tcW w:w="980"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Domestic demand effect</w:t>
            </w:r>
          </w:p>
        </w:tc>
        <w:tc>
          <w:tcPr>
            <w:tcW w:w="880"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Export effect</w:t>
            </w:r>
          </w:p>
        </w:tc>
        <w:tc>
          <w:tcPr>
            <w:tcW w:w="880"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Import effect</w:t>
            </w:r>
          </w:p>
        </w:tc>
        <w:tc>
          <w:tcPr>
            <w:tcW w:w="1020" w:type="dxa"/>
            <w:tcBorders>
              <w:top w:val="single" w:sz="8" w:space="0" w:color="005962"/>
              <w:left w:val="nil"/>
              <w:bottom w:val="nil"/>
              <w:right w:val="single" w:sz="8" w:space="0" w:color="005962"/>
            </w:tcBorders>
            <w:shd w:val="clear" w:color="auto" w:fill="548DD4" w:themeFill="text2" w:themeFillTint="99"/>
            <w:vAlign w:val="center"/>
            <w:hideMark/>
          </w:tcPr>
          <w:p>
            <w:pPr>
              <w:jc w:val="center"/>
              <w:rPr>
                <w:rFonts w:eastAsia="Times New Roman"/>
                <w:b/>
                <w:bCs/>
                <w:noProof/>
                <w:color w:val="FFFFFF"/>
                <w:sz w:val="16"/>
                <w:szCs w:val="16"/>
                <w:lang w:eastAsia="en-GB"/>
              </w:rPr>
            </w:pPr>
            <w:r>
              <w:rPr>
                <w:rFonts w:eastAsia="Times New Roman"/>
                <w:b/>
                <w:bCs/>
                <w:noProof/>
                <w:color w:val="FFFFFF"/>
                <w:sz w:val="16"/>
                <w:szCs w:val="16"/>
                <w:lang w:eastAsia="en-GB"/>
              </w:rPr>
              <w:t>Total effect (2010-2017)</w:t>
            </w:r>
          </w:p>
        </w:tc>
      </w:tr>
      <w:tr>
        <w:trPr>
          <w:trHeight w:val="300"/>
          <w:jc w:val="center"/>
        </w:trPr>
        <w:tc>
          <w:tcPr>
            <w:tcW w:w="1323" w:type="dxa"/>
            <w:tcBorders>
              <w:top w:val="single" w:sz="4" w:space="0" w:color="005962"/>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EU27</w:t>
            </w:r>
          </w:p>
        </w:tc>
        <w:tc>
          <w:tcPr>
            <w:tcW w:w="1020" w:type="dxa"/>
            <w:vMerge w:val="restart"/>
            <w:tcBorders>
              <w:top w:val="single" w:sz="4" w:space="0" w:color="005962"/>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C10_C12</w:t>
            </w:r>
          </w:p>
        </w:tc>
        <w:tc>
          <w:tcPr>
            <w:tcW w:w="2900" w:type="dxa"/>
            <w:vMerge w:val="restart"/>
            <w:tcBorders>
              <w:top w:val="single" w:sz="4" w:space="0" w:color="005962"/>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Manufacture of food products; beverages and tobacco products</w:t>
            </w:r>
          </w:p>
        </w:tc>
        <w:tc>
          <w:tcPr>
            <w:tcW w:w="980" w:type="dxa"/>
            <w:tcBorders>
              <w:top w:val="single" w:sz="4" w:space="0" w:color="005962"/>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3.3%</w:t>
            </w:r>
          </w:p>
        </w:tc>
        <w:tc>
          <w:tcPr>
            <w:tcW w:w="880" w:type="dxa"/>
            <w:tcBorders>
              <w:top w:val="single" w:sz="4" w:space="0" w:color="005962"/>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4.3%</w:t>
            </w:r>
          </w:p>
        </w:tc>
        <w:tc>
          <w:tcPr>
            <w:tcW w:w="880" w:type="dxa"/>
            <w:tcBorders>
              <w:top w:val="single" w:sz="4" w:space="0" w:color="005962"/>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-1.7%</w:t>
            </w:r>
          </w:p>
        </w:tc>
        <w:tc>
          <w:tcPr>
            <w:tcW w:w="1020" w:type="dxa"/>
            <w:tcBorders>
              <w:top w:val="single" w:sz="4" w:space="0" w:color="005962"/>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5.9%</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UK</w:t>
            </w: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13.9%</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4.2%</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-6.6%</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11.5%</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US</w:t>
            </w: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34.6%</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2.8%</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-5.1%</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32.3%</w:t>
            </w:r>
          </w:p>
        </w:tc>
      </w:tr>
      <w:tr>
        <w:trPr>
          <w:trHeight w:val="300"/>
          <w:jc w:val="center"/>
        </w:trPr>
        <w:tc>
          <w:tcPr>
            <w:tcW w:w="1323" w:type="dxa"/>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CN</w:t>
            </w: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single" w:sz="4" w:space="0" w:color="005962"/>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171.8%</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2.9%</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-4.0%</w:t>
            </w:r>
          </w:p>
        </w:tc>
        <w:tc>
          <w:tcPr>
            <w:tcW w:w="102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170.7%</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EU27</w:t>
            </w:r>
          </w:p>
        </w:tc>
        <w:tc>
          <w:tcPr>
            <w:tcW w:w="102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C13_C15</w:t>
            </w:r>
          </w:p>
        </w:tc>
        <w:tc>
          <w:tcPr>
            <w:tcW w:w="290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Manufacture of textiles, wearing apparel, leather and related products</w:t>
            </w: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6.9%</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14.5%</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-20.9%</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0.4%</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-36.4%</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12.3%</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8.8%</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-15.3%</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98.6%</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6.8%</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-48.2%</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57.1%</w:t>
            </w:r>
          </w:p>
        </w:tc>
      </w:tr>
      <w:tr>
        <w:trPr>
          <w:trHeight w:val="300"/>
          <w:jc w:val="center"/>
        </w:trPr>
        <w:tc>
          <w:tcPr>
            <w:tcW w:w="1323" w:type="dxa"/>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118.7%</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14.8%</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-1.8%</w:t>
            </w:r>
          </w:p>
        </w:tc>
        <w:tc>
          <w:tcPr>
            <w:tcW w:w="102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131.7%</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EU27</w:t>
            </w:r>
          </w:p>
        </w:tc>
        <w:tc>
          <w:tcPr>
            <w:tcW w:w="102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C16</w:t>
            </w:r>
          </w:p>
        </w:tc>
        <w:tc>
          <w:tcPr>
            <w:tcW w:w="290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Manufacture of wood and of products of wood and cork, except furniture; manufacture of articles of straw and plaiting materials</w:t>
            </w: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-2.5%</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3.0%</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-0.4%</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0.0%</w:t>
            </w:r>
          </w:p>
        </w:tc>
      </w:tr>
      <w:tr>
        <w:trPr>
          <w:trHeight w:val="300"/>
          <w:jc w:val="center"/>
        </w:trPr>
        <w:tc>
          <w:tcPr>
            <w:tcW w:w="1323" w:type="dxa"/>
            <w:tcBorders>
              <w:top w:val="nil"/>
              <w:left w:val="single" w:sz="4" w:space="0" w:color="005962"/>
              <w:bottom w:val="single" w:sz="4" w:space="0" w:color="4F81BD" w:themeColor="accent1"/>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-28.3%</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-1.7%</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6.4%</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-23.5%</w:t>
            </w:r>
          </w:p>
        </w:tc>
      </w:tr>
      <w:tr>
        <w:trPr>
          <w:trHeight w:val="300"/>
          <w:jc w:val="center"/>
        </w:trPr>
        <w:tc>
          <w:tcPr>
            <w:tcW w:w="1323" w:type="dxa"/>
            <w:tcBorders>
              <w:top w:val="single" w:sz="4" w:space="0" w:color="4F81BD" w:themeColor="accent1"/>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67.7%</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5.6%</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-13.8%</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59.5%</w:t>
            </w:r>
          </w:p>
        </w:tc>
      </w:tr>
      <w:tr>
        <w:trPr>
          <w:trHeight w:val="300"/>
          <w:jc w:val="center"/>
        </w:trPr>
        <w:tc>
          <w:tcPr>
            <w:tcW w:w="1323" w:type="dxa"/>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175.2%</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2.7%</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-5.6%</w:t>
            </w:r>
          </w:p>
        </w:tc>
        <w:tc>
          <w:tcPr>
            <w:tcW w:w="102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172.3%</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EU27</w:t>
            </w:r>
          </w:p>
        </w:tc>
        <w:tc>
          <w:tcPr>
            <w:tcW w:w="102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C17</w:t>
            </w:r>
          </w:p>
        </w:tc>
        <w:tc>
          <w:tcPr>
            <w:tcW w:w="290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Manufacture of paper and paper products</w:t>
            </w: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1.3%</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0.7%</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0.4%</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2.3%</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-7.6%</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-5.6%</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15.2%</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2.1%</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26.5%</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1.9%</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-1.4%</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26.9%</w:t>
            </w:r>
          </w:p>
        </w:tc>
      </w:tr>
      <w:tr>
        <w:trPr>
          <w:trHeight w:val="300"/>
          <w:jc w:val="center"/>
        </w:trPr>
        <w:tc>
          <w:tcPr>
            <w:tcW w:w="1323" w:type="dxa"/>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122.6%</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6.1%</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-5.7%</w:t>
            </w:r>
          </w:p>
        </w:tc>
        <w:tc>
          <w:tcPr>
            <w:tcW w:w="102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123.0%</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EU27</w:t>
            </w:r>
          </w:p>
        </w:tc>
        <w:tc>
          <w:tcPr>
            <w:tcW w:w="102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C19</w:t>
            </w:r>
          </w:p>
        </w:tc>
        <w:tc>
          <w:tcPr>
            <w:tcW w:w="290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Manufacture of coke and refined petroleum products</w:t>
            </w: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-29.9%</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-6.6%</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7.6%</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-28.9%</w:t>
            </w:r>
          </w:p>
        </w:tc>
      </w:tr>
      <w:tr>
        <w:trPr>
          <w:trHeight w:val="29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-33.7%</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-22.7%</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7.1%</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-49.3%</w:t>
            </w:r>
          </w:p>
        </w:tc>
      </w:tr>
      <w:tr>
        <w:trPr>
          <w:trHeight w:val="29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17.0%</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19.5%</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-3.5%</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33.0%</w:t>
            </w:r>
          </w:p>
        </w:tc>
      </w:tr>
      <w:tr>
        <w:trPr>
          <w:trHeight w:val="310"/>
          <w:jc w:val="center"/>
        </w:trPr>
        <w:tc>
          <w:tcPr>
            <w:tcW w:w="1323" w:type="dxa"/>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123.1%</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2.4%</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-0.4%</w:t>
            </w:r>
          </w:p>
        </w:tc>
        <w:tc>
          <w:tcPr>
            <w:tcW w:w="102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125.1%</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EU27</w:t>
            </w:r>
          </w:p>
        </w:tc>
        <w:tc>
          <w:tcPr>
            <w:tcW w:w="102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C20</w:t>
            </w:r>
          </w:p>
        </w:tc>
        <w:tc>
          <w:tcPr>
            <w:tcW w:w="290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Manufacture of chemicals and chemical products</w:t>
            </w: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1.1%</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4.8%</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-5.1%</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0.9%</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-23.5%</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-25.8%</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24.9%</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-24.5%</w:t>
            </w:r>
          </w:p>
        </w:tc>
      </w:tr>
      <w:tr>
        <w:trPr>
          <w:trHeight w:val="31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25.4%</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6.0%</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-5.6%</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25.7%</w:t>
            </w:r>
          </w:p>
        </w:tc>
      </w:tr>
      <w:tr>
        <w:trPr>
          <w:trHeight w:val="300"/>
          <w:jc w:val="center"/>
        </w:trPr>
        <w:tc>
          <w:tcPr>
            <w:tcW w:w="1323" w:type="dxa"/>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164.3%</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7.0%</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-7.4%</w:t>
            </w:r>
          </w:p>
        </w:tc>
        <w:tc>
          <w:tcPr>
            <w:tcW w:w="102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164.0%</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EU27</w:t>
            </w:r>
          </w:p>
        </w:tc>
        <w:tc>
          <w:tcPr>
            <w:tcW w:w="102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C21</w:t>
            </w:r>
          </w:p>
        </w:tc>
        <w:tc>
          <w:tcPr>
            <w:tcW w:w="290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Manufacture of basic pharmaceutical products and pharmaceutical preparations</w:t>
            </w: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-8.4%</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47.4%</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-18.2%</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20.8%</w:t>
            </w:r>
          </w:p>
        </w:tc>
      </w:tr>
      <w:tr>
        <w:trPr>
          <w:trHeight w:val="31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16.4%</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-8.0%</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-21.6%</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-13.2%</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84.1%</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5.7%</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-23.8%</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66.0%</w:t>
            </w:r>
          </w:p>
        </w:tc>
      </w:tr>
      <w:tr>
        <w:trPr>
          <w:trHeight w:val="300"/>
          <w:jc w:val="center"/>
        </w:trPr>
        <w:tc>
          <w:tcPr>
            <w:tcW w:w="1323" w:type="dxa"/>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227.3%</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2.8%</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-11.2%</w:t>
            </w:r>
          </w:p>
        </w:tc>
        <w:tc>
          <w:tcPr>
            <w:tcW w:w="102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218.8%</w:t>
            </w:r>
          </w:p>
        </w:tc>
      </w:tr>
      <w:tr>
        <w:trPr>
          <w:trHeight w:val="31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EU27</w:t>
            </w:r>
          </w:p>
        </w:tc>
        <w:tc>
          <w:tcPr>
            <w:tcW w:w="102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C22</w:t>
            </w:r>
          </w:p>
        </w:tc>
        <w:tc>
          <w:tcPr>
            <w:tcW w:w="290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Manufacture of rubber and plastic products</w:t>
            </w: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15.0%</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5.8%</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-5.0%</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15.8%</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8.6%</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0.7%</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-5.3%</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4.0%</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50.8%</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6.4%</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-13.1%</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44.1%</w:t>
            </w:r>
          </w:p>
        </w:tc>
      </w:tr>
      <w:tr>
        <w:trPr>
          <w:trHeight w:val="310"/>
          <w:jc w:val="center"/>
        </w:trPr>
        <w:tc>
          <w:tcPr>
            <w:tcW w:w="1323" w:type="dxa"/>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115.0%</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14.3%</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-1.0%</w:t>
            </w:r>
          </w:p>
        </w:tc>
        <w:tc>
          <w:tcPr>
            <w:tcW w:w="102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128.3%</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EU27</w:t>
            </w:r>
          </w:p>
        </w:tc>
        <w:tc>
          <w:tcPr>
            <w:tcW w:w="102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C23</w:t>
            </w:r>
          </w:p>
        </w:tc>
        <w:tc>
          <w:tcPr>
            <w:tcW w:w="2900" w:type="dxa"/>
            <w:vMerge w:val="restart"/>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Manufacture of other non-metallic mineral products</w:t>
            </w: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1.2%</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3.5%</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-1.9%</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2.8%</w:t>
            </w:r>
          </w:p>
        </w:tc>
      </w:tr>
      <w:tr>
        <w:trPr>
          <w:trHeight w:val="30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UK</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12.0%</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0.4%</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-4.5%</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7.9%</w:t>
            </w:r>
          </w:p>
        </w:tc>
      </w:tr>
      <w:tr>
        <w:trPr>
          <w:trHeight w:val="310"/>
          <w:jc w:val="center"/>
        </w:trPr>
        <w:tc>
          <w:tcPr>
            <w:tcW w:w="1323" w:type="dxa"/>
            <w:tcBorders>
              <w:top w:val="nil"/>
              <w:left w:val="single" w:sz="4" w:space="0" w:color="005962"/>
              <w:bottom w:val="single" w:sz="4"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US</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51.4%</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2.9%</w:t>
            </w:r>
          </w:p>
        </w:tc>
        <w:tc>
          <w:tcPr>
            <w:tcW w:w="88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-9.1%</w:t>
            </w:r>
          </w:p>
        </w:tc>
        <w:tc>
          <w:tcPr>
            <w:tcW w:w="1020" w:type="dxa"/>
            <w:tcBorders>
              <w:top w:val="nil"/>
              <w:left w:val="nil"/>
              <w:bottom w:val="single" w:sz="4"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45.2%</w:t>
            </w:r>
          </w:p>
        </w:tc>
      </w:tr>
      <w:tr>
        <w:trPr>
          <w:trHeight w:val="300"/>
          <w:jc w:val="center"/>
        </w:trPr>
        <w:tc>
          <w:tcPr>
            <w:tcW w:w="1323" w:type="dxa"/>
            <w:tcBorders>
              <w:top w:val="nil"/>
              <w:left w:val="single" w:sz="4" w:space="0" w:color="005962"/>
              <w:bottom w:val="double" w:sz="6" w:space="0" w:color="005962"/>
              <w:right w:val="single" w:sz="4" w:space="0" w:color="005962"/>
            </w:tcBorders>
            <w:vAlign w:val="center"/>
            <w:hideMark/>
          </w:tcPr>
          <w:p>
            <w:pPr>
              <w:jc w:val="center"/>
              <w:rPr>
                <w:rFonts w:eastAsia="Times New Roman"/>
                <w:noProof/>
                <w:color w:val="000000"/>
                <w:sz w:val="16"/>
                <w:szCs w:val="16"/>
                <w:lang w:eastAsia="en-GB"/>
              </w:rPr>
            </w:pPr>
            <w:r>
              <w:rPr>
                <w:noProof/>
                <w:color w:val="000000"/>
                <w:sz w:val="16"/>
                <w:szCs w:val="16"/>
              </w:rPr>
              <w:t>CN</w:t>
            </w: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0" w:type="auto"/>
            <w:vMerge/>
            <w:tcBorders>
              <w:top w:val="nil"/>
              <w:left w:val="single" w:sz="4" w:space="0" w:color="005962"/>
              <w:bottom w:val="double" w:sz="6" w:space="0" w:color="005962"/>
              <w:right w:val="single" w:sz="4" w:space="0" w:color="005962"/>
            </w:tcBorders>
            <w:vAlign w:val="center"/>
            <w:hideMark/>
          </w:tcPr>
          <w:p>
            <w:pPr>
              <w:spacing w:line="276" w:lineRule="auto"/>
              <w:rPr>
                <w:rFonts w:eastAsia="Times New Roman"/>
                <w:noProof/>
                <w:color w:val="000000"/>
                <w:sz w:val="16"/>
                <w:szCs w:val="16"/>
                <w:lang w:eastAsia="en-GB"/>
              </w:rPr>
            </w:pPr>
          </w:p>
        </w:tc>
        <w:tc>
          <w:tcPr>
            <w:tcW w:w="9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168.1%</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5.5%</w:t>
            </w:r>
          </w:p>
        </w:tc>
        <w:tc>
          <w:tcPr>
            <w:tcW w:w="88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-1.5%</w:t>
            </w:r>
          </w:p>
        </w:tc>
        <w:tc>
          <w:tcPr>
            <w:tcW w:w="1020" w:type="dxa"/>
            <w:tcBorders>
              <w:top w:val="nil"/>
              <w:left w:val="nil"/>
              <w:bottom w:val="double" w:sz="6" w:space="0" w:color="005962"/>
              <w:right w:val="single" w:sz="4" w:space="0" w:color="005962"/>
            </w:tcBorders>
            <w:vAlign w:val="center"/>
            <w:hideMark/>
          </w:tcPr>
          <w:p>
            <w:pPr>
              <w:jc w:val="center"/>
              <w:rPr>
                <w:rFonts w:eastAsia="Times New Roman"/>
                <w:noProof/>
                <w:sz w:val="16"/>
                <w:szCs w:val="16"/>
                <w:lang w:eastAsia="en-GB"/>
              </w:rPr>
            </w:pPr>
            <w:r>
              <w:rPr>
                <w:noProof/>
                <w:sz w:val="16"/>
                <w:szCs w:val="16"/>
              </w:rPr>
              <w:t>172.1%</w:t>
            </w:r>
          </w:p>
        </w:tc>
      </w:tr>
    </w:tbl>
    <w:p>
      <w:pPr>
        <w:rPr>
          <w:noProof/>
        </w:rPr>
      </w:pPr>
      <w:r>
        <w:rPr>
          <w:noProof/>
        </w:rPr>
        <w:t>Source: Trinomics (2020)</w:t>
      </w:r>
    </w:p>
    <w:p>
      <w:pPr>
        <w:rPr>
          <w:b/>
          <w:noProof/>
          <w:sz w:val="24"/>
          <w:szCs w:val="24"/>
          <w:u w:val="single"/>
        </w:rPr>
      </w:pPr>
      <w:r>
        <w:rPr>
          <w:b/>
          <w:noProof/>
          <w:sz w:val="24"/>
          <w:szCs w:val="24"/>
          <w:u w:val="single"/>
        </w:rPr>
        <w:t xml:space="preserve">E- Drivers of energy intensity effect in the EU </w:t>
      </w:r>
    </w:p>
    <w:p>
      <w:pPr>
        <w:rPr>
          <w:noProof/>
          <w:sz w:val="24"/>
          <w:szCs w:val="24"/>
        </w:rPr>
      </w:pPr>
      <w:r>
        <w:rPr>
          <w:b/>
          <w:noProof/>
          <w:sz w:val="24"/>
          <w:szCs w:val="24"/>
        </w:rPr>
        <w:fldChar w:fldCharType="begin"/>
      </w:r>
      <w:r>
        <w:rPr>
          <w:b/>
          <w:noProof/>
          <w:sz w:val="24"/>
          <w:szCs w:val="24"/>
        </w:rPr>
        <w:instrText xml:space="preserve"> REF _Ref48126181 \h  \* MERGEFORMAT </w:instrText>
      </w:r>
      <w:r>
        <w:rPr>
          <w:b/>
          <w:noProof/>
          <w:sz w:val="24"/>
          <w:szCs w:val="24"/>
        </w:rPr>
      </w:r>
      <w:r>
        <w:rPr>
          <w:b/>
          <w:noProof/>
          <w:sz w:val="24"/>
          <w:szCs w:val="24"/>
        </w:rPr>
        <w:fldChar w:fldCharType="separate"/>
      </w:r>
      <w:r>
        <w:rPr>
          <w:b/>
          <w:noProof/>
          <w:sz w:val="24"/>
          <w:szCs w:val="24"/>
        </w:rPr>
        <w:t>Table 21</w:t>
      </w:r>
      <w:r>
        <w:rPr>
          <w:b/>
          <w:noProof/>
          <w:sz w:val="24"/>
          <w:szCs w:val="24"/>
        </w:rPr>
        <w:fldChar w:fldCharType="end"/>
      </w:r>
      <w:r>
        <w:rPr>
          <w:noProof/>
          <w:sz w:val="24"/>
          <w:szCs w:val="24"/>
        </w:rPr>
        <w:t xml:space="preserve"> shows the key drivers of the structural change, the range of changes in shares of turnover and the range of energy cost shares for subsectors.</w:t>
      </w:r>
    </w:p>
    <w:p>
      <w:pPr>
        <w:rPr>
          <w:noProof/>
          <w:sz w:val="24"/>
          <w:szCs w:val="24"/>
        </w:rPr>
      </w:pPr>
      <w:r>
        <w:rPr>
          <w:noProof/>
          <w:sz w:val="24"/>
          <w:szCs w:val="24"/>
        </w:rPr>
        <w:t xml:space="preserve">The analysis shows that the </w:t>
      </w:r>
      <w:r>
        <w:rPr>
          <w:b/>
          <w:noProof/>
          <w:sz w:val="24"/>
          <w:szCs w:val="24"/>
        </w:rPr>
        <w:t>structural change in subsectors at a NACE 3 level, had a relatively small impact on overall energy cost share of the aggregate sector relative to other factors</w:t>
      </w:r>
      <w:r>
        <w:rPr>
          <w:noProof/>
          <w:sz w:val="24"/>
          <w:szCs w:val="24"/>
        </w:rPr>
        <w:t xml:space="preserve">. This reflects that </w:t>
      </w:r>
      <w:r>
        <w:rPr>
          <w:b/>
          <w:noProof/>
          <w:sz w:val="24"/>
          <w:szCs w:val="24"/>
        </w:rPr>
        <w:t xml:space="preserve">despite substantial variation in energy intensity between subsectors </w:t>
      </w:r>
      <w:r>
        <w:rPr>
          <w:noProof/>
          <w:sz w:val="24"/>
          <w:szCs w:val="24"/>
        </w:rPr>
        <w:t xml:space="preserve">for some industries, there is no indication that there was a </w:t>
      </w:r>
      <w:r>
        <w:rPr>
          <w:b/>
          <w:noProof/>
          <w:sz w:val="24"/>
          <w:szCs w:val="24"/>
        </w:rPr>
        <w:t xml:space="preserve">sufficient shift in production between subsectors to drive the changes in energy costs shares observed.  </w:t>
      </w:r>
    </w:p>
    <w:p>
      <w:pPr>
        <w:rPr>
          <w:noProof/>
          <w:sz w:val="24"/>
          <w:szCs w:val="24"/>
        </w:rPr>
      </w:pPr>
      <w:r>
        <w:rPr>
          <w:noProof/>
          <w:sz w:val="24"/>
          <w:szCs w:val="24"/>
        </w:rPr>
        <w:t xml:space="preserve">The </w:t>
      </w:r>
      <w:r>
        <w:rPr>
          <w:b/>
          <w:noProof/>
          <w:sz w:val="24"/>
          <w:szCs w:val="24"/>
        </w:rPr>
        <w:t>differences in energy cost shares can be quite large for subsectors within a NACE 2 level sector</w:t>
      </w:r>
      <w:r>
        <w:rPr>
          <w:noProof/>
          <w:sz w:val="24"/>
          <w:szCs w:val="24"/>
        </w:rPr>
        <w:t xml:space="preserve">. For example, in Non-metallic minerals, the least intensive sub sector is a fifth as intensive as most intensive sub sector. However, over the period, the change in turnover shares was only between -1.8% and 1% so the </w:t>
      </w:r>
      <w:r>
        <w:rPr>
          <w:i/>
          <w:noProof/>
          <w:sz w:val="24"/>
          <w:szCs w:val="24"/>
        </w:rPr>
        <w:t>net structural change</w:t>
      </w:r>
      <w:r>
        <w:rPr>
          <w:noProof/>
          <w:sz w:val="24"/>
          <w:szCs w:val="24"/>
        </w:rPr>
        <w:t xml:space="preserve"> effect is only 2%.  For other sectors, where the difference in energy cost share in subsectors is very small, and this limits the scope of structural change to impact energy intensity (for instance </w:t>
      </w:r>
      <w:r>
        <w:rPr>
          <w:i/>
          <w:noProof/>
          <w:sz w:val="24"/>
          <w:szCs w:val="24"/>
        </w:rPr>
        <w:t xml:space="preserve">leather </w:t>
      </w:r>
      <w:r>
        <w:rPr>
          <w:noProof/>
          <w:sz w:val="24"/>
          <w:szCs w:val="24"/>
        </w:rPr>
        <w:t>and</w:t>
      </w:r>
      <w:r>
        <w:rPr>
          <w:i/>
          <w:noProof/>
          <w:sz w:val="24"/>
          <w:szCs w:val="24"/>
        </w:rPr>
        <w:t xml:space="preserve"> printing, </w:t>
      </w:r>
      <w:r>
        <w:rPr>
          <w:noProof/>
          <w:sz w:val="24"/>
          <w:szCs w:val="24"/>
        </w:rPr>
        <w:t xml:space="preserve">in which there </w:t>
      </w:r>
      <w:r>
        <w:rPr>
          <w:i/>
          <w:noProof/>
          <w:sz w:val="24"/>
          <w:szCs w:val="24"/>
        </w:rPr>
        <w:t xml:space="preserve">was a </w:t>
      </w:r>
      <w:r>
        <w:rPr>
          <w:noProof/>
          <w:sz w:val="24"/>
          <w:szCs w:val="24"/>
        </w:rPr>
        <w:t xml:space="preserve">shift in shares of 4.9% and 3.2% respectively, the structural intensity effect was only 1% and 0%). The largest structural change effect is observed for </w:t>
      </w:r>
      <w:r>
        <w:rPr>
          <w:i/>
          <w:noProof/>
          <w:sz w:val="24"/>
          <w:szCs w:val="24"/>
        </w:rPr>
        <w:t>other transport equipment</w:t>
      </w:r>
      <w:r>
        <w:rPr>
          <w:noProof/>
          <w:sz w:val="24"/>
          <w:szCs w:val="24"/>
        </w:rPr>
        <w:t xml:space="preserve"> which shows a particularly large structural change effect in turnover between sectors to a lower energy-intensive sector.  </w:t>
      </w:r>
    </w:p>
    <w:p>
      <w:pPr>
        <w:pStyle w:val="DefaultText"/>
        <w:rPr>
          <w:rFonts w:eastAsia="Trebuchet MS"/>
          <w:noProof/>
        </w:rPr>
      </w:pPr>
    </w:p>
    <w:p>
      <w:pPr>
        <w:pStyle w:val="Caption"/>
      </w:pPr>
      <w:bookmarkStart w:id="199" w:name="_Ref48126181"/>
      <w:bookmarkStart w:id="200" w:name="_Ref44350627"/>
      <w:bookmarkStart w:id="201" w:name="_Toc52396980"/>
      <w:r>
        <w:t xml:space="preserve">Table </w:t>
      </w:r>
      <w:r>
        <w:fldChar w:fldCharType="begin"/>
      </w:r>
      <w:r>
        <w:instrText xml:space="preserve"> SEQ Table \* ARABIC </w:instrText>
      </w:r>
      <w:r>
        <w:fldChar w:fldCharType="separate"/>
      </w:r>
      <w:r>
        <w:t>21</w:t>
      </w:r>
      <w:r>
        <w:fldChar w:fldCharType="end"/>
      </w:r>
      <w:bookmarkEnd w:id="199"/>
      <w:r>
        <w:t>-  Structure intensity effect for EU27 for Manufacturing sub sectors at 2 digit level</w:t>
      </w:r>
      <w:bookmarkEnd w:id="200"/>
      <w:bookmarkEnd w:id="20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1494"/>
        <w:gridCol w:w="1067"/>
        <w:gridCol w:w="708"/>
        <w:gridCol w:w="709"/>
        <w:gridCol w:w="992"/>
        <w:gridCol w:w="1276"/>
        <w:gridCol w:w="992"/>
        <w:gridCol w:w="1276"/>
      </w:tblGrid>
      <w:tr>
        <w:trPr>
          <w:trHeight w:val="1018"/>
        </w:trPr>
        <w:tc>
          <w:tcPr>
            <w:tcW w:w="808" w:type="dxa"/>
            <w:shd w:val="clear" w:color="auto" w:fill="4F81BD" w:themeFill="accent1"/>
            <w:noWrap/>
            <w:hideMark/>
          </w:tcPr>
          <w:p>
            <w:pPr>
              <w:rPr>
                <w:rFonts w:eastAsia="Times New Roman" w:cs="Calibri"/>
                <w:b/>
                <w:noProof/>
                <w:color w:val="FFFFFF" w:themeColor="background1"/>
                <w:sz w:val="16"/>
                <w:szCs w:val="16"/>
                <w:lang w:eastAsia="en-GB"/>
              </w:rPr>
            </w:pPr>
            <w:r>
              <w:rPr>
                <w:rFonts w:eastAsia="Times New Roman" w:cs="Calibri"/>
                <w:b/>
                <w:noProof/>
                <w:color w:val="FFFFFF" w:themeColor="background1"/>
                <w:sz w:val="16"/>
                <w:szCs w:val="16"/>
                <w:lang w:eastAsia="en-GB"/>
              </w:rPr>
              <w:t>Sector code</w:t>
            </w:r>
          </w:p>
        </w:tc>
        <w:tc>
          <w:tcPr>
            <w:tcW w:w="1494" w:type="dxa"/>
            <w:shd w:val="clear" w:color="auto" w:fill="4F81BD" w:themeFill="accent1"/>
            <w:hideMark/>
          </w:tcPr>
          <w:p>
            <w:pPr>
              <w:jc w:val="center"/>
              <w:rPr>
                <w:b/>
                <w:noProof/>
                <w:color w:val="FFFFFF" w:themeColor="background1"/>
                <w:sz w:val="16"/>
                <w:szCs w:val="16"/>
              </w:rPr>
            </w:pPr>
            <w:r>
              <w:rPr>
                <w:b/>
                <w:noProof/>
                <w:color w:val="FFFFFF" w:themeColor="background1"/>
                <w:sz w:val="16"/>
                <w:szCs w:val="16"/>
              </w:rPr>
              <w:t xml:space="preserve">Sector </w:t>
            </w:r>
          </w:p>
          <w:p>
            <w:pPr>
              <w:jc w:val="center"/>
              <w:rPr>
                <w:rFonts w:eastAsia="Times New Roman" w:cs="Calibri"/>
                <w:b/>
                <w:noProof/>
                <w:color w:val="FFFFFF" w:themeColor="background1"/>
                <w:sz w:val="16"/>
                <w:szCs w:val="16"/>
                <w:lang w:eastAsia="en-GB"/>
              </w:rPr>
            </w:pPr>
          </w:p>
        </w:tc>
        <w:tc>
          <w:tcPr>
            <w:tcW w:w="1067" w:type="dxa"/>
            <w:shd w:val="clear" w:color="auto" w:fill="4F81BD" w:themeFill="accent1"/>
            <w:noWrap/>
            <w:hideMark/>
          </w:tcPr>
          <w:p>
            <w:pPr>
              <w:jc w:val="center"/>
              <w:rPr>
                <w:rFonts w:eastAsia="Times New Roman" w:cs="Calibri"/>
                <w:b/>
                <w:noProof/>
                <w:color w:val="FFFFFF" w:themeColor="background1"/>
                <w:sz w:val="16"/>
                <w:szCs w:val="16"/>
                <w:lang w:eastAsia="en-GB"/>
              </w:rPr>
            </w:pPr>
            <w:r>
              <w:rPr>
                <w:rFonts w:eastAsia="Times New Roman" w:cs="Calibri"/>
                <w:b/>
                <w:noProof/>
                <w:color w:val="FFFFFF" w:themeColor="background1"/>
                <w:sz w:val="16"/>
                <w:szCs w:val="16"/>
                <w:lang w:eastAsia="en-GB"/>
              </w:rPr>
              <w:t>Structural intensity effect</w:t>
            </w:r>
          </w:p>
        </w:tc>
        <w:tc>
          <w:tcPr>
            <w:tcW w:w="708" w:type="dxa"/>
            <w:shd w:val="clear" w:color="auto" w:fill="4F81BD" w:themeFill="accent1"/>
            <w:noWrap/>
            <w:hideMark/>
          </w:tcPr>
          <w:p>
            <w:pPr>
              <w:jc w:val="center"/>
              <w:rPr>
                <w:rFonts w:eastAsia="Times New Roman" w:cs="Calibri"/>
                <w:b/>
                <w:noProof/>
                <w:color w:val="FFFFFF" w:themeColor="background1"/>
                <w:sz w:val="16"/>
                <w:szCs w:val="16"/>
                <w:lang w:eastAsia="en-GB"/>
              </w:rPr>
            </w:pPr>
            <w:r>
              <w:rPr>
                <w:rFonts w:eastAsia="Times New Roman" w:cs="Calibri"/>
                <w:b/>
                <w:noProof/>
                <w:color w:val="FFFFFF" w:themeColor="background1"/>
                <w:sz w:val="16"/>
                <w:szCs w:val="16"/>
                <w:lang w:eastAsia="en-GB"/>
              </w:rPr>
              <w:t>Other energy intensity effects</w:t>
            </w:r>
          </w:p>
        </w:tc>
        <w:tc>
          <w:tcPr>
            <w:tcW w:w="709" w:type="dxa"/>
            <w:shd w:val="clear" w:color="auto" w:fill="4F81BD" w:themeFill="accent1"/>
            <w:noWrap/>
            <w:hideMark/>
          </w:tcPr>
          <w:p>
            <w:pPr>
              <w:jc w:val="center"/>
              <w:rPr>
                <w:rFonts w:eastAsia="Times New Roman" w:cs="Calibri"/>
                <w:b/>
                <w:noProof/>
                <w:color w:val="FFFFFF" w:themeColor="background1"/>
                <w:sz w:val="16"/>
                <w:szCs w:val="16"/>
                <w:lang w:eastAsia="en-GB"/>
              </w:rPr>
            </w:pPr>
            <w:r>
              <w:rPr>
                <w:rFonts w:eastAsia="Times New Roman" w:cs="Calibri"/>
                <w:b/>
                <w:noProof/>
                <w:color w:val="FFFFFF" w:themeColor="background1"/>
                <w:sz w:val="16"/>
                <w:szCs w:val="16"/>
                <w:lang w:eastAsia="en-GB"/>
              </w:rPr>
              <w:t>Total energy intensity effect</w:t>
            </w:r>
          </w:p>
        </w:tc>
        <w:tc>
          <w:tcPr>
            <w:tcW w:w="992" w:type="dxa"/>
            <w:shd w:val="clear" w:color="auto" w:fill="4F81BD" w:themeFill="accent1"/>
            <w:hideMark/>
          </w:tcPr>
          <w:p>
            <w:pPr>
              <w:jc w:val="center"/>
              <w:rPr>
                <w:rFonts w:eastAsia="Times New Roman" w:cs="Calibri"/>
                <w:b/>
                <w:noProof/>
                <w:color w:val="FFFFFF" w:themeColor="background1"/>
                <w:sz w:val="16"/>
                <w:szCs w:val="16"/>
                <w:lang w:eastAsia="en-GB"/>
              </w:rPr>
            </w:pPr>
            <w:r>
              <w:rPr>
                <w:b/>
                <w:noProof/>
                <w:color w:val="FFFFFF" w:themeColor="background1"/>
                <w:sz w:val="16"/>
                <w:szCs w:val="16"/>
              </w:rPr>
              <w:t>Minimum change in turnover share</w:t>
            </w:r>
          </w:p>
        </w:tc>
        <w:tc>
          <w:tcPr>
            <w:tcW w:w="1276" w:type="dxa"/>
            <w:shd w:val="clear" w:color="auto" w:fill="4F81BD" w:themeFill="accent1"/>
            <w:hideMark/>
          </w:tcPr>
          <w:p>
            <w:pPr>
              <w:jc w:val="center"/>
              <w:rPr>
                <w:rFonts w:eastAsia="Times New Roman" w:cs="Calibri"/>
                <w:b/>
                <w:noProof/>
                <w:color w:val="FFFFFF" w:themeColor="background1"/>
                <w:sz w:val="16"/>
                <w:szCs w:val="16"/>
                <w:lang w:eastAsia="en-GB"/>
              </w:rPr>
            </w:pPr>
            <w:r>
              <w:rPr>
                <w:b/>
                <w:noProof/>
                <w:color w:val="FFFFFF" w:themeColor="background1"/>
                <w:sz w:val="16"/>
                <w:szCs w:val="16"/>
              </w:rPr>
              <w:t>Maximum change in turnover share</w:t>
            </w:r>
          </w:p>
        </w:tc>
        <w:tc>
          <w:tcPr>
            <w:tcW w:w="992" w:type="dxa"/>
            <w:shd w:val="clear" w:color="auto" w:fill="4F81BD" w:themeFill="accent1"/>
            <w:hideMark/>
          </w:tcPr>
          <w:p>
            <w:pPr>
              <w:jc w:val="center"/>
              <w:rPr>
                <w:rFonts w:eastAsia="Times New Roman" w:cs="Calibri"/>
                <w:b/>
                <w:noProof/>
                <w:color w:val="FFFFFF" w:themeColor="background1"/>
                <w:sz w:val="16"/>
                <w:szCs w:val="16"/>
                <w:lang w:eastAsia="en-GB"/>
              </w:rPr>
            </w:pPr>
            <w:r>
              <w:rPr>
                <w:b/>
                <w:noProof/>
                <w:color w:val="FFFFFF" w:themeColor="background1"/>
                <w:sz w:val="16"/>
                <w:szCs w:val="16"/>
              </w:rPr>
              <w:t>Minimum Energy cost share</w:t>
            </w:r>
          </w:p>
        </w:tc>
        <w:tc>
          <w:tcPr>
            <w:tcW w:w="1276" w:type="dxa"/>
            <w:shd w:val="clear" w:color="auto" w:fill="4F81BD" w:themeFill="accent1"/>
            <w:hideMark/>
          </w:tcPr>
          <w:p>
            <w:pPr>
              <w:jc w:val="center"/>
              <w:rPr>
                <w:rFonts w:eastAsia="Times New Roman" w:cs="Calibri"/>
                <w:b/>
                <w:noProof/>
                <w:color w:val="FFFFFF" w:themeColor="background1"/>
                <w:sz w:val="16"/>
                <w:szCs w:val="16"/>
                <w:lang w:eastAsia="en-GB"/>
              </w:rPr>
            </w:pPr>
            <w:r>
              <w:rPr>
                <w:b/>
                <w:noProof/>
                <w:color w:val="FFFFFF" w:themeColor="background1"/>
                <w:sz w:val="16"/>
                <w:szCs w:val="16"/>
              </w:rPr>
              <w:t>Maximum Energy cost share</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C10</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Food products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-21%</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-22%</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-1.2%</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0.8%</w:t>
            </w:r>
          </w:p>
        </w:tc>
        <w:tc>
          <w:tcPr>
            <w:tcW w:w="992" w:type="dxa"/>
            <w:vAlign w:val="center"/>
            <w:hideMark/>
          </w:tcPr>
          <w:p>
            <w:pPr>
              <w:jc w:val="center"/>
              <w:rPr>
                <w:rFonts w:eastAsia="Times New Roman" w:cs="Calibri"/>
                <w:noProof/>
                <w:color w:val="000000"/>
                <w:sz w:val="16"/>
                <w:szCs w:val="16"/>
                <w:lang w:eastAsia="en-GB"/>
              </w:rPr>
            </w:pPr>
            <w:r>
              <w:rPr>
                <w:noProof/>
                <w:sz w:val="16"/>
                <w:szCs w:val="16"/>
              </w:rPr>
              <w:t>1.1%</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2.5%</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C13</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Textiles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-3%</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-31%</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-34%</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-2.3%</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3.8%</w:t>
            </w:r>
          </w:p>
        </w:tc>
        <w:tc>
          <w:tcPr>
            <w:tcW w:w="992" w:type="dxa"/>
            <w:vAlign w:val="center"/>
            <w:hideMark/>
          </w:tcPr>
          <w:p>
            <w:pPr>
              <w:jc w:val="center"/>
              <w:rPr>
                <w:rFonts w:eastAsia="Times New Roman" w:cs="Calibri"/>
                <w:noProof/>
                <w:color w:val="000000"/>
                <w:sz w:val="16"/>
                <w:szCs w:val="16"/>
                <w:lang w:eastAsia="en-GB"/>
              </w:rPr>
            </w:pPr>
            <w:r>
              <w:rPr>
                <w:noProof/>
                <w:sz w:val="16"/>
                <w:szCs w:val="16"/>
              </w:rPr>
              <w:t>1.7%</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4.9%</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C14</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Wearing apparel</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-65%</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-66%</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-0.8%</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0.9%</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0.5%</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1.0%</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C15</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Leather and related products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-83%</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-82%</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-4.9%</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4.9%</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0.4%</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0.5%</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C16</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Wood and wood products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0%</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-15%</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-14%</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-1.9%</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1.9%</w:t>
            </w:r>
          </w:p>
        </w:tc>
        <w:tc>
          <w:tcPr>
            <w:tcW w:w="992" w:type="dxa"/>
            <w:vAlign w:val="center"/>
            <w:hideMark/>
          </w:tcPr>
          <w:p>
            <w:pPr>
              <w:jc w:val="center"/>
              <w:rPr>
                <w:rFonts w:eastAsia="Times New Roman" w:cs="Calibri"/>
                <w:noProof/>
                <w:color w:val="000000"/>
                <w:sz w:val="16"/>
                <w:szCs w:val="16"/>
                <w:lang w:eastAsia="en-GB"/>
              </w:rPr>
            </w:pPr>
            <w:r>
              <w:rPr>
                <w:noProof/>
                <w:sz w:val="16"/>
                <w:szCs w:val="16"/>
              </w:rPr>
              <w:t>2.3%</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2.7%</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C17</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Paper and paper products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-37%</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-38%</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-1.4%</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1.4%</w:t>
            </w:r>
          </w:p>
        </w:tc>
        <w:tc>
          <w:tcPr>
            <w:tcW w:w="992" w:type="dxa"/>
            <w:vAlign w:val="center"/>
            <w:hideMark/>
          </w:tcPr>
          <w:p>
            <w:pPr>
              <w:jc w:val="center"/>
              <w:rPr>
                <w:rFonts w:eastAsia="Times New Roman" w:cs="Calibri"/>
                <w:noProof/>
                <w:color w:val="000000"/>
                <w:sz w:val="16"/>
                <w:szCs w:val="16"/>
                <w:lang w:eastAsia="en-GB"/>
              </w:rPr>
            </w:pPr>
            <w:r>
              <w:rPr>
                <w:noProof/>
                <w:sz w:val="16"/>
                <w:szCs w:val="16"/>
              </w:rPr>
              <w:t>2.0%</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6.1%</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C18</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Printing and reproduction of recorded media</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0%</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-5%</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-5%</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-3.2%</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3.2%</w:t>
            </w:r>
          </w:p>
        </w:tc>
        <w:tc>
          <w:tcPr>
            <w:tcW w:w="992" w:type="dxa"/>
            <w:vAlign w:val="center"/>
            <w:hideMark/>
          </w:tcPr>
          <w:p>
            <w:pPr>
              <w:jc w:val="center"/>
              <w:rPr>
                <w:rFonts w:eastAsia="Times New Roman" w:cs="Calibri"/>
                <w:noProof/>
                <w:color w:val="000000"/>
                <w:sz w:val="16"/>
                <w:szCs w:val="16"/>
                <w:lang w:eastAsia="en-GB"/>
              </w:rPr>
            </w:pPr>
            <w:r>
              <w:rPr>
                <w:noProof/>
                <w:sz w:val="16"/>
                <w:szCs w:val="16"/>
              </w:rPr>
              <w:t>1.6%</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1.8%</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C19</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Coke and refined petroleum products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0%</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49%</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49%</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-0.1%</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0.1%</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0.0%</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1.8%</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C20</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Chemicals and chemical products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0%</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-27%</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-28%</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-0.4%</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1.1%</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0.7%</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4.7%</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C21</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Pharmaceuticals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-24%</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-26%</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-0.8%</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0.8%</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0.6%</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1.8%</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C22</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Rubber and plastic products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0%</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-19%</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-19%</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-0.1%</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0.1%</w:t>
            </w:r>
          </w:p>
        </w:tc>
        <w:tc>
          <w:tcPr>
            <w:tcW w:w="992" w:type="dxa"/>
            <w:vAlign w:val="center"/>
            <w:hideMark/>
          </w:tcPr>
          <w:p>
            <w:pPr>
              <w:jc w:val="center"/>
              <w:rPr>
                <w:rFonts w:eastAsia="Times New Roman" w:cs="Calibri"/>
                <w:noProof/>
                <w:color w:val="000000"/>
                <w:sz w:val="16"/>
                <w:szCs w:val="16"/>
                <w:lang w:eastAsia="en-GB"/>
              </w:rPr>
            </w:pPr>
            <w:r>
              <w:rPr>
                <w:noProof/>
                <w:sz w:val="16"/>
                <w:szCs w:val="16"/>
              </w:rPr>
              <w:t>1.5%</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2.0%</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C23</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Other non-metallic mineral products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-22%</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-20%</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-1.8%</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1.1%</w:t>
            </w:r>
          </w:p>
        </w:tc>
        <w:tc>
          <w:tcPr>
            <w:tcW w:w="992" w:type="dxa"/>
            <w:vAlign w:val="center"/>
            <w:hideMark/>
          </w:tcPr>
          <w:p>
            <w:pPr>
              <w:jc w:val="center"/>
              <w:rPr>
                <w:rFonts w:eastAsia="Times New Roman" w:cs="Calibri"/>
                <w:noProof/>
                <w:color w:val="000000"/>
                <w:sz w:val="16"/>
                <w:szCs w:val="16"/>
                <w:lang w:eastAsia="en-GB"/>
              </w:rPr>
            </w:pPr>
            <w:r>
              <w:rPr>
                <w:noProof/>
                <w:sz w:val="16"/>
                <w:szCs w:val="16"/>
              </w:rPr>
              <w:t>2.6%</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11.4%</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C24</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Basic metals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-25%</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-26%</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-1.7%</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3.7%</w:t>
            </w:r>
          </w:p>
        </w:tc>
        <w:tc>
          <w:tcPr>
            <w:tcW w:w="992" w:type="dxa"/>
            <w:vAlign w:val="center"/>
            <w:hideMark/>
          </w:tcPr>
          <w:p>
            <w:pPr>
              <w:jc w:val="center"/>
              <w:rPr>
                <w:rFonts w:eastAsia="Times New Roman" w:cs="Calibri"/>
                <w:noProof/>
                <w:color w:val="000000"/>
                <w:sz w:val="16"/>
                <w:szCs w:val="16"/>
                <w:lang w:eastAsia="en-GB"/>
              </w:rPr>
            </w:pPr>
            <w:r>
              <w:rPr>
                <w:noProof/>
                <w:sz w:val="16"/>
                <w:szCs w:val="16"/>
              </w:rPr>
              <w:t>1.6%</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6.0%</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C25</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Metal products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-24%</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-22%</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-2.4%</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2.5%</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0.7%</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2.0%</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C26</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Computer, electronic and optical products</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4%</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-11%</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-7%</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-12.4%</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8.6%</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0.3%</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1.0%</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C27</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Electrical equipment</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-29%</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-28%</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-2.5%</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0.9%</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0.5%</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1.3%</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C28</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Machinery and equipment n.e.c.</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-23%</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-24%</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-2.3%</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1.0%</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0.5%</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0.9%</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C29</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Motor vehicles etc</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0%</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-30%</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-30%</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-0.3%</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0.5%</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0.3%</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1.0%</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C30</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Other transport equipment</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-14%</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-36%</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-49%</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-7.8%</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19.5%</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0.3%</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0.6%</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C32</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Other manufacturing</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-25%</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-26%</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-1.7%</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4.4%</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0.4%</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1.2%</w:t>
            </w:r>
          </w:p>
        </w:tc>
      </w:tr>
      <w:tr>
        <w:trPr>
          <w:trHeight w:val="290"/>
        </w:trPr>
        <w:tc>
          <w:tcPr>
            <w:tcW w:w="808" w:type="dxa"/>
            <w:shd w:val="clear" w:color="auto" w:fill="FFFFFF" w:themeFill="background1"/>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C33</w:t>
            </w:r>
          </w:p>
        </w:tc>
        <w:tc>
          <w:tcPr>
            <w:tcW w:w="1494" w:type="dxa"/>
            <w:vAlign w:val="center"/>
            <w:hideMark/>
          </w:tcPr>
          <w:p>
            <w:pPr>
              <w:rPr>
                <w:rFonts w:eastAsia="Times New Roman" w:cs="Calibri"/>
                <w:noProof/>
                <w:color w:val="000000"/>
                <w:sz w:val="16"/>
                <w:szCs w:val="16"/>
                <w:lang w:eastAsia="en-GB"/>
              </w:rPr>
            </w:pPr>
            <w:r>
              <w:rPr>
                <w:noProof/>
                <w:color w:val="000000"/>
                <w:sz w:val="16"/>
                <w:szCs w:val="16"/>
              </w:rPr>
              <w:t>Repair and installation</w:t>
            </w:r>
          </w:p>
        </w:tc>
        <w:tc>
          <w:tcPr>
            <w:tcW w:w="1067"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1%</w:t>
            </w:r>
          </w:p>
        </w:tc>
        <w:tc>
          <w:tcPr>
            <w:tcW w:w="708"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-7%</w:t>
            </w:r>
          </w:p>
        </w:tc>
        <w:tc>
          <w:tcPr>
            <w:tcW w:w="709" w:type="dxa"/>
            <w:noWrap/>
            <w:vAlign w:val="center"/>
            <w:hideMark/>
          </w:tcPr>
          <w:p>
            <w:pPr>
              <w:jc w:val="center"/>
              <w:rPr>
                <w:rFonts w:eastAsia="Times New Roman" w:cs="Calibri"/>
                <w:noProof/>
                <w:color w:val="000000"/>
                <w:sz w:val="16"/>
                <w:szCs w:val="16"/>
                <w:lang w:eastAsia="en-GB"/>
              </w:rPr>
            </w:pPr>
            <w:r>
              <w:rPr>
                <w:rFonts w:eastAsia="Times New Roman" w:cs="Calibri"/>
                <w:noProof/>
                <w:color w:val="000000"/>
                <w:sz w:val="16"/>
                <w:szCs w:val="16"/>
                <w:lang w:eastAsia="en-GB"/>
              </w:rPr>
              <w:t>-6%</w:t>
            </w:r>
          </w:p>
        </w:tc>
        <w:tc>
          <w:tcPr>
            <w:tcW w:w="992"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-2.4%</w:t>
            </w:r>
          </w:p>
        </w:tc>
        <w:tc>
          <w:tcPr>
            <w:tcW w:w="1276" w:type="dxa"/>
            <w:vAlign w:val="center"/>
            <w:hideMark/>
          </w:tcPr>
          <w:p>
            <w:pPr>
              <w:jc w:val="center"/>
              <w:rPr>
                <w:rFonts w:eastAsia="Times New Roman" w:cs="Calibri"/>
                <w:noProof/>
                <w:color w:val="000000"/>
                <w:sz w:val="16"/>
                <w:szCs w:val="16"/>
                <w:lang w:eastAsia="en-GB"/>
              </w:rPr>
            </w:pPr>
            <w:r>
              <w:rPr>
                <w:rFonts w:cs="Calibri"/>
                <w:noProof/>
                <w:color w:val="000000"/>
                <w:sz w:val="16"/>
                <w:szCs w:val="16"/>
              </w:rPr>
              <w:t>2.4%</w:t>
            </w:r>
          </w:p>
        </w:tc>
        <w:tc>
          <w:tcPr>
            <w:tcW w:w="992" w:type="dxa"/>
            <w:vAlign w:val="center"/>
            <w:hideMark/>
          </w:tcPr>
          <w:p>
            <w:pPr>
              <w:jc w:val="center"/>
              <w:rPr>
                <w:rFonts w:eastAsia="Times New Roman" w:cs="Calibri"/>
                <w:noProof/>
                <w:color w:val="000000"/>
                <w:sz w:val="16"/>
                <w:szCs w:val="16"/>
                <w:lang w:eastAsia="en-GB"/>
              </w:rPr>
            </w:pPr>
            <w:r>
              <w:rPr>
                <w:noProof/>
                <w:sz w:val="16"/>
                <w:szCs w:val="16"/>
              </w:rPr>
              <w:t>0.5%</w:t>
            </w:r>
          </w:p>
        </w:tc>
        <w:tc>
          <w:tcPr>
            <w:tcW w:w="1276" w:type="dxa"/>
            <w:vAlign w:val="center"/>
            <w:hideMark/>
          </w:tcPr>
          <w:p>
            <w:pPr>
              <w:jc w:val="center"/>
              <w:rPr>
                <w:rFonts w:eastAsia="Times New Roman" w:cs="Calibri"/>
                <w:noProof/>
                <w:color w:val="000000"/>
                <w:sz w:val="16"/>
                <w:szCs w:val="16"/>
                <w:lang w:eastAsia="en-GB"/>
              </w:rPr>
            </w:pPr>
            <w:r>
              <w:rPr>
                <w:noProof/>
                <w:sz w:val="16"/>
                <w:szCs w:val="16"/>
              </w:rPr>
              <w:t>0.8%</w:t>
            </w:r>
          </w:p>
        </w:tc>
      </w:tr>
    </w:tbl>
    <w:p>
      <w:pPr>
        <w:rPr>
          <w:noProof/>
        </w:rPr>
      </w:pPr>
      <w:r>
        <w:rPr>
          <w:noProof/>
          <w:sz w:val="20"/>
          <w:szCs w:val="20"/>
        </w:rPr>
        <w:t>Source: Trinomics (2020)</w:t>
      </w:r>
    </w:p>
    <w:p>
      <w:pPr>
        <w:rPr>
          <w:noProof/>
          <w:sz w:val="24"/>
          <w:szCs w:val="24"/>
        </w:rPr>
      </w:pPr>
    </w:p>
    <w:p>
      <w:pPr>
        <w:rPr>
          <w:noProof/>
          <w:sz w:val="24"/>
          <w:szCs w:val="24"/>
        </w:rPr>
      </w:pPr>
    </w:p>
    <w:p>
      <w:pPr>
        <w:rPr>
          <w:noProof/>
          <w:sz w:val="24"/>
          <w:szCs w:val="24"/>
        </w:rPr>
      </w:pPr>
    </w:p>
    <w:p>
      <w:pPr>
        <w:pStyle w:val="Heading3"/>
        <w:numPr>
          <w:ilvl w:val="2"/>
          <w:numId w:val="1"/>
        </w:numPr>
        <w:rPr>
          <w:noProof/>
        </w:rPr>
      </w:pPr>
      <w:bookmarkStart w:id="202" w:name="_Toc468890479"/>
      <w:r>
        <w:rPr>
          <w:noProof/>
        </w:rPr>
        <w:t xml:space="preserve"> </w:t>
      </w:r>
      <w:bookmarkStart w:id="203" w:name="_Toc50648344"/>
      <w:bookmarkStart w:id="204" w:name="_Toc50654374"/>
      <w:bookmarkStart w:id="205" w:name="_Toc50654929"/>
      <w:bookmarkStart w:id="206" w:name="_Toc50732476"/>
      <w:bookmarkStart w:id="207" w:name="_Toc52396560"/>
      <w:r>
        <w:rPr>
          <w:noProof/>
        </w:rPr>
        <w:t>Impact of energy costs on total production costs</w:t>
      </w:r>
      <w:bookmarkEnd w:id="203"/>
      <w:bookmarkEnd w:id="204"/>
      <w:bookmarkEnd w:id="205"/>
      <w:bookmarkEnd w:id="206"/>
      <w:bookmarkEnd w:id="207"/>
      <w:r>
        <w:rPr>
          <w:noProof/>
        </w:rPr>
        <w:t xml:space="preserve"> </w:t>
      </w:r>
      <w:bookmarkStart w:id="208" w:name="_Toc524619525"/>
      <w:bookmarkStart w:id="209" w:name="_Toc524961072"/>
      <w:bookmarkStart w:id="210" w:name="_Toc525143033"/>
      <w:bookmarkStart w:id="211" w:name="_Toc525222190"/>
      <w:bookmarkStart w:id="212" w:name="_Toc525222359"/>
      <w:bookmarkStart w:id="213" w:name="_Toc526420756"/>
      <w:bookmarkStart w:id="214" w:name="_Toc526433982"/>
      <w:bookmarkStart w:id="215" w:name="_Toc526435924"/>
      <w:bookmarkStart w:id="216" w:name="_Toc530595254"/>
      <w:bookmarkEnd w:id="202"/>
      <w:bookmarkEnd w:id="208"/>
      <w:bookmarkEnd w:id="209"/>
      <w:bookmarkEnd w:id="210"/>
      <w:bookmarkEnd w:id="211"/>
      <w:bookmarkEnd w:id="212"/>
      <w:bookmarkEnd w:id="213"/>
      <w:bookmarkEnd w:id="214"/>
      <w:bookmarkEnd w:id="215"/>
      <w:bookmarkEnd w:id="216"/>
    </w:p>
    <w:p>
      <w:pPr>
        <w:jc w:val="center"/>
        <w:rPr>
          <w:noProof/>
        </w:rPr>
      </w:pPr>
      <w:r>
        <w:rPr>
          <w:noProof/>
        </w:rPr>
        <w:tab/>
      </w:r>
    </w:p>
    <w:p>
      <w:pPr>
        <w:rPr>
          <w:noProof/>
          <w:sz w:val="24"/>
          <w:szCs w:val="24"/>
        </w:rPr>
      </w:pPr>
      <w:r>
        <w:rPr>
          <w:noProof/>
          <w:sz w:val="24"/>
          <w:szCs w:val="24"/>
        </w:rPr>
        <w:t>This section assesses the results of the decomposition of total production costs in order to understand the extent to which total production costs were driven by changes in energy costs.</w:t>
      </w:r>
    </w:p>
    <w:p>
      <w:pPr>
        <w:rPr>
          <w:noProof/>
        </w:rPr>
      </w:pPr>
      <w:r>
        <w:rPr>
          <w:noProof/>
        </w:rPr>
        <w:t xml:space="preserve"> </w:t>
      </w:r>
    </w:p>
    <w:p>
      <w:pPr>
        <w:spacing w:before="240" w:line="280" w:lineRule="exact"/>
        <w:rPr>
          <w:rFonts w:eastAsiaTheme="minorEastAsia"/>
          <w:noProof/>
          <w:snapToGrid w:val="0"/>
        </w:rPr>
      </w:pPr>
      <m:oMathPara>
        <m:oMath>
          <m:r>
            <w:rPr>
              <w:rFonts w:ascii="Cambria Math" w:eastAsia="Times New Roman" w:hAnsi="Cambria Math"/>
              <w:noProof/>
              <w:snapToGrid w:val="0"/>
            </w:rPr>
            <m:t xml:space="preserve">Total production costs= Energy costs+ Other costs of production </m:t>
          </m:r>
        </m:oMath>
      </m:oMathPara>
    </w:p>
    <w:p>
      <w:pPr>
        <w:spacing w:before="240" w:line="280" w:lineRule="exact"/>
        <w:rPr>
          <w:rFonts w:eastAsiaTheme="minorEastAsia"/>
          <w:noProof/>
          <w:snapToGrid w:val="0"/>
        </w:rPr>
      </w:pPr>
      <m:oMathPara>
        <m:oMath>
          <m:r>
            <w:rPr>
              <w:rFonts w:ascii="Cambria Math" w:eastAsia="Times New Roman" w:hAnsi="Cambria Math"/>
              <w:noProof/>
              <w:snapToGrid w:val="0"/>
            </w:rPr>
            <m:t>∆Total production costs =∆Energy costs+ ∆Other costs of production</m:t>
          </m:r>
        </m:oMath>
      </m:oMathPara>
    </w:p>
    <w:p>
      <w:pPr>
        <w:jc w:val="center"/>
        <w:rPr>
          <w:b/>
          <w:noProof/>
          <w:highlight w:val="yellow"/>
        </w:rPr>
      </w:pPr>
    </w:p>
    <w:p>
      <w:pPr>
        <w:rPr>
          <w:noProof/>
          <w:sz w:val="24"/>
          <w:szCs w:val="24"/>
        </w:rPr>
      </w:pPr>
      <w:r>
        <w:rPr>
          <w:noProof/>
          <w:sz w:val="24"/>
          <w:szCs w:val="24"/>
        </w:rPr>
        <w:t xml:space="preserve">The result of the analysis by </w:t>
      </w:r>
      <w:r>
        <w:rPr>
          <w:i/>
          <w:iCs/>
          <w:noProof/>
          <w:sz w:val="24"/>
          <w:szCs w:val="24"/>
        </w:rPr>
        <w:t>Trinomics et altri</w:t>
      </w:r>
      <w:r>
        <w:rPr>
          <w:noProof/>
          <w:sz w:val="24"/>
          <w:szCs w:val="24"/>
        </w:rPr>
        <w:t xml:space="preserve"> (2020) estimates that, at aggregated level, energy costs continue to have an almost negligible impact (-0.3%) on reducing total production costs over the period of study (2010-2017). Total production costs increased by 22% driven by non-energy energy production costs. </w:t>
      </w:r>
    </w:p>
    <w:p>
      <w:pPr>
        <w:rPr>
          <w:noProof/>
          <w:sz w:val="24"/>
          <w:szCs w:val="24"/>
        </w:rPr>
      </w:pPr>
      <w:r>
        <w:rPr>
          <w:noProof/>
          <w:sz w:val="24"/>
          <w:szCs w:val="24"/>
        </w:rPr>
        <w:t xml:space="preserve">At sector level, the impact of </w:t>
      </w:r>
      <w:bookmarkStart w:id="217" w:name="_Hlk519526008"/>
      <w:r>
        <w:rPr>
          <w:noProof/>
          <w:sz w:val="24"/>
          <w:szCs w:val="24"/>
        </w:rPr>
        <w:t xml:space="preserve">energy costs changes on total production costs was not very diverse (See </w:t>
      </w:r>
      <w:r>
        <w:rPr>
          <w:b/>
          <w:noProof/>
        </w:rPr>
        <w:fldChar w:fldCharType="begin"/>
      </w:r>
      <w:r>
        <w:rPr>
          <w:b/>
          <w:noProof/>
          <w:sz w:val="24"/>
          <w:szCs w:val="24"/>
        </w:rPr>
        <w:instrText xml:space="preserve"> REF _Ref525053343 \h  \* MERGEFORMAT </w:instrText>
      </w:r>
      <w:r>
        <w:rPr>
          <w:b/>
          <w:noProof/>
        </w:rPr>
      </w:r>
      <w:r>
        <w:rPr>
          <w:b/>
          <w:noProof/>
          <w:sz w:val="24"/>
          <w:szCs w:val="24"/>
        </w:rPr>
        <w:fldChar w:fldCharType="separate"/>
      </w:r>
      <w:r>
        <w:rPr>
          <w:b/>
          <w:noProof/>
          <w:sz w:val="24"/>
          <w:szCs w:val="24"/>
        </w:rPr>
        <w:t>Table 22</w:t>
      </w:r>
      <w:r>
        <w:rPr>
          <w:b/>
          <w:noProof/>
        </w:rPr>
        <w:fldChar w:fldCharType="end"/>
      </w:r>
      <w:r>
        <w:rPr>
          <w:noProof/>
          <w:sz w:val="24"/>
          <w:szCs w:val="24"/>
        </w:rPr>
        <w:t>), ranging from -2% to 0%.</w:t>
      </w:r>
      <w:bookmarkEnd w:id="217"/>
      <w:r>
        <w:rPr>
          <w:noProof/>
          <w:sz w:val="24"/>
          <w:szCs w:val="24"/>
        </w:rPr>
        <w:t xml:space="preserve"> The most important negative impacts on energy costs took place in </w:t>
      </w:r>
      <w:r>
        <w:rPr>
          <w:i/>
          <w:noProof/>
          <w:sz w:val="24"/>
          <w:szCs w:val="24"/>
        </w:rPr>
        <w:t>paper</w:t>
      </w:r>
      <w:r>
        <w:rPr>
          <w:noProof/>
          <w:sz w:val="24"/>
          <w:szCs w:val="24"/>
        </w:rPr>
        <w:t xml:space="preserve"> (-2%) </w:t>
      </w:r>
      <w:r>
        <w:rPr>
          <w:i/>
          <w:noProof/>
          <w:sz w:val="24"/>
          <w:szCs w:val="24"/>
        </w:rPr>
        <w:t>basic metals</w:t>
      </w:r>
      <w:r>
        <w:rPr>
          <w:noProof/>
          <w:sz w:val="24"/>
          <w:szCs w:val="24"/>
        </w:rPr>
        <w:t xml:space="preserve"> (-1%) and </w:t>
      </w:r>
      <w:r>
        <w:rPr>
          <w:i/>
          <w:noProof/>
          <w:sz w:val="24"/>
          <w:szCs w:val="24"/>
        </w:rPr>
        <w:t>non-metallic</w:t>
      </w:r>
      <w:r>
        <w:rPr>
          <w:noProof/>
          <w:sz w:val="24"/>
          <w:szCs w:val="24"/>
        </w:rPr>
        <w:t xml:space="preserve"> minerals (-1%).</w:t>
      </w: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pStyle w:val="Caption"/>
      </w:pPr>
      <w:bookmarkStart w:id="218" w:name="_Ref525053343"/>
      <w:bookmarkStart w:id="219" w:name="_Toc525817557"/>
      <w:bookmarkStart w:id="220" w:name="_Toc526433347"/>
      <w:bookmarkStart w:id="221" w:name="_Toc526433600"/>
      <w:bookmarkStart w:id="222" w:name="_Toc526435542"/>
      <w:bookmarkStart w:id="223" w:name="_Toc52396981"/>
      <w:r>
        <w:t xml:space="preserve">Table </w:t>
      </w:r>
      <w:r>
        <w:fldChar w:fldCharType="begin"/>
      </w:r>
      <w:r>
        <w:instrText xml:space="preserve"> SEQ Table \* ARABIC </w:instrText>
      </w:r>
      <w:r>
        <w:fldChar w:fldCharType="separate"/>
      </w:r>
      <w:r>
        <w:t>22</w:t>
      </w:r>
      <w:r>
        <w:fldChar w:fldCharType="end"/>
      </w:r>
      <w:bookmarkEnd w:id="218"/>
      <w:r>
        <w:t>- Drivers of total production costs in manufacturing sectors</w:t>
      </w:r>
      <w:bookmarkEnd w:id="219"/>
      <w:bookmarkEnd w:id="220"/>
      <w:bookmarkEnd w:id="221"/>
      <w:bookmarkEnd w:id="222"/>
      <w:r>
        <w:t>, EU27, 2010-2017</w:t>
      </w:r>
      <w:bookmarkEnd w:id="223"/>
    </w:p>
    <w:tbl>
      <w:tblPr>
        <w:tblW w:w="8370" w:type="dxa"/>
        <w:tblInd w:w="699" w:type="dxa"/>
        <w:tblLayout w:type="fixed"/>
        <w:tblLook w:val="04A0" w:firstRow="1" w:lastRow="0" w:firstColumn="1" w:lastColumn="0" w:noHBand="0" w:noVBand="1"/>
      </w:tblPr>
      <w:tblGrid>
        <w:gridCol w:w="1092"/>
        <w:gridCol w:w="2597"/>
        <w:gridCol w:w="1170"/>
        <w:gridCol w:w="79"/>
        <w:gridCol w:w="1091"/>
        <w:gridCol w:w="43"/>
        <w:gridCol w:w="1127"/>
        <w:gridCol w:w="7"/>
        <w:gridCol w:w="1164"/>
      </w:tblGrid>
      <w:tr>
        <w:trPr>
          <w:trHeight w:val="679"/>
        </w:trPr>
        <w:tc>
          <w:tcPr>
            <w:tcW w:w="1092" w:type="dxa"/>
            <w:tcBorders>
              <w:top w:val="single" w:sz="8" w:space="0" w:color="005962"/>
              <w:left w:val="single" w:sz="8" w:space="0" w:color="005962"/>
              <w:bottom w:val="single" w:sz="8" w:space="0" w:color="005962"/>
              <w:right w:val="single" w:sz="8" w:space="0" w:color="005962"/>
            </w:tcBorders>
            <w:shd w:val="clear" w:color="auto" w:fill="548DD4" w:themeFill="text2" w:themeFillTint="99"/>
            <w:vAlign w:val="center"/>
            <w:hideMark/>
          </w:tcPr>
          <w:p>
            <w:pPr>
              <w:jc w:val="center"/>
              <w:rPr>
                <w:rFonts w:eastAsia="Times New Roman"/>
                <w:b/>
                <w:bCs/>
                <w:noProof/>
                <w:color w:val="FFFFFF"/>
                <w:sz w:val="18"/>
                <w:szCs w:val="18"/>
                <w:lang w:eastAsia="en-GB"/>
              </w:rPr>
            </w:pPr>
            <w:r>
              <w:rPr>
                <w:rFonts w:eastAsia="Times New Roman"/>
                <w:b/>
                <w:bCs/>
                <w:noProof/>
                <w:color w:val="FFFFFF"/>
                <w:sz w:val="18"/>
                <w:szCs w:val="18"/>
                <w:lang w:eastAsia="en-GB"/>
              </w:rPr>
              <w:t xml:space="preserve">Sector </w:t>
            </w:r>
          </w:p>
          <w:p>
            <w:pPr>
              <w:jc w:val="center"/>
              <w:rPr>
                <w:rFonts w:eastAsia="Times New Roman"/>
                <w:b/>
                <w:bCs/>
                <w:noProof/>
                <w:color w:val="FFFFFF"/>
                <w:sz w:val="18"/>
                <w:szCs w:val="18"/>
                <w:lang w:eastAsia="en-GB"/>
              </w:rPr>
            </w:pPr>
            <w:r>
              <w:rPr>
                <w:rFonts w:eastAsia="Times New Roman"/>
                <w:b/>
                <w:bCs/>
                <w:noProof/>
                <w:color w:val="FFFFFF"/>
                <w:sz w:val="18"/>
                <w:szCs w:val="18"/>
                <w:lang w:eastAsia="en-GB"/>
              </w:rPr>
              <w:t>Code</w:t>
            </w:r>
          </w:p>
        </w:tc>
        <w:tc>
          <w:tcPr>
            <w:tcW w:w="2597" w:type="dxa"/>
            <w:tcBorders>
              <w:top w:val="single" w:sz="8" w:space="0" w:color="005962"/>
              <w:left w:val="nil"/>
              <w:bottom w:val="single" w:sz="8" w:space="0" w:color="005962"/>
              <w:right w:val="single" w:sz="8" w:space="0" w:color="005962"/>
            </w:tcBorders>
            <w:shd w:val="clear" w:color="auto" w:fill="548DD4" w:themeFill="text2" w:themeFillTint="99"/>
            <w:vAlign w:val="center"/>
            <w:hideMark/>
          </w:tcPr>
          <w:p>
            <w:pPr>
              <w:jc w:val="center"/>
              <w:rPr>
                <w:rFonts w:eastAsia="Times New Roman"/>
                <w:b/>
                <w:bCs/>
                <w:noProof/>
                <w:color w:val="FFFFFF"/>
                <w:sz w:val="18"/>
                <w:szCs w:val="18"/>
                <w:lang w:eastAsia="en-GB"/>
              </w:rPr>
            </w:pPr>
            <w:r>
              <w:rPr>
                <w:rFonts w:eastAsia="Times New Roman"/>
                <w:b/>
                <w:bCs/>
                <w:noProof/>
                <w:color w:val="FFFFFF"/>
                <w:sz w:val="18"/>
                <w:szCs w:val="18"/>
                <w:lang w:eastAsia="en-GB"/>
              </w:rPr>
              <w:t xml:space="preserve">Sector </w:t>
            </w:r>
          </w:p>
        </w:tc>
        <w:tc>
          <w:tcPr>
            <w:tcW w:w="1170" w:type="dxa"/>
            <w:tcBorders>
              <w:top w:val="single" w:sz="8" w:space="0" w:color="005962"/>
              <w:left w:val="nil"/>
              <w:bottom w:val="single" w:sz="8" w:space="0" w:color="005962"/>
              <w:right w:val="single" w:sz="8" w:space="0" w:color="005962"/>
            </w:tcBorders>
            <w:shd w:val="clear" w:color="auto" w:fill="548DD4" w:themeFill="text2" w:themeFillTint="99"/>
            <w:vAlign w:val="center"/>
            <w:hideMark/>
          </w:tcPr>
          <w:p>
            <w:pPr>
              <w:jc w:val="center"/>
              <w:rPr>
                <w:rFonts w:eastAsia="Times New Roman"/>
                <w:b/>
                <w:bCs/>
                <w:noProof/>
                <w:color w:val="FFFFFF"/>
                <w:sz w:val="18"/>
                <w:szCs w:val="18"/>
                <w:lang w:eastAsia="en-GB"/>
              </w:rPr>
            </w:pPr>
            <w:r>
              <w:rPr>
                <w:rFonts w:eastAsia="Times New Roman"/>
                <w:b/>
                <w:bCs/>
                <w:noProof/>
                <w:color w:val="FFFFFF"/>
                <w:sz w:val="18"/>
                <w:szCs w:val="18"/>
                <w:lang w:eastAsia="en-GB"/>
              </w:rPr>
              <w:t>Energy cost effect</w:t>
            </w:r>
          </w:p>
        </w:tc>
        <w:tc>
          <w:tcPr>
            <w:tcW w:w="1170" w:type="dxa"/>
            <w:gridSpan w:val="2"/>
            <w:tcBorders>
              <w:top w:val="single" w:sz="8" w:space="0" w:color="005962"/>
              <w:left w:val="nil"/>
              <w:bottom w:val="single" w:sz="8" w:space="0" w:color="005962"/>
              <w:right w:val="single" w:sz="8" w:space="0" w:color="005962"/>
            </w:tcBorders>
            <w:shd w:val="clear" w:color="auto" w:fill="548DD4" w:themeFill="text2" w:themeFillTint="99"/>
            <w:vAlign w:val="center"/>
            <w:hideMark/>
          </w:tcPr>
          <w:p>
            <w:pPr>
              <w:jc w:val="center"/>
              <w:rPr>
                <w:rFonts w:eastAsia="Times New Roman"/>
                <w:b/>
                <w:bCs/>
                <w:noProof/>
                <w:color w:val="FFFFFF"/>
                <w:sz w:val="18"/>
                <w:szCs w:val="18"/>
                <w:lang w:eastAsia="en-GB"/>
              </w:rPr>
            </w:pPr>
            <w:r>
              <w:rPr>
                <w:rFonts w:eastAsia="Times New Roman"/>
                <w:b/>
                <w:bCs/>
                <w:noProof/>
                <w:color w:val="FFFFFF"/>
                <w:sz w:val="18"/>
                <w:szCs w:val="18"/>
                <w:lang w:eastAsia="en-GB"/>
              </w:rPr>
              <w:t>Non-energy costs effect</w:t>
            </w:r>
          </w:p>
        </w:tc>
        <w:tc>
          <w:tcPr>
            <w:tcW w:w="1170" w:type="dxa"/>
            <w:gridSpan w:val="2"/>
            <w:tcBorders>
              <w:top w:val="single" w:sz="8" w:space="0" w:color="005962"/>
              <w:left w:val="nil"/>
              <w:bottom w:val="single" w:sz="8" w:space="0" w:color="005962"/>
              <w:right w:val="single" w:sz="8" w:space="0" w:color="005962"/>
            </w:tcBorders>
            <w:shd w:val="clear" w:color="auto" w:fill="548DD4" w:themeFill="text2" w:themeFillTint="99"/>
            <w:vAlign w:val="center"/>
            <w:hideMark/>
          </w:tcPr>
          <w:p>
            <w:pPr>
              <w:jc w:val="center"/>
              <w:rPr>
                <w:rFonts w:eastAsia="Times New Roman"/>
                <w:b/>
                <w:bCs/>
                <w:noProof/>
                <w:color w:val="FFFFFF"/>
                <w:sz w:val="18"/>
                <w:szCs w:val="18"/>
                <w:lang w:eastAsia="en-GB"/>
              </w:rPr>
            </w:pPr>
            <w:r>
              <w:rPr>
                <w:rFonts w:eastAsia="Times New Roman"/>
                <w:b/>
                <w:bCs/>
                <w:noProof/>
                <w:color w:val="FFFFFF"/>
                <w:sz w:val="18"/>
                <w:szCs w:val="18"/>
                <w:lang w:eastAsia="en-GB"/>
              </w:rPr>
              <w:t>Total effect (2010-2017)</w:t>
            </w:r>
          </w:p>
        </w:tc>
        <w:tc>
          <w:tcPr>
            <w:tcW w:w="1171" w:type="dxa"/>
            <w:gridSpan w:val="2"/>
            <w:tcBorders>
              <w:top w:val="single" w:sz="8" w:space="0" w:color="005962"/>
              <w:left w:val="nil"/>
              <w:bottom w:val="single" w:sz="8" w:space="0" w:color="005962"/>
              <w:right w:val="single" w:sz="8" w:space="0" w:color="005962"/>
            </w:tcBorders>
            <w:shd w:val="clear" w:color="auto" w:fill="548DD4" w:themeFill="text2" w:themeFillTint="99"/>
            <w:vAlign w:val="center"/>
            <w:hideMark/>
          </w:tcPr>
          <w:p>
            <w:pPr>
              <w:jc w:val="center"/>
              <w:rPr>
                <w:b/>
                <w:bCs/>
                <w:noProof/>
                <w:color w:val="FFFFFF"/>
                <w:sz w:val="18"/>
                <w:szCs w:val="18"/>
              </w:rPr>
            </w:pPr>
            <w:r>
              <w:rPr>
                <w:b/>
                <w:bCs/>
                <w:noProof/>
                <w:color w:val="FFFFFF"/>
                <w:sz w:val="18"/>
                <w:szCs w:val="18"/>
              </w:rPr>
              <w:t>2017 EU27 Energy Intensity</w:t>
            </w:r>
          </w:p>
          <w:p>
            <w:pPr>
              <w:jc w:val="center"/>
              <w:rPr>
                <w:rFonts w:eastAsia="Times New Roman"/>
                <w:b/>
                <w:bCs/>
                <w:noProof/>
                <w:color w:val="FFFFFF"/>
                <w:sz w:val="18"/>
                <w:szCs w:val="18"/>
                <w:lang w:eastAsia="en-GB"/>
              </w:rPr>
            </w:pPr>
            <w:r>
              <w:rPr>
                <w:b/>
                <w:bCs/>
                <w:noProof/>
                <w:color w:val="FFFFFF"/>
                <w:sz w:val="18"/>
                <w:szCs w:val="18"/>
              </w:rPr>
              <w:t xml:space="preserve"> (toe per million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C20</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chemicals and chemical products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-0.7%</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14.8%</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14.1%</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190.8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C17</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paper and paper products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-2.0%</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15.8%</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13.8%</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182.3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C24</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basic metals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-1.2%</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7.7%</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6.5%</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174.1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C19</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coke and refined petroleum products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-0.2%</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-20.6%</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-20.8%</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158.8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C23</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other non-metallic mineral products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-1.1%</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4.0%</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2.9%</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158.2 </w:t>
            </w:r>
          </w:p>
        </w:tc>
      </w:tr>
      <w:tr>
        <w:trPr>
          <w:trHeight w:val="6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C16</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wood and of products of wood and cork, except furniture; manufacture of articles of straw and plaiting materials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-0.2%</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7.2%</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7.0%</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75.5 </w:t>
            </w:r>
          </w:p>
        </w:tc>
      </w:tr>
      <w:tr>
        <w:trPr>
          <w:trHeight w:val="391"/>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C10_C12</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food products; beverages and tobacco products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0.0%</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27.3%</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27.3%</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26.9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C22</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rubber and plastic products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-0.1%</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18.8%</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18.8%</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22.4 </w:t>
            </w:r>
          </w:p>
        </w:tc>
      </w:tr>
      <w:tr>
        <w:trPr>
          <w:trHeight w:val="456"/>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C13_C15</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textiles, wearing apparel, leather and related products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-1.3%</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4.2%</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2.9%</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21.5 </w:t>
            </w:r>
          </w:p>
        </w:tc>
      </w:tr>
      <w:tr>
        <w:trPr>
          <w:trHeight w:val="456"/>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C21</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basic pharmaceutical products and pharmaceutical preparations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-0.1%</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13.5%</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13.4%</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19.3 </w:t>
            </w:r>
          </w:p>
        </w:tc>
      </w:tr>
      <w:tr>
        <w:trPr>
          <w:trHeight w:val="456"/>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C25</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fabricated metal products, except machinery and equipment</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-0.2%</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15.6%</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15.4%</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17.5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C31_C32</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furniture; other manufacturing</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-0.1%</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16.5%</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16.4%</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11.0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C33</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Repair and installation of machinery and equipment</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0.0%</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12.5%</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12.5%</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10.1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C28</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machinery and equipment n.e.c.</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0.0%</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34.2%</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34.2%</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9.5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C27</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electrical equipment</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-0.2%</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18.9%</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18.7%</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8.3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C26</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computer, electronic and optical products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-0.1%</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2.7%</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2.6%</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6.5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C29</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motor vehicles, trailers and semi-trailers</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0.1%</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52.6%</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52.6%</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6.1 </w:t>
            </w:r>
          </w:p>
        </w:tc>
      </w:tr>
      <w:tr>
        <w:trPr>
          <w:trHeight w:val="279"/>
        </w:trPr>
        <w:tc>
          <w:tcPr>
            <w:tcW w:w="1092" w:type="dxa"/>
            <w:tcBorders>
              <w:top w:val="nil"/>
              <w:left w:val="single" w:sz="8" w:space="0" w:color="005962"/>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C30</w:t>
            </w:r>
          </w:p>
        </w:tc>
        <w:tc>
          <w:tcPr>
            <w:tcW w:w="2597" w:type="dxa"/>
            <w:tcBorders>
              <w:top w:val="nil"/>
              <w:left w:val="nil"/>
              <w:bottom w:val="single" w:sz="8" w:space="0" w:color="005962"/>
              <w:right w:val="single" w:sz="8" w:space="0" w:color="005962"/>
            </w:tcBorders>
            <w:vAlign w:val="center"/>
            <w:hideMark/>
          </w:tcPr>
          <w:p>
            <w:pPr>
              <w:jc w:val="center"/>
              <w:rPr>
                <w:rFonts w:eastAsia="Times New Roman"/>
                <w:noProof/>
                <w:sz w:val="16"/>
                <w:szCs w:val="16"/>
                <w:lang w:eastAsia="en-GB"/>
              </w:rPr>
            </w:pPr>
            <w:r>
              <w:rPr>
                <w:noProof/>
                <w:sz w:val="16"/>
                <w:szCs w:val="16"/>
              </w:rPr>
              <w:t>Manufacture of other transport equipment</w:t>
            </w:r>
          </w:p>
        </w:tc>
        <w:tc>
          <w:tcPr>
            <w:tcW w:w="1249"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-0.1%</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83.6%</w:t>
            </w:r>
          </w:p>
        </w:tc>
        <w:tc>
          <w:tcPr>
            <w:tcW w:w="1134" w:type="dxa"/>
            <w:gridSpan w:val="2"/>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83.5%</w:t>
            </w:r>
          </w:p>
        </w:tc>
        <w:tc>
          <w:tcPr>
            <w:tcW w:w="1164" w:type="dxa"/>
            <w:tcBorders>
              <w:top w:val="nil"/>
              <w:left w:val="nil"/>
              <w:bottom w:val="single" w:sz="8" w:space="0" w:color="005962"/>
              <w:right w:val="single" w:sz="8" w:space="0" w:color="005962"/>
            </w:tcBorders>
            <w:vAlign w:val="center"/>
            <w:hideMark/>
          </w:tcPr>
          <w:p>
            <w:pPr>
              <w:jc w:val="center"/>
              <w:rPr>
                <w:rFonts w:eastAsia="Times New Roman"/>
                <w:noProof/>
                <w:sz w:val="18"/>
                <w:szCs w:val="18"/>
                <w:lang w:eastAsia="en-GB"/>
              </w:rPr>
            </w:pPr>
            <w:r>
              <w:rPr>
                <w:noProof/>
                <w:sz w:val="18"/>
                <w:szCs w:val="18"/>
              </w:rPr>
              <w:t xml:space="preserve">4.3 </w:t>
            </w:r>
          </w:p>
        </w:tc>
      </w:tr>
      <w:tr>
        <w:trPr>
          <w:trHeight w:val="127"/>
        </w:trPr>
        <w:tc>
          <w:tcPr>
            <w:tcW w:w="1092" w:type="dxa"/>
            <w:shd w:val="clear" w:color="auto" w:fill="FFFFFF"/>
            <w:vAlign w:val="center"/>
            <w:hideMark/>
          </w:tcPr>
          <w:p>
            <w:pPr>
              <w:jc w:val="center"/>
              <w:rPr>
                <w:rFonts w:eastAsia="Times New Roman"/>
                <w:noProof/>
                <w:color w:val="000000"/>
                <w:sz w:val="18"/>
                <w:szCs w:val="18"/>
                <w:lang w:eastAsia="en-GB"/>
              </w:rPr>
            </w:pPr>
            <w:r>
              <w:rPr>
                <w:rFonts w:eastAsia="Times New Roman"/>
                <w:noProof/>
                <w:color w:val="000000"/>
                <w:sz w:val="18"/>
                <w:szCs w:val="18"/>
                <w:lang w:eastAsia="en-GB"/>
              </w:rPr>
              <w:t> </w:t>
            </w:r>
          </w:p>
        </w:tc>
        <w:tc>
          <w:tcPr>
            <w:tcW w:w="2597" w:type="dxa"/>
            <w:shd w:val="clear" w:color="auto" w:fill="FFFFFF"/>
            <w:vAlign w:val="center"/>
            <w:hideMark/>
          </w:tcPr>
          <w:p>
            <w:pPr>
              <w:jc w:val="center"/>
              <w:rPr>
                <w:rFonts w:eastAsia="Times New Roman"/>
                <w:noProof/>
                <w:color w:val="000000"/>
                <w:sz w:val="16"/>
                <w:szCs w:val="16"/>
                <w:lang w:eastAsia="en-GB"/>
              </w:rPr>
            </w:pPr>
            <w:r>
              <w:rPr>
                <w:rFonts w:eastAsia="Times New Roman"/>
                <w:noProof/>
                <w:color w:val="000000"/>
                <w:sz w:val="16"/>
                <w:szCs w:val="16"/>
                <w:lang w:eastAsia="en-GB"/>
              </w:rPr>
              <w:t> </w:t>
            </w:r>
          </w:p>
        </w:tc>
        <w:tc>
          <w:tcPr>
            <w:tcW w:w="1249" w:type="dxa"/>
            <w:gridSpan w:val="2"/>
            <w:shd w:val="clear" w:color="auto" w:fill="FFFFFF"/>
            <w:vAlign w:val="center"/>
            <w:hideMark/>
          </w:tcPr>
          <w:p>
            <w:pPr>
              <w:jc w:val="center"/>
              <w:rPr>
                <w:rFonts w:eastAsia="Times New Roman"/>
                <w:noProof/>
                <w:color w:val="000000"/>
                <w:sz w:val="18"/>
                <w:szCs w:val="18"/>
                <w:lang w:eastAsia="en-GB"/>
              </w:rPr>
            </w:pPr>
            <w:r>
              <w:rPr>
                <w:rFonts w:eastAsia="Times New Roman"/>
                <w:noProof/>
                <w:color w:val="000000"/>
                <w:sz w:val="18"/>
                <w:szCs w:val="18"/>
                <w:lang w:eastAsia="en-GB"/>
              </w:rPr>
              <w:t> </w:t>
            </w:r>
          </w:p>
        </w:tc>
        <w:tc>
          <w:tcPr>
            <w:tcW w:w="1134" w:type="dxa"/>
            <w:gridSpan w:val="2"/>
            <w:shd w:val="clear" w:color="auto" w:fill="FFFFFF"/>
            <w:vAlign w:val="center"/>
            <w:hideMark/>
          </w:tcPr>
          <w:p>
            <w:pPr>
              <w:jc w:val="center"/>
              <w:rPr>
                <w:rFonts w:eastAsia="Times New Roman"/>
                <w:noProof/>
                <w:color w:val="000000"/>
                <w:sz w:val="18"/>
                <w:szCs w:val="18"/>
                <w:lang w:eastAsia="en-GB"/>
              </w:rPr>
            </w:pPr>
            <w:r>
              <w:rPr>
                <w:rFonts w:eastAsia="Times New Roman"/>
                <w:noProof/>
                <w:color w:val="000000"/>
                <w:sz w:val="18"/>
                <w:szCs w:val="18"/>
                <w:lang w:eastAsia="en-GB"/>
              </w:rPr>
              <w:t> </w:t>
            </w:r>
          </w:p>
        </w:tc>
        <w:tc>
          <w:tcPr>
            <w:tcW w:w="1134" w:type="dxa"/>
            <w:gridSpan w:val="2"/>
            <w:shd w:val="clear" w:color="auto" w:fill="FFFFFF"/>
            <w:vAlign w:val="center"/>
            <w:hideMark/>
          </w:tcPr>
          <w:p>
            <w:pPr>
              <w:jc w:val="center"/>
              <w:rPr>
                <w:rFonts w:eastAsia="Times New Roman"/>
                <w:noProof/>
                <w:color w:val="000000"/>
                <w:sz w:val="18"/>
                <w:szCs w:val="18"/>
                <w:lang w:eastAsia="en-GB"/>
              </w:rPr>
            </w:pPr>
            <w:r>
              <w:rPr>
                <w:rFonts w:eastAsia="Times New Roman"/>
                <w:noProof/>
                <w:color w:val="000000"/>
                <w:sz w:val="18"/>
                <w:szCs w:val="18"/>
                <w:lang w:eastAsia="en-GB"/>
              </w:rPr>
              <w:t> </w:t>
            </w:r>
          </w:p>
        </w:tc>
        <w:tc>
          <w:tcPr>
            <w:tcW w:w="1164" w:type="dxa"/>
            <w:shd w:val="clear" w:color="auto" w:fill="FFFFFF"/>
            <w:vAlign w:val="center"/>
            <w:hideMark/>
          </w:tcPr>
          <w:p>
            <w:pPr>
              <w:rPr>
                <w:rFonts w:eastAsia="Times New Roman"/>
                <w:noProof/>
                <w:color w:val="000000"/>
                <w:sz w:val="18"/>
                <w:szCs w:val="18"/>
                <w:lang w:eastAsia="en-GB"/>
              </w:rPr>
            </w:pPr>
          </w:p>
        </w:tc>
      </w:tr>
      <w:tr>
        <w:trPr>
          <w:trHeight w:val="279"/>
        </w:trPr>
        <w:tc>
          <w:tcPr>
            <w:tcW w:w="1092" w:type="dxa"/>
            <w:tcBorders>
              <w:top w:val="single" w:sz="8" w:space="0" w:color="005962"/>
              <w:left w:val="single" w:sz="8" w:space="0" w:color="005962"/>
              <w:bottom w:val="single" w:sz="8" w:space="0" w:color="005962"/>
              <w:right w:val="single" w:sz="8" w:space="0" w:color="005962"/>
            </w:tcBorders>
            <w:vAlign w:val="center"/>
            <w:hideMark/>
          </w:tcPr>
          <w:p>
            <w:pPr>
              <w:jc w:val="center"/>
              <w:rPr>
                <w:rFonts w:eastAsia="Times New Roman"/>
                <w:b/>
                <w:bCs/>
                <w:noProof/>
                <w:color w:val="000000"/>
                <w:sz w:val="18"/>
                <w:szCs w:val="18"/>
                <w:lang w:eastAsia="en-GB"/>
              </w:rPr>
            </w:pPr>
            <w:r>
              <w:rPr>
                <w:rFonts w:eastAsia="Times New Roman"/>
                <w:b/>
                <w:bCs/>
                <w:noProof/>
                <w:color w:val="000000"/>
                <w:sz w:val="18"/>
                <w:szCs w:val="18"/>
                <w:lang w:eastAsia="en-GB"/>
              </w:rPr>
              <w:t>T</w:t>
            </w:r>
          </w:p>
        </w:tc>
        <w:tc>
          <w:tcPr>
            <w:tcW w:w="2597" w:type="dxa"/>
            <w:tcBorders>
              <w:top w:val="single" w:sz="8" w:space="0" w:color="005962"/>
              <w:left w:val="nil"/>
              <w:bottom w:val="single" w:sz="8" w:space="0" w:color="005962"/>
              <w:right w:val="single" w:sz="8" w:space="0" w:color="005962"/>
            </w:tcBorders>
            <w:vAlign w:val="center"/>
            <w:hideMark/>
          </w:tcPr>
          <w:p>
            <w:pPr>
              <w:jc w:val="center"/>
              <w:rPr>
                <w:rFonts w:eastAsia="Times New Roman"/>
                <w:b/>
                <w:bCs/>
                <w:noProof/>
                <w:color w:val="000000"/>
                <w:sz w:val="16"/>
                <w:szCs w:val="16"/>
                <w:lang w:eastAsia="en-GB"/>
              </w:rPr>
            </w:pPr>
            <w:r>
              <w:rPr>
                <w:rFonts w:eastAsia="Times New Roman"/>
                <w:b/>
                <w:bCs/>
                <w:noProof/>
                <w:color w:val="000000"/>
                <w:sz w:val="16"/>
                <w:szCs w:val="16"/>
                <w:lang w:eastAsia="en-GB"/>
              </w:rPr>
              <w:t>Total (Of sectors with complete data)</w:t>
            </w:r>
          </w:p>
        </w:tc>
        <w:tc>
          <w:tcPr>
            <w:tcW w:w="1249" w:type="dxa"/>
            <w:gridSpan w:val="2"/>
            <w:tcBorders>
              <w:top w:val="single" w:sz="8" w:space="0" w:color="005962"/>
              <w:left w:val="nil"/>
              <w:bottom w:val="single" w:sz="8" w:space="0" w:color="005962"/>
              <w:right w:val="single" w:sz="8" w:space="0" w:color="005962"/>
            </w:tcBorders>
            <w:vAlign w:val="center"/>
            <w:hideMark/>
          </w:tcPr>
          <w:p>
            <w:pPr>
              <w:jc w:val="center"/>
              <w:rPr>
                <w:rFonts w:eastAsia="Times New Roman"/>
                <w:b/>
                <w:bCs/>
                <w:noProof/>
                <w:color w:val="000000"/>
                <w:sz w:val="18"/>
                <w:szCs w:val="18"/>
                <w:lang w:eastAsia="en-GB"/>
              </w:rPr>
            </w:pPr>
            <w:r>
              <w:rPr>
                <w:rFonts w:eastAsia="Times New Roman"/>
                <w:b/>
                <w:bCs/>
                <w:noProof/>
                <w:color w:val="000000"/>
                <w:sz w:val="18"/>
                <w:szCs w:val="18"/>
                <w:lang w:eastAsia="en-GB"/>
              </w:rPr>
              <w:t>-0.3%</w:t>
            </w:r>
          </w:p>
        </w:tc>
        <w:tc>
          <w:tcPr>
            <w:tcW w:w="1134" w:type="dxa"/>
            <w:gridSpan w:val="2"/>
            <w:tcBorders>
              <w:top w:val="single" w:sz="8" w:space="0" w:color="005962"/>
              <w:left w:val="nil"/>
              <w:bottom w:val="single" w:sz="8" w:space="0" w:color="005962"/>
              <w:right w:val="single" w:sz="8" w:space="0" w:color="005962"/>
            </w:tcBorders>
            <w:vAlign w:val="center"/>
            <w:hideMark/>
          </w:tcPr>
          <w:p>
            <w:pPr>
              <w:jc w:val="center"/>
              <w:rPr>
                <w:rFonts w:eastAsia="Times New Roman"/>
                <w:b/>
                <w:bCs/>
                <w:noProof/>
                <w:color w:val="000000"/>
                <w:sz w:val="18"/>
                <w:szCs w:val="18"/>
                <w:lang w:eastAsia="en-GB"/>
              </w:rPr>
            </w:pPr>
            <w:r>
              <w:rPr>
                <w:rFonts w:eastAsia="Times New Roman"/>
                <w:b/>
                <w:bCs/>
                <w:noProof/>
                <w:color w:val="000000"/>
                <w:sz w:val="18"/>
                <w:szCs w:val="18"/>
                <w:lang w:eastAsia="en-GB"/>
              </w:rPr>
              <w:t>22.2%</w:t>
            </w:r>
          </w:p>
        </w:tc>
        <w:tc>
          <w:tcPr>
            <w:tcW w:w="1134" w:type="dxa"/>
            <w:gridSpan w:val="2"/>
            <w:tcBorders>
              <w:top w:val="single" w:sz="8" w:space="0" w:color="005962"/>
              <w:left w:val="nil"/>
              <w:bottom w:val="single" w:sz="8" w:space="0" w:color="005962"/>
              <w:right w:val="single" w:sz="8" w:space="0" w:color="005962"/>
            </w:tcBorders>
            <w:vAlign w:val="center"/>
            <w:hideMark/>
          </w:tcPr>
          <w:p>
            <w:pPr>
              <w:jc w:val="center"/>
              <w:rPr>
                <w:rFonts w:eastAsia="Times New Roman"/>
                <w:b/>
                <w:bCs/>
                <w:noProof/>
                <w:color w:val="000000"/>
                <w:sz w:val="18"/>
                <w:szCs w:val="18"/>
                <w:lang w:eastAsia="en-GB"/>
              </w:rPr>
            </w:pPr>
            <w:r>
              <w:rPr>
                <w:rFonts w:eastAsia="Times New Roman"/>
                <w:b/>
                <w:bCs/>
                <w:noProof/>
                <w:color w:val="000000"/>
                <w:sz w:val="18"/>
                <w:szCs w:val="18"/>
                <w:lang w:eastAsia="en-GB"/>
              </w:rPr>
              <w:t>21.9%</w:t>
            </w:r>
          </w:p>
        </w:tc>
        <w:tc>
          <w:tcPr>
            <w:tcW w:w="1164" w:type="dxa"/>
            <w:tcBorders>
              <w:top w:val="single" w:sz="8" w:space="0" w:color="005962"/>
              <w:left w:val="nil"/>
              <w:bottom w:val="single" w:sz="8" w:space="0" w:color="005962"/>
              <w:right w:val="single" w:sz="8" w:space="0" w:color="005962"/>
            </w:tcBorders>
            <w:vAlign w:val="center"/>
            <w:hideMark/>
          </w:tcPr>
          <w:p>
            <w:pPr>
              <w:jc w:val="center"/>
              <w:rPr>
                <w:b/>
                <w:bCs/>
                <w:noProof/>
                <w:color w:val="000000"/>
                <w:sz w:val="18"/>
                <w:szCs w:val="18"/>
              </w:rPr>
            </w:pPr>
            <w:r>
              <w:rPr>
                <w:b/>
                <w:bCs/>
                <w:noProof/>
                <w:color w:val="000000"/>
                <w:sz w:val="18"/>
                <w:szCs w:val="18"/>
              </w:rPr>
              <w:t xml:space="preserve">50.6 </w:t>
            </w:r>
          </w:p>
        </w:tc>
      </w:tr>
    </w:tbl>
    <w:p>
      <w:pPr>
        <w:ind w:firstLine="567"/>
        <w:rPr>
          <w:noProof/>
          <w:sz w:val="20"/>
          <w:szCs w:val="20"/>
        </w:rPr>
      </w:pPr>
      <w:r>
        <w:rPr>
          <w:noProof/>
          <w:sz w:val="20"/>
          <w:szCs w:val="20"/>
          <w:lang w:val="fr-BE"/>
        </w:rPr>
        <w:t>Source: Trinomics et altri study (2020), 2017 data</w:t>
      </w:r>
    </w:p>
    <w:p>
      <w:pPr>
        <w:rPr>
          <w:noProof/>
          <w:color w:val="000000" w:themeColor="text1"/>
          <w:sz w:val="24"/>
          <w:szCs w:val="24"/>
          <w:highlight w:val="yellow"/>
          <w:lang w:val="fr-BE" w:eastAsia="de-DE"/>
        </w:rPr>
      </w:pPr>
    </w:p>
    <w:p>
      <w:pPr>
        <w:rPr>
          <w:noProof/>
          <w:color w:val="000000" w:themeColor="text1"/>
          <w:sz w:val="24"/>
          <w:szCs w:val="24"/>
          <w:highlight w:val="yellow"/>
          <w:lang w:val="fr-BE" w:eastAsia="de-DE"/>
        </w:rPr>
      </w:pPr>
    </w:p>
    <w:p>
      <w:pPr>
        <w:spacing w:after="0"/>
        <w:jc w:val="left"/>
        <w:rPr>
          <w:noProof/>
          <w:color w:val="000000" w:themeColor="text1"/>
          <w:sz w:val="24"/>
          <w:szCs w:val="24"/>
          <w:highlight w:val="yellow"/>
          <w:lang w:val="fr-BE" w:eastAsia="de-DE"/>
        </w:rPr>
      </w:pPr>
      <w:r>
        <w:rPr>
          <w:noProof/>
          <w:color w:val="000000" w:themeColor="text1"/>
          <w:sz w:val="24"/>
          <w:szCs w:val="24"/>
          <w:highlight w:val="yellow"/>
          <w:lang w:val="fr-BE" w:eastAsia="de-DE"/>
        </w:rPr>
        <w:br w:type="page"/>
      </w:r>
    </w:p>
    <w:p>
      <w:pPr>
        <w:rPr>
          <w:noProof/>
          <w:color w:val="000000" w:themeColor="text1"/>
          <w:sz w:val="24"/>
          <w:szCs w:val="24"/>
          <w:highlight w:val="yellow"/>
          <w:lang w:val="fr-BE" w:eastAsia="de-DE"/>
        </w:rPr>
      </w:pPr>
    </w:p>
    <w:p>
      <w:pPr>
        <w:pStyle w:val="Heading2"/>
        <w:numPr>
          <w:ilvl w:val="1"/>
          <w:numId w:val="1"/>
        </w:numPr>
        <w:rPr>
          <w:noProof/>
        </w:rPr>
      </w:pPr>
      <w:bookmarkStart w:id="224" w:name="_Toc468890480"/>
      <w:bookmarkEnd w:id="171"/>
      <w:bookmarkEnd w:id="172"/>
      <w:bookmarkEnd w:id="173"/>
      <w:bookmarkEnd w:id="174"/>
      <w:bookmarkEnd w:id="175"/>
      <w:bookmarkEnd w:id="176"/>
      <w:bookmarkEnd w:id="177"/>
      <w:r>
        <w:rPr>
          <w:noProof/>
          <w:lang w:val="fr-BE"/>
        </w:rPr>
        <w:t xml:space="preserve"> </w:t>
      </w:r>
      <w:bookmarkStart w:id="225" w:name="_Toc50648345"/>
      <w:bookmarkStart w:id="226" w:name="_Toc50654375"/>
      <w:bookmarkStart w:id="227" w:name="_Toc50654930"/>
      <w:bookmarkStart w:id="228" w:name="_Toc50732477"/>
      <w:bookmarkStart w:id="229" w:name="_Toc52396561"/>
      <w:r>
        <w:rPr>
          <w:noProof/>
        </w:rPr>
        <w:t>International comparisons</w:t>
      </w:r>
      <w:bookmarkStart w:id="230" w:name="_Toc524619527"/>
      <w:bookmarkStart w:id="231" w:name="_Toc524961074"/>
      <w:bookmarkStart w:id="232" w:name="_Toc525143035"/>
      <w:bookmarkStart w:id="233" w:name="_Toc525222192"/>
      <w:bookmarkStart w:id="234" w:name="_Toc525222361"/>
      <w:bookmarkStart w:id="235" w:name="_Toc526420758"/>
      <w:bookmarkStart w:id="236" w:name="_Toc526433984"/>
      <w:bookmarkStart w:id="237" w:name="_Toc526435926"/>
      <w:bookmarkStart w:id="238" w:name="_Ref526863035"/>
      <w:bookmarkStart w:id="239" w:name="_Toc530595256"/>
      <w:bookmarkStart w:id="240" w:name="_Toc468890481"/>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pPr>
        <w:rPr>
          <w:noProof/>
        </w:rPr>
      </w:pPr>
    </w:p>
    <w:p>
      <w:pPr>
        <w:rPr>
          <w:noProof/>
          <w:sz w:val="24"/>
          <w:szCs w:val="24"/>
        </w:rPr>
      </w:pPr>
      <w:r>
        <w:rPr>
          <w:noProof/>
          <w:sz w:val="24"/>
          <w:szCs w:val="24"/>
        </w:rPr>
        <w:t>In this section we compare</w:t>
      </w:r>
      <w:r>
        <w:rPr>
          <w:noProof/>
        </w:rPr>
        <w:t xml:space="preserve"> </w:t>
      </w:r>
      <w:r>
        <w:rPr>
          <w:noProof/>
          <w:sz w:val="24"/>
          <w:szCs w:val="24"/>
        </w:rPr>
        <w:t>indicators which can influence the international competitiveness in terms of costs of the EU sectors with regard to its trading partners. We directly compare the international energy costs shares in production costs and production value of sectors. We also look at the underlying reasons for these energy costs differentials. First, we compare differences in energy efficiency indicators, which can influence the relative differences in energy consumption and therefore be one of the reasons explaining differences in energy costs. Second, we also look at the international differences in the prices of energy products, as they usually are the main drivers of the energy costs in the short term and thereby of costs differentials. Data on international prices is relatively robust while data on energy costs and energy efficiency is rather limited and the results of the latter should be taken with caution.</w:t>
      </w:r>
    </w:p>
    <w:p>
      <w:pPr>
        <w:rPr>
          <w:noProof/>
          <w:sz w:val="24"/>
          <w:szCs w:val="24"/>
        </w:rPr>
      </w:pPr>
      <w:r>
        <w:rPr>
          <w:noProof/>
          <w:sz w:val="24"/>
          <w:szCs w:val="24"/>
        </w:rPr>
        <w:t xml:space="preserve">The section compares retail industrial prices for electricity and gas between sectors in the EU and in non-EU G20 countries as these two energy carriers tend to be the most relevant for industrial energy costs. The section relies on the results of the </w:t>
      </w:r>
      <w:r>
        <w:rPr>
          <w:i/>
          <w:iCs/>
          <w:noProof/>
          <w:sz w:val="24"/>
          <w:szCs w:val="24"/>
        </w:rPr>
        <w:t>Trinomics et altri</w:t>
      </w:r>
      <w:r>
        <w:rPr>
          <w:noProof/>
          <w:sz w:val="24"/>
          <w:szCs w:val="24"/>
        </w:rPr>
        <w:t xml:space="preserve"> study (2020).  </w:t>
      </w:r>
    </w:p>
    <w:p>
      <w:pPr>
        <w:rPr>
          <w:noProof/>
          <w:sz w:val="24"/>
          <w:szCs w:val="24"/>
        </w:rPr>
      </w:pPr>
      <w:r>
        <w:rPr>
          <w:noProof/>
          <w:sz w:val="24"/>
          <w:szCs w:val="24"/>
        </w:rPr>
        <w:t xml:space="preserve">International comparisons on oil products prices can be found in </w:t>
      </w:r>
      <w:r>
        <w:rPr>
          <w:b/>
          <w:bCs/>
          <w:noProof/>
          <w:sz w:val="24"/>
          <w:szCs w:val="24"/>
        </w:rPr>
        <w:t>section 3.3.7</w:t>
      </w:r>
      <w:r>
        <w:rPr>
          <w:noProof/>
          <w:sz w:val="24"/>
          <w:szCs w:val="24"/>
        </w:rPr>
        <w:t xml:space="preserve"> as they are relevant for the energy costs in some specific manufacturing sectors and non-manufacturing sectors. </w:t>
      </w:r>
    </w:p>
    <w:p>
      <w:pPr>
        <w:rPr>
          <w:noProof/>
        </w:rPr>
      </w:pPr>
    </w:p>
    <w:p>
      <w:pPr>
        <w:rPr>
          <w:noProof/>
        </w:rPr>
      </w:pPr>
    </w:p>
    <w:p>
      <w:pPr>
        <w:pStyle w:val="Heading3"/>
        <w:numPr>
          <w:ilvl w:val="2"/>
          <w:numId w:val="1"/>
        </w:numPr>
        <w:rPr>
          <w:noProof/>
        </w:rPr>
      </w:pPr>
      <w:r>
        <w:rPr>
          <w:noProof/>
        </w:rPr>
        <w:t xml:space="preserve"> </w:t>
      </w:r>
      <w:bookmarkStart w:id="241" w:name="_Toc50648346"/>
      <w:bookmarkStart w:id="242" w:name="_Toc50654376"/>
      <w:bookmarkStart w:id="243" w:name="_Toc50654931"/>
      <w:bookmarkStart w:id="244" w:name="_Toc50732478"/>
      <w:bookmarkStart w:id="245" w:name="_Toc52396562"/>
      <w:r>
        <w:rPr>
          <w:noProof/>
        </w:rPr>
        <w:t>Energy costs vs other G20 countries</w:t>
      </w:r>
      <w:bookmarkEnd w:id="241"/>
      <w:bookmarkEnd w:id="242"/>
      <w:bookmarkEnd w:id="243"/>
      <w:bookmarkEnd w:id="244"/>
      <w:bookmarkEnd w:id="245"/>
      <w:r>
        <w:rPr>
          <w:noProof/>
        </w:rPr>
        <w:t xml:space="preserve"> </w:t>
      </w:r>
      <w:bookmarkStart w:id="246" w:name="_Toc524619528"/>
      <w:bookmarkStart w:id="247" w:name="_Toc524961075"/>
      <w:bookmarkStart w:id="248" w:name="_Toc525143036"/>
      <w:bookmarkStart w:id="249" w:name="_Toc525222193"/>
      <w:bookmarkStart w:id="250" w:name="_Toc525222362"/>
      <w:bookmarkStart w:id="251" w:name="_Toc526420759"/>
      <w:bookmarkStart w:id="252" w:name="_Toc526433985"/>
      <w:bookmarkStart w:id="253" w:name="_Toc526435927"/>
      <w:bookmarkStart w:id="254" w:name="_Toc530595257"/>
      <w:bookmarkEnd w:id="240"/>
      <w:bookmarkEnd w:id="246"/>
      <w:bookmarkEnd w:id="247"/>
      <w:bookmarkEnd w:id="248"/>
      <w:bookmarkEnd w:id="249"/>
      <w:bookmarkEnd w:id="250"/>
      <w:bookmarkEnd w:id="251"/>
      <w:bookmarkEnd w:id="252"/>
      <w:bookmarkEnd w:id="253"/>
      <w:bookmarkEnd w:id="254"/>
    </w:p>
    <w:p>
      <w:pPr>
        <w:rPr>
          <w:noProof/>
        </w:rPr>
      </w:pPr>
    </w:p>
    <w:p>
      <w:pPr>
        <w:rPr>
          <w:noProof/>
          <w:sz w:val="24"/>
          <w:szCs w:val="24"/>
        </w:rPr>
      </w:pPr>
      <w:r>
        <w:rPr>
          <w:noProof/>
          <w:sz w:val="24"/>
          <w:szCs w:val="24"/>
        </w:rPr>
        <w:t xml:space="preserve">In this section energy costs of EU sectors are compared with those in main EU trading partners. These comparisons could give indications of the international competitiveness of EU industries in terms of costs. Specific data on energy cost shares of non-EU G20 partners is scarce and limited the scope of comparisons that could be made. In addition, the aggregated sectors compared are made of various sub-sectors, the importance of which within the aggregated sectors may vary across countries. </w:t>
      </w:r>
    </w:p>
    <w:p>
      <w:pPr>
        <w:rPr>
          <w:noProof/>
          <w:sz w:val="24"/>
          <w:szCs w:val="24"/>
        </w:rPr>
      </w:pPr>
      <w:r>
        <w:rPr>
          <w:noProof/>
          <w:sz w:val="24"/>
          <w:szCs w:val="24"/>
        </w:rPr>
        <w:fldChar w:fldCharType="begin"/>
      </w:r>
      <w:r>
        <w:rPr>
          <w:b/>
          <w:noProof/>
          <w:sz w:val="24"/>
          <w:szCs w:val="24"/>
        </w:rPr>
        <w:instrText xml:space="preserve"> REF _Ref525050535 \h  \* MERGEFORMAT </w:instrText>
      </w:r>
      <w:r>
        <w:rPr>
          <w:noProof/>
          <w:sz w:val="24"/>
          <w:szCs w:val="24"/>
        </w:rPr>
      </w:r>
      <w:r>
        <w:rPr>
          <w:b/>
          <w:noProof/>
          <w:sz w:val="24"/>
          <w:szCs w:val="24"/>
        </w:rPr>
        <w:fldChar w:fldCharType="separate"/>
      </w:r>
      <w:r>
        <w:rPr>
          <w:b/>
          <w:bCs/>
          <w:noProof/>
          <w:sz w:val="24"/>
          <w:szCs w:val="24"/>
        </w:rPr>
        <w:t>Figure 151</w:t>
      </w:r>
      <w:r>
        <w:rPr>
          <w:noProof/>
          <w:sz w:val="24"/>
          <w:szCs w:val="24"/>
        </w:rPr>
        <w:fldChar w:fldCharType="end"/>
      </w:r>
      <w:r>
        <w:rPr>
          <w:b/>
          <w:bCs/>
          <w:noProof/>
          <w:sz w:val="24"/>
          <w:szCs w:val="24"/>
        </w:rPr>
        <w:t xml:space="preserve"> </w:t>
      </w:r>
      <w:r>
        <w:rPr>
          <w:noProof/>
          <w:sz w:val="24"/>
          <w:szCs w:val="24"/>
        </w:rPr>
        <w:t>shows a comparison of energy costs shares in production costs for highly energy-intensive sectors and countries for which equivalent energy cost and production cost data were found.</w:t>
      </w:r>
    </w:p>
    <w:p>
      <w:pPr>
        <w:rPr>
          <w:noProof/>
          <w:sz w:val="24"/>
          <w:szCs w:val="24"/>
        </w:rPr>
      </w:pPr>
    </w:p>
    <w:p>
      <w:pPr>
        <w:rPr>
          <w:noProof/>
        </w:rPr>
      </w:pPr>
      <w:r>
        <w:rPr>
          <w:noProof/>
          <w:lang w:eastAsia="en-GB"/>
        </w:rPr>
        <w:drawing>
          <wp:inline distT="0" distB="0" distL="0" distR="0">
            <wp:extent cx="5899598" cy="2519585"/>
            <wp:effectExtent l="0" t="0" r="6350" b="0"/>
            <wp:docPr id="1327158512" name="Picture 112097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974114"/>
                    <pic:cNvPicPr/>
                  </pic:nvPicPr>
                  <pic:blipFill>
                    <a:blip r:embed="rId89" cstate="print">
                      <a:extLst>
                        <a:ext uri="{28A0092B-C50C-407E-A947-70E740481C1C}">
                          <a14:useLocalDpi xmlns:a14="http://schemas.microsoft.com/office/drawing/2010/main"/>
                        </a:ext>
                      </a:extLst>
                    </a:blip>
                    <a:stretch>
                      <a:fillRect/>
                    </a:stretch>
                  </pic:blipFill>
                  <pic:spPr>
                    <a:xfrm>
                      <a:off x="0" y="0"/>
                      <a:ext cx="5902718" cy="2520917"/>
                    </a:xfrm>
                    <a:prstGeom prst="rect">
                      <a:avLst/>
                    </a:prstGeom>
                  </pic:spPr>
                </pic:pic>
              </a:graphicData>
            </a:graphic>
          </wp:inline>
        </w:drawing>
      </w:r>
    </w:p>
    <w:p>
      <w:pPr>
        <w:pStyle w:val="Caption"/>
      </w:pPr>
      <w:r>
        <w:t xml:space="preserve"> </w:t>
      </w:r>
      <w:bookmarkStart w:id="255" w:name="_Ref525050535"/>
      <w:bookmarkStart w:id="256" w:name="_Toc525807874"/>
      <w:bookmarkStart w:id="257" w:name="_Toc526433490"/>
      <w:bookmarkStart w:id="258" w:name="_Toc526433768"/>
      <w:bookmarkStart w:id="259" w:name="_Toc526435710"/>
      <w:bookmarkStart w:id="260" w:name="_Toc530739800"/>
      <w:bookmarkStart w:id="261" w:name="_Toc531366173"/>
      <w:bookmarkStart w:id="262" w:name="_Toc50494147"/>
      <w:bookmarkStart w:id="263" w:name="_Toc52396923"/>
      <w:r>
        <w:t xml:space="preserve">Figure </w:t>
      </w:r>
      <w:r>
        <w:fldChar w:fldCharType="begin"/>
      </w:r>
      <w:r>
        <w:instrText xml:space="preserve"> SEQ Figure \* ARABIC </w:instrText>
      </w:r>
      <w:r>
        <w:fldChar w:fldCharType="separate"/>
      </w:r>
      <w:r>
        <w:t>151</w:t>
      </w:r>
      <w:r>
        <w:fldChar w:fldCharType="end"/>
      </w:r>
      <w:bookmarkEnd w:id="255"/>
      <w:r>
        <w:t xml:space="preserve"> - International comparision of energy costs shares for selected highly energy-intensive sectors</w:t>
      </w:r>
      <w:bookmarkEnd w:id="256"/>
      <w:bookmarkEnd w:id="257"/>
      <w:bookmarkEnd w:id="258"/>
      <w:bookmarkEnd w:id="259"/>
      <w:bookmarkEnd w:id="260"/>
      <w:bookmarkEnd w:id="261"/>
      <w:bookmarkEnd w:id="262"/>
      <w:bookmarkEnd w:id="263"/>
    </w:p>
    <w:p>
      <w:pPr>
        <w:pStyle w:val="Sources"/>
        <w:rPr>
          <w:noProof/>
          <w:lang w:val="fr-BE" w:eastAsia="de-DE"/>
        </w:rPr>
      </w:pPr>
      <w:r>
        <w:rPr>
          <w:noProof/>
          <w:lang w:val="fr-BE" w:eastAsia="de-DE"/>
        </w:rPr>
        <w:t>Source: Trinomics et altri study (2020)</w:t>
      </w:r>
    </w:p>
    <w:p>
      <w:pPr>
        <w:rPr>
          <w:noProof/>
          <w:sz w:val="24"/>
          <w:szCs w:val="24"/>
        </w:rPr>
      </w:pPr>
      <w:r>
        <w:rPr>
          <w:noProof/>
          <w:sz w:val="24"/>
          <w:szCs w:val="24"/>
        </w:rPr>
        <w:t xml:space="preserve">The available data for the highly energy-intensive sectors show that shares of energy costs in production costs in the EU are lower than in the US for </w:t>
      </w:r>
      <w:r>
        <w:rPr>
          <w:i/>
          <w:noProof/>
          <w:sz w:val="24"/>
          <w:szCs w:val="24"/>
        </w:rPr>
        <w:t>paper</w:t>
      </w:r>
      <w:r>
        <w:rPr>
          <w:noProof/>
          <w:sz w:val="24"/>
          <w:szCs w:val="24"/>
        </w:rPr>
        <w:t xml:space="preserve">, </w:t>
      </w:r>
      <w:r>
        <w:rPr>
          <w:i/>
          <w:noProof/>
          <w:sz w:val="24"/>
          <w:szCs w:val="24"/>
        </w:rPr>
        <w:t>basic chemicals, glass</w:t>
      </w:r>
      <w:r>
        <w:rPr>
          <w:noProof/>
          <w:sz w:val="24"/>
          <w:szCs w:val="24"/>
        </w:rPr>
        <w:t xml:space="preserve"> and </w:t>
      </w:r>
      <w:r>
        <w:rPr>
          <w:i/>
          <w:noProof/>
          <w:sz w:val="24"/>
          <w:szCs w:val="24"/>
        </w:rPr>
        <w:t>cement</w:t>
      </w:r>
      <w:r>
        <w:rPr>
          <w:noProof/>
          <w:sz w:val="24"/>
          <w:szCs w:val="24"/>
        </w:rPr>
        <w:t xml:space="preserve">, comparable for </w:t>
      </w:r>
      <w:r>
        <w:rPr>
          <w:i/>
          <w:noProof/>
          <w:sz w:val="24"/>
          <w:szCs w:val="24"/>
        </w:rPr>
        <w:t>refineries</w:t>
      </w:r>
      <w:r>
        <w:rPr>
          <w:noProof/>
          <w:sz w:val="24"/>
          <w:szCs w:val="24"/>
        </w:rPr>
        <w:t xml:space="preserve"> and </w:t>
      </w:r>
      <w:r>
        <w:rPr>
          <w:i/>
          <w:iCs/>
          <w:noProof/>
          <w:sz w:val="24"/>
          <w:szCs w:val="24"/>
        </w:rPr>
        <w:t>steel</w:t>
      </w:r>
      <w:r>
        <w:rPr>
          <w:noProof/>
          <w:sz w:val="24"/>
          <w:szCs w:val="24"/>
        </w:rPr>
        <w:t xml:space="preserve"> but higher for </w:t>
      </w:r>
      <w:r>
        <w:rPr>
          <w:i/>
          <w:iCs/>
          <w:noProof/>
          <w:sz w:val="24"/>
          <w:szCs w:val="24"/>
        </w:rPr>
        <w:t>non-ferrous metals</w:t>
      </w:r>
      <w:r>
        <w:rPr>
          <w:noProof/>
          <w:sz w:val="24"/>
          <w:szCs w:val="24"/>
        </w:rPr>
        <w:t xml:space="preserve">. This would point to overall comparable or lower energy costs shares in production costs in the EU than in the US for the highly energy-intensive sectors studied. As compared to Japan, EU’s energy costs shares in production costs are lower in </w:t>
      </w:r>
      <w:r>
        <w:rPr>
          <w:i/>
          <w:noProof/>
          <w:sz w:val="24"/>
          <w:szCs w:val="24"/>
        </w:rPr>
        <w:t>refineries</w:t>
      </w:r>
      <w:r>
        <w:rPr>
          <w:noProof/>
          <w:sz w:val="24"/>
          <w:szCs w:val="24"/>
        </w:rPr>
        <w:t xml:space="preserve">, </w:t>
      </w:r>
      <w:r>
        <w:rPr>
          <w:i/>
          <w:noProof/>
          <w:sz w:val="24"/>
          <w:szCs w:val="24"/>
        </w:rPr>
        <w:t>glass</w:t>
      </w:r>
      <w:r>
        <w:rPr>
          <w:noProof/>
          <w:sz w:val="24"/>
          <w:szCs w:val="24"/>
        </w:rPr>
        <w:t xml:space="preserve"> and </w:t>
      </w:r>
      <w:r>
        <w:rPr>
          <w:i/>
          <w:noProof/>
          <w:sz w:val="24"/>
          <w:szCs w:val="24"/>
        </w:rPr>
        <w:t>basic chemicals</w:t>
      </w:r>
      <w:r>
        <w:rPr>
          <w:noProof/>
          <w:sz w:val="24"/>
          <w:szCs w:val="24"/>
        </w:rPr>
        <w:t xml:space="preserve"> but higher in </w:t>
      </w:r>
      <w:r>
        <w:rPr>
          <w:i/>
          <w:noProof/>
          <w:sz w:val="24"/>
          <w:szCs w:val="24"/>
        </w:rPr>
        <w:t>steel</w:t>
      </w:r>
      <w:r>
        <w:rPr>
          <w:noProof/>
          <w:sz w:val="24"/>
          <w:szCs w:val="24"/>
        </w:rPr>
        <w:t xml:space="preserve">, </w:t>
      </w:r>
      <w:r>
        <w:rPr>
          <w:i/>
          <w:noProof/>
          <w:sz w:val="24"/>
          <w:szCs w:val="24"/>
        </w:rPr>
        <w:t>non-ferrous metals</w:t>
      </w:r>
      <w:r>
        <w:rPr>
          <w:noProof/>
          <w:sz w:val="24"/>
          <w:szCs w:val="24"/>
        </w:rPr>
        <w:t xml:space="preserve"> and </w:t>
      </w:r>
      <w:r>
        <w:rPr>
          <w:i/>
          <w:noProof/>
          <w:sz w:val="24"/>
          <w:szCs w:val="24"/>
        </w:rPr>
        <w:t>paper</w:t>
      </w:r>
      <w:r>
        <w:rPr>
          <w:noProof/>
          <w:sz w:val="24"/>
          <w:szCs w:val="24"/>
        </w:rPr>
        <w:t xml:space="preserve">. The results, in comparison to what was found in the two previous (2016 and 2018) editions of the energy prices and costs report, show an overall more mixed picture, no longer pointing to EU costs shares being generally higher than in Japan (it depends on the sector). </w:t>
      </w:r>
    </w:p>
    <w:p>
      <w:pPr>
        <w:rPr>
          <w:noProof/>
          <w:sz w:val="24"/>
          <w:szCs w:val="24"/>
        </w:rPr>
      </w:pPr>
      <w:r>
        <w:rPr>
          <w:noProof/>
          <w:sz w:val="24"/>
          <w:szCs w:val="24"/>
        </w:rPr>
        <w:t>That said, from the point of view of the sectors subjected to highest international competitive pressures (</w:t>
      </w:r>
      <w:r>
        <w:rPr>
          <w:i/>
          <w:noProof/>
          <w:sz w:val="24"/>
          <w:szCs w:val="24"/>
        </w:rPr>
        <w:t>refineries</w:t>
      </w:r>
      <w:r>
        <w:rPr>
          <w:noProof/>
          <w:sz w:val="24"/>
          <w:szCs w:val="24"/>
        </w:rPr>
        <w:t xml:space="preserve">, </w:t>
      </w:r>
      <w:r>
        <w:rPr>
          <w:i/>
          <w:noProof/>
          <w:sz w:val="24"/>
          <w:szCs w:val="24"/>
        </w:rPr>
        <w:t>steel</w:t>
      </w:r>
      <w:r>
        <w:rPr>
          <w:noProof/>
          <w:sz w:val="24"/>
          <w:szCs w:val="24"/>
        </w:rPr>
        <w:t xml:space="preserve">, </w:t>
      </w:r>
      <w:r>
        <w:rPr>
          <w:i/>
          <w:noProof/>
          <w:sz w:val="24"/>
          <w:szCs w:val="24"/>
        </w:rPr>
        <w:t>non-ferrous metals</w:t>
      </w:r>
      <w:r>
        <w:rPr>
          <w:noProof/>
          <w:sz w:val="24"/>
          <w:szCs w:val="24"/>
        </w:rPr>
        <w:t xml:space="preserve">), the share of energy costs in production costs for these industries in the EU are comparable or higher in the US and Japan (with the exception of refineries). </w:t>
      </w:r>
    </w:p>
    <w:p>
      <w:pPr>
        <w:rPr>
          <w:noProof/>
          <w:sz w:val="24"/>
          <w:szCs w:val="24"/>
        </w:rPr>
      </w:pPr>
      <w:r>
        <w:rPr>
          <w:noProof/>
          <w:sz w:val="24"/>
          <w:szCs w:val="24"/>
        </w:rPr>
        <w:t xml:space="preserve">For the other highly energy-intensive sectors, the energy cost shares in production costs in the EU were lower than those in the US and Japan for </w:t>
      </w:r>
      <w:r>
        <w:rPr>
          <w:i/>
          <w:noProof/>
          <w:sz w:val="24"/>
          <w:szCs w:val="24"/>
        </w:rPr>
        <w:t>basic chemicals</w:t>
      </w:r>
      <w:r>
        <w:rPr>
          <w:noProof/>
          <w:sz w:val="24"/>
          <w:szCs w:val="24"/>
        </w:rPr>
        <w:t xml:space="preserve"> and </w:t>
      </w:r>
      <w:r>
        <w:rPr>
          <w:i/>
          <w:noProof/>
          <w:sz w:val="24"/>
          <w:szCs w:val="24"/>
        </w:rPr>
        <w:t>glass</w:t>
      </w:r>
      <w:r>
        <w:rPr>
          <w:noProof/>
          <w:sz w:val="24"/>
          <w:szCs w:val="24"/>
        </w:rPr>
        <w:t xml:space="preserve">. For </w:t>
      </w:r>
      <w:r>
        <w:rPr>
          <w:i/>
          <w:noProof/>
          <w:sz w:val="24"/>
          <w:szCs w:val="24"/>
        </w:rPr>
        <w:t>paper</w:t>
      </w:r>
      <w:r>
        <w:rPr>
          <w:noProof/>
          <w:sz w:val="24"/>
          <w:szCs w:val="24"/>
        </w:rPr>
        <w:t xml:space="preserve">, they were also lower in the EU than in the US but higher than in Japan. The situation is similar for </w:t>
      </w:r>
      <w:r>
        <w:rPr>
          <w:i/>
          <w:noProof/>
          <w:sz w:val="24"/>
          <w:szCs w:val="24"/>
        </w:rPr>
        <w:t>cement</w:t>
      </w:r>
      <w:r>
        <w:rPr>
          <w:noProof/>
          <w:sz w:val="24"/>
          <w:szCs w:val="24"/>
        </w:rPr>
        <w:t>, for which the EU energy costs shares in production costs are lower than in the US but higher than in Korea (there is no data for Japan for this sector)</w:t>
      </w:r>
    </w:p>
    <w:p>
      <w:pPr>
        <w:rPr>
          <w:noProof/>
          <w:sz w:val="24"/>
          <w:szCs w:val="24"/>
        </w:rPr>
      </w:pPr>
      <w:r>
        <w:rPr>
          <w:noProof/>
          <w:sz w:val="24"/>
          <w:szCs w:val="24"/>
        </w:rPr>
        <w:t>Korea displays lower energy costs shares in production costs than the EU, the US and Japan, in almost all the highly energy-intensive sectors studied for which data was available (</w:t>
      </w:r>
      <w:r>
        <w:rPr>
          <w:i/>
          <w:noProof/>
          <w:sz w:val="24"/>
          <w:szCs w:val="24"/>
        </w:rPr>
        <w:t>paper</w:t>
      </w:r>
      <w:r>
        <w:rPr>
          <w:rStyle w:val="FootnoteReference"/>
          <w:i/>
          <w:noProof/>
          <w:sz w:val="24"/>
          <w:szCs w:val="24"/>
        </w:rPr>
        <w:footnoteReference w:id="22"/>
      </w:r>
      <w:r>
        <w:rPr>
          <w:noProof/>
          <w:sz w:val="24"/>
          <w:szCs w:val="24"/>
        </w:rPr>
        <w:t xml:space="preserve">, </w:t>
      </w:r>
      <w:r>
        <w:rPr>
          <w:i/>
          <w:noProof/>
          <w:sz w:val="24"/>
          <w:szCs w:val="24"/>
        </w:rPr>
        <w:t>basic chemicals</w:t>
      </w:r>
      <w:r>
        <w:rPr>
          <w:noProof/>
          <w:sz w:val="24"/>
          <w:szCs w:val="24"/>
        </w:rPr>
        <w:t xml:space="preserve">, </w:t>
      </w:r>
      <w:r>
        <w:rPr>
          <w:i/>
          <w:noProof/>
          <w:sz w:val="24"/>
          <w:szCs w:val="24"/>
        </w:rPr>
        <w:t>glass, cement</w:t>
      </w:r>
      <w:r>
        <w:rPr>
          <w:noProof/>
          <w:sz w:val="24"/>
          <w:szCs w:val="24"/>
        </w:rPr>
        <w:t xml:space="preserve"> and </w:t>
      </w:r>
      <w:r>
        <w:rPr>
          <w:i/>
          <w:noProof/>
          <w:sz w:val="24"/>
          <w:szCs w:val="24"/>
        </w:rPr>
        <w:t>non-ferrous metals</w:t>
      </w:r>
      <w:r>
        <w:rPr>
          <w:noProof/>
          <w:sz w:val="24"/>
          <w:szCs w:val="24"/>
        </w:rPr>
        <w:t>)</w:t>
      </w:r>
    </w:p>
    <w:p>
      <w:pPr>
        <w:rPr>
          <w:noProof/>
          <w:sz w:val="24"/>
          <w:szCs w:val="24"/>
        </w:rPr>
      </w:pPr>
    </w:p>
    <w:p>
      <w:pPr>
        <w:rPr>
          <w:noProof/>
          <w:sz w:val="24"/>
          <w:szCs w:val="24"/>
        </w:rPr>
      </w:pPr>
      <w:r>
        <w:rPr>
          <w:noProof/>
          <w:sz w:val="24"/>
          <w:szCs w:val="24"/>
        </w:rPr>
        <w:t>From the point of view of the main fuels used by the studied highly energy-intensive  sectors, the numbers suggest that, as compared to US and Japan, the energy costs shares in production costs in the EU tend to be higher in electro-intensive sectors (</w:t>
      </w:r>
      <w:r>
        <w:rPr>
          <w:i/>
          <w:noProof/>
          <w:sz w:val="24"/>
          <w:szCs w:val="24"/>
        </w:rPr>
        <w:t>non-ferrous metals</w:t>
      </w:r>
      <w:r>
        <w:rPr>
          <w:noProof/>
          <w:sz w:val="24"/>
          <w:szCs w:val="24"/>
        </w:rPr>
        <w:t>) and comparable or lower in fossil-fuel intensive sectors (</w:t>
      </w:r>
      <w:r>
        <w:rPr>
          <w:i/>
          <w:noProof/>
          <w:sz w:val="24"/>
          <w:szCs w:val="24"/>
        </w:rPr>
        <w:t>refineries</w:t>
      </w:r>
      <w:r>
        <w:rPr>
          <w:noProof/>
          <w:sz w:val="24"/>
          <w:szCs w:val="24"/>
        </w:rPr>
        <w:t xml:space="preserve">, </w:t>
      </w:r>
      <w:r>
        <w:rPr>
          <w:i/>
          <w:noProof/>
          <w:sz w:val="24"/>
          <w:szCs w:val="24"/>
        </w:rPr>
        <w:t>basic chemicals</w:t>
      </w:r>
      <w:r>
        <w:rPr>
          <w:noProof/>
          <w:sz w:val="24"/>
          <w:szCs w:val="24"/>
        </w:rPr>
        <w:t xml:space="preserve">, </w:t>
      </w:r>
      <w:r>
        <w:rPr>
          <w:i/>
          <w:noProof/>
          <w:sz w:val="24"/>
          <w:szCs w:val="24"/>
        </w:rPr>
        <w:t>glass</w:t>
      </w:r>
      <w:r>
        <w:rPr>
          <w:noProof/>
          <w:sz w:val="24"/>
          <w:szCs w:val="24"/>
        </w:rPr>
        <w:t xml:space="preserve">). The picture is mixed for </w:t>
      </w:r>
      <w:r>
        <w:rPr>
          <w:i/>
          <w:noProof/>
          <w:sz w:val="24"/>
          <w:szCs w:val="24"/>
        </w:rPr>
        <w:t>paper</w:t>
      </w:r>
      <w:r>
        <w:rPr>
          <w:noProof/>
          <w:sz w:val="24"/>
          <w:szCs w:val="24"/>
        </w:rPr>
        <w:t xml:space="preserve"> (which relies importantly in biomass energy in addition to gas and electricity) and </w:t>
      </w:r>
      <w:r>
        <w:rPr>
          <w:i/>
          <w:noProof/>
          <w:sz w:val="24"/>
          <w:szCs w:val="24"/>
        </w:rPr>
        <w:t>cement.</w:t>
      </w:r>
    </w:p>
    <w:p>
      <w:pPr>
        <w:rPr>
          <w:i/>
          <w:noProof/>
          <w:sz w:val="24"/>
          <w:szCs w:val="24"/>
        </w:rPr>
      </w:pPr>
      <w:r>
        <w:rPr>
          <w:noProof/>
          <w:sz w:val="24"/>
          <w:szCs w:val="24"/>
        </w:rPr>
        <w:t xml:space="preserve">When looking at a broader picture of energy-intensive sectors (See </w:t>
      </w:r>
      <w:r>
        <w:rPr>
          <w:noProof/>
        </w:rPr>
        <w:fldChar w:fldCharType="begin"/>
      </w:r>
      <w:r>
        <w:rPr>
          <w:b/>
          <w:noProof/>
          <w:sz w:val="24"/>
          <w:szCs w:val="24"/>
        </w:rPr>
        <w:instrText xml:space="preserve"> REF _Ref525050700 \h  \* MERGEFORMAT </w:instrText>
      </w:r>
      <w:r>
        <w:rPr>
          <w:noProof/>
        </w:rPr>
      </w:r>
      <w:r>
        <w:rPr>
          <w:b/>
          <w:noProof/>
          <w:sz w:val="24"/>
          <w:szCs w:val="24"/>
        </w:rPr>
        <w:fldChar w:fldCharType="separate"/>
      </w:r>
      <w:r>
        <w:rPr>
          <w:b/>
          <w:bCs/>
          <w:noProof/>
          <w:sz w:val="24"/>
          <w:szCs w:val="24"/>
        </w:rPr>
        <w:t>Figure 152</w:t>
      </w:r>
      <w:r>
        <w:rPr>
          <w:noProof/>
        </w:rPr>
        <w:fldChar w:fldCharType="end"/>
      </w:r>
      <w:r>
        <w:rPr>
          <w:noProof/>
          <w:sz w:val="24"/>
          <w:szCs w:val="24"/>
        </w:rPr>
        <w:t xml:space="preserve">) the pattern changes. The energy cost shares in production value of less energy-intensive sectors in the EU tend to be lower than those in the US and Japan. They are lower in the case of </w:t>
      </w:r>
      <w:r>
        <w:rPr>
          <w:i/>
          <w:noProof/>
          <w:sz w:val="24"/>
          <w:szCs w:val="24"/>
        </w:rPr>
        <w:t>machinery,</w:t>
      </w:r>
      <w:r>
        <w:rPr>
          <w:noProof/>
          <w:sz w:val="24"/>
          <w:szCs w:val="24"/>
        </w:rPr>
        <w:t xml:space="preserve"> </w:t>
      </w:r>
      <w:r>
        <w:rPr>
          <w:i/>
          <w:noProof/>
          <w:sz w:val="24"/>
          <w:szCs w:val="24"/>
        </w:rPr>
        <w:t xml:space="preserve">casting of metals </w:t>
      </w:r>
      <w:r>
        <w:rPr>
          <w:noProof/>
          <w:sz w:val="24"/>
          <w:szCs w:val="24"/>
        </w:rPr>
        <w:t>and</w:t>
      </w:r>
      <w:r>
        <w:rPr>
          <w:i/>
          <w:noProof/>
          <w:sz w:val="24"/>
          <w:szCs w:val="24"/>
        </w:rPr>
        <w:t xml:space="preserve"> computers</w:t>
      </w:r>
      <w:r>
        <w:rPr>
          <w:noProof/>
          <w:sz w:val="24"/>
          <w:szCs w:val="24"/>
        </w:rPr>
        <w:t xml:space="preserve"> and significantly lower in </w:t>
      </w:r>
      <w:r>
        <w:rPr>
          <w:i/>
          <w:noProof/>
          <w:sz w:val="24"/>
          <w:szCs w:val="24"/>
        </w:rPr>
        <w:t>other manufacturing</w:t>
      </w:r>
      <w:r>
        <w:rPr>
          <w:noProof/>
          <w:sz w:val="24"/>
          <w:szCs w:val="24"/>
        </w:rPr>
        <w:t xml:space="preserve"> and </w:t>
      </w:r>
      <w:r>
        <w:rPr>
          <w:i/>
          <w:noProof/>
          <w:sz w:val="24"/>
          <w:szCs w:val="24"/>
        </w:rPr>
        <w:t>electrical equipment.</w:t>
      </w:r>
      <w:r>
        <w:rPr>
          <w:noProof/>
          <w:sz w:val="24"/>
          <w:szCs w:val="24"/>
        </w:rPr>
        <w:t xml:space="preserve"> Energy cost shares for </w:t>
      </w:r>
      <w:r>
        <w:rPr>
          <w:i/>
          <w:noProof/>
          <w:sz w:val="24"/>
          <w:szCs w:val="24"/>
        </w:rPr>
        <w:t>motor vehicles</w:t>
      </w:r>
      <w:r>
        <w:rPr>
          <w:noProof/>
          <w:sz w:val="24"/>
          <w:szCs w:val="24"/>
        </w:rPr>
        <w:t xml:space="preserve"> are lower than in Japan, but higher than in the US.   They are also lower than in the US and Japan for a bit more energy-intensive sectors like </w:t>
      </w:r>
      <w:r>
        <w:rPr>
          <w:i/>
          <w:noProof/>
          <w:sz w:val="24"/>
          <w:szCs w:val="24"/>
        </w:rPr>
        <w:t xml:space="preserve">grain </w:t>
      </w:r>
      <w:r>
        <w:rPr>
          <w:noProof/>
          <w:sz w:val="24"/>
          <w:szCs w:val="24"/>
        </w:rPr>
        <w:t>and</w:t>
      </w:r>
      <w:r>
        <w:rPr>
          <w:i/>
          <w:noProof/>
          <w:sz w:val="24"/>
          <w:szCs w:val="24"/>
        </w:rPr>
        <w:t xml:space="preserve"> pharmaceuticals </w:t>
      </w:r>
      <w:r>
        <w:rPr>
          <w:noProof/>
          <w:sz w:val="24"/>
          <w:szCs w:val="24"/>
        </w:rPr>
        <w:t>and for the very energy-intensive sector of</w:t>
      </w:r>
      <w:r>
        <w:rPr>
          <w:i/>
          <w:noProof/>
          <w:sz w:val="24"/>
          <w:szCs w:val="24"/>
        </w:rPr>
        <w:t xml:space="preserve"> cement, lime and plaster. </w:t>
      </w:r>
    </w:p>
    <w:p>
      <w:pPr>
        <w:rPr>
          <w:i/>
          <w:noProof/>
          <w:sz w:val="24"/>
          <w:szCs w:val="24"/>
        </w:rPr>
      </w:pPr>
      <w:r>
        <w:rPr>
          <w:noProof/>
          <w:sz w:val="24"/>
          <w:szCs w:val="24"/>
        </w:rPr>
        <w:t>The energy cost shares in production value in the EU are similar to those in the US for</w:t>
      </w:r>
      <w:r>
        <w:rPr>
          <w:i/>
          <w:noProof/>
          <w:sz w:val="24"/>
          <w:szCs w:val="24"/>
        </w:rPr>
        <w:t xml:space="preserve"> beverages</w:t>
      </w:r>
      <w:r>
        <w:rPr>
          <w:noProof/>
          <w:sz w:val="24"/>
          <w:szCs w:val="24"/>
        </w:rPr>
        <w:t xml:space="preserve"> and</w:t>
      </w:r>
      <w:r>
        <w:rPr>
          <w:i/>
          <w:noProof/>
          <w:sz w:val="24"/>
          <w:szCs w:val="24"/>
        </w:rPr>
        <w:t xml:space="preserve"> stone. </w:t>
      </w:r>
      <w:r>
        <w:rPr>
          <w:noProof/>
          <w:sz w:val="24"/>
          <w:szCs w:val="24"/>
        </w:rPr>
        <w:t>They are lower than in the US (but higher than in Japan) for</w:t>
      </w:r>
      <w:r>
        <w:rPr>
          <w:i/>
          <w:noProof/>
          <w:sz w:val="24"/>
          <w:szCs w:val="24"/>
        </w:rPr>
        <w:t xml:space="preserve"> abrasive products </w:t>
      </w:r>
      <w:r>
        <w:rPr>
          <w:noProof/>
          <w:sz w:val="24"/>
          <w:szCs w:val="24"/>
        </w:rPr>
        <w:t>and</w:t>
      </w:r>
      <w:r>
        <w:rPr>
          <w:i/>
          <w:noProof/>
          <w:sz w:val="24"/>
          <w:szCs w:val="24"/>
        </w:rPr>
        <w:t xml:space="preserve"> ceramics.</w:t>
      </w:r>
    </w:p>
    <w:p>
      <w:pPr>
        <w:rPr>
          <w:i/>
          <w:noProof/>
          <w:sz w:val="24"/>
          <w:szCs w:val="24"/>
        </w:rPr>
      </w:pPr>
    </w:p>
    <w:p>
      <w:pPr>
        <w:rPr>
          <w:i/>
          <w:noProof/>
          <w:sz w:val="24"/>
          <w:szCs w:val="24"/>
        </w:rPr>
        <w:sectPr>
          <w:headerReference w:type="even" r:id="rId90"/>
          <w:headerReference w:type="default" r:id="rId91"/>
          <w:footerReference w:type="even" r:id="rId92"/>
          <w:footerReference w:type="default" r:id="rId93"/>
          <w:headerReference w:type="first" r:id="rId94"/>
          <w:footerReference w:type="first" r:id="rId95"/>
          <w:footnotePr>
            <w:numStart w:val="51"/>
          </w:footnotePr>
          <w:pgSz w:w="11906" w:h="16838" w:code="9"/>
          <w:pgMar w:top="1134" w:right="1418" w:bottom="1134" w:left="1418" w:header="709" w:footer="709" w:gutter="0"/>
          <w:cols w:space="720"/>
          <w:docGrid w:linePitch="360"/>
        </w:sectPr>
      </w:pPr>
    </w:p>
    <w:p>
      <w:pPr>
        <w:rPr>
          <w:noProof/>
          <w:sz w:val="24"/>
          <w:szCs w:val="24"/>
        </w:rPr>
      </w:pPr>
    </w:p>
    <w:p>
      <w:pPr>
        <w:jc w:val="center"/>
        <w:rPr>
          <w:noProof/>
          <w:highlight w:val="yellow"/>
        </w:rPr>
      </w:pPr>
      <w:r>
        <w:rPr>
          <w:noProof/>
          <w:lang w:eastAsia="en-GB"/>
        </w:rPr>
        <w:drawing>
          <wp:inline distT="0" distB="0" distL="0" distR="0">
            <wp:extent cx="8627767" cy="4544531"/>
            <wp:effectExtent l="0" t="0" r="1905" b="8890"/>
            <wp:docPr id="1857116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6" cstate="print">
                      <a:extLst>
                        <a:ext uri="{28A0092B-C50C-407E-A947-70E740481C1C}">
                          <a14:useLocalDpi xmlns:a14="http://schemas.microsoft.com/office/drawing/2010/main"/>
                        </a:ext>
                      </a:extLst>
                    </a:blip>
                    <a:stretch>
                      <a:fillRect/>
                    </a:stretch>
                  </pic:blipFill>
                  <pic:spPr>
                    <a:xfrm>
                      <a:off x="0" y="0"/>
                      <a:ext cx="8737077" cy="4602108"/>
                    </a:xfrm>
                    <a:prstGeom prst="rect">
                      <a:avLst/>
                    </a:prstGeom>
                  </pic:spPr>
                </pic:pic>
              </a:graphicData>
            </a:graphic>
          </wp:inline>
        </w:drawing>
      </w:r>
    </w:p>
    <w:p>
      <w:pPr>
        <w:pStyle w:val="Caption"/>
      </w:pPr>
      <w:bookmarkStart w:id="264" w:name="_Ref525050700"/>
      <w:bookmarkStart w:id="265" w:name="_Toc525807876"/>
      <w:bookmarkStart w:id="266" w:name="_Toc526433492"/>
      <w:bookmarkStart w:id="267" w:name="_Toc526433770"/>
      <w:bookmarkStart w:id="268" w:name="_Toc526435712"/>
      <w:bookmarkStart w:id="269" w:name="_Toc530739802"/>
      <w:bookmarkStart w:id="270" w:name="_Toc531366175"/>
      <w:bookmarkStart w:id="271" w:name="_Toc50494148"/>
      <w:bookmarkStart w:id="272" w:name="_Toc52396924"/>
      <w:r>
        <w:t xml:space="preserve">Figure </w:t>
      </w:r>
      <w:r>
        <w:fldChar w:fldCharType="begin"/>
      </w:r>
      <w:r>
        <w:instrText xml:space="preserve"> SEQ Figure \* ARABIC </w:instrText>
      </w:r>
      <w:r>
        <w:fldChar w:fldCharType="separate"/>
      </w:r>
      <w:r>
        <w:t>152</w:t>
      </w:r>
      <w:r>
        <w:fldChar w:fldCharType="end"/>
      </w:r>
      <w:bookmarkEnd w:id="264"/>
      <w:r>
        <w:t xml:space="preserve"> - Energy costs shares in production value for manufacturing sectors, 2008-2017</w:t>
      </w:r>
      <w:bookmarkEnd w:id="265"/>
      <w:bookmarkEnd w:id="266"/>
      <w:bookmarkEnd w:id="267"/>
      <w:bookmarkEnd w:id="268"/>
      <w:bookmarkEnd w:id="269"/>
      <w:bookmarkEnd w:id="270"/>
      <w:bookmarkEnd w:id="271"/>
      <w:bookmarkEnd w:id="272"/>
    </w:p>
    <w:p>
      <w:pPr>
        <w:pStyle w:val="Sources"/>
        <w:rPr>
          <w:noProof/>
          <w:lang w:val="fr-BE"/>
        </w:rPr>
      </w:pPr>
      <w:r>
        <w:rPr>
          <w:noProof/>
          <w:lang w:val="fr-BE"/>
        </w:rPr>
        <w:t>Source: Trinomics et altri study (2020)</w:t>
      </w:r>
    </w:p>
    <w:p>
      <w:pPr>
        <w:spacing w:after="0"/>
        <w:jc w:val="left"/>
        <w:rPr>
          <w:noProof/>
          <w:sz w:val="24"/>
          <w:szCs w:val="24"/>
          <w:highlight w:val="yellow"/>
          <w:lang w:val="fr-BE"/>
        </w:rPr>
        <w:sectPr>
          <w:headerReference w:type="even" r:id="rId97"/>
          <w:headerReference w:type="default" r:id="rId98"/>
          <w:footerReference w:type="even" r:id="rId99"/>
          <w:footerReference w:type="default" r:id="rId100"/>
          <w:headerReference w:type="first" r:id="rId101"/>
          <w:footerReference w:type="first" r:id="rId102"/>
          <w:footnotePr>
            <w:numStart w:val="51"/>
          </w:footnotePr>
          <w:pgSz w:w="16838" w:h="11906" w:orient="landscape" w:code="9"/>
          <w:pgMar w:top="1418" w:right="1134" w:bottom="1418" w:left="1134" w:header="709" w:footer="709" w:gutter="0"/>
          <w:cols w:space="720"/>
          <w:docGrid w:linePitch="360"/>
        </w:sectPr>
      </w:pPr>
    </w:p>
    <w:p>
      <w:pPr>
        <w:spacing w:after="0"/>
        <w:jc w:val="left"/>
        <w:rPr>
          <w:noProof/>
          <w:sz w:val="24"/>
          <w:szCs w:val="24"/>
          <w:highlight w:val="yellow"/>
          <w:lang w:val="fr-BE"/>
        </w:rPr>
      </w:pPr>
    </w:p>
    <w:p>
      <w:pPr>
        <w:rPr>
          <w:noProof/>
          <w:sz w:val="24"/>
          <w:szCs w:val="24"/>
        </w:rPr>
      </w:pPr>
      <w:r>
        <w:rPr>
          <w:noProof/>
          <w:sz w:val="24"/>
          <w:szCs w:val="24"/>
        </w:rPr>
        <w:t xml:space="preserve">As to Norway, the result of the comparison with the EU is mixed. For highly energy-intensive  sectors, the energy cost shares in the EU are lower than in Norway in </w:t>
      </w:r>
      <w:r>
        <w:rPr>
          <w:i/>
          <w:noProof/>
          <w:sz w:val="24"/>
          <w:szCs w:val="24"/>
        </w:rPr>
        <w:t>steel</w:t>
      </w:r>
      <w:r>
        <w:rPr>
          <w:noProof/>
          <w:sz w:val="24"/>
          <w:szCs w:val="24"/>
        </w:rPr>
        <w:t xml:space="preserve">, </w:t>
      </w:r>
      <w:r>
        <w:rPr>
          <w:i/>
          <w:noProof/>
          <w:sz w:val="24"/>
          <w:szCs w:val="24"/>
        </w:rPr>
        <w:t>non-ferrous metals</w:t>
      </w:r>
      <w:r>
        <w:rPr>
          <w:noProof/>
          <w:sz w:val="24"/>
          <w:szCs w:val="24"/>
        </w:rPr>
        <w:t xml:space="preserve">, </w:t>
      </w:r>
      <w:r>
        <w:rPr>
          <w:i/>
          <w:noProof/>
          <w:sz w:val="24"/>
          <w:szCs w:val="24"/>
        </w:rPr>
        <w:t>chemicals</w:t>
      </w:r>
      <w:r>
        <w:rPr>
          <w:noProof/>
          <w:sz w:val="24"/>
          <w:szCs w:val="24"/>
        </w:rPr>
        <w:t xml:space="preserve"> and </w:t>
      </w:r>
      <w:r>
        <w:rPr>
          <w:i/>
          <w:noProof/>
          <w:sz w:val="24"/>
          <w:szCs w:val="24"/>
        </w:rPr>
        <w:t>paper</w:t>
      </w:r>
      <w:r>
        <w:rPr>
          <w:noProof/>
          <w:sz w:val="24"/>
          <w:szCs w:val="24"/>
        </w:rPr>
        <w:t xml:space="preserve"> but higher in gas intensive sectors like </w:t>
      </w:r>
      <w:r>
        <w:rPr>
          <w:i/>
          <w:noProof/>
          <w:sz w:val="24"/>
          <w:szCs w:val="24"/>
        </w:rPr>
        <w:t>g</w:t>
      </w:r>
      <w:r>
        <w:rPr>
          <w:i/>
          <w:iCs/>
          <w:noProof/>
          <w:sz w:val="24"/>
          <w:szCs w:val="24"/>
        </w:rPr>
        <w:t>rain</w:t>
      </w:r>
      <w:r>
        <w:rPr>
          <w:noProof/>
          <w:sz w:val="24"/>
          <w:szCs w:val="24"/>
        </w:rPr>
        <w:t xml:space="preserve">, </w:t>
      </w:r>
      <w:r>
        <w:rPr>
          <w:i/>
          <w:iCs/>
          <w:noProof/>
          <w:sz w:val="24"/>
          <w:szCs w:val="24"/>
        </w:rPr>
        <w:t>glass</w:t>
      </w:r>
      <w:r>
        <w:rPr>
          <w:noProof/>
          <w:sz w:val="24"/>
          <w:szCs w:val="24"/>
        </w:rPr>
        <w:t xml:space="preserve">, </w:t>
      </w:r>
      <w:r>
        <w:rPr>
          <w:i/>
          <w:iCs/>
          <w:noProof/>
          <w:sz w:val="24"/>
          <w:szCs w:val="24"/>
        </w:rPr>
        <w:t>refractory products</w:t>
      </w:r>
      <w:r>
        <w:rPr>
          <w:noProof/>
          <w:sz w:val="24"/>
          <w:szCs w:val="24"/>
        </w:rPr>
        <w:t xml:space="preserve"> and </w:t>
      </w:r>
      <w:r>
        <w:rPr>
          <w:i/>
          <w:noProof/>
          <w:sz w:val="24"/>
          <w:szCs w:val="24"/>
        </w:rPr>
        <w:t>ceramics</w:t>
      </w:r>
      <w:r>
        <w:rPr>
          <w:noProof/>
          <w:sz w:val="24"/>
          <w:szCs w:val="24"/>
        </w:rPr>
        <w:t xml:space="preserve">. As to the less energy-intensive products the results are also mixed, with the energy costs shares in the EU being higher in sectors like </w:t>
      </w:r>
      <w:r>
        <w:rPr>
          <w:i/>
          <w:noProof/>
          <w:sz w:val="24"/>
          <w:szCs w:val="24"/>
        </w:rPr>
        <w:t>stone</w:t>
      </w:r>
      <w:r>
        <w:rPr>
          <w:noProof/>
          <w:sz w:val="24"/>
          <w:szCs w:val="24"/>
        </w:rPr>
        <w:t xml:space="preserve">, </w:t>
      </w:r>
      <w:r>
        <w:rPr>
          <w:i/>
          <w:noProof/>
          <w:sz w:val="24"/>
          <w:szCs w:val="24"/>
        </w:rPr>
        <w:t>abrasive products</w:t>
      </w:r>
      <w:r>
        <w:rPr>
          <w:noProof/>
          <w:sz w:val="24"/>
          <w:szCs w:val="24"/>
        </w:rPr>
        <w:t xml:space="preserve"> and </w:t>
      </w:r>
      <w:r>
        <w:rPr>
          <w:i/>
          <w:noProof/>
          <w:sz w:val="24"/>
          <w:szCs w:val="24"/>
        </w:rPr>
        <w:t xml:space="preserve">metals products, machinery, computers </w:t>
      </w:r>
      <w:r>
        <w:rPr>
          <w:noProof/>
          <w:sz w:val="24"/>
          <w:szCs w:val="24"/>
        </w:rPr>
        <w:t xml:space="preserve">and </w:t>
      </w:r>
      <w:r>
        <w:rPr>
          <w:i/>
          <w:noProof/>
          <w:sz w:val="24"/>
          <w:szCs w:val="24"/>
        </w:rPr>
        <w:t>electric equipment</w:t>
      </w:r>
      <w:r>
        <w:rPr>
          <w:noProof/>
          <w:sz w:val="24"/>
          <w:szCs w:val="24"/>
        </w:rPr>
        <w:t xml:space="preserve">, comparable in </w:t>
      </w:r>
      <w:r>
        <w:rPr>
          <w:i/>
          <w:noProof/>
          <w:sz w:val="24"/>
          <w:szCs w:val="24"/>
        </w:rPr>
        <w:t>other manufacturing</w:t>
      </w:r>
      <w:r>
        <w:rPr>
          <w:noProof/>
          <w:sz w:val="24"/>
          <w:szCs w:val="24"/>
        </w:rPr>
        <w:t xml:space="preserve"> and lower in </w:t>
      </w:r>
      <w:r>
        <w:rPr>
          <w:i/>
          <w:noProof/>
          <w:sz w:val="24"/>
          <w:szCs w:val="24"/>
        </w:rPr>
        <w:t>motor vehicles</w:t>
      </w:r>
      <w:r>
        <w:rPr>
          <w:noProof/>
          <w:sz w:val="24"/>
          <w:szCs w:val="24"/>
        </w:rPr>
        <w:t xml:space="preserve"> and </w:t>
      </w:r>
      <w:r>
        <w:rPr>
          <w:i/>
          <w:noProof/>
          <w:sz w:val="24"/>
          <w:szCs w:val="24"/>
        </w:rPr>
        <w:t>pharmaceutical</w:t>
      </w:r>
      <w:r>
        <w:rPr>
          <w:noProof/>
          <w:sz w:val="24"/>
          <w:szCs w:val="24"/>
        </w:rPr>
        <w:t xml:space="preserve"> products.</w:t>
      </w:r>
    </w:p>
    <w:p>
      <w:pPr>
        <w:rPr>
          <w:noProof/>
          <w:sz w:val="24"/>
          <w:szCs w:val="24"/>
        </w:rPr>
      </w:pPr>
      <w:r>
        <w:rPr>
          <w:noProof/>
          <w:sz w:val="24"/>
          <w:szCs w:val="24"/>
        </w:rPr>
        <w:t xml:space="preserve">With regard to Turkey, as regards the most energy-intensive sectors, the EU’s energy cost shares were significantly higher in </w:t>
      </w:r>
      <w:r>
        <w:rPr>
          <w:i/>
          <w:noProof/>
          <w:sz w:val="24"/>
          <w:szCs w:val="24"/>
        </w:rPr>
        <w:t>basic chemicals</w:t>
      </w:r>
      <w:r>
        <w:rPr>
          <w:noProof/>
          <w:sz w:val="24"/>
          <w:szCs w:val="24"/>
        </w:rPr>
        <w:t xml:space="preserve">, </w:t>
      </w:r>
      <w:r>
        <w:rPr>
          <w:i/>
          <w:noProof/>
          <w:sz w:val="24"/>
          <w:szCs w:val="24"/>
        </w:rPr>
        <w:t>non-ferrous metals</w:t>
      </w:r>
      <w:r>
        <w:rPr>
          <w:noProof/>
          <w:sz w:val="24"/>
          <w:szCs w:val="24"/>
        </w:rPr>
        <w:t xml:space="preserve"> and </w:t>
      </w:r>
      <w:r>
        <w:rPr>
          <w:i/>
          <w:noProof/>
          <w:sz w:val="24"/>
          <w:szCs w:val="24"/>
        </w:rPr>
        <w:t>steel</w:t>
      </w:r>
      <w:r>
        <w:rPr>
          <w:noProof/>
          <w:sz w:val="24"/>
          <w:szCs w:val="24"/>
        </w:rPr>
        <w:t xml:space="preserve">, slightly lower in </w:t>
      </w:r>
      <w:r>
        <w:rPr>
          <w:i/>
          <w:noProof/>
          <w:sz w:val="24"/>
          <w:szCs w:val="24"/>
        </w:rPr>
        <w:t>paper</w:t>
      </w:r>
      <w:r>
        <w:rPr>
          <w:noProof/>
          <w:sz w:val="24"/>
          <w:szCs w:val="24"/>
        </w:rPr>
        <w:t xml:space="preserve"> and </w:t>
      </w:r>
      <w:r>
        <w:rPr>
          <w:i/>
          <w:noProof/>
          <w:sz w:val="24"/>
          <w:szCs w:val="24"/>
        </w:rPr>
        <w:t>glass</w:t>
      </w:r>
      <w:r>
        <w:rPr>
          <w:noProof/>
          <w:sz w:val="24"/>
          <w:szCs w:val="24"/>
        </w:rPr>
        <w:t xml:space="preserve">, and much lower in </w:t>
      </w:r>
      <w:r>
        <w:rPr>
          <w:i/>
          <w:noProof/>
          <w:sz w:val="24"/>
          <w:szCs w:val="24"/>
        </w:rPr>
        <w:t>cement</w:t>
      </w:r>
      <w:r>
        <w:rPr>
          <w:noProof/>
          <w:sz w:val="24"/>
          <w:szCs w:val="24"/>
        </w:rPr>
        <w:t xml:space="preserve">. In most of the other less energy-intensive  sectors, the EU’s energy shares were lower than in Turkey, with the exception of </w:t>
      </w:r>
      <w:r>
        <w:rPr>
          <w:i/>
          <w:noProof/>
          <w:sz w:val="24"/>
          <w:szCs w:val="24"/>
        </w:rPr>
        <w:t>motor vehicles, metal products</w:t>
      </w:r>
      <w:r>
        <w:rPr>
          <w:noProof/>
          <w:sz w:val="24"/>
          <w:szCs w:val="24"/>
        </w:rPr>
        <w:t xml:space="preserve"> (in which they were comparable or slightly higher) and </w:t>
      </w:r>
      <w:r>
        <w:rPr>
          <w:i/>
          <w:noProof/>
          <w:sz w:val="24"/>
          <w:szCs w:val="24"/>
        </w:rPr>
        <w:t>grain</w:t>
      </w:r>
      <w:r>
        <w:rPr>
          <w:noProof/>
          <w:sz w:val="24"/>
          <w:szCs w:val="24"/>
        </w:rPr>
        <w:t xml:space="preserve">, </w:t>
      </w:r>
      <w:r>
        <w:rPr>
          <w:i/>
          <w:iCs/>
          <w:noProof/>
          <w:sz w:val="24"/>
          <w:szCs w:val="24"/>
        </w:rPr>
        <w:t xml:space="preserve">fruit </w:t>
      </w:r>
      <w:r>
        <w:rPr>
          <w:iCs/>
          <w:noProof/>
          <w:sz w:val="24"/>
          <w:szCs w:val="24"/>
        </w:rPr>
        <w:t xml:space="preserve">and </w:t>
      </w:r>
      <w:r>
        <w:rPr>
          <w:i/>
          <w:noProof/>
          <w:sz w:val="24"/>
          <w:szCs w:val="24"/>
        </w:rPr>
        <w:t>other manufacturing</w:t>
      </w:r>
      <w:r>
        <w:rPr>
          <w:noProof/>
          <w:sz w:val="24"/>
          <w:szCs w:val="24"/>
        </w:rPr>
        <w:t xml:space="preserve"> (in which they were higher).</w:t>
      </w:r>
    </w:p>
    <w:p>
      <w:pPr>
        <w:rPr>
          <w:noProof/>
          <w:sz w:val="24"/>
          <w:szCs w:val="24"/>
        </w:rPr>
      </w:pPr>
      <w:r>
        <w:rPr>
          <w:noProof/>
          <w:sz w:val="24"/>
          <w:szCs w:val="24"/>
        </w:rPr>
        <w:t>Some additional general observations can be drawn across sectors:</w:t>
      </w:r>
    </w:p>
    <w:p>
      <w:pPr>
        <w:pStyle w:val="ListParagraph"/>
        <w:numPr>
          <w:ilvl w:val="1"/>
          <w:numId w:val="33"/>
        </w:numPr>
        <w:ind w:left="426" w:hanging="357"/>
        <w:contextualSpacing w:val="0"/>
        <w:rPr>
          <w:noProof/>
          <w:sz w:val="24"/>
          <w:szCs w:val="24"/>
        </w:rPr>
      </w:pPr>
      <w:r>
        <w:rPr>
          <w:noProof/>
          <w:sz w:val="24"/>
          <w:szCs w:val="24"/>
        </w:rPr>
        <w:t>Norway displays the highest energy cost shares in the</w:t>
      </w:r>
      <w:r>
        <w:rPr>
          <w:i/>
          <w:noProof/>
          <w:sz w:val="24"/>
          <w:szCs w:val="24"/>
        </w:rPr>
        <w:t xml:space="preserve"> paper</w:t>
      </w:r>
      <w:r>
        <w:rPr>
          <w:noProof/>
          <w:sz w:val="24"/>
          <w:szCs w:val="24"/>
        </w:rPr>
        <w:t xml:space="preserve"> and </w:t>
      </w:r>
      <w:r>
        <w:rPr>
          <w:i/>
          <w:noProof/>
          <w:sz w:val="24"/>
          <w:szCs w:val="24"/>
        </w:rPr>
        <w:t>non-ferrous metals</w:t>
      </w:r>
      <w:r>
        <w:rPr>
          <w:noProof/>
          <w:sz w:val="24"/>
          <w:szCs w:val="24"/>
        </w:rPr>
        <w:t xml:space="preserve"> in spite of lower electricity and natural gas prices than the EU’s, due to their relatively higher energy consumption</w:t>
      </w:r>
    </w:p>
    <w:p>
      <w:pPr>
        <w:pStyle w:val="ListParagraph"/>
        <w:numPr>
          <w:ilvl w:val="1"/>
          <w:numId w:val="33"/>
        </w:numPr>
        <w:ind w:left="426" w:hanging="357"/>
        <w:contextualSpacing w:val="0"/>
        <w:rPr>
          <w:noProof/>
          <w:sz w:val="24"/>
          <w:szCs w:val="24"/>
        </w:rPr>
      </w:pPr>
      <w:r>
        <w:rPr>
          <w:noProof/>
          <w:sz w:val="24"/>
          <w:szCs w:val="24"/>
        </w:rPr>
        <w:t>Turkey has the highest energy cost share in the refineries, followed by Japan</w:t>
      </w:r>
    </w:p>
    <w:p>
      <w:pPr>
        <w:pStyle w:val="ListParagraph"/>
        <w:numPr>
          <w:ilvl w:val="1"/>
          <w:numId w:val="33"/>
        </w:numPr>
        <w:ind w:left="426" w:hanging="357"/>
        <w:contextualSpacing w:val="0"/>
        <w:rPr>
          <w:noProof/>
          <w:sz w:val="24"/>
          <w:szCs w:val="24"/>
        </w:rPr>
      </w:pPr>
      <w:r>
        <w:rPr>
          <w:noProof/>
          <w:sz w:val="24"/>
          <w:szCs w:val="24"/>
        </w:rPr>
        <w:t xml:space="preserve">Japan has the highest energy cost share in </w:t>
      </w:r>
      <w:r>
        <w:rPr>
          <w:i/>
          <w:noProof/>
          <w:sz w:val="24"/>
          <w:szCs w:val="24"/>
        </w:rPr>
        <w:t>glass</w:t>
      </w:r>
    </w:p>
    <w:p>
      <w:pPr>
        <w:pStyle w:val="ListParagraph"/>
        <w:numPr>
          <w:ilvl w:val="1"/>
          <w:numId w:val="33"/>
        </w:numPr>
        <w:ind w:left="426" w:hanging="357"/>
        <w:contextualSpacing w:val="0"/>
        <w:rPr>
          <w:noProof/>
          <w:sz w:val="24"/>
          <w:szCs w:val="24"/>
        </w:rPr>
      </w:pPr>
      <w:r>
        <w:rPr>
          <w:noProof/>
          <w:sz w:val="24"/>
          <w:szCs w:val="24"/>
        </w:rPr>
        <w:t xml:space="preserve">The US has the highest energy cost shares in </w:t>
      </w:r>
      <w:r>
        <w:rPr>
          <w:i/>
          <w:noProof/>
          <w:sz w:val="24"/>
          <w:szCs w:val="24"/>
        </w:rPr>
        <w:t>basic chemicals</w:t>
      </w:r>
      <w:r>
        <w:rPr>
          <w:noProof/>
          <w:sz w:val="24"/>
          <w:szCs w:val="24"/>
        </w:rPr>
        <w:t xml:space="preserve"> and</w:t>
      </w:r>
      <w:r>
        <w:rPr>
          <w:i/>
          <w:noProof/>
          <w:sz w:val="24"/>
          <w:szCs w:val="24"/>
        </w:rPr>
        <w:t xml:space="preserve"> cement.</w:t>
      </w:r>
    </w:p>
    <w:p>
      <w:pPr>
        <w:pStyle w:val="ListParagraph"/>
        <w:numPr>
          <w:ilvl w:val="1"/>
          <w:numId w:val="33"/>
        </w:numPr>
        <w:ind w:left="426" w:hanging="357"/>
        <w:contextualSpacing w:val="0"/>
        <w:rPr>
          <w:noProof/>
          <w:sz w:val="24"/>
          <w:szCs w:val="24"/>
        </w:rPr>
      </w:pPr>
      <w:r>
        <w:rPr>
          <w:noProof/>
          <w:sz w:val="24"/>
          <w:szCs w:val="24"/>
        </w:rPr>
        <w:t xml:space="preserve">On average, the EU has energy cost shares comparable to those of most international trade partners, with relatively high energy cost shares in </w:t>
      </w:r>
      <w:r>
        <w:rPr>
          <w:i/>
          <w:noProof/>
          <w:sz w:val="24"/>
          <w:szCs w:val="24"/>
        </w:rPr>
        <w:t xml:space="preserve">steel </w:t>
      </w:r>
      <w:r>
        <w:rPr>
          <w:noProof/>
          <w:sz w:val="24"/>
          <w:szCs w:val="24"/>
        </w:rPr>
        <w:t xml:space="preserve">and </w:t>
      </w:r>
      <w:r>
        <w:rPr>
          <w:i/>
          <w:noProof/>
          <w:sz w:val="24"/>
          <w:szCs w:val="24"/>
        </w:rPr>
        <w:t xml:space="preserve">non-ferrous metals, </w:t>
      </w:r>
      <w:r>
        <w:rPr>
          <w:noProof/>
          <w:sz w:val="24"/>
          <w:szCs w:val="24"/>
        </w:rPr>
        <w:t>and comparable or lower</w:t>
      </w:r>
      <w:r>
        <w:rPr>
          <w:i/>
          <w:noProof/>
          <w:sz w:val="24"/>
          <w:szCs w:val="24"/>
        </w:rPr>
        <w:t xml:space="preserve"> </w:t>
      </w:r>
      <w:r>
        <w:rPr>
          <w:noProof/>
          <w:sz w:val="24"/>
          <w:szCs w:val="24"/>
        </w:rPr>
        <w:t>shares for the less energy-intensive sectors. The EU has a relatively low energy cost shares in refineries.</w:t>
      </w:r>
    </w:p>
    <w:p>
      <w:pPr>
        <w:rPr>
          <w:noProof/>
          <w:sz w:val="24"/>
          <w:szCs w:val="24"/>
        </w:rPr>
      </w:pPr>
    </w:p>
    <w:p>
      <w:pPr>
        <w:pStyle w:val="Heading3"/>
        <w:numPr>
          <w:ilvl w:val="2"/>
          <w:numId w:val="1"/>
        </w:numPr>
        <w:rPr>
          <w:noProof/>
        </w:rPr>
      </w:pPr>
      <w:bookmarkStart w:id="273" w:name="_Toc524619529"/>
      <w:bookmarkStart w:id="274" w:name="_Toc524961076"/>
      <w:bookmarkStart w:id="275" w:name="_Toc525143037"/>
      <w:bookmarkStart w:id="276" w:name="_Toc525222194"/>
      <w:bookmarkStart w:id="277" w:name="_Toc525222363"/>
      <w:bookmarkStart w:id="278" w:name="_Toc526420760"/>
      <w:bookmarkStart w:id="279" w:name="_Toc526433986"/>
      <w:bookmarkStart w:id="280" w:name="_Toc526435928"/>
      <w:bookmarkStart w:id="281" w:name="_Toc530595258"/>
      <w:bookmarkStart w:id="282" w:name="_Toc50648347"/>
      <w:bookmarkStart w:id="283" w:name="_Toc50654377"/>
      <w:bookmarkStart w:id="284" w:name="_Toc50654932"/>
      <w:bookmarkStart w:id="285" w:name="_Toc50732479"/>
      <w:bookmarkStart w:id="286" w:name="_Toc52396563"/>
      <w:r>
        <w:rPr>
          <w:noProof/>
        </w:rPr>
        <w:t>Energy intensity of EU sectors vs other G20</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rPr>
          <w:noProof/>
        </w:rPr>
      </w:pPr>
    </w:p>
    <w:p>
      <w:pPr>
        <w:rPr>
          <w:noProof/>
          <w:sz w:val="24"/>
          <w:szCs w:val="24"/>
        </w:rPr>
      </w:pPr>
      <w:r>
        <w:rPr>
          <w:noProof/>
          <w:sz w:val="24"/>
          <w:szCs w:val="24"/>
        </w:rPr>
        <w:t>Energy efficiency can also be factor for international competitiveness (the more energy efficient a firm is, the lower its relative consumption and energy costs). By comparing energy intensities across sectors one can have an indication of the different energy efficiency in these sectors and countries (bearing in mind that other factors, such as countries with specialisation in products of high added value, will also have an impact on decreasing the carbon intensity of a particular sector). This complements the understanding of the role of energy cost shares. One should also be aware that the international data on energy intensity is rather limited (with often only one or two other international comparators available) and that these results should be taken with caution.</w:t>
      </w:r>
    </w:p>
    <w:p>
      <w:pPr>
        <w:spacing w:after="0" w:line="300" w:lineRule="atLeast"/>
        <w:jc w:val="left"/>
        <w:rPr>
          <w:noProof/>
          <w:sz w:val="24"/>
          <w:szCs w:val="24"/>
        </w:rPr>
      </w:pPr>
      <w:r>
        <w:rPr>
          <w:noProof/>
        </w:rPr>
        <w:fldChar w:fldCharType="begin"/>
      </w:r>
      <w:r>
        <w:rPr>
          <w:b/>
          <w:noProof/>
          <w:sz w:val="24"/>
          <w:szCs w:val="24"/>
        </w:rPr>
        <w:instrText xml:space="preserve"> REF _Ref527039701 \h  \* MERGEFORMAT </w:instrText>
      </w:r>
      <w:r>
        <w:rPr>
          <w:noProof/>
        </w:rPr>
      </w:r>
      <w:r>
        <w:rPr>
          <w:b/>
          <w:noProof/>
          <w:sz w:val="24"/>
          <w:szCs w:val="24"/>
        </w:rPr>
        <w:fldChar w:fldCharType="separate"/>
      </w:r>
      <w:r>
        <w:rPr>
          <w:b/>
          <w:bCs/>
          <w:noProof/>
          <w:sz w:val="24"/>
          <w:szCs w:val="24"/>
        </w:rPr>
        <w:t>Figure 153</w:t>
      </w:r>
      <w:r>
        <w:rPr>
          <w:noProof/>
        </w:rPr>
        <w:fldChar w:fldCharType="end"/>
      </w:r>
      <w:r>
        <w:rPr>
          <w:b/>
          <w:bCs/>
          <w:noProof/>
          <w:sz w:val="24"/>
          <w:szCs w:val="24"/>
        </w:rPr>
        <w:t xml:space="preserve"> </w:t>
      </w:r>
      <w:r>
        <w:rPr>
          <w:noProof/>
          <w:sz w:val="24"/>
          <w:szCs w:val="24"/>
        </w:rPr>
        <w:t xml:space="preserve">and </w:t>
      </w:r>
      <w:r>
        <w:rPr>
          <w:noProof/>
        </w:rPr>
        <w:fldChar w:fldCharType="begin"/>
      </w:r>
      <w:r>
        <w:rPr>
          <w:b/>
          <w:noProof/>
          <w:sz w:val="24"/>
          <w:szCs w:val="24"/>
        </w:rPr>
        <w:instrText xml:space="preserve"> REF _Ref527039703 \h  \* MERGEFORMAT </w:instrText>
      </w:r>
      <w:r>
        <w:rPr>
          <w:noProof/>
        </w:rPr>
      </w:r>
      <w:r>
        <w:rPr>
          <w:b/>
          <w:noProof/>
          <w:sz w:val="24"/>
          <w:szCs w:val="24"/>
        </w:rPr>
        <w:fldChar w:fldCharType="separate"/>
      </w:r>
      <w:r>
        <w:rPr>
          <w:b/>
          <w:bCs/>
          <w:noProof/>
          <w:sz w:val="24"/>
          <w:szCs w:val="24"/>
        </w:rPr>
        <w:t>Figure 154</w:t>
      </w:r>
      <w:r>
        <w:rPr>
          <w:noProof/>
        </w:rPr>
        <w:fldChar w:fldCharType="end"/>
      </w:r>
      <w:r>
        <w:rPr>
          <w:noProof/>
          <w:sz w:val="24"/>
          <w:szCs w:val="24"/>
        </w:rPr>
        <w:t xml:space="preserve"> display the trends in energy intensity on the available sectors and countries. Although it is difficult to draw any general conclusions it can be observed that that:</w:t>
      </w:r>
    </w:p>
    <w:p>
      <w:pPr>
        <w:spacing w:after="0" w:line="300" w:lineRule="atLeast"/>
        <w:jc w:val="left"/>
        <w:rPr>
          <w:noProof/>
          <w:sz w:val="24"/>
          <w:szCs w:val="24"/>
        </w:rPr>
      </w:pPr>
    </w:p>
    <w:p>
      <w:pPr>
        <w:pStyle w:val="ListParagraph"/>
        <w:numPr>
          <w:ilvl w:val="0"/>
          <w:numId w:val="10"/>
        </w:numPr>
        <w:spacing w:line="300" w:lineRule="atLeast"/>
        <w:ind w:left="567" w:hanging="567"/>
        <w:contextualSpacing w:val="0"/>
        <w:rPr>
          <w:noProof/>
          <w:sz w:val="24"/>
          <w:szCs w:val="24"/>
        </w:rPr>
      </w:pPr>
      <w:r>
        <w:rPr>
          <w:noProof/>
          <w:sz w:val="24"/>
          <w:szCs w:val="24"/>
        </w:rPr>
        <w:t xml:space="preserve">Energy intensities in the EU compared to those in the US show considerable variation per sector for which data is available, with the EU being less energy-intensive in </w:t>
      </w:r>
      <w:r>
        <w:rPr>
          <w:i/>
          <w:iCs/>
          <w:noProof/>
          <w:sz w:val="24"/>
          <w:szCs w:val="24"/>
        </w:rPr>
        <w:t>glass</w:t>
      </w:r>
      <w:r>
        <w:rPr>
          <w:noProof/>
          <w:sz w:val="24"/>
          <w:szCs w:val="24"/>
        </w:rPr>
        <w:t xml:space="preserve">, </w:t>
      </w:r>
      <w:r>
        <w:rPr>
          <w:i/>
          <w:iCs/>
          <w:noProof/>
          <w:sz w:val="24"/>
          <w:szCs w:val="24"/>
        </w:rPr>
        <w:t>fabricated metal products</w:t>
      </w:r>
      <w:r>
        <w:rPr>
          <w:noProof/>
          <w:sz w:val="24"/>
          <w:szCs w:val="24"/>
        </w:rPr>
        <w:t xml:space="preserve">, </w:t>
      </w:r>
      <w:r>
        <w:rPr>
          <w:i/>
          <w:noProof/>
          <w:sz w:val="24"/>
          <w:szCs w:val="24"/>
        </w:rPr>
        <w:t>abrasive products and electrical equipment;</w:t>
      </w:r>
      <w:r>
        <w:rPr>
          <w:noProof/>
          <w:sz w:val="24"/>
          <w:szCs w:val="24"/>
        </w:rPr>
        <w:t xml:space="preserve"> and the US being less energy-intensive in </w:t>
      </w:r>
      <w:r>
        <w:rPr>
          <w:i/>
          <w:noProof/>
          <w:sz w:val="24"/>
          <w:szCs w:val="24"/>
        </w:rPr>
        <w:t>refineries</w:t>
      </w:r>
      <w:r>
        <w:rPr>
          <w:noProof/>
          <w:sz w:val="24"/>
          <w:szCs w:val="24"/>
        </w:rPr>
        <w:t xml:space="preserve">, </w:t>
      </w:r>
      <w:r>
        <w:rPr>
          <w:i/>
          <w:iCs/>
          <w:noProof/>
          <w:sz w:val="24"/>
          <w:szCs w:val="24"/>
        </w:rPr>
        <w:t>beverages</w:t>
      </w:r>
      <w:r>
        <w:rPr>
          <w:noProof/>
          <w:sz w:val="24"/>
          <w:szCs w:val="24"/>
        </w:rPr>
        <w:t xml:space="preserve">, </w:t>
      </w:r>
      <w:r>
        <w:rPr>
          <w:i/>
          <w:iCs/>
          <w:noProof/>
          <w:sz w:val="24"/>
          <w:szCs w:val="24"/>
        </w:rPr>
        <w:t>basic chemicals</w:t>
      </w:r>
      <w:r>
        <w:rPr>
          <w:noProof/>
          <w:sz w:val="24"/>
          <w:szCs w:val="24"/>
        </w:rPr>
        <w:t xml:space="preserve">, </w:t>
      </w:r>
      <w:r>
        <w:rPr>
          <w:i/>
          <w:noProof/>
          <w:sz w:val="24"/>
          <w:szCs w:val="24"/>
        </w:rPr>
        <w:t>pharmaceutical products</w:t>
      </w:r>
      <w:r>
        <w:rPr>
          <w:noProof/>
          <w:sz w:val="24"/>
          <w:szCs w:val="24"/>
        </w:rPr>
        <w:t xml:space="preserve"> and </w:t>
      </w:r>
      <w:r>
        <w:rPr>
          <w:i/>
          <w:iCs/>
          <w:noProof/>
          <w:sz w:val="24"/>
          <w:szCs w:val="24"/>
        </w:rPr>
        <w:t>computers and electronics</w:t>
      </w:r>
      <w:r>
        <w:rPr>
          <w:noProof/>
          <w:sz w:val="24"/>
          <w:szCs w:val="24"/>
        </w:rPr>
        <w:t>.</w:t>
      </w:r>
    </w:p>
    <w:p>
      <w:pPr>
        <w:pStyle w:val="ListParagraph"/>
        <w:numPr>
          <w:ilvl w:val="0"/>
          <w:numId w:val="10"/>
        </w:numPr>
        <w:spacing w:line="300" w:lineRule="atLeast"/>
        <w:ind w:left="567" w:hanging="567"/>
        <w:contextualSpacing w:val="0"/>
        <w:rPr>
          <w:noProof/>
          <w:sz w:val="24"/>
          <w:szCs w:val="24"/>
        </w:rPr>
      </w:pPr>
      <w:r>
        <w:rPr>
          <w:noProof/>
          <w:sz w:val="24"/>
          <w:szCs w:val="24"/>
        </w:rPr>
        <w:t xml:space="preserve">The EU continues to be less energy-intensive than China in every sector for which data is available (but for </w:t>
      </w:r>
      <w:r>
        <w:rPr>
          <w:i/>
          <w:iCs/>
          <w:noProof/>
          <w:sz w:val="24"/>
          <w:szCs w:val="24"/>
        </w:rPr>
        <w:t xml:space="preserve">refineries </w:t>
      </w:r>
      <w:r>
        <w:rPr>
          <w:noProof/>
          <w:sz w:val="24"/>
          <w:szCs w:val="24"/>
        </w:rPr>
        <w:t xml:space="preserve">for which the EU have the highest energy intensity of the countries for which data was available). The EU is however more energy-intensive than Japan for the most energy-intensive sectors and comparable or lower for the less energy-intensive sectors. </w:t>
      </w:r>
    </w:p>
    <w:p>
      <w:pPr>
        <w:rPr>
          <w:noProof/>
        </w:rPr>
      </w:pPr>
    </w:p>
    <w:p>
      <w:pPr>
        <w:rPr>
          <w:noProof/>
          <w:sz w:val="24"/>
          <w:szCs w:val="24"/>
        </w:rPr>
      </w:pPr>
      <w:r>
        <w:rPr>
          <w:noProof/>
          <w:sz w:val="24"/>
          <w:szCs w:val="24"/>
        </w:rPr>
        <w:t xml:space="preserve">By sector, the EU’s energy intensity relative position to other countries varies importantly. In </w:t>
      </w:r>
      <w:r>
        <w:rPr>
          <w:i/>
          <w:noProof/>
          <w:sz w:val="24"/>
          <w:szCs w:val="24"/>
        </w:rPr>
        <w:t>paper</w:t>
      </w:r>
      <w:r>
        <w:rPr>
          <w:noProof/>
          <w:sz w:val="24"/>
          <w:szCs w:val="24"/>
        </w:rPr>
        <w:t xml:space="preserve">, the EU’s energy intensity is higher (double) than in Japan and Korea. In </w:t>
      </w:r>
      <w:r>
        <w:rPr>
          <w:i/>
          <w:noProof/>
          <w:sz w:val="24"/>
          <w:szCs w:val="24"/>
        </w:rPr>
        <w:t>refineries</w:t>
      </w:r>
      <w:r>
        <w:rPr>
          <w:noProof/>
          <w:sz w:val="24"/>
          <w:szCs w:val="24"/>
        </w:rPr>
        <w:t xml:space="preserve">, it is the highest in particular as compared with Switzerland, Brazil, China and Japan. In </w:t>
      </w:r>
      <w:r>
        <w:rPr>
          <w:i/>
          <w:noProof/>
          <w:sz w:val="24"/>
          <w:szCs w:val="24"/>
        </w:rPr>
        <w:t xml:space="preserve">basic chemicals, </w:t>
      </w:r>
      <w:r>
        <w:rPr>
          <w:noProof/>
          <w:sz w:val="24"/>
          <w:szCs w:val="24"/>
        </w:rPr>
        <w:t xml:space="preserve">the EU27 has a lower than average energy intensity, lower than China, Japan and Brazil. In </w:t>
      </w:r>
      <w:r>
        <w:rPr>
          <w:i/>
          <w:noProof/>
          <w:sz w:val="24"/>
          <w:szCs w:val="24"/>
        </w:rPr>
        <w:t>steel</w:t>
      </w:r>
      <w:r>
        <w:rPr>
          <w:noProof/>
          <w:sz w:val="24"/>
          <w:szCs w:val="24"/>
        </w:rPr>
        <w:t xml:space="preserve"> and </w:t>
      </w:r>
      <w:r>
        <w:rPr>
          <w:i/>
          <w:noProof/>
          <w:sz w:val="24"/>
          <w:szCs w:val="24"/>
        </w:rPr>
        <w:t>non-ferrous metals</w:t>
      </w:r>
      <w:r>
        <w:rPr>
          <w:noProof/>
          <w:sz w:val="24"/>
          <w:szCs w:val="24"/>
        </w:rPr>
        <w:t xml:space="preserve">, the EU27 has higher intensity levels than Switzerland and Japan but lower levels than Norway. In </w:t>
      </w:r>
      <w:r>
        <w:rPr>
          <w:i/>
          <w:noProof/>
          <w:sz w:val="24"/>
          <w:szCs w:val="24"/>
        </w:rPr>
        <w:t>glass</w:t>
      </w:r>
      <w:r>
        <w:rPr>
          <w:noProof/>
          <w:sz w:val="24"/>
          <w:szCs w:val="24"/>
        </w:rPr>
        <w:t xml:space="preserve">, it is lower than in Mexico and the United States, but higher than Norway and Canada. In </w:t>
      </w:r>
      <w:r>
        <w:rPr>
          <w:i/>
          <w:noProof/>
          <w:sz w:val="24"/>
          <w:szCs w:val="24"/>
        </w:rPr>
        <w:t>abrasive products</w:t>
      </w:r>
      <w:r>
        <w:rPr>
          <w:noProof/>
          <w:sz w:val="24"/>
          <w:szCs w:val="24"/>
        </w:rPr>
        <w:t xml:space="preserve">, it is the lowest across all international counterparts, though intensity in Japan and the US are only slightly higher than in the EU. For other less intensive energy sectors, the EU27 has generally lower than average intensity and, as compared with the US, lower in sectors like </w:t>
      </w:r>
      <w:r>
        <w:rPr>
          <w:i/>
          <w:noProof/>
          <w:sz w:val="24"/>
          <w:szCs w:val="24"/>
        </w:rPr>
        <w:t>metal products</w:t>
      </w:r>
      <w:r>
        <w:rPr>
          <w:noProof/>
          <w:sz w:val="24"/>
          <w:szCs w:val="24"/>
        </w:rPr>
        <w:t>,</w:t>
      </w:r>
      <w:r>
        <w:rPr>
          <w:i/>
          <w:noProof/>
          <w:sz w:val="24"/>
          <w:szCs w:val="24"/>
        </w:rPr>
        <w:t xml:space="preserve"> electrical equipment, machinery and equipment</w:t>
      </w:r>
      <w:r>
        <w:rPr>
          <w:noProof/>
          <w:sz w:val="24"/>
          <w:szCs w:val="24"/>
        </w:rPr>
        <w:t xml:space="preserve">, and </w:t>
      </w:r>
      <w:r>
        <w:rPr>
          <w:i/>
          <w:noProof/>
          <w:sz w:val="24"/>
          <w:szCs w:val="24"/>
        </w:rPr>
        <w:t>motor vehicles</w:t>
      </w:r>
      <w:r>
        <w:rPr>
          <w:noProof/>
          <w:sz w:val="24"/>
          <w:szCs w:val="24"/>
        </w:rPr>
        <w:t xml:space="preserve">, comparable in </w:t>
      </w:r>
      <w:r>
        <w:rPr>
          <w:i/>
          <w:noProof/>
          <w:sz w:val="24"/>
          <w:szCs w:val="24"/>
        </w:rPr>
        <w:t>computers</w:t>
      </w:r>
      <w:r>
        <w:rPr>
          <w:noProof/>
          <w:sz w:val="24"/>
          <w:szCs w:val="24"/>
        </w:rPr>
        <w:t xml:space="preserve"> and higher in </w:t>
      </w:r>
      <w:r>
        <w:rPr>
          <w:i/>
          <w:noProof/>
          <w:sz w:val="24"/>
          <w:szCs w:val="24"/>
        </w:rPr>
        <w:t>beverages</w:t>
      </w:r>
      <w:r>
        <w:rPr>
          <w:noProof/>
          <w:sz w:val="24"/>
          <w:szCs w:val="24"/>
        </w:rPr>
        <w:t xml:space="preserve">, </w:t>
      </w:r>
      <w:r>
        <w:rPr>
          <w:i/>
          <w:noProof/>
          <w:sz w:val="24"/>
          <w:szCs w:val="24"/>
        </w:rPr>
        <w:t>pharmaceuticals</w:t>
      </w:r>
      <w:r>
        <w:rPr>
          <w:noProof/>
          <w:sz w:val="24"/>
          <w:szCs w:val="24"/>
        </w:rPr>
        <w:t>. China has consistently the highest comparative energy intensities in these sectors.</w:t>
      </w:r>
    </w:p>
    <w:p>
      <w:pPr>
        <w:rPr>
          <w:noProof/>
        </w:rPr>
      </w:pPr>
    </w:p>
    <w:p>
      <w:pPr>
        <w:rPr>
          <w:noProof/>
        </w:rPr>
        <w:sectPr>
          <w:headerReference w:type="even" r:id="rId103"/>
          <w:headerReference w:type="default" r:id="rId104"/>
          <w:footerReference w:type="even" r:id="rId105"/>
          <w:footerReference w:type="default" r:id="rId106"/>
          <w:headerReference w:type="first" r:id="rId107"/>
          <w:footerReference w:type="first" r:id="rId108"/>
          <w:footnotePr>
            <w:numStart w:val="51"/>
          </w:footnotePr>
          <w:pgSz w:w="11906" w:h="16838" w:code="9"/>
          <w:pgMar w:top="1134" w:right="1418" w:bottom="1134" w:left="1418" w:header="709" w:footer="709" w:gutter="0"/>
          <w:cols w:space="720"/>
          <w:docGrid w:linePitch="360"/>
        </w:sectPr>
      </w:pPr>
    </w:p>
    <w:p>
      <w:pPr>
        <w:rPr>
          <w:noProof/>
        </w:rPr>
      </w:pPr>
    </w:p>
    <w:p>
      <w:pPr>
        <w:jc w:val="center"/>
        <w:rPr>
          <w:noProof/>
        </w:rPr>
      </w:pPr>
      <w:r>
        <w:rPr>
          <w:noProof/>
          <w:lang w:eastAsia="en-GB"/>
        </w:rPr>
        <w:drawing>
          <wp:inline distT="0" distB="0" distL="0" distR="0">
            <wp:extent cx="8722653" cy="1885071"/>
            <wp:effectExtent l="0" t="0" r="2540" b="1270"/>
            <wp:docPr id="21" name="Chart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3C36D75-570F-4C0C-AD70-A0FEE7547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Caption"/>
      </w:pPr>
      <w:bookmarkStart w:id="287" w:name="_Ref527039701"/>
      <w:bookmarkStart w:id="288" w:name="_Toc525807877"/>
      <w:bookmarkStart w:id="289" w:name="_Toc526433493"/>
      <w:bookmarkStart w:id="290" w:name="_Toc526433771"/>
      <w:bookmarkStart w:id="291" w:name="_Toc526435713"/>
      <w:bookmarkStart w:id="292" w:name="_Toc530739803"/>
      <w:bookmarkStart w:id="293" w:name="_Toc531366176"/>
      <w:bookmarkStart w:id="294" w:name="_Toc50494149"/>
      <w:bookmarkStart w:id="295" w:name="_Toc52396925"/>
      <w:r>
        <w:t xml:space="preserve">Figure </w:t>
      </w:r>
      <w:r>
        <w:fldChar w:fldCharType="begin"/>
      </w:r>
      <w:r>
        <w:instrText xml:space="preserve"> SEQ Figure \* ARABIC </w:instrText>
      </w:r>
      <w:r>
        <w:fldChar w:fldCharType="separate"/>
      </w:r>
      <w:r>
        <w:t>153</w:t>
      </w:r>
      <w:r>
        <w:fldChar w:fldCharType="end"/>
      </w:r>
      <w:bookmarkEnd w:id="287"/>
      <w:r>
        <w:t xml:space="preserve"> - Energy intensity international comparisons for the most energy-intensive manufacturing sectors</w:t>
      </w:r>
      <w:bookmarkEnd w:id="288"/>
      <w:bookmarkEnd w:id="289"/>
      <w:bookmarkEnd w:id="290"/>
      <w:bookmarkEnd w:id="291"/>
      <w:bookmarkEnd w:id="292"/>
      <w:bookmarkEnd w:id="293"/>
      <w:bookmarkEnd w:id="294"/>
      <w:bookmarkEnd w:id="295"/>
    </w:p>
    <w:p>
      <w:pPr>
        <w:pStyle w:val="Sources"/>
        <w:spacing w:after="0"/>
        <w:rPr>
          <w:noProof/>
          <w:lang w:val="fr-BE"/>
        </w:rPr>
      </w:pPr>
      <w:r>
        <w:rPr>
          <w:noProof/>
          <w:lang w:val="fr-BE"/>
        </w:rPr>
        <w:t>Source: Trinomics et altri study (2020)</w:t>
      </w:r>
    </w:p>
    <w:p>
      <w:pPr>
        <w:pStyle w:val="Sources"/>
        <w:tabs>
          <w:tab w:val="left" w:pos="12105"/>
        </w:tabs>
        <w:rPr>
          <w:noProof/>
        </w:rPr>
      </w:pPr>
      <w:r>
        <w:rPr>
          <w:noProof/>
        </w:rPr>
        <w:t>Note: data limited for available sectors and countries</w:t>
      </w:r>
      <w:r>
        <w:rPr>
          <w:noProof/>
        </w:rPr>
        <w:tab/>
      </w:r>
    </w:p>
    <w:p>
      <w:pPr>
        <w:jc w:val="center"/>
        <w:rPr>
          <w:noProof/>
        </w:rPr>
      </w:pPr>
      <w:r>
        <w:rPr>
          <w:noProof/>
          <w:lang w:eastAsia="en-GB"/>
        </w:rPr>
        <w:drawing>
          <wp:inline distT="0" distB="0" distL="0" distR="0">
            <wp:extent cx="8582660" cy="2201594"/>
            <wp:effectExtent l="0" t="0" r="8890" b="8255"/>
            <wp:docPr id="408265799" name="Chart 4082657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3C36D75-570F-4C0C-AD70-A0FEE7547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Caption"/>
      </w:pPr>
      <w:bookmarkStart w:id="296" w:name="_Ref527039703"/>
      <w:bookmarkStart w:id="297" w:name="_Toc525807878"/>
      <w:bookmarkStart w:id="298" w:name="_Toc526433494"/>
      <w:bookmarkStart w:id="299" w:name="_Toc526433772"/>
      <w:bookmarkStart w:id="300" w:name="_Toc526435714"/>
      <w:bookmarkStart w:id="301" w:name="_Toc530739804"/>
      <w:bookmarkStart w:id="302" w:name="_Toc531366177"/>
      <w:bookmarkStart w:id="303" w:name="_Toc50494150"/>
      <w:bookmarkStart w:id="304" w:name="_Toc52396926"/>
      <w:r>
        <w:t xml:space="preserve">Figure </w:t>
      </w:r>
      <w:r>
        <w:fldChar w:fldCharType="begin"/>
      </w:r>
      <w:r>
        <w:instrText xml:space="preserve"> SEQ Figure \* ARABIC </w:instrText>
      </w:r>
      <w:r>
        <w:fldChar w:fldCharType="separate"/>
      </w:r>
      <w:r>
        <w:t>154</w:t>
      </w:r>
      <w:r>
        <w:fldChar w:fldCharType="end"/>
      </w:r>
      <w:bookmarkEnd w:id="296"/>
      <w:r>
        <w:t xml:space="preserve"> - Energy intensity international comparisons for other manufacturing sectors</w:t>
      </w:r>
      <w:bookmarkEnd w:id="297"/>
      <w:bookmarkEnd w:id="298"/>
      <w:bookmarkEnd w:id="299"/>
      <w:bookmarkEnd w:id="300"/>
      <w:bookmarkEnd w:id="301"/>
      <w:bookmarkEnd w:id="302"/>
      <w:bookmarkEnd w:id="303"/>
      <w:bookmarkEnd w:id="304"/>
    </w:p>
    <w:p>
      <w:pPr>
        <w:pStyle w:val="Sources"/>
        <w:spacing w:after="0"/>
        <w:rPr>
          <w:noProof/>
          <w:lang w:val="fr-BE"/>
        </w:rPr>
      </w:pPr>
      <w:r>
        <w:rPr>
          <w:noProof/>
          <w:lang w:val="fr-BE"/>
        </w:rPr>
        <w:t>Source: Trinomics et altri study (2020)</w:t>
      </w:r>
    </w:p>
    <w:p>
      <w:pPr>
        <w:pStyle w:val="Sources"/>
        <w:jc w:val="left"/>
        <w:rPr>
          <w:noProof/>
        </w:rPr>
        <w:sectPr>
          <w:headerReference w:type="even" r:id="rId111"/>
          <w:headerReference w:type="default" r:id="rId112"/>
          <w:footerReference w:type="even" r:id="rId113"/>
          <w:footerReference w:type="default" r:id="rId114"/>
          <w:headerReference w:type="first" r:id="rId115"/>
          <w:footerReference w:type="first" r:id="rId116"/>
          <w:footnotePr>
            <w:numStart w:val="51"/>
          </w:footnotePr>
          <w:pgSz w:w="16838" w:h="11906" w:orient="landscape"/>
          <w:pgMar w:top="1440" w:right="1440" w:bottom="1440" w:left="1440" w:header="709" w:footer="567" w:gutter="0"/>
          <w:cols w:space="708"/>
          <w:docGrid w:linePitch="360"/>
        </w:sectPr>
      </w:pPr>
      <w:r>
        <w:rPr>
          <w:noProof/>
        </w:rPr>
        <w:t>Note: data limited for available sectors and countries</w:t>
      </w:r>
    </w:p>
    <w:p>
      <w:pPr>
        <w:pStyle w:val="Heading3"/>
        <w:numPr>
          <w:ilvl w:val="2"/>
          <w:numId w:val="1"/>
        </w:numPr>
        <w:rPr>
          <w:noProof/>
        </w:rPr>
      </w:pPr>
      <w:bookmarkStart w:id="305" w:name="_Toc50648274"/>
      <w:bookmarkStart w:id="306" w:name="_Toc449014781"/>
      <w:bookmarkStart w:id="307" w:name="_Toc449098116"/>
      <w:bookmarkStart w:id="308" w:name="_Toc468890482"/>
      <w:bookmarkEnd w:id="305"/>
      <w:r>
        <w:rPr>
          <w:noProof/>
        </w:rPr>
        <w:t xml:space="preserve"> </w:t>
      </w:r>
      <w:bookmarkStart w:id="309" w:name="_Toc50648348"/>
      <w:bookmarkStart w:id="310" w:name="_Toc50654378"/>
      <w:bookmarkStart w:id="311" w:name="_Toc50654933"/>
      <w:bookmarkStart w:id="312" w:name="_Toc50732480"/>
      <w:bookmarkStart w:id="313" w:name="_Toc52396564"/>
      <w:r>
        <w:rPr>
          <w:noProof/>
        </w:rPr>
        <w:t>Industrial electricity prices: EU vs G20 countries</w:t>
      </w:r>
      <w:bookmarkStart w:id="314" w:name="_Toc524619530"/>
      <w:bookmarkStart w:id="315" w:name="_Toc524961077"/>
      <w:bookmarkStart w:id="316" w:name="_Toc525143038"/>
      <w:bookmarkStart w:id="317" w:name="_Toc525222195"/>
      <w:bookmarkStart w:id="318" w:name="_Toc525222364"/>
      <w:bookmarkStart w:id="319" w:name="_Toc526420761"/>
      <w:bookmarkStart w:id="320" w:name="_Toc526433987"/>
      <w:bookmarkStart w:id="321" w:name="_Toc526435929"/>
      <w:bookmarkStart w:id="322" w:name="_Ref527036800"/>
      <w:bookmarkStart w:id="323" w:name="_Toc53059525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rPr>
          <w:noProof/>
        </w:rPr>
      </w:pPr>
    </w:p>
    <w:p>
      <w:pPr>
        <w:rPr>
          <w:noProof/>
          <w:sz w:val="24"/>
          <w:szCs w:val="24"/>
        </w:rPr>
      </w:pPr>
      <w:r>
        <w:rPr>
          <w:noProof/>
          <w:sz w:val="24"/>
          <w:szCs w:val="24"/>
        </w:rPr>
        <w:t xml:space="preserve">In this section retail electricity industrial prices in the EU industry and in G20 Members are compared. The comparisons are mainly based on the results of the </w:t>
      </w:r>
      <w:r>
        <w:rPr>
          <w:i/>
          <w:iCs/>
          <w:noProof/>
          <w:sz w:val="24"/>
          <w:szCs w:val="24"/>
        </w:rPr>
        <w:t>Trinomics et altri</w:t>
      </w:r>
      <w:r>
        <w:rPr>
          <w:noProof/>
          <w:sz w:val="24"/>
          <w:szCs w:val="24"/>
        </w:rPr>
        <w:t xml:space="preserve"> study. Electricity prices gaps between international trade partners can be relevant for an assessment of cost competitiveness of sectors. Electricity is in many cases the energy carrier with most potential to impact the energy costs differential between energy-intensive sectors in manufacturing. </w:t>
      </w:r>
    </w:p>
    <w:p>
      <w:pPr>
        <w:rPr>
          <w:noProof/>
          <w:sz w:val="24"/>
          <w:szCs w:val="24"/>
        </w:rPr>
      </w:pPr>
      <w:r>
        <w:rPr>
          <w:noProof/>
          <w:sz w:val="24"/>
          <w:szCs w:val="24"/>
        </w:rPr>
        <w:t xml:space="preserve">Retail electricity prices for industry have relatively complete datasets. The price data covers EU27 and G20 countries from 2008-2019. EU27 prices are based on consumption band assumptions (mainly Eurostat consumption band ID) while data for non-EU G20 countries is usually relying on the average of the countries (not based on consumption bands). The price data is however widely comparable (i.e. comparability checks were undertaken can be found in the study by </w:t>
      </w:r>
      <w:r>
        <w:rPr>
          <w:i/>
          <w:iCs/>
          <w:noProof/>
          <w:sz w:val="24"/>
          <w:szCs w:val="24"/>
        </w:rPr>
        <w:t>Trinomics et altri</w:t>
      </w:r>
      <w:r>
        <w:rPr>
          <w:noProof/>
          <w:sz w:val="24"/>
          <w:szCs w:val="24"/>
        </w:rPr>
        <w:t>). Finally, prices are exclusive of VAT and recoverable taxes and levies but include (non-recoverable) excise taxes and levies.</w:t>
      </w:r>
    </w:p>
    <w:p>
      <w:pPr>
        <w:rPr>
          <w:noProof/>
          <w:sz w:val="24"/>
          <w:szCs w:val="24"/>
        </w:rPr>
      </w:pPr>
      <w:r>
        <w:rPr>
          <w:noProof/>
          <w:sz w:val="24"/>
          <w:szCs w:val="24"/>
        </w:rPr>
        <w:t xml:space="preserve">The main conclusions that can be drawn from this data are: </w:t>
      </w:r>
    </w:p>
    <w:p>
      <w:pPr>
        <w:pStyle w:val="ListParagraph"/>
        <w:numPr>
          <w:ilvl w:val="0"/>
          <w:numId w:val="11"/>
        </w:numPr>
        <w:ind w:left="284" w:hanging="284"/>
        <w:rPr>
          <w:noProof/>
          <w:sz w:val="24"/>
          <w:szCs w:val="24"/>
        </w:rPr>
      </w:pPr>
      <w:r>
        <w:rPr>
          <w:noProof/>
          <w:sz w:val="24"/>
          <w:szCs w:val="24"/>
        </w:rPr>
        <w:t xml:space="preserve">EU27 average real electricity prices rose from around 110 EUR/MWh in 2008 to 125 EUR/MWh by 2013-2014; they declined until 2018 to 110 EUR/MWh and rose until 2019 to 115 EUR/MWh. </w:t>
      </w:r>
    </w:p>
    <w:p>
      <w:pPr>
        <w:pStyle w:val="ListParagraph"/>
        <w:ind w:left="284" w:hanging="284"/>
        <w:rPr>
          <w:noProof/>
          <w:sz w:val="24"/>
          <w:szCs w:val="24"/>
        </w:rPr>
      </w:pPr>
    </w:p>
    <w:p>
      <w:pPr>
        <w:pStyle w:val="ListParagraph"/>
        <w:numPr>
          <w:ilvl w:val="0"/>
          <w:numId w:val="11"/>
        </w:numPr>
        <w:ind w:left="284" w:hanging="284"/>
        <w:rPr>
          <w:noProof/>
          <w:sz w:val="24"/>
          <w:szCs w:val="24"/>
        </w:rPr>
      </w:pPr>
      <w:r>
        <w:rPr>
          <w:noProof/>
          <w:sz w:val="24"/>
          <w:szCs w:val="24"/>
        </w:rPr>
        <w:t xml:space="preserve">US prices are around half the EU average levels and have not changed significantly between 2008 and 2019.(See </w:t>
      </w:r>
      <w:r>
        <w:rPr>
          <w:noProof/>
        </w:rPr>
        <w:fldChar w:fldCharType="begin"/>
      </w:r>
      <w:r>
        <w:rPr>
          <w:b/>
          <w:noProof/>
          <w:sz w:val="24"/>
          <w:szCs w:val="24"/>
        </w:rPr>
        <w:instrText xml:space="preserve"> REF _Ref525115707 \h  \* MERGEFORMAT </w:instrText>
      </w:r>
      <w:r>
        <w:rPr>
          <w:noProof/>
        </w:rPr>
      </w:r>
      <w:r>
        <w:rPr>
          <w:b/>
          <w:noProof/>
          <w:sz w:val="24"/>
          <w:szCs w:val="24"/>
        </w:rPr>
        <w:fldChar w:fldCharType="separate"/>
      </w:r>
      <w:r>
        <w:rPr>
          <w:b/>
          <w:bCs/>
          <w:noProof/>
          <w:sz w:val="24"/>
          <w:szCs w:val="24"/>
        </w:rPr>
        <w:t>Figure 155</w:t>
      </w:r>
      <w:r>
        <w:rPr>
          <w:noProof/>
        </w:rPr>
        <w:fldChar w:fldCharType="end"/>
      </w:r>
      <w:r>
        <w:rPr>
          <w:b/>
          <w:bCs/>
          <w:noProof/>
          <w:sz w:val="24"/>
          <w:szCs w:val="24"/>
        </w:rPr>
        <w:t>)</w:t>
      </w:r>
    </w:p>
    <w:p>
      <w:pPr>
        <w:pStyle w:val="ListParagraph"/>
        <w:ind w:left="284"/>
        <w:rPr>
          <w:noProof/>
          <w:sz w:val="24"/>
          <w:szCs w:val="24"/>
        </w:rPr>
      </w:pPr>
    </w:p>
    <w:p>
      <w:pPr>
        <w:pStyle w:val="ListParagraph"/>
        <w:numPr>
          <w:ilvl w:val="0"/>
          <w:numId w:val="11"/>
        </w:numPr>
        <w:ind w:left="284" w:hanging="284"/>
        <w:rPr>
          <w:noProof/>
          <w:sz w:val="24"/>
          <w:szCs w:val="24"/>
        </w:rPr>
      </w:pPr>
      <w:r>
        <w:rPr>
          <w:noProof/>
          <w:sz w:val="24"/>
          <w:szCs w:val="24"/>
        </w:rPr>
        <w:t xml:space="preserve">Prices in Japan are higher than the EU27 average, they converged between 2012-2015 but the differential remained broadly stable since.(See </w:t>
      </w:r>
      <w:r>
        <w:rPr>
          <w:noProof/>
        </w:rPr>
        <w:fldChar w:fldCharType="begin"/>
      </w:r>
      <w:r>
        <w:rPr>
          <w:b/>
          <w:noProof/>
          <w:sz w:val="24"/>
          <w:szCs w:val="24"/>
        </w:rPr>
        <w:instrText xml:space="preserve"> REF _Ref525115707 \h  \* MERGEFORMAT </w:instrText>
      </w:r>
      <w:r>
        <w:rPr>
          <w:noProof/>
        </w:rPr>
      </w:r>
      <w:r>
        <w:rPr>
          <w:b/>
          <w:noProof/>
          <w:sz w:val="24"/>
          <w:szCs w:val="24"/>
        </w:rPr>
        <w:fldChar w:fldCharType="separate"/>
      </w:r>
      <w:r>
        <w:rPr>
          <w:b/>
          <w:bCs/>
          <w:noProof/>
          <w:sz w:val="24"/>
          <w:szCs w:val="24"/>
        </w:rPr>
        <w:t>Figure 155</w:t>
      </w:r>
      <w:r>
        <w:rPr>
          <w:noProof/>
        </w:rPr>
        <w:fldChar w:fldCharType="end"/>
      </w:r>
      <w:r>
        <w:rPr>
          <w:noProof/>
          <w:sz w:val="24"/>
          <w:szCs w:val="24"/>
        </w:rPr>
        <w:t>)</w:t>
      </w:r>
    </w:p>
    <w:p>
      <w:pPr>
        <w:pStyle w:val="ListParagraph"/>
        <w:ind w:left="284" w:hanging="284"/>
        <w:rPr>
          <w:noProof/>
          <w:sz w:val="24"/>
          <w:szCs w:val="24"/>
        </w:rPr>
      </w:pPr>
    </w:p>
    <w:p>
      <w:pPr>
        <w:pStyle w:val="ListParagraph"/>
        <w:numPr>
          <w:ilvl w:val="0"/>
          <w:numId w:val="11"/>
        </w:numPr>
        <w:ind w:left="284" w:hanging="284"/>
        <w:rPr>
          <w:noProof/>
          <w:sz w:val="24"/>
          <w:szCs w:val="24"/>
        </w:rPr>
      </w:pPr>
      <w:r>
        <w:rPr>
          <w:noProof/>
          <w:sz w:val="24"/>
          <w:szCs w:val="24"/>
        </w:rPr>
        <w:t xml:space="preserve">Prices in China began at a comparable level to EU prices but declined in 2011 to levels below the EU price levels. They have declined further since 2018 increasing the  divergence with the EU prices. (See </w:t>
      </w:r>
      <w:r>
        <w:rPr>
          <w:noProof/>
        </w:rPr>
        <w:fldChar w:fldCharType="begin"/>
      </w:r>
      <w:r>
        <w:rPr>
          <w:b/>
          <w:noProof/>
          <w:sz w:val="24"/>
          <w:szCs w:val="24"/>
        </w:rPr>
        <w:instrText xml:space="preserve"> REF _Ref525115707 \h  \* MERGEFORMAT </w:instrText>
      </w:r>
      <w:r>
        <w:rPr>
          <w:noProof/>
        </w:rPr>
      </w:r>
      <w:r>
        <w:rPr>
          <w:b/>
          <w:noProof/>
          <w:sz w:val="24"/>
          <w:szCs w:val="24"/>
        </w:rPr>
        <w:fldChar w:fldCharType="separate"/>
      </w:r>
      <w:r>
        <w:rPr>
          <w:b/>
          <w:bCs/>
          <w:noProof/>
          <w:sz w:val="24"/>
          <w:szCs w:val="24"/>
        </w:rPr>
        <w:t>Figure 155</w:t>
      </w:r>
      <w:r>
        <w:rPr>
          <w:noProof/>
        </w:rPr>
        <w:fldChar w:fldCharType="end"/>
      </w:r>
      <w:r>
        <w:rPr>
          <w:noProof/>
          <w:sz w:val="24"/>
          <w:szCs w:val="24"/>
        </w:rPr>
        <w:t>)</w:t>
      </w:r>
    </w:p>
    <w:p>
      <w:pPr>
        <w:pStyle w:val="ListParagraph"/>
        <w:ind w:left="284"/>
        <w:rPr>
          <w:noProof/>
        </w:rPr>
      </w:pPr>
    </w:p>
    <w:p>
      <w:pPr>
        <w:pStyle w:val="ListParagraph"/>
        <w:rPr>
          <w:noProof/>
        </w:rPr>
      </w:pPr>
      <w:r>
        <w:rPr>
          <w:noProof/>
          <w:lang w:eastAsia="en-GB"/>
        </w:rPr>
        <w:drawing>
          <wp:inline distT="0" distB="0" distL="0" distR="0">
            <wp:extent cx="5559154" cy="3683479"/>
            <wp:effectExtent l="0" t="0" r="3810" b="0"/>
            <wp:docPr id="36025763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17" cstate="print">
                      <a:extLst>
                        <a:ext uri="{28A0092B-C50C-407E-A947-70E740481C1C}">
                          <a14:useLocalDpi xmlns:a14="http://schemas.microsoft.com/office/drawing/2010/main"/>
                        </a:ext>
                      </a:extLst>
                    </a:blip>
                    <a:stretch>
                      <a:fillRect/>
                    </a:stretch>
                  </pic:blipFill>
                  <pic:spPr>
                    <a:xfrm>
                      <a:off x="0" y="0"/>
                      <a:ext cx="5559154" cy="3683479"/>
                    </a:xfrm>
                    <a:prstGeom prst="rect">
                      <a:avLst/>
                    </a:prstGeom>
                  </pic:spPr>
                </pic:pic>
              </a:graphicData>
            </a:graphic>
          </wp:inline>
        </w:drawing>
      </w:r>
    </w:p>
    <w:p>
      <w:pPr>
        <w:pStyle w:val="Caption"/>
      </w:pPr>
      <w:bookmarkStart w:id="324" w:name="_Ref525115707"/>
      <w:bookmarkStart w:id="325" w:name="_Ref525115701"/>
      <w:bookmarkStart w:id="326" w:name="_Toc525807879"/>
      <w:bookmarkStart w:id="327" w:name="_Toc526433495"/>
      <w:bookmarkStart w:id="328" w:name="_Toc526433773"/>
      <w:bookmarkStart w:id="329" w:name="_Toc526435715"/>
      <w:bookmarkStart w:id="330" w:name="_Toc530739805"/>
      <w:bookmarkStart w:id="331" w:name="_Toc531366178"/>
      <w:bookmarkStart w:id="332" w:name="_Toc50494151"/>
      <w:bookmarkStart w:id="333" w:name="_Toc52396927"/>
      <w:r>
        <w:t xml:space="preserve">Figure </w:t>
      </w:r>
      <w:r>
        <w:fldChar w:fldCharType="begin"/>
      </w:r>
      <w:r>
        <w:instrText xml:space="preserve"> SEQ Figure \* ARABIC </w:instrText>
      </w:r>
      <w:r>
        <w:fldChar w:fldCharType="separate"/>
      </w:r>
      <w:r>
        <w:t>155</w:t>
      </w:r>
      <w:r>
        <w:fldChar w:fldCharType="end"/>
      </w:r>
      <w:bookmarkEnd w:id="324"/>
      <w:r>
        <w:t xml:space="preserve"> – Retail electricity prices for industry: EU vs China, Japan &amp; US, 2008-201</w:t>
      </w:r>
      <w:bookmarkEnd w:id="325"/>
      <w:bookmarkEnd w:id="326"/>
      <w:bookmarkEnd w:id="327"/>
      <w:bookmarkEnd w:id="328"/>
      <w:bookmarkEnd w:id="329"/>
      <w:bookmarkEnd w:id="330"/>
      <w:bookmarkEnd w:id="331"/>
      <w:r>
        <w:t>9</w:t>
      </w:r>
      <w:bookmarkEnd w:id="332"/>
      <w:bookmarkEnd w:id="333"/>
    </w:p>
    <w:p>
      <w:pPr>
        <w:pStyle w:val="Sources"/>
        <w:rPr>
          <w:noProof/>
        </w:rPr>
      </w:pPr>
      <w:r>
        <w:rPr>
          <w:noProof/>
        </w:rPr>
        <w:t>Sources: Eurostat, CEIC and IEA</w:t>
      </w:r>
    </w:p>
    <w:p>
      <w:pPr>
        <w:pStyle w:val="ListParagraph"/>
        <w:numPr>
          <w:ilvl w:val="0"/>
          <w:numId w:val="11"/>
        </w:numPr>
        <w:rPr>
          <w:noProof/>
          <w:sz w:val="24"/>
          <w:szCs w:val="24"/>
        </w:rPr>
      </w:pPr>
      <w:r>
        <w:rPr>
          <w:noProof/>
          <w:sz w:val="24"/>
          <w:szCs w:val="24"/>
        </w:rPr>
        <w:t xml:space="preserve">Most other non-EU G20 countries (Canada, India, Russia, Mexico, South Korea, Saudi Arabia, and Turkey) also have lower prices than the EU average. Only Brazil has higher prices. Prices in Turkey fluctuate importantly but they were rapidly converging in the last years. Prices in South Korea also show a converging trend to EU levels (as prices do in Saudi Arabia and South Africa but from much lower levels). Mexico significantly decreased since 2014 and continue diverging from the EU prices. (See </w:t>
      </w:r>
      <w:r>
        <w:rPr>
          <w:noProof/>
        </w:rPr>
        <w:fldChar w:fldCharType="begin"/>
      </w:r>
      <w:r>
        <w:rPr>
          <w:b/>
          <w:noProof/>
          <w:sz w:val="24"/>
          <w:szCs w:val="24"/>
        </w:rPr>
        <w:instrText xml:space="preserve"> REF _Ref525115771 \h  \* MERGEFORMAT </w:instrText>
      </w:r>
      <w:r>
        <w:rPr>
          <w:noProof/>
        </w:rPr>
      </w:r>
      <w:r>
        <w:rPr>
          <w:b/>
          <w:noProof/>
          <w:sz w:val="24"/>
          <w:szCs w:val="24"/>
        </w:rPr>
        <w:fldChar w:fldCharType="separate"/>
      </w:r>
      <w:r>
        <w:rPr>
          <w:b/>
          <w:bCs/>
          <w:noProof/>
          <w:sz w:val="24"/>
          <w:szCs w:val="24"/>
        </w:rPr>
        <w:t>Figure 156</w:t>
      </w:r>
      <w:r>
        <w:rPr>
          <w:noProof/>
        </w:rPr>
        <w:fldChar w:fldCharType="end"/>
      </w:r>
      <w:r>
        <w:rPr>
          <w:noProof/>
          <w:sz w:val="24"/>
          <w:szCs w:val="24"/>
        </w:rPr>
        <w:t>)</w:t>
      </w:r>
    </w:p>
    <w:p>
      <w:pPr>
        <w:pStyle w:val="ListParagraph"/>
        <w:rPr>
          <w:noProof/>
        </w:rPr>
      </w:pPr>
    </w:p>
    <w:p>
      <w:pPr>
        <w:jc w:val="center"/>
        <w:rPr>
          <w:noProof/>
        </w:rPr>
      </w:pPr>
      <w:r>
        <w:rPr>
          <w:noProof/>
          <w:lang w:eastAsia="en-GB"/>
        </w:rPr>
        <w:drawing>
          <wp:inline distT="0" distB="0" distL="0" distR="0">
            <wp:extent cx="5687060" cy="3351530"/>
            <wp:effectExtent l="0" t="0" r="8890" b="1270"/>
            <wp:docPr id="1931722664" name="Picture 62"/>
            <wp:cNvGraphicFramePr/>
            <a:graphic xmlns:a="http://schemas.openxmlformats.org/drawingml/2006/main">
              <a:graphicData uri="http://schemas.openxmlformats.org/drawingml/2006/picture">
                <pic:pic xmlns:pic="http://schemas.openxmlformats.org/drawingml/2006/picture">
                  <pic:nvPicPr>
                    <pic:cNvPr id="1931722664" name="Picture 62"/>
                    <pic:cNvPicPr/>
                  </pic:nvPicPr>
                  <pic:blipFill>
                    <a:blip r:embed="rId118" cstate="print">
                      <a:extLst>
                        <a:ext uri="{28A0092B-C50C-407E-A947-70E740481C1C}">
                          <a14:useLocalDpi xmlns:a14="http://schemas.microsoft.com/office/drawing/2010/main"/>
                        </a:ext>
                      </a:extLst>
                    </a:blip>
                    <a:stretch>
                      <a:fillRect/>
                    </a:stretch>
                  </pic:blipFill>
                  <pic:spPr>
                    <a:xfrm>
                      <a:off x="0" y="0"/>
                      <a:ext cx="5687060" cy="3351530"/>
                    </a:xfrm>
                    <a:prstGeom prst="rect">
                      <a:avLst/>
                    </a:prstGeom>
                  </pic:spPr>
                </pic:pic>
              </a:graphicData>
            </a:graphic>
          </wp:inline>
        </w:drawing>
      </w:r>
    </w:p>
    <w:p>
      <w:pPr>
        <w:pStyle w:val="Caption"/>
      </w:pPr>
      <w:bookmarkStart w:id="334" w:name="_Ref525115771"/>
      <w:bookmarkStart w:id="335" w:name="_Toc525807880"/>
      <w:bookmarkStart w:id="336" w:name="_Toc526433496"/>
      <w:bookmarkStart w:id="337" w:name="_Toc526433774"/>
      <w:bookmarkStart w:id="338" w:name="_Toc526435716"/>
      <w:bookmarkStart w:id="339" w:name="_Toc530739806"/>
      <w:bookmarkStart w:id="340" w:name="_Toc531366179"/>
      <w:bookmarkStart w:id="341" w:name="_Toc50494152"/>
      <w:bookmarkStart w:id="342" w:name="_Toc52396928"/>
      <w:r>
        <w:t xml:space="preserve">Figure </w:t>
      </w:r>
      <w:r>
        <w:fldChar w:fldCharType="begin"/>
      </w:r>
      <w:r>
        <w:instrText xml:space="preserve"> SEQ Figure \* ARABIC </w:instrText>
      </w:r>
      <w:r>
        <w:fldChar w:fldCharType="separate"/>
      </w:r>
      <w:r>
        <w:t>156</w:t>
      </w:r>
      <w:r>
        <w:fldChar w:fldCharType="end"/>
      </w:r>
      <w:bookmarkEnd w:id="334"/>
      <w:r>
        <w:t xml:space="preserve"> - Retail electricity prices for industry: EU vs other G20, 2007-201</w:t>
      </w:r>
      <w:bookmarkEnd w:id="335"/>
      <w:bookmarkEnd w:id="336"/>
      <w:bookmarkEnd w:id="337"/>
      <w:bookmarkEnd w:id="338"/>
      <w:bookmarkEnd w:id="339"/>
      <w:bookmarkEnd w:id="340"/>
      <w:r>
        <w:t>9</w:t>
      </w:r>
      <w:bookmarkEnd w:id="341"/>
      <w:bookmarkEnd w:id="342"/>
    </w:p>
    <w:p>
      <w:pPr>
        <w:pStyle w:val="Sources"/>
        <w:rPr>
          <w:noProof/>
        </w:rPr>
      </w:pPr>
      <w:r>
        <w:rPr>
          <w:noProof/>
        </w:rPr>
        <w:t>Sources: Eurostat, CEIC, IEA, ERRA</w:t>
      </w:r>
    </w:p>
    <w:p>
      <w:pPr>
        <w:pStyle w:val="ListParagraph"/>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For Argentina, Australia, India there is only information from price indices (and not absolute price data). The indices’ evolution show that average prices have rose by  20% since 2008 (+1.1%/year) while real price indices fell in Argentina and, to a lesser extent, in India. The Australian price index rose in real terms by more than 60%, moving in a similar way as wholesale prices in that country. – See </w:t>
      </w:r>
      <w:r>
        <w:rPr>
          <w:noProof/>
        </w:rPr>
        <w:fldChar w:fldCharType="begin"/>
      </w:r>
      <w:r>
        <w:rPr>
          <w:b/>
          <w:noProof/>
          <w:sz w:val="24"/>
          <w:szCs w:val="24"/>
        </w:rPr>
        <w:instrText xml:space="preserve"> REF _Ref525115847 \h  \* MERGEFORMAT </w:instrText>
      </w:r>
      <w:r>
        <w:rPr>
          <w:noProof/>
        </w:rPr>
      </w:r>
      <w:r>
        <w:rPr>
          <w:b/>
          <w:noProof/>
          <w:sz w:val="24"/>
          <w:szCs w:val="24"/>
        </w:rPr>
        <w:fldChar w:fldCharType="separate"/>
      </w:r>
      <w:r>
        <w:rPr>
          <w:b/>
          <w:bCs/>
          <w:noProof/>
          <w:sz w:val="24"/>
          <w:szCs w:val="24"/>
        </w:rPr>
        <w:t>Figure 157</w:t>
      </w:r>
      <w:r>
        <w:rPr>
          <w:noProof/>
        </w:rPr>
        <w:fldChar w:fldCharType="end"/>
      </w:r>
    </w:p>
    <w:p>
      <w:pPr>
        <w:pStyle w:val="ListParagraph"/>
        <w:rPr>
          <w:noProof/>
        </w:rPr>
      </w:pPr>
    </w:p>
    <w:p>
      <w:pPr>
        <w:rPr>
          <w:noProof/>
        </w:rPr>
      </w:pPr>
      <w:r>
        <w:rPr>
          <w:noProof/>
          <w:lang w:eastAsia="en-GB"/>
        </w:rPr>
        <w:drawing>
          <wp:inline distT="0" distB="0" distL="0" distR="0">
            <wp:extent cx="5339891" cy="3098800"/>
            <wp:effectExtent l="0" t="0" r="0" b="6350"/>
            <wp:docPr id="775647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9">
                      <a:extLst>
                        <a:ext uri="{28A0092B-C50C-407E-A947-70E740481C1C}">
                          <a14:useLocalDpi xmlns:a14="http://schemas.microsoft.com/office/drawing/2010/main"/>
                        </a:ext>
                      </a:extLst>
                    </a:blip>
                    <a:stretch>
                      <a:fillRect/>
                    </a:stretch>
                  </pic:blipFill>
                  <pic:spPr>
                    <a:xfrm>
                      <a:off x="0" y="0"/>
                      <a:ext cx="5342995" cy="3100601"/>
                    </a:xfrm>
                    <a:prstGeom prst="rect">
                      <a:avLst/>
                    </a:prstGeom>
                  </pic:spPr>
                </pic:pic>
              </a:graphicData>
            </a:graphic>
          </wp:inline>
        </w:drawing>
      </w:r>
    </w:p>
    <w:p>
      <w:pPr>
        <w:pStyle w:val="Caption"/>
      </w:pPr>
      <w:bookmarkStart w:id="343" w:name="_Ref525115847"/>
      <w:bookmarkStart w:id="344" w:name="_Toc525807881"/>
      <w:bookmarkStart w:id="345" w:name="_Toc526433497"/>
      <w:bookmarkStart w:id="346" w:name="_Toc526433775"/>
      <w:bookmarkStart w:id="347" w:name="_Toc526435717"/>
      <w:bookmarkStart w:id="348" w:name="_Toc530739807"/>
      <w:bookmarkStart w:id="349" w:name="_Toc531366180"/>
      <w:bookmarkStart w:id="350" w:name="_Toc50494153"/>
      <w:bookmarkStart w:id="351" w:name="_Toc52396929"/>
      <w:r>
        <w:t xml:space="preserve">Figure </w:t>
      </w:r>
      <w:r>
        <w:fldChar w:fldCharType="begin"/>
      </w:r>
      <w:r>
        <w:instrText xml:space="preserve"> SEQ Figure \* ARABIC </w:instrText>
      </w:r>
      <w:r>
        <w:fldChar w:fldCharType="separate"/>
      </w:r>
      <w:r>
        <w:t>157</w:t>
      </w:r>
      <w:r>
        <w:fldChar w:fldCharType="end"/>
      </w:r>
      <w:bookmarkEnd w:id="343"/>
      <w:r>
        <w:t xml:space="preserve"> – Retail electricity indexes prices for industry: EU vs Argentina, Australia &amp; India, 2008-201</w:t>
      </w:r>
      <w:bookmarkEnd w:id="344"/>
      <w:bookmarkEnd w:id="345"/>
      <w:bookmarkEnd w:id="346"/>
      <w:bookmarkEnd w:id="347"/>
      <w:bookmarkEnd w:id="348"/>
      <w:bookmarkEnd w:id="349"/>
      <w:r>
        <w:t>9</w:t>
      </w:r>
      <w:bookmarkEnd w:id="350"/>
      <w:bookmarkEnd w:id="351"/>
    </w:p>
    <w:p>
      <w:pPr>
        <w:pStyle w:val="Sources"/>
        <w:rPr>
          <w:noProof/>
        </w:rPr>
      </w:pPr>
      <w:r>
        <w:rPr>
          <w:noProof/>
        </w:rPr>
        <w:t>Sources: Eurostat, CEIC and IEA</w:t>
      </w:r>
    </w:p>
    <w:p>
      <w:pPr>
        <w:pStyle w:val="ListParagraph"/>
        <w:rPr>
          <w:noProof/>
        </w:rPr>
      </w:pPr>
    </w:p>
    <w:p>
      <w:pPr>
        <w:pStyle w:val="ListParagraph"/>
        <w:numPr>
          <w:ilvl w:val="0"/>
          <w:numId w:val="11"/>
        </w:numPr>
        <w:rPr>
          <w:noProof/>
        </w:rPr>
      </w:pPr>
      <w:r>
        <w:rPr>
          <w:noProof/>
          <w:sz w:val="24"/>
          <w:szCs w:val="24"/>
        </w:rPr>
        <w:t xml:space="preserve">In 2008, the EU weighted average price was higher than prices in 11 countries, while in 2019 it was higher than 13 countries. Price gaps (in constant real prices 2018) did not evolve favourably for the EU with its most important trade partners as EU prices increased (by around 20%) while prices decreased in many non-EU G-20 countries. The price gap with the US and China (which was favourable for these two countries at the start of the period analysed) has widened slightly while the gap with Japan (which was favourable for the EU) has decreased. Over the whole period (2008-2019), the evolution of the price gap with non-EU G-20 countries was mixed, it was favourable (positive) with Argentina, Australia, Saudi Arabia, South Korea, South Africa and Turkey. It was not favourable (negative) with Brazil, Canada, Indonesia, India and Mexico– See </w:t>
      </w:r>
      <w:r>
        <w:rPr>
          <w:b/>
          <w:noProof/>
        </w:rPr>
        <w:fldChar w:fldCharType="begin"/>
      </w:r>
      <w:r>
        <w:rPr>
          <w:b/>
          <w:noProof/>
          <w:sz w:val="24"/>
          <w:szCs w:val="24"/>
        </w:rPr>
        <w:instrText xml:space="preserve"> REF _Ref531167210 \h </w:instrText>
      </w:r>
      <w:r>
        <w:rPr>
          <w:b/>
          <w:noProof/>
        </w:rPr>
        <w:instrText xml:space="preserve"> \* MERGEFORMAT </w:instrText>
      </w:r>
      <w:r>
        <w:rPr>
          <w:b/>
          <w:noProof/>
        </w:rPr>
      </w:r>
      <w:r>
        <w:rPr>
          <w:b/>
          <w:noProof/>
        </w:rPr>
        <w:fldChar w:fldCharType="separate"/>
      </w:r>
      <w:r>
        <w:rPr>
          <w:b/>
          <w:noProof/>
        </w:rPr>
        <w:t>Table 23</w:t>
      </w:r>
      <w:r>
        <w:rPr>
          <w:b/>
          <w:noProof/>
        </w:rPr>
        <w:fldChar w:fldCharType="end"/>
      </w:r>
      <w:r>
        <w:rPr>
          <w:noProof/>
          <w:sz w:val="24"/>
          <w:szCs w:val="24"/>
        </w:rPr>
        <w:t xml:space="preserve"> </w:t>
      </w:r>
    </w:p>
    <w:p>
      <w:pPr>
        <w:pStyle w:val="ListParagraph"/>
        <w:rPr>
          <w:noProof/>
        </w:rPr>
      </w:pPr>
      <w:r>
        <w:rPr>
          <w:noProof/>
        </w:rPr>
        <w:fldChar w:fldCharType="begin"/>
      </w:r>
      <w:r>
        <w:rPr>
          <w:noProof/>
        </w:rPr>
        <w:instrText xml:space="preserve"> REF _Ref525116175 \h  \* MERGEFORMAT </w:instrText>
      </w:r>
      <w:r>
        <w:rPr>
          <w:noProof/>
        </w:rPr>
      </w:r>
      <w:r>
        <w:rPr>
          <w:noProof/>
        </w:rPr>
        <w:fldChar w:fldCharType="end"/>
      </w:r>
    </w:p>
    <w:p>
      <w:pPr>
        <w:pStyle w:val="ListParagraph"/>
        <w:numPr>
          <w:ilvl w:val="0"/>
          <w:numId w:val="11"/>
        </w:numPr>
        <w:rPr>
          <w:noProof/>
          <w:sz w:val="24"/>
          <w:szCs w:val="24"/>
        </w:rPr>
      </w:pPr>
      <w:bookmarkStart w:id="352" w:name="_Ref517709302"/>
      <w:bookmarkStart w:id="353" w:name="_Toc519542716"/>
      <w:r>
        <w:rPr>
          <w:noProof/>
        </w:rPr>
        <w:br w:type="page"/>
      </w:r>
    </w:p>
    <w:p>
      <w:pPr>
        <w:spacing w:after="0"/>
        <w:jc w:val="left"/>
        <w:rPr>
          <w:rFonts w:ascii="Calibri" w:hAnsi="Calibri"/>
          <w:noProof/>
          <w:sz w:val="20"/>
          <w:lang w:eastAsia="en-GB"/>
        </w:rPr>
      </w:pPr>
    </w:p>
    <w:p>
      <w:pPr>
        <w:pStyle w:val="Caption"/>
        <w:rPr>
          <w:sz w:val="20"/>
          <w:szCs w:val="20"/>
        </w:rPr>
      </w:pPr>
      <w:bookmarkStart w:id="354" w:name="_Ref525116175"/>
      <w:bookmarkStart w:id="355" w:name="_Ref531167210"/>
      <w:bookmarkStart w:id="356" w:name="_Ref525116166"/>
      <w:bookmarkStart w:id="357" w:name="_Toc525817559"/>
      <w:bookmarkStart w:id="358" w:name="_Toc526433349"/>
      <w:bookmarkStart w:id="359" w:name="_Toc526433602"/>
      <w:bookmarkStart w:id="360" w:name="_Toc526435544"/>
      <w:bookmarkStart w:id="361" w:name="_Toc52396982"/>
      <w:bookmarkEnd w:id="354"/>
      <w:r>
        <w:t xml:space="preserve">Table </w:t>
      </w:r>
      <w:r>
        <w:fldChar w:fldCharType="begin"/>
      </w:r>
      <w:r>
        <w:instrText xml:space="preserve"> SEQ Table \* ARABIC </w:instrText>
      </w:r>
      <w:r>
        <w:fldChar w:fldCharType="separate"/>
      </w:r>
      <w:r>
        <w:t>23</w:t>
      </w:r>
      <w:r>
        <w:fldChar w:fldCharType="end"/>
      </w:r>
      <w:bookmarkEnd w:id="355"/>
      <w:r>
        <w:t xml:space="preserve"> - Changes in retail industrial electricity prices compared to EU prices, constant </w:t>
      </w:r>
      <w:r>
        <w:rPr>
          <w:sz w:val="20"/>
          <w:szCs w:val="20"/>
        </w:rPr>
        <w:t>2018 EUR/MWh</w:t>
      </w:r>
      <w:bookmarkEnd w:id="356"/>
      <w:bookmarkEnd w:id="357"/>
      <w:bookmarkEnd w:id="358"/>
      <w:bookmarkEnd w:id="359"/>
      <w:bookmarkEnd w:id="360"/>
      <w:bookmarkEnd w:id="361"/>
    </w:p>
    <w:p>
      <w:pPr>
        <w:pStyle w:val="Sources"/>
        <w:rPr>
          <w:noProof/>
          <w:lang w:val="fr-BE"/>
        </w:rPr>
      </w:pPr>
    </w:p>
    <w:tbl>
      <w:tblPr>
        <w:tblW w:w="9224" w:type="dxa"/>
        <w:tblLook w:val="04A0" w:firstRow="1" w:lastRow="0" w:firstColumn="1" w:lastColumn="0" w:noHBand="0" w:noVBand="1"/>
      </w:tblPr>
      <w:tblGrid>
        <w:gridCol w:w="1005"/>
        <w:gridCol w:w="1124"/>
        <w:gridCol w:w="1124"/>
        <w:gridCol w:w="1108"/>
        <w:gridCol w:w="992"/>
        <w:gridCol w:w="992"/>
        <w:gridCol w:w="939"/>
        <w:gridCol w:w="1006"/>
        <w:gridCol w:w="934"/>
      </w:tblGrid>
      <w:tr>
        <w:trPr>
          <w:trHeight w:val="269"/>
        </w:trPr>
        <w:tc>
          <w:tcPr>
            <w:tcW w:w="1005" w:type="dxa"/>
            <w:tcBorders>
              <w:top w:val="single" w:sz="4" w:space="0" w:color="B9BBBB"/>
              <w:left w:val="single" w:sz="4" w:space="0" w:color="B9BBBB"/>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Country</w:t>
            </w:r>
          </w:p>
        </w:tc>
        <w:tc>
          <w:tcPr>
            <w:tcW w:w="1124"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Start price [EUR2018]</w:t>
            </w:r>
          </w:p>
        </w:tc>
        <w:tc>
          <w:tcPr>
            <w:tcW w:w="1124"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End price [EUR2018]</w:t>
            </w:r>
          </w:p>
        </w:tc>
        <w:tc>
          <w:tcPr>
            <w:tcW w:w="1108" w:type="dxa"/>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Change EUR</w:t>
            </w:r>
          </w:p>
        </w:tc>
        <w:tc>
          <w:tcPr>
            <w:tcW w:w="992" w:type="dxa"/>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Change %</w:t>
            </w:r>
          </w:p>
        </w:tc>
        <w:tc>
          <w:tcPr>
            <w:tcW w:w="992" w:type="dxa"/>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Start Gap [EUR]</w:t>
            </w:r>
          </w:p>
        </w:tc>
        <w:tc>
          <w:tcPr>
            <w:tcW w:w="939" w:type="dxa"/>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End Gap [EUR]</w:t>
            </w:r>
          </w:p>
        </w:tc>
        <w:tc>
          <w:tcPr>
            <w:tcW w:w="1006" w:type="dxa"/>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Difference [EUR]</w:t>
            </w:r>
          </w:p>
        </w:tc>
        <w:tc>
          <w:tcPr>
            <w:tcW w:w="934" w:type="dxa"/>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Relative for EU</w:t>
            </w:r>
          </w:p>
        </w:tc>
      </w:tr>
      <w:tr>
        <w:trPr>
          <w:trHeight w:val="182"/>
        </w:trPr>
        <w:tc>
          <w:tcPr>
            <w:tcW w:w="1005" w:type="dxa"/>
            <w:tcBorders>
              <w:top w:val="single" w:sz="4" w:space="0" w:color="auto"/>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EU27</w:t>
            </w:r>
          </w:p>
        </w:tc>
        <w:tc>
          <w:tcPr>
            <w:tcW w:w="1124" w:type="dxa"/>
            <w:tcBorders>
              <w:top w:val="single" w:sz="4" w:space="0" w:color="auto"/>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111.72</w:t>
            </w:r>
          </w:p>
        </w:tc>
        <w:tc>
          <w:tcPr>
            <w:tcW w:w="1124" w:type="dxa"/>
            <w:tcBorders>
              <w:top w:val="single" w:sz="4" w:space="0" w:color="auto"/>
              <w:left w:val="nil"/>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116.25</w:t>
            </w:r>
          </w:p>
        </w:tc>
        <w:tc>
          <w:tcPr>
            <w:tcW w:w="1108" w:type="dxa"/>
            <w:tcBorders>
              <w:top w:val="single" w:sz="4" w:space="0" w:color="auto"/>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4.53</w:t>
            </w:r>
          </w:p>
        </w:tc>
        <w:tc>
          <w:tcPr>
            <w:tcW w:w="992" w:type="dxa"/>
            <w:tcBorders>
              <w:top w:val="single" w:sz="4" w:space="0" w:color="auto"/>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4.1%</w:t>
            </w:r>
          </w:p>
        </w:tc>
        <w:tc>
          <w:tcPr>
            <w:tcW w:w="992" w:type="dxa"/>
            <w:tcBorders>
              <w:top w:val="single" w:sz="4" w:space="0" w:color="auto"/>
              <w:left w:val="nil"/>
              <w:bottom w:val="nil"/>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939" w:type="dxa"/>
            <w:tcBorders>
              <w:top w:val="single" w:sz="4" w:space="0" w:color="auto"/>
              <w:left w:val="nil"/>
              <w:bottom w:val="nil"/>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006" w:type="dxa"/>
            <w:tcBorders>
              <w:top w:val="single" w:sz="4" w:space="0" w:color="auto"/>
              <w:left w:val="nil"/>
              <w:bottom w:val="nil"/>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934" w:type="dxa"/>
            <w:tcBorders>
              <w:top w:val="single" w:sz="4" w:space="0" w:color="auto"/>
              <w:left w:val="nil"/>
              <w:bottom w:val="nil"/>
              <w:right w:val="single" w:sz="4" w:space="0" w:color="auto"/>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Argentina</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15.86</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37.96</w:t>
            </w:r>
          </w:p>
        </w:tc>
        <w:tc>
          <w:tcPr>
            <w:tcW w:w="1108"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22.11</w:t>
            </w:r>
          </w:p>
        </w:tc>
        <w:tc>
          <w:tcPr>
            <w:tcW w:w="99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139.4%</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-95.87</w:t>
            </w:r>
          </w:p>
        </w:tc>
        <w:tc>
          <w:tcPr>
            <w:tcW w:w="93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-78.28</w:t>
            </w:r>
          </w:p>
        </w:tc>
        <w:tc>
          <w:tcPr>
            <w:tcW w:w="1006"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17.58</w:t>
            </w:r>
          </w:p>
        </w:tc>
        <w:tc>
          <w:tcPr>
            <w:tcW w:w="934"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Positive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Australia</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74.66</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142.14</w:t>
            </w:r>
          </w:p>
        </w:tc>
        <w:tc>
          <w:tcPr>
            <w:tcW w:w="1108"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67.48</w:t>
            </w:r>
          </w:p>
        </w:tc>
        <w:tc>
          <w:tcPr>
            <w:tcW w:w="99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90.4%</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-37.06</w:t>
            </w:r>
          </w:p>
        </w:tc>
        <w:tc>
          <w:tcPr>
            <w:tcW w:w="93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25.89</w:t>
            </w:r>
          </w:p>
        </w:tc>
        <w:tc>
          <w:tcPr>
            <w:tcW w:w="1006"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62.96</w:t>
            </w:r>
          </w:p>
        </w:tc>
        <w:tc>
          <w:tcPr>
            <w:tcW w:w="934"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Positive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Brazil</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149.09</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153.38</w:t>
            </w:r>
          </w:p>
        </w:tc>
        <w:tc>
          <w:tcPr>
            <w:tcW w:w="1108"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4.29</w:t>
            </w:r>
          </w:p>
        </w:tc>
        <w:tc>
          <w:tcPr>
            <w:tcW w:w="99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2.9%</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37.37</w:t>
            </w:r>
          </w:p>
        </w:tc>
        <w:tc>
          <w:tcPr>
            <w:tcW w:w="93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37.14</w:t>
            </w:r>
          </w:p>
        </w:tc>
        <w:tc>
          <w:tcPr>
            <w:tcW w:w="100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-0.23</w:t>
            </w:r>
          </w:p>
        </w:tc>
        <w:tc>
          <w:tcPr>
            <w:tcW w:w="934"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Negative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Canada</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70.39</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74.74</w:t>
            </w:r>
          </w:p>
        </w:tc>
        <w:tc>
          <w:tcPr>
            <w:tcW w:w="1108"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4.35</w:t>
            </w:r>
          </w:p>
        </w:tc>
        <w:tc>
          <w:tcPr>
            <w:tcW w:w="99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6.2%</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-41.33</w:t>
            </w:r>
          </w:p>
        </w:tc>
        <w:tc>
          <w:tcPr>
            <w:tcW w:w="93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-41.51</w:t>
            </w:r>
          </w:p>
        </w:tc>
        <w:tc>
          <w:tcPr>
            <w:tcW w:w="100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-0.17</w:t>
            </w:r>
          </w:p>
        </w:tc>
        <w:tc>
          <w:tcPr>
            <w:tcW w:w="934"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Negative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China</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112.73</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88.35</w:t>
            </w:r>
          </w:p>
        </w:tc>
        <w:tc>
          <w:tcPr>
            <w:tcW w:w="1108"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-24.38</w:t>
            </w:r>
          </w:p>
        </w:tc>
        <w:tc>
          <w:tcPr>
            <w:tcW w:w="99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-21.6%</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1.01</w:t>
            </w:r>
          </w:p>
        </w:tc>
        <w:tc>
          <w:tcPr>
            <w:tcW w:w="93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-27.90</w:t>
            </w:r>
          </w:p>
        </w:tc>
        <w:tc>
          <w:tcPr>
            <w:tcW w:w="100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-28.90</w:t>
            </w:r>
          </w:p>
        </w:tc>
        <w:tc>
          <w:tcPr>
            <w:tcW w:w="934"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Negative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India</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90.19</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99.20</w:t>
            </w:r>
          </w:p>
        </w:tc>
        <w:tc>
          <w:tcPr>
            <w:tcW w:w="1108"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9.01</w:t>
            </w:r>
          </w:p>
        </w:tc>
        <w:tc>
          <w:tcPr>
            <w:tcW w:w="99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10.0%</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-21.53</w:t>
            </w:r>
          </w:p>
        </w:tc>
        <w:tc>
          <w:tcPr>
            <w:tcW w:w="93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-17.05</w:t>
            </w:r>
          </w:p>
        </w:tc>
        <w:tc>
          <w:tcPr>
            <w:tcW w:w="1006"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4.48</w:t>
            </w:r>
          </w:p>
        </w:tc>
        <w:tc>
          <w:tcPr>
            <w:tcW w:w="934"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Positive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Indonesia</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65.76</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67.29</w:t>
            </w:r>
          </w:p>
        </w:tc>
        <w:tc>
          <w:tcPr>
            <w:tcW w:w="1108"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1.53</w:t>
            </w:r>
          </w:p>
        </w:tc>
        <w:tc>
          <w:tcPr>
            <w:tcW w:w="99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2.3%</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-45.96</w:t>
            </w:r>
          </w:p>
        </w:tc>
        <w:tc>
          <w:tcPr>
            <w:tcW w:w="93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-48.96</w:t>
            </w:r>
          </w:p>
        </w:tc>
        <w:tc>
          <w:tcPr>
            <w:tcW w:w="100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-3.00</w:t>
            </w:r>
          </w:p>
        </w:tc>
        <w:tc>
          <w:tcPr>
            <w:tcW w:w="934"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Negative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Japan</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138.27</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135.98</w:t>
            </w:r>
          </w:p>
        </w:tc>
        <w:tc>
          <w:tcPr>
            <w:tcW w:w="1108"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-2.28</w:t>
            </w:r>
          </w:p>
        </w:tc>
        <w:tc>
          <w:tcPr>
            <w:tcW w:w="99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-1.7%</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26.54</w:t>
            </w:r>
          </w:p>
        </w:tc>
        <w:tc>
          <w:tcPr>
            <w:tcW w:w="93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19.74</w:t>
            </w:r>
          </w:p>
        </w:tc>
        <w:tc>
          <w:tcPr>
            <w:tcW w:w="100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-6.81</w:t>
            </w:r>
          </w:p>
        </w:tc>
        <w:tc>
          <w:tcPr>
            <w:tcW w:w="934"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Negative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Mexico</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125.07</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75.78</w:t>
            </w:r>
          </w:p>
        </w:tc>
        <w:tc>
          <w:tcPr>
            <w:tcW w:w="1108"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-49.29</w:t>
            </w:r>
          </w:p>
        </w:tc>
        <w:tc>
          <w:tcPr>
            <w:tcW w:w="99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-39.4%</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13.35</w:t>
            </w:r>
          </w:p>
        </w:tc>
        <w:tc>
          <w:tcPr>
            <w:tcW w:w="93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-40.47</w:t>
            </w:r>
          </w:p>
        </w:tc>
        <w:tc>
          <w:tcPr>
            <w:tcW w:w="100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-53.82</w:t>
            </w:r>
          </w:p>
        </w:tc>
        <w:tc>
          <w:tcPr>
            <w:tcW w:w="934"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Negative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Russia</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lef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w:t>
            </w:r>
          </w:p>
        </w:tc>
        <w:tc>
          <w:tcPr>
            <w:tcW w:w="1124" w:type="dxa"/>
            <w:tcBorders>
              <w:top w:val="nil"/>
              <w:left w:val="nil"/>
              <w:bottom w:val="single" w:sz="4" w:space="0" w:color="D1D1D2"/>
              <w:right w:val="nil"/>
            </w:tcBorders>
            <w:shd w:val="clear" w:color="auto" w:fill="CCD7ED"/>
            <w:noWrap/>
            <w:vAlign w:val="bottom"/>
            <w:hideMark/>
          </w:tcPr>
          <w:p>
            <w:pPr>
              <w:spacing w:after="0"/>
              <w:jc w:val="lef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w:t>
            </w:r>
          </w:p>
        </w:tc>
        <w:tc>
          <w:tcPr>
            <w:tcW w:w="110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992"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992" w:type="dxa"/>
            <w:tcBorders>
              <w:top w:val="nil"/>
              <w:left w:val="single" w:sz="4" w:space="0" w:color="B9BBBB"/>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939" w:type="dxa"/>
            <w:tcBorders>
              <w:top w:val="nil"/>
              <w:left w:val="nil"/>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006" w:type="dxa"/>
            <w:tcBorders>
              <w:top w:val="nil"/>
              <w:left w:val="nil"/>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934" w:type="dxa"/>
            <w:tcBorders>
              <w:top w:val="nil"/>
              <w:left w:val="single" w:sz="4" w:space="0" w:color="D1D1D2"/>
              <w:bottom w:val="single" w:sz="4" w:space="0" w:color="D1D1D2"/>
              <w:right w:val="single" w:sz="4" w:space="0" w:color="auto"/>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Saudi Arabia</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31.76</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40.63</w:t>
            </w:r>
          </w:p>
        </w:tc>
        <w:tc>
          <w:tcPr>
            <w:tcW w:w="1108"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8.86</w:t>
            </w:r>
          </w:p>
        </w:tc>
        <w:tc>
          <w:tcPr>
            <w:tcW w:w="99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27.9%</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-79.96</w:t>
            </w:r>
          </w:p>
        </w:tc>
        <w:tc>
          <w:tcPr>
            <w:tcW w:w="93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-75.62</w:t>
            </w:r>
          </w:p>
        </w:tc>
        <w:tc>
          <w:tcPr>
            <w:tcW w:w="1006"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4.34</w:t>
            </w:r>
          </w:p>
        </w:tc>
        <w:tc>
          <w:tcPr>
            <w:tcW w:w="934"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Positive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South Africa</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23.36</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50.35</w:t>
            </w:r>
          </w:p>
        </w:tc>
        <w:tc>
          <w:tcPr>
            <w:tcW w:w="1108"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26.98</w:t>
            </w:r>
          </w:p>
        </w:tc>
        <w:tc>
          <w:tcPr>
            <w:tcW w:w="99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115.5%</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-88.36</w:t>
            </w:r>
          </w:p>
        </w:tc>
        <w:tc>
          <w:tcPr>
            <w:tcW w:w="93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-65.90</w:t>
            </w:r>
          </w:p>
        </w:tc>
        <w:tc>
          <w:tcPr>
            <w:tcW w:w="1006"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22.46</w:t>
            </w:r>
          </w:p>
        </w:tc>
        <w:tc>
          <w:tcPr>
            <w:tcW w:w="934"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Positive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South Korea</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61.94</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78.35</w:t>
            </w:r>
          </w:p>
        </w:tc>
        <w:tc>
          <w:tcPr>
            <w:tcW w:w="1108"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16.41</w:t>
            </w:r>
          </w:p>
        </w:tc>
        <w:tc>
          <w:tcPr>
            <w:tcW w:w="99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26.5%</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-49.78</w:t>
            </w:r>
          </w:p>
        </w:tc>
        <w:tc>
          <w:tcPr>
            <w:tcW w:w="93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-37.89</w:t>
            </w:r>
          </w:p>
        </w:tc>
        <w:tc>
          <w:tcPr>
            <w:tcW w:w="1006"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11.89</w:t>
            </w:r>
          </w:p>
        </w:tc>
        <w:tc>
          <w:tcPr>
            <w:tcW w:w="934"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Positive</w:t>
            </w:r>
          </w:p>
        </w:tc>
      </w:tr>
      <w:tr>
        <w:trPr>
          <w:trHeight w:val="182"/>
        </w:trPr>
        <w:tc>
          <w:tcPr>
            <w:tcW w:w="1005"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Turkey</w:t>
            </w:r>
          </w:p>
        </w:tc>
        <w:tc>
          <w:tcPr>
            <w:tcW w:w="1124"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71.43</w:t>
            </w:r>
          </w:p>
        </w:tc>
        <w:tc>
          <w:tcPr>
            <w:tcW w:w="1124"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84.19</w:t>
            </w:r>
          </w:p>
        </w:tc>
        <w:tc>
          <w:tcPr>
            <w:tcW w:w="1108"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12.77</w:t>
            </w:r>
          </w:p>
        </w:tc>
        <w:tc>
          <w:tcPr>
            <w:tcW w:w="99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17.9%</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-40.29</w:t>
            </w:r>
          </w:p>
        </w:tc>
        <w:tc>
          <w:tcPr>
            <w:tcW w:w="93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-32.05</w:t>
            </w:r>
          </w:p>
        </w:tc>
        <w:tc>
          <w:tcPr>
            <w:tcW w:w="1006"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8.24</w:t>
            </w:r>
          </w:p>
        </w:tc>
        <w:tc>
          <w:tcPr>
            <w:tcW w:w="934"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Positive</w:t>
            </w:r>
          </w:p>
        </w:tc>
      </w:tr>
      <w:tr>
        <w:trPr>
          <w:trHeight w:val="182"/>
        </w:trPr>
        <w:tc>
          <w:tcPr>
            <w:tcW w:w="1005" w:type="dxa"/>
            <w:tcBorders>
              <w:top w:val="nil"/>
              <w:left w:val="single" w:sz="4" w:space="0" w:color="auto"/>
              <w:bottom w:val="single" w:sz="4" w:space="0" w:color="auto"/>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USA</w:t>
            </w:r>
          </w:p>
        </w:tc>
        <w:tc>
          <w:tcPr>
            <w:tcW w:w="1124" w:type="dxa"/>
            <w:tcBorders>
              <w:top w:val="nil"/>
              <w:left w:val="single" w:sz="4" w:space="0" w:color="D1D1D2"/>
              <w:bottom w:val="single" w:sz="4" w:space="0" w:color="auto"/>
              <w:right w:val="single" w:sz="4" w:space="0" w:color="D1D1D2"/>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62.83</w:t>
            </w:r>
          </w:p>
        </w:tc>
        <w:tc>
          <w:tcPr>
            <w:tcW w:w="1124" w:type="dxa"/>
            <w:tcBorders>
              <w:top w:val="nil"/>
              <w:left w:val="nil"/>
              <w:bottom w:val="single" w:sz="4" w:space="0" w:color="auto"/>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55.28</w:t>
            </w:r>
          </w:p>
        </w:tc>
        <w:tc>
          <w:tcPr>
            <w:tcW w:w="1108" w:type="dxa"/>
            <w:tcBorders>
              <w:top w:val="single" w:sz="4" w:space="0" w:color="D1D1D2"/>
              <w:left w:val="single" w:sz="4" w:space="0" w:color="D1D1D2"/>
              <w:bottom w:val="single" w:sz="4" w:space="0" w:color="auto"/>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-7.56</w:t>
            </w:r>
          </w:p>
        </w:tc>
        <w:tc>
          <w:tcPr>
            <w:tcW w:w="992" w:type="dxa"/>
            <w:tcBorders>
              <w:top w:val="single" w:sz="4" w:space="0" w:color="D1D1D2"/>
              <w:left w:val="single" w:sz="4" w:space="0" w:color="D1D1D2"/>
              <w:bottom w:val="single" w:sz="4" w:space="0" w:color="auto"/>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-12.0%</w:t>
            </w:r>
          </w:p>
        </w:tc>
        <w:tc>
          <w:tcPr>
            <w:tcW w:w="992"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-48.89</w:t>
            </w:r>
          </w:p>
        </w:tc>
        <w:tc>
          <w:tcPr>
            <w:tcW w:w="939"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-60.97</w:t>
            </w:r>
          </w:p>
        </w:tc>
        <w:tc>
          <w:tcPr>
            <w:tcW w:w="1006"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-12.08</w:t>
            </w:r>
          </w:p>
        </w:tc>
        <w:tc>
          <w:tcPr>
            <w:tcW w:w="934" w:type="dxa"/>
            <w:tcBorders>
              <w:top w:val="single" w:sz="4" w:space="0" w:color="D1D1D2"/>
              <w:left w:val="single" w:sz="4" w:space="0" w:color="D1D1D2"/>
              <w:bottom w:val="single" w:sz="4" w:space="0" w:color="auto"/>
              <w:right w:val="single" w:sz="4" w:space="0" w:color="auto"/>
            </w:tcBorders>
            <w:shd w:val="clear" w:color="auto" w:fill="FFC7CE"/>
            <w:noWrap/>
            <w:vAlign w:val="bottom"/>
            <w:hideMark/>
          </w:tcPr>
          <w:p>
            <w:pPr>
              <w:spacing w:after="0"/>
              <w:jc w:val="lef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Negative</w:t>
            </w:r>
          </w:p>
        </w:tc>
      </w:tr>
    </w:tbl>
    <w:p>
      <w:pPr>
        <w:pStyle w:val="Sources"/>
        <w:rPr>
          <w:noProof/>
          <w:lang w:val="fr-BE"/>
        </w:rPr>
      </w:pPr>
      <w:r>
        <w:rPr>
          <w:noProof/>
          <w:lang w:val="fr-BE"/>
        </w:rPr>
        <w:t>Source: Trinomics et altri study.</w:t>
      </w:r>
    </w:p>
    <w:p>
      <w:pPr>
        <w:rPr>
          <w:noProof/>
          <w:sz w:val="20"/>
          <w:szCs w:val="20"/>
        </w:rPr>
      </w:pPr>
      <w:r>
        <w:rPr>
          <w:noProof/>
          <w:sz w:val="20"/>
          <w:szCs w:val="20"/>
        </w:rPr>
        <w:t>Note: a positive impact for the EU is recorded if the price gap has improved over time, e.g. that if a country had lower prices initially the gap is now smaller or prices are higher than the EU average, or if a country had higher prices and that the gap has increased. A negative impact is recorded if a country had lower prices than the EU, and that the gap has now increased, or if the country had higher prices than the EU but this gap has narrowed or the country now has lower prices.</w:t>
      </w:r>
    </w:p>
    <w:p>
      <w:pPr>
        <w:rPr>
          <w:noProof/>
        </w:rPr>
      </w:pPr>
    </w:p>
    <w:p>
      <w:pPr>
        <w:pStyle w:val="ListParagraph"/>
        <w:numPr>
          <w:ilvl w:val="0"/>
          <w:numId w:val="11"/>
        </w:numPr>
        <w:rPr>
          <w:noProof/>
          <w:sz w:val="24"/>
          <w:szCs w:val="24"/>
        </w:rPr>
      </w:pPr>
      <w:r>
        <w:rPr>
          <w:noProof/>
          <w:sz w:val="24"/>
          <w:szCs w:val="24"/>
        </w:rPr>
        <w:t xml:space="preserve">The analysis of the drivers of international prices (see </w:t>
      </w:r>
      <w:r>
        <w:rPr>
          <w:b/>
          <w:noProof/>
        </w:rPr>
        <w:fldChar w:fldCharType="begin"/>
      </w:r>
      <w:r>
        <w:rPr>
          <w:b/>
          <w:noProof/>
          <w:sz w:val="24"/>
          <w:szCs w:val="24"/>
        </w:rPr>
        <w:instrText xml:space="preserve"> REF _Ref525116726 \h  \* MERGEFORMAT </w:instrText>
      </w:r>
      <w:r>
        <w:rPr>
          <w:b/>
          <w:noProof/>
        </w:rPr>
      </w:r>
      <w:r>
        <w:rPr>
          <w:b/>
          <w:noProof/>
          <w:sz w:val="24"/>
          <w:szCs w:val="24"/>
        </w:rPr>
        <w:fldChar w:fldCharType="separate"/>
      </w:r>
      <w:r>
        <w:rPr>
          <w:b/>
          <w:noProof/>
          <w:sz w:val="24"/>
          <w:szCs w:val="24"/>
        </w:rPr>
        <w:t>Table 24</w:t>
      </w:r>
      <w:r>
        <w:rPr>
          <w:b/>
          <w:noProof/>
        </w:rPr>
        <w:fldChar w:fldCharType="end"/>
      </w:r>
      <w:r>
        <w:rPr>
          <w:noProof/>
          <w:sz w:val="24"/>
          <w:szCs w:val="24"/>
        </w:rPr>
        <w:t>) shows that beyond the evolution of domestic prices, monetary effects (inflation and exchange rate changes) also played a significant role in the evolution of nominal prices.</w:t>
      </w:r>
    </w:p>
    <w:p>
      <w:pPr>
        <w:pStyle w:val="ListParagraph"/>
        <w:rPr>
          <w:noProof/>
          <w:sz w:val="24"/>
          <w:szCs w:val="24"/>
        </w:rPr>
      </w:pPr>
    </w:p>
    <w:p>
      <w:pPr>
        <w:pStyle w:val="ListParagraph"/>
        <w:numPr>
          <w:ilvl w:val="0"/>
          <w:numId w:val="11"/>
        </w:numPr>
        <w:rPr>
          <w:noProof/>
          <w:sz w:val="24"/>
          <w:szCs w:val="24"/>
        </w:rPr>
      </w:pPr>
      <w:r>
        <w:rPr>
          <w:noProof/>
          <w:sz w:val="24"/>
          <w:szCs w:val="24"/>
        </w:rPr>
        <w:t xml:space="preserve">High inflation played a key role in pushing up prices in countries like Brazil (+75%) and Turkey (+65%) as well as Indonesia and Mexico (&gt;= +30%). In Turkey the effects of high inflation and rises in domestic prices were significantly mitigated by the exchange rates depreciations. In China and US domestic prices fell and inflation and in particular exchange appreciations of the domestic currencies against the Euro, pushed prices up. </w:t>
      </w:r>
    </w:p>
    <w:p>
      <w:pPr>
        <w:pStyle w:val="ListParagraph"/>
        <w:rPr>
          <w:noProof/>
          <w:sz w:val="24"/>
          <w:szCs w:val="24"/>
          <w:highlight w:val="yellow"/>
        </w:rPr>
      </w:pPr>
    </w:p>
    <w:p>
      <w:pPr>
        <w:rPr>
          <w:noProof/>
        </w:rPr>
      </w:pPr>
    </w:p>
    <w:p>
      <w:pPr>
        <w:spacing w:after="0" w:line="276" w:lineRule="auto"/>
        <w:rPr>
          <w:noProof/>
        </w:rPr>
        <w:sectPr>
          <w:headerReference w:type="even" r:id="rId120"/>
          <w:headerReference w:type="default" r:id="rId121"/>
          <w:footerReference w:type="even" r:id="rId122"/>
          <w:footerReference w:type="default" r:id="rId123"/>
          <w:headerReference w:type="first" r:id="rId124"/>
          <w:footerReference w:type="first" r:id="rId125"/>
          <w:footnotePr>
            <w:numStart w:val="51"/>
          </w:footnotePr>
          <w:pgSz w:w="11906" w:h="16838"/>
          <w:pgMar w:top="1440" w:right="1440" w:bottom="1440" w:left="1440" w:header="709" w:footer="567" w:gutter="0"/>
          <w:cols w:space="708"/>
          <w:docGrid w:linePitch="360"/>
        </w:sectPr>
      </w:pPr>
    </w:p>
    <w:bookmarkEnd w:id="352"/>
    <w:bookmarkEnd w:id="353"/>
    <w:p>
      <w:pPr>
        <w:spacing w:after="0" w:line="276" w:lineRule="auto"/>
        <w:rPr>
          <w:noProof/>
        </w:rPr>
      </w:pPr>
    </w:p>
    <w:p>
      <w:pPr>
        <w:pStyle w:val="Caption"/>
      </w:pPr>
      <w:bookmarkStart w:id="362" w:name="_Ref525116726"/>
      <w:bookmarkStart w:id="363" w:name="_Toc525817560"/>
      <w:bookmarkStart w:id="364" w:name="_Toc526433350"/>
      <w:bookmarkStart w:id="365" w:name="_Toc526433603"/>
      <w:bookmarkStart w:id="366" w:name="_Toc526435545"/>
      <w:bookmarkStart w:id="367" w:name="_Toc52396983"/>
      <w:r>
        <w:t xml:space="preserve">Table </w:t>
      </w:r>
      <w:r>
        <w:fldChar w:fldCharType="begin"/>
      </w:r>
      <w:r>
        <w:instrText xml:space="preserve"> SEQ Table \* ARABIC </w:instrText>
      </w:r>
      <w:r>
        <w:fldChar w:fldCharType="separate"/>
      </w:r>
      <w:r>
        <w:t>24</w:t>
      </w:r>
      <w:r>
        <w:fldChar w:fldCharType="end"/>
      </w:r>
      <w:bookmarkEnd w:id="362"/>
      <w:r>
        <w:t xml:space="preserve"> - Factors in observed industrial retail electricity price changes per country, nominal prices per MWh</w:t>
      </w:r>
      <w:bookmarkEnd w:id="363"/>
      <w:bookmarkEnd w:id="364"/>
      <w:bookmarkEnd w:id="365"/>
      <w:bookmarkEnd w:id="366"/>
      <w:bookmarkEnd w:id="367"/>
    </w:p>
    <w:p>
      <w:pPr>
        <w:pStyle w:val="Sources"/>
        <w:rPr>
          <w:noProof/>
        </w:rPr>
      </w:pPr>
    </w:p>
    <w:tbl>
      <w:tblPr>
        <w:tblW w:w="14283" w:type="dxa"/>
        <w:tblLook w:val="04A0" w:firstRow="1" w:lastRow="0" w:firstColumn="1" w:lastColumn="0" w:noHBand="0" w:noVBand="1"/>
      </w:tblPr>
      <w:tblGrid>
        <w:gridCol w:w="1809"/>
        <w:gridCol w:w="993"/>
        <w:gridCol w:w="1013"/>
        <w:gridCol w:w="1255"/>
        <w:gridCol w:w="1126"/>
        <w:gridCol w:w="1000"/>
        <w:gridCol w:w="992"/>
        <w:gridCol w:w="851"/>
        <w:gridCol w:w="1095"/>
        <w:gridCol w:w="1173"/>
        <w:gridCol w:w="1021"/>
        <w:gridCol w:w="952"/>
        <w:gridCol w:w="1003"/>
      </w:tblGrid>
      <w:tr>
        <w:trPr>
          <w:trHeight w:val="1260"/>
        </w:trPr>
        <w:tc>
          <w:tcPr>
            <w:tcW w:w="1809" w:type="dxa"/>
            <w:tcBorders>
              <w:top w:val="single" w:sz="4" w:space="0" w:color="B9BBBB"/>
              <w:left w:val="single" w:sz="4" w:space="0" w:color="B9BBBB"/>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Country</w:t>
            </w:r>
          </w:p>
        </w:tc>
        <w:tc>
          <w:tcPr>
            <w:tcW w:w="993"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Start date</w:t>
            </w:r>
          </w:p>
        </w:tc>
        <w:tc>
          <w:tcPr>
            <w:tcW w:w="1013"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End date</w:t>
            </w:r>
          </w:p>
        </w:tc>
        <w:tc>
          <w:tcPr>
            <w:tcW w:w="1255"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Nominal Start price EUR</w:t>
            </w:r>
          </w:p>
        </w:tc>
        <w:tc>
          <w:tcPr>
            <w:tcW w:w="1126"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Change due to inflation [EUR]</w:t>
            </w:r>
          </w:p>
        </w:tc>
        <w:tc>
          <w:tcPr>
            <w:tcW w:w="1000"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Change due to price change in national currency [EUR]</w:t>
            </w:r>
          </w:p>
        </w:tc>
        <w:tc>
          <w:tcPr>
            <w:tcW w:w="992" w:type="dxa"/>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Exchange rate effect [EUR]</w:t>
            </w:r>
          </w:p>
        </w:tc>
        <w:tc>
          <w:tcPr>
            <w:tcW w:w="851" w:type="dxa"/>
            <w:tcBorders>
              <w:top w:val="nil"/>
              <w:left w:val="single" w:sz="4" w:space="0" w:color="B9BBBB"/>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Total change [EUR]</w:t>
            </w:r>
          </w:p>
        </w:tc>
        <w:tc>
          <w:tcPr>
            <w:tcW w:w="1095"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Nominal End price EUR</w:t>
            </w:r>
          </w:p>
        </w:tc>
        <w:tc>
          <w:tcPr>
            <w:tcW w:w="1173"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Change due to inflation [%]</w:t>
            </w:r>
          </w:p>
        </w:tc>
        <w:tc>
          <w:tcPr>
            <w:tcW w:w="1021"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Change due to real price change in national currency [%]</w:t>
            </w:r>
          </w:p>
        </w:tc>
        <w:tc>
          <w:tcPr>
            <w:tcW w:w="952" w:type="dxa"/>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Exchange rate effect [%]</w:t>
            </w:r>
          </w:p>
        </w:tc>
        <w:tc>
          <w:tcPr>
            <w:tcW w:w="1003" w:type="dxa"/>
            <w:tcBorders>
              <w:top w:val="nil"/>
              <w:left w:val="single" w:sz="4" w:space="0" w:color="B9BBBB"/>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Total change [%]</w:t>
            </w:r>
          </w:p>
        </w:tc>
      </w:tr>
      <w:tr>
        <w:trPr>
          <w:trHeight w:val="210"/>
        </w:trPr>
        <w:tc>
          <w:tcPr>
            <w:tcW w:w="1809" w:type="dxa"/>
            <w:tcBorders>
              <w:top w:val="single" w:sz="4" w:space="0" w:color="auto"/>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EU27</w:t>
            </w:r>
          </w:p>
        </w:tc>
        <w:tc>
          <w:tcPr>
            <w:tcW w:w="993" w:type="dxa"/>
            <w:tcBorders>
              <w:top w:val="single" w:sz="4" w:space="0" w:color="auto"/>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single" w:sz="4" w:space="0" w:color="D1D1D2"/>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2019-12</w:t>
            </w:r>
          </w:p>
        </w:tc>
        <w:tc>
          <w:tcPr>
            <w:tcW w:w="1255" w:type="dxa"/>
            <w:tcBorders>
              <w:top w:val="single" w:sz="4" w:space="0" w:color="auto"/>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100.55</w:t>
            </w:r>
          </w:p>
        </w:tc>
        <w:tc>
          <w:tcPr>
            <w:tcW w:w="1126" w:type="dxa"/>
            <w:tcBorders>
              <w:top w:val="single" w:sz="4" w:space="0" w:color="auto"/>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12.39</w:t>
            </w:r>
          </w:p>
        </w:tc>
        <w:tc>
          <w:tcPr>
            <w:tcW w:w="1000" w:type="dxa"/>
            <w:tcBorders>
              <w:top w:val="single" w:sz="4" w:space="0" w:color="auto"/>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2.90</w:t>
            </w:r>
          </w:p>
        </w:tc>
        <w:tc>
          <w:tcPr>
            <w:tcW w:w="992" w:type="dxa"/>
            <w:tcBorders>
              <w:top w:val="single" w:sz="4" w:space="0" w:color="auto"/>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0.00</w:t>
            </w:r>
          </w:p>
        </w:tc>
        <w:tc>
          <w:tcPr>
            <w:tcW w:w="851" w:type="dxa"/>
            <w:tcBorders>
              <w:top w:val="single" w:sz="4" w:space="0" w:color="auto"/>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15.29</w:t>
            </w:r>
          </w:p>
        </w:tc>
        <w:tc>
          <w:tcPr>
            <w:tcW w:w="1095" w:type="dxa"/>
            <w:tcBorders>
              <w:top w:val="single" w:sz="4" w:space="0" w:color="auto"/>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115.84</w:t>
            </w:r>
          </w:p>
        </w:tc>
        <w:tc>
          <w:tcPr>
            <w:tcW w:w="1173" w:type="dxa"/>
            <w:tcBorders>
              <w:top w:val="single" w:sz="4" w:space="0" w:color="auto"/>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12.3%</w:t>
            </w:r>
          </w:p>
        </w:tc>
        <w:tc>
          <w:tcPr>
            <w:tcW w:w="1021" w:type="dxa"/>
            <w:tcBorders>
              <w:top w:val="single" w:sz="4" w:space="0" w:color="auto"/>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2.9%</w:t>
            </w:r>
          </w:p>
        </w:tc>
        <w:tc>
          <w:tcPr>
            <w:tcW w:w="952" w:type="dxa"/>
            <w:tcBorders>
              <w:top w:val="single" w:sz="4" w:space="0" w:color="auto"/>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0.0%</w:t>
            </w:r>
          </w:p>
        </w:tc>
        <w:tc>
          <w:tcPr>
            <w:tcW w:w="1003" w:type="dxa"/>
            <w:tcBorders>
              <w:top w:val="single" w:sz="4" w:space="0" w:color="auto"/>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15.2%</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Argentina</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10.85</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34.91</w:t>
            </w:r>
          </w:p>
        </w:tc>
        <w:tc>
          <w:tcPr>
            <w:tcW w:w="1000"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320.44</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-325.95</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29.40</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40.25</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321.7%</w:t>
            </w:r>
          </w:p>
        </w:tc>
        <w:tc>
          <w:tcPr>
            <w:tcW w:w="1021"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2952.5%</w:t>
            </w:r>
          </w:p>
        </w:tc>
        <w:tc>
          <w:tcPr>
            <w:tcW w:w="95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-3003.3%</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270.9%</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Australia</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57.99</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12.80</w:t>
            </w:r>
          </w:p>
        </w:tc>
        <w:tc>
          <w:tcPr>
            <w:tcW w:w="1000"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66.27</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6.17</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85.24</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143.24</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22.1%</w:t>
            </w:r>
          </w:p>
        </w:tc>
        <w:tc>
          <w:tcPr>
            <w:tcW w:w="1021"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114.3%</w:t>
            </w:r>
          </w:p>
        </w:tc>
        <w:tc>
          <w:tcPr>
            <w:tcW w:w="95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10.6%</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147.0%</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Brazil</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2008-12</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2017-12</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111.68</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74.25</w:t>
            </w:r>
          </w:p>
        </w:tc>
        <w:tc>
          <w:tcPr>
            <w:tcW w:w="1000"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-5.54</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-30.92</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37.79</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149.47</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66.5%</w:t>
            </w:r>
          </w:p>
        </w:tc>
        <w:tc>
          <w:tcPr>
            <w:tcW w:w="1021"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-5.0%</w:t>
            </w:r>
          </w:p>
        </w:tc>
        <w:tc>
          <w:tcPr>
            <w:tcW w:w="95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-27.7%</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33.8%</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Canada</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48.18</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7.23</w:t>
            </w:r>
          </w:p>
        </w:tc>
        <w:tc>
          <w:tcPr>
            <w:tcW w:w="1000"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25.61</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-1.78</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31.06</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79.24</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15.0%</w:t>
            </w:r>
          </w:p>
        </w:tc>
        <w:tc>
          <w:tcPr>
            <w:tcW w:w="1021"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53.2%</w:t>
            </w:r>
          </w:p>
        </w:tc>
        <w:tc>
          <w:tcPr>
            <w:tcW w:w="95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-3.7%</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64.5%</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China</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2019-2</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62.87</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19.44</w:t>
            </w:r>
          </w:p>
        </w:tc>
        <w:tc>
          <w:tcPr>
            <w:tcW w:w="1000"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-15.69</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26.20</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29.95</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92.83</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30.9%</w:t>
            </w:r>
          </w:p>
        </w:tc>
        <w:tc>
          <w:tcPr>
            <w:tcW w:w="1021"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-25.0%</w:t>
            </w:r>
          </w:p>
        </w:tc>
        <w:tc>
          <w:tcPr>
            <w:tcW w:w="95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41.7%</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47.6%</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India</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2015-1</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72.52</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33.38</w:t>
            </w:r>
          </w:p>
        </w:tc>
        <w:tc>
          <w:tcPr>
            <w:tcW w:w="1000"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18.38</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-24.81</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26.95</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99.47</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46.0%</w:t>
            </w:r>
          </w:p>
        </w:tc>
        <w:tc>
          <w:tcPr>
            <w:tcW w:w="1021"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25.3%</w:t>
            </w:r>
          </w:p>
        </w:tc>
        <w:tc>
          <w:tcPr>
            <w:tcW w:w="95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-34.2%</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37.2%</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Indonesia</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2008-12</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2017-12</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40.72</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22.75</w:t>
            </w:r>
          </w:p>
        </w:tc>
        <w:tc>
          <w:tcPr>
            <w:tcW w:w="1000"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7.81</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-3.43</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27.13</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67.84</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55.9%</w:t>
            </w:r>
          </w:p>
        </w:tc>
        <w:tc>
          <w:tcPr>
            <w:tcW w:w="1021"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19.2%</w:t>
            </w:r>
          </w:p>
        </w:tc>
        <w:tc>
          <w:tcPr>
            <w:tcW w:w="95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-8.4%</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66.6%</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Japan</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2018-1</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94.64</w:t>
            </w:r>
          </w:p>
        </w:tc>
        <w:tc>
          <w:tcPr>
            <w:tcW w:w="1126"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-1.35</w:t>
            </w:r>
          </w:p>
        </w:tc>
        <w:tc>
          <w:tcPr>
            <w:tcW w:w="1000"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18.95</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19.44</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37.04</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131.69</w:t>
            </w:r>
          </w:p>
        </w:tc>
        <w:tc>
          <w:tcPr>
            <w:tcW w:w="1173" w:type="dxa"/>
            <w:tcBorders>
              <w:top w:val="single" w:sz="4" w:space="0" w:color="D1D1D2"/>
              <w:left w:val="single" w:sz="4" w:space="0" w:color="auto"/>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-1.4%</w:t>
            </w:r>
          </w:p>
        </w:tc>
        <w:tc>
          <w:tcPr>
            <w:tcW w:w="1021"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20.0%</w:t>
            </w:r>
          </w:p>
        </w:tc>
        <w:tc>
          <w:tcPr>
            <w:tcW w:w="95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20.5%</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39.1%</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Mexico</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2018-1</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85.61</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37.79</w:t>
            </w:r>
          </w:p>
        </w:tc>
        <w:tc>
          <w:tcPr>
            <w:tcW w:w="1000"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-17.91</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-32.10</w:t>
            </w:r>
          </w:p>
        </w:tc>
        <w:tc>
          <w:tcPr>
            <w:tcW w:w="851"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-12.22</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73.38</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44.1%</w:t>
            </w:r>
          </w:p>
        </w:tc>
        <w:tc>
          <w:tcPr>
            <w:tcW w:w="1021"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-20.9%</w:t>
            </w:r>
          </w:p>
        </w:tc>
        <w:tc>
          <w:tcPr>
            <w:tcW w:w="95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-37.5%</w:t>
            </w:r>
          </w:p>
        </w:tc>
        <w:tc>
          <w:tcPr>
            <w:tcW w:w="1003"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-14.3%</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Russia</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No data</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255" w:type="dxa"/>
            <w:tcBorders>
              <w:top w:val="nil"/>
              <w:left w:val="nil"/>
              <w:bottom w:val="single" w:sz="4" w:space="0" w:color="D1D1D2"/>
              <w:right w:val="nil"/>
            </w:tcBorders>
            <w:shd w:val="clear" w:color="auto" w:fill="CCD7ED"/>
            <w:noWrap/>
            <w:vAlign w:val="bottom"/>
            <w:hideMark/>
          </w:tcPr>
          <w:p>
            <w:pPr>
              <w:spacing w:after="0"/>
              <w:jc w:val="lef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w:t>
            </w:r>
          </w:p>
        </w:tc>
        <w:tc>
          <w:tcPr>
            <w:tcW w:w="1126" w:type="dxa"/>
            <w:tcBorders>
              <w:top w:val="nil"/>
              <w:left w:val="single" w:sz="4" w:space="0" w:color="B9BBBB"/>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000" w:type="dxa"/>
            <w:tcBorders>
              <w:top w:val="nil"/>
              <w:left w:val="nil"/>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992" w:type="dxa"/>
            <w:tcBorders>
              <w:top w:val="nil"/>
              <w:left w:val="nil"/>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851" w:type="dxa"/>
            <w:tcBorders>
              <w:top w:val="nil"/>
              <w:left w:val="nil"/>
              <w:bottom w:val="single" w:sz="4" w:space="0" w:color="B9BBBB"/>
              <w:right w:val="single" w:sz="4" w:space="0" w:color="B9BBBB"/>
            </w:tcBorders>
            <w:noWrap/>
            <w:vAlign w:val="bottom"/>
            <w:hideMark/>
          </w:tcPr>
          <w:p>
            <w:pPr>
              <w:spacing w:after="0"/>
              <w:jc w:val="lef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lef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w:t>
            </w:r>
          </w:p>
        </w:tc>
        <w:tc>
          <w:tcPr>
            <w:tcW w:w="117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021"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952"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003" w:type="dxa"/>
            <w:tcBorders>
              <w:top w:val="nil"/>
              <w:left w:val="nil"/>
              <w:bottom w:val="single" w:sz="4" w:space="0" w:color="D1D1D2"/>
              <w:right w:val="single" w:sz="4" w:space="0" w:color="auto"/>
            </w:tcBorders>
            <w:noWrap/>
            <w:vAlign w:val="bottom"/>
            <w:hideMark/>
          </w:tcPr>
          <w:p>
            <w:pPr>
              <w:spacing w:after="0"/>
              <w:jc w:val="lef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Saudi Arabia</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2018-1</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21.74</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3.62</w:t>
            </w:r>
          </w:p>
        </w:tc>
        <w:tc>
          <w:tcPr>
            <w:tcW w:w="1000"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7.56</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6.42</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17.60</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39.34</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16.6%</w:t>
            </w:r>
          </w:p>
        </w:tc>
        <w:tc>
          <w:tcPr>
            <w:tcW w:w="1021"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34.8%</w:t>
            </w:r>
          </w:p>
        </w:tc>
        <w:tc>
          <w:tcPr>
            <w:tcW w:w="95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29.5%</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80.9%</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South Africa</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19.97</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12.55</w:t>
            </w:r>
          </w:p>
        </w:tc>
        <w:tc>
          <w:tcPr>
            <w:tcW w:w="1000"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46.72</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-27.58</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31.69</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51.64</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62.9%</w:t>
            </w:r>
          </w:p>
        </w:tc>
        <w:tc>
          <w:tcPr>
            <w:tcW w:w="1021"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234.0%</w:t>
            </w:r>
          </w:p>
        </w:tc>
        <w:tc>
          <w:tcPr>
            <w:tcW w:w="95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-138.1%</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158.7%</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South Korea</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42.40</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7.66</w:t>
            </w:r>
          </w:p>
        </w:tc>
        <w:tc>
          <w:tcPr>
            <w:tcW w:w="1000"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26.65</w:t>
            </w:r>
          </w:p>
        </w:tc>
        <w:tc>
          <w:tcPr>
            <w:tcW w:w="9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6.36</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40.67</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83.07</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18.1%</w:t>
            </w:r>
          </w:p>
        </w:tc>
        <w:tc>
          <w:tcPr>
            <w:tcW w:w="1021"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62.9%</w:t>
            </w:r>
          </w:p>
        </w:tc>
        <w:tc>
          <w:tcPr>
            <w:tcW w:w="95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15.0%</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95.9%</w:t>
            </w:r>
          </w:p>
        </w:tc>
      </w:tr>
      <w:tr>
        <w:trPr>
          <w:trHeight w:val="210"/>
        </w:trPr>
        <w:tc>
          <w:tcPr>
            <w:tcW w:w="1809" w:type="dxa"/>
            <w:tcBorders>
              <w:top w:val="nil"/>
              <w:left w:val="single" w:sz="4" w:space="0" w:color="auto"/>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Turkey</w:t>
            </w:r>
          </w:p>
        </w:tc>
        <w:tc>
          <w:tcPr>
            <w:tcW w:w="993"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2019-12</w:t>
            </w:r>
          </w:p>
        </w:tc>
        <w:tc>
          <w:tcPr>
            <w:tcW w:w="1255"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64.29</w:t>
            </w:r>
          </w:p>
        </w:tc>
        <w:tc>
          <w:tcPr>
            <w:tcW w:w="1126"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65.24</w:t>
            </w:r>
          </w:p>
        </w:tc>
        <w:tc>
          <w:tcPr>
            <w:tcW w:w="1000"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192.00</w:t>
            </w:r>
          </w:p>
        </w:tc>
        <w:tc>
          <w:tcPr>
            <w:tcW w:w="9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-235.87</w:t>
            </w:r>
          </w:p>
        </w:tc>
        <w:tc>
          <w:tcPr>
            <w:tcW w:w="851"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21.37</w:t>
            </w:r>
          </w:p>
        </w:tc>
        <w:tc>
          <w:tcPr>
            <w:tcW w:w="1095"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85.66</w:t>
            </w:r>
          </w:p>
        </w:tc>
        <w:tc>
          <w:tcPr>
            <w:tcW w:w="1173"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101.5%</w:t>
            </w:r>
          </w:p>
        </w:tc>
        <w:tc>
          <w:tcPr>
            <w:tcW w:w="1021"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298.7%</w:t>
            </w:r>
          </w:p>
        </w:tc>
        <w:tc>
          <w:tcPr>
            <w:tcW w:w="95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-366.9%</w:t>
            </w:r>
          </w:p>
        </w:tc>
        <w:tc>
          <w:tcPr>
            <w:tcW w:w="1003"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33.2%</w:t>
            </w:r>
          </w:p>
        </w:tc>
      </w:tr>
      <w:tr>
        <w:trPr>
          <w:trHeight w:val="210"/>
        </w:trPr>
        <w:tc>
          <w:tcPr>
            <w:tcW w:w="1809" w:type="dxa"/>
            <w:tcBorders>
              <w:top w:val="nil"/>
              <w:left w:val="single" w:sz="4" w:space="0" w:color="auto"/>
              <w:bottom w:val="single" w:sz="4" w:space="0" w:color="auto"/>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USA</w:t>
            </w:r>
          </w:p>
        </w:tc>
        <w:tc>
          <w:tcPr>
            <w:tcW w:w="993" w:type="dxa"/>
            <w:tcBorders>
              <w:top w:val="nil"/>
              <w:left w:val="single" w:sz="4" w:space="0" w:color="D1D1D2"/>
              <w:bottom w:val="single" w:sz="4" w:space="0" w:color="auto"/>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1013" w:type="dxa"/>
            <w:tcBorders>
              <w:top w:val="nil"/>
              <w:left w:val="nil"/>
              <w:bottom w:val="single" w:sz="4" w:space="0" w:color="auto"/>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2019-2</w:t>
            </w:r>
          </w:p>
        </w:tc>
        <w:tc>
          <w:tcPr>
            <w:tcW w:w="1255" w:type="dxa"/>
            <w:tcBorders>
              <w:top w:val="nil"/>
              <w:left w:val="nil"/>
              <w:bottom w:val="single" w:sz="4" w:space="0" w:color="auto"/>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43.01</w:t>
            </w:r>
          </w:p>
        </w:tc>
        <w:tc>
          <w:tcPr>
            <w:tcW w:w="1126"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7.96</w:t>
            </w:r>
          </w:p>
        </w:tc>
        <w:tc>
          <w:tcPr>
            <w:tcW w:w="1000" w:type="dxa"/>
            <w:tcBorders>
              <w:top w:val="single" w:sz="4" w:space="0" w:color="B9BBBB"/>
              <w:left w:val="single" w:sz="4" w:space="0" w:color="B9BBBB"/>
              <w:bottom w:val="single" w:sz="4" w:space="0" w:color="auto"/>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-5.52</w:t>
            </w:r>
          </w:p>
        </w:tc>
        <w:tc>
          <w:tcPr>
            <w:tcW w:w="992"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13.48</w:t>
            </w:r>
          </w:p>
        </w:tc>
        <w:tc>
          <w:tcPr>
            <w:tcW w:w="851"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15.92</w:t>
            </w:r>
          </w:p>
        </w:tc>
        <w:tc>
          <w:tcPr>
            <w:tcW w:w="1095" w:type="dxa"/>
            <w:tcBorders>
              <w:top w:val="nil"/>
              <w:left w:val="nil"/>
              <w:bottom w:val="single" w:sz="4" w:space="0" w:color="auto"/>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58.94</w:t>
            </w:r>
          </w:p>
        </w:tc>
        <w:tc>
          <w:tcPr>
            <w:tcW w:w="1173" w:type="dxa"/>
            <w:tcBorders>
              <w:top w:val="single" w:sz="4" w:space="0" w:color="D1D1D2"/>
              <w:left w:val="single" w:sz="4" w:space="0" w:color="auto"/>
              <w:bottom w:val="single" w:sz="4" w:space="0" w:color="auto"/>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18.5%</w:t>
            </w:r>
          </w:p>
        </w:tc>
        <w:tc>
          <w:tcPr>
            <w:tcW w:w="1021" w:type="dxa"/>
            <w:tcBorders>
              <w:top w:val="single" w:sz="4" w:space="0" w:color="D1D1D2"/>
              <w:left w:val="single" w:sz="4" w:space="0" w:color="D1D1D2"/>
              <w:bottom w:val="single" w:sz="4" w:space="0" w:color="auto"/>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-12.8%</w:t>
            </w:r>
          </w:p>
        </w:tc>
        <w:tc>
          <w:tcPr>
            <w:tcW w:w="952" w:type="dxa"/>
            <w:tcBorders>
              <w:top w:val="single" w:sz="4" w:space="0" w:color="D1D1D2"/>
              <w:left w:val="single" w:sz="4" w:space="0" w:color="D1D1D2"/>
              <w:bottom w:val="single" w:sz="4" w:space="0" w:color="auto"/>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31.3%</w:t>
            </w:r>
          </w:p>
        </w:tc>
        <w:tc>
          <w:tcPr>
            <w:tcW w:w="1003" w:type="dxa"/>
            <w:tcBorders>
              <w:top w:val="single" w:sz="4" w:space="0" w:color="D1D1D2"/>
              <w:left w:val="single" w:sz="4" w:space="0" w:color="D1D1D2"/>
              <w:bottom w:val="single" w:sz="4" w:space="0" w:color="auto"/>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37.0%</w:t>
            </w:r>
          </w:p>
        </w:tc>
      </w:tr>
    </w:tbl>
    <w:p>
      <w:pPr>
        <w:pStyle w:val="Sources"/>
        <w:rPr>
          <w:noProof/>
        </w:rPr>
      </w:pPr>
    </w:p>
    <w:p>
      <w:pPr>
        <w:pStyle w:val="Sources"/>
        <w:rPr>
          <w:noProof/>
          <w:lang w:val="fr-BE"/>
        </w:rPr>
      </w:pPr>
      <w:r>
        <w:rPr>
          <w:noProof/>
          <w:lang w:val="fr-BE"/>
        </w:rPr>
        <w:t>Source: Trinomics et altri.study</w:t>
      </w:r>
    </w:p>
    <w:p>
      <w:pPr>
        <w:rPr>
          <w:noProof/>
          <w:sz w:val="16"/>
          <w:szCs w:val="16"/>
        </w:rPr>
      </w:pPr>
      <w:r>
        <w:rPr>
          <w:noProof/>
          <w:sz w:val="16"/>
          <w:szCs w:val="16"/>
        </w:rPr>
        <w:t xml:space="preserve">Explanation: this table shows the different components of the observed nominal price change, decomposed into inflation, price change and exchange rate effects. By summing the components between the Nominal start price EUR and Total change [EUR] the total change can be calculated, this corresponds to the difference between the Nominal Start price EUR and the Nominal End price EUR. </w:t>
      </w:r>
    </w:p>
    <w:p>
      <w:pPr>
        <w:rPr>
          <w:noProof/>
          <w:sz w:val="16"/>
          <w:szCs w:val="16"/>
        </w:rPr>
      </w:pPr>
      <w:r>
        <w:rPr>
          <w:noProof/>
          <w:sz w:val="16"/>
          <w:szCs w:val="16"/>
        </w:rPr>
        <w:t>Note: this table presents nominal prices, differences can be observed with the previous table which used constant prices, the start prices differ due to application of the currency deflator for the constant price calculation, whilst the end prices differ due to small differences in the conversions used in the two calculations, this latter difference is typically less than +/- 5% of the price.</w:t>
      </w:r>
    </w:p>
    <w:p>
      <w:pPr>
        <w:pStyle w:val="ListParagraph"/>
        <w:rPr>
          <w:noProof/>
        </w:rPr>
      </w:pPr>
    </w:p>
    <w:p>
      <w:pPr>
        <w:spacing w:after="0" w:line="276" w:lineRule="auto"/>
        <w:rPr>
          <w:noProof/>
        </w:rPr>
        <w:sectPr>
          <w:headerReference w:type="even" r:id="rId126"/>
          <w:headerReference w:type="default" r:id="rId127"/>
          <w:footerReference w:type="even" r:id="rId128"/>
          <w:footerReference w:type="default" r:id="rId129"/>
          <w:headerReference w:type="first" r:id="rId130"/>
          <w:footerReference w:type="first" r:id="rId131"/>
          <w:footnotePr>
            <w:numStart w:val="51"/>
          </w:footnotePr>
          <w:pgSz w:w="16838" w:h="11906" w:orient="landscape"/>
          <w:pgMar w:top="1440" w:right="1440" w:bottom="1440" w:left="1440" w:header="709" w:footer="567" w:gutter="0"/>
          <w:cols w:space="708"/>
          <w:docGrid w:linePitch="360"/>
        </w:sectPr>
      </w:pPr>
    </w:p>
    <w:p>
      <w:pPr>
        <w:spacing w:after="0" w:line="276" w:lineRule="auto"/>
        <w:rPr>
          <w:noProof/>
        </w:rPr>
      </w:pPr>
    </w:p>
    <w:p>
      <w:pPr>
        <w:spacing w:after="0"/>
        <w:jc w:val="left"/>
        <w:rPr>
          <w:b/>
          <w:noProof/>
        </w:rPr>
      </w:pPr>
    </w:p>
    <w:p>
      <w:pPr>
        <w:rPr>
          <w:b/>
          <w:bCs/>
          <w:noProof/>
        </w:rPr>
      </w:pPr>
      <w:r>
        <w:rPr>
          <w:b/>
          <w:bCs/>
          <w:noProof/>
        </w:rPr>
        <w:t>Note on the range and dispersion of electricity prices for industry in the EU</w:t>
      </w:r>
    </w:p>
    <w:p>
      <w:pPr>
        <w:rPr>
          <w:noProof/>
          <w:sz w:val="24"/>
          <w:szCs w:val="24"/>
        </w:rPr>
      </w:pPr>
      <w:r>
        <w:rPr>
          <w:noProof/>
          <w:sz w:val="24"/>
          <w:szCs w:val="24"/>
        </w:rPr>
        <w:t>The industrial electricity prices in the EU Member States have spanned a range of 50-230 EUR/MWh between 2008 and 2019 (see figure below looking at the maximum and minimum prices registered in MS between 2008–2018)</w:t>
      </w:r>
    </w:p>
    <w:p>
      <w:pPr>
        <w:jc w:val="center"/>
        <w:rPr>
          <w:noProof/>
        </w:rPr>
      </w:pPr>
      <w:r>
        <w:rPr>
          <w:noProof/>
        </w:rPr>
        <w:t>.</w:t>
      </w:r>
      <w:r>
        <w:rPr>
          <w:noProof/>
          <w:lang w:eastAsia="en-GB"/>
        </w:rPr>
        <w:t xml:space="preserve"> </w:t>
      </w:r>
      <w:r>
        <w:rPr>
          <w:noProof/>
          <w:lang w:eastAsia="en-GB"/>
        </w:rPr>
        <w:drawing>
          <wp:inline distT="0" distB="0" distL="0" distR="0">
            <wp:extent cx="5361940" cy="3820160"/>
            <wp:effectExtent l="0" t="0" r="0" b="8890"/>
            <wp:docPr id="1712528987" name="Picture 61"/>
            <wp:cNvGraphicFramePr/>
            <a:graphic xmlns:a="http://schemas.openxmlformats.org/drawingml/2006/main">
              <a:graphicData uri="http://schemas.openxmlformats.org/drawingml/2006/picture">
                <pic:pic xmlns:pic="http://schemas.openxmlformats.org/drawingml/2006/picture">
                  <pic:nvPicPr>
                    <pic:cNvPr id="1712528987" name="Picture 61"/>
                    <pic:cNvPicPr/>
                  </pic:nvPicPr>
                  <pic:blipFill rotWithShape="1">
                    <a:blip r:embed="rId132" cstate="print">
                      <a:extLst>
                        <a:ext uri="{28A0092B-C50C-407E-A947-70E740481C1C}">
                          <a14:useLocalDpi xmlns:a14="http://schemas.microsoft.com/office/drawing/2010/main"/>
                        </a:ext>
                      </a:extLst>
                    </a:blip>
                    <a:srcRect b="4948"/>
                    <a:stretch/>
                  </pic:blipFill>
                  <pic:spPr bwMode="auto">
                    <a:xfrm>
                      <a:off x="0" y="0"/>
                      <a:ext cx="5361940" cy="3820160"/>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pPr>
      <w:bookmarkStart w:id="368" w:name="_Toc525807882"/>
      <w:bookmarkStart w:id="369" w:name="_Toc526433498"/>
      <w:bookmarkStart w:id="370" w:name="_Toc526433776"/>
      <w:bookmarkStart w:id="371" w:name="_Toc526435718"/>
      <w:bookmarkStart w:id="372" w:name="_Toc530739808"/>
      <w:bookmarkStart w:id="373" w:name="_Toc531366181"/>
      <w:bookmarkStart w:id="374" w:name="_Toc50494154"/>
      <w:bookmarkStart w:id="375" w:name="_Toc52396930"/>
      <w:r>
        <w:t xml:space="preserve">Figure </w:t>
      </w:r>
      <w:r>
        <w:fldChar w:fldCharType="begin"/>
      </w:r>
      <w:r>
        <w:instrText xml:space="preserve"> SEQ Figure \* ARABIC </w:instrText>
      </w:r>
      <w:r>
        <w:fldChar w:fldCharType="separate"/>
      </w:r>
      <w:r>
        <w:t>158</w:t>
      </w:r>
      <w:r>
        <w:fldChar w:fldCharType="end"/>
      </w:r>
      <w:r>
        <w:t xml:space="preserve"> - Range of retail electricity prices for industry in the EU</w:t>
      </w:r>
      <w:bookmarkEnd w:id="368"/>
      <w:bookmarkEnd w:id="369"/>
      <w:bookmarkEnd w:id="370"/>
      <w:bookmarkEnd w:id="371"/>
      <w:bookmarkEnd w:id="372"/>
      <w:bookmarkEnd w:id="373"/>
      <w:bookmarkEnd w:id="374"/>
      <w:bookmarkEnd w:id="375"/>
    </w:p>
    <w:p>
      <w:pPr>
        <w:pStyle w:val="Sources"/>
        <w:rPr>
          <w:noProof/>
          <w:lang w:val="fr-BE"/>
        </w:rPr>
      </w:pPr>
      <w:r>
        <w:rPr>
          <w:noProof/>
          <w:lang w:val="fr-BE"/>
        </w:rPr>
        <w:t>Source: Eurostat, Trinomics et altri (2020)</w:t>
      </w:r>
    </w:p>
    <w:p>
      <w:pPr>
        <w:rPr>
          <w:noProof/>
          <w:sz w:val="24"/>
          <w:szCs w:val="24"/>
          <w:lang w:val="fr-BE"/>
        </w:rPr>
      </w:pPr>
    </w:p>
    <w:p>
      <w:pPr>
        <w:rPr>
          <w:noProof/>
          <w:sz w:val="24"/>
          <w:szCs w:val="24"/>
        </w:rPr>
      </w:pPr>
      <w:r>
        <w:rPr>
          <w:noProof/>
          <w:sz w:val="24"/>
          <w:szCs w:val="24"/>
        </w:rPr>
        <w:t xml:space="preserve">The wide range in prices does not necessarily mean that there is big dispersion in Member States prices. It reflects steady price differentials between Member States/regions (i.e. Members with consistently higher or lower prices than the EU average) but also short lived or temporary price divergences (e.g. price spikes) in some countries. The dispersion of EU prices can be better assessed by the Box plot figure below (in which the square shows the range of the prices of the 25% of the Member States being above the average and 25% of the Member States being below the average price (i.e. 50 of the sample)) </w:t>
      </w:r>
    </w:p>
    <w:p>
      <w:pPr>
        <w:jc w:val="center"/>
        <w:rPr>
          <w:noProof/>
        </w:rPr>
      </w:pPr>
      <w:r>
        <w:rPr>
          <w:noProof/>
          <w:lang w:eastAsia="en-GB"/>
        </w:rPr>
        <w:drawing>
          <wp:inline distT="0" distB="0" distL="0" distR="0">
            <wp:extent cx="5731510" cy="2451100"/>
            <wp:effectExtent l="0" t="0" r="2540" b="6350"/>
            <wp:docPr id="852234307" name="Picture 852234307"/>
            <wp:cNvGraphicFramePr/>
            <a:graphic xmlns:a="http://schemas.openxmlformats.org/drawingml/2006/main">
              <a:graphicData uri="http://schemas.openxmlformats.org/drawingml/2006/picture">
                <pic:pic xmlns:pic="http://schemas.openxmlformats.org/drawingml/2006/picture">
                  <pic:nvPicPr>
                    <pic:cNvPr id="852234307" name="Picture 852234307"/>
                    <pic:cNvPicPr/>
                  </pic:nvPicPr>
                  <pic:blipFill>
                    <a:blip r:embed="rId133" cstate="print">
                      <a:extLst>
                        <a:ext uri="{28A0092B-C50C-407E-A947-70E740481C1C}">
                          <a14:useLocalDpi xmlns:a14="http://schemas.microsoft.com/office/drawing/2010/main"/>
                        </a:ext>
                      </a:extLst>
                    </a:blip>
                    <a:srcRect/>
                    <a:stretch>
                      <a:fillRect/>
                    </a:stretch>
                  </pic:blipFill>
                  <pic:spPr bwMode="auto">
                    <a:xfrm>
                      <a:off x="0" y="0"/>
                      <a:ext cx="5731510" cy="2451100"/>
                    </a:xfrm>
                    <a:prstGeom prst="rect">
                      <a:avLst/>
                    </a:prstGeom>
                    <a:noFill/>
                    <a:ln>
                      <a:noFill/>
                    </a:ln>
                  </pic:spPr>
                </pic:pic>
              </a:graphicData>
            </a:graphic>
          </wp:inline>
        </w:drawing>
      </w:r>
    </w:p>
    <w:p>
      <w:pPr>
        <w:pStyle w:val="Caption"/>
      </w:pPr>
      <w:bookmarkStart w:id="376" w:name="_Toc525807883"/>
      <w:bookmarkStart w:id="377" w:name="_Toc526433499"/>
      <w:bookmarkStart w:id="378" w:name="_Toc526433777"/>
      <w:bookmarkStart w:id="379" w:name="_Toc526435719"/>
      <w:bookmarkStart w:id="380" w:name="_Toc530739809"/>
      <w:bookmarkStart w:id="381" w:name="_Toc531366182"/>
      <w:bookmarkStart w:id="382" w:name="_Toc50494155"/>
      <w:bookmarkStart w:id="383" w:name="_Toc52396931"/>
      <w:r>
        <w:t xml:space="preserve">Figure </w:t>
      </w:r>
      <w:r>
        <w:fldChar w:fldCharType="begin"/>
      </w:r>
      <w:r>
        <w:instrText xml:space="preserve"> SEQ Figure \* ARABIC </w:instrText>
      </w:r>
      <w:r>
        <w:fldChar w:fldCharType="separate"/>
      </w:r>
      <w:r>
        <w:t>159</w:t>
      </w:r>
      <w:r>
        <w:fldChar w:fldCharType="end"/>
      </w:r>
      <w:r>
        <w:t xml:space="preserve"> - Box plot of EU27 industrial retail electricity prices 2008-201</w:t>
      </w:r>
      <w:bookmarkEnd w:id="376"/>
      <w:bookmarkEnd w:id="377"/>
      <w:bookmarkEnd w:id="378"/>
      <w:bookmarkEnd w:id="379"/>
      <w:bookmarkEnd w:id="380"/>
      <w:bookmarkEnd w:id="381"/>
      <w:r>
        <w:t>9</w:t>
      </w:r>
      <w:bookmarkEnd w:id="382"/>
      <w:bookmarkEnd w:id="383"/>
    </w:p>
    <w:p>
      <w:pPr>
        <w:pStyle w:val="Sources"/>
        <w:rPr>
          <w:noProof/>
        </w:rPr>
      </w:pPr>
      <w:r>
        <w:rPr>
          <w:noProof/>
        </w:rPr>
        <w:t>Source: Trinomics et altri (2020)</w:t>
      </w:r>
    </w:p>
    <w:p>
      <w:pPr>
        <w:jc w:val="center"/>
        <w:rPr>
          <w:noProof/>
        </w:rPr>
      </w:pPr>
    </w:p>
    <w:p>
      <w:pPr>
        <w:jc w:val="center"/>
        <w:rPr>
          <w:noProof/>
        </w:rPr>
      </w:pPr>
    </w:p>
    <w:p>
      <w:pPr>
        <w:rPr>
          <w:noProof/>
          <w:sz w:val="24"/>
          <w:szCs w:val="24"/>
        </w:rPr>
      </w:pPr>
      <w:r>
        <w:rPr>
          <w:noProof/>
          <w:sz w:val="24"/>
          <w:szCs w:val="24"/>
        </w:rPr>
        <w:t xml:space="preserve">The figure below helps to identify the Member States with prices close to the maximum and minimum range and those showing significant steady deviations from the average. </w:t>
      </w:r>
    </w:p>
    <w:p>
      <w:pPr>
        <w:jc w:val="center"/>
        <w:rPr>
          <w:noProof/>
        </w:rPr>
      </w:pPr>
      <w:r>
        <w:rPr>
          <w:noProof/>
          <w:lang w:eastAsia="en-GB"/>
        </w:rPr>
        <w:drawing>
          <wp:inline distT="0" distB="0" distL="0" distR="0">
            <wp:extent cx="5434965" cy="4281295"/>
            <wp:effectExtent l="0" t="0" r="0" b="5080"/>
            <wp:docPr id="852234316" name="Picture 852234316"/>
            <wp:cNvGraphicFramePr/>
            <a:graphic xmlns:a="http://schemas.openxmlformats.org/drawingml/2006/main">
              <a:graphicData uri="http://schemas.openxmlformats.org/drawingml/2006/picture">
                <pic:pic xmlns:pic="http://schemas.openxmlformats.org/drawingml/2006/picture">
                  <pic:nvPicPr>
                    <pic:cNvPr id="852234316" name="Picture 852234316"/>
                    <pic:cNvPicPr/>
                  </pic:nvPicPr>
                  <pic:blipFill>
                    <a:blip r:embed="rId134" cstate="print">
                      <a:extLst>
                        <a:ext uri="{28A0092B-C50C-407E-A947-70E740481C1C}">
                          <a14:useLocalDpi xmlns:a14="http://schemas.microsoft.com/office/drawing/2010/main"/>
                        </a:ext>
                      </a:extLst>
                    </a:blip>
                    <a:srcRect/>
                    <a:stretch>
                      <a:fillRect/>
                    </a:stretch>
                  </pic:blipFill>
                  <pic:spPr bwMode="auto">
                    <a:xfrm>
                      <a:off x="0" y="0"/>
                      <a:ext cx="5444612" cy="4288894"/>
                    </a:xfrm>
                    <a:prstGeom prst="rect">
                      <a:avLst/>
                    </a:prstGeom>
                    <a:noFill/>
                    <a:ln>
                      <a:noFill/>
                    </a:ln>
                  </pic:spPr>
                </pic:pic>
              </a:graphicData>
            </a:graphic>
          </wp:inline>
        </w:drawing>
      </w:r>
    </w:p>
    <w:p>
      <w:pPr>
        <w:pStyle w:val="Caption"/>
      </w:pPr>
      <w:bookmarkStart w:id="384" w:name="_Toc525807884"/>
      <w:bookmarkStart w:id="385" w:name="_Toc526433500"/>
      <w:bookmarkStart w:id="386" w:name="_Toc526433778"/>
      <w:bookmarkStart w:id="387" w:name="_Toc526435720"/>
      <w:bookmarkStart w:id="388" w:name="_Toc530739810"/>
      <w:bookmarkStart w:id="389" w:name="_Toc531366183"/>
      <w:bookmarkStart w:id="390" w:name="_Toc50494156"/>
      <w:bookmarkStart w:id="391" w:name="_Toc52396932"/>
      <w:r>
        <w:t xml:space="preserve">Figure </w:t>
      </w:r>
      <w:r>
        <w:fldChar w:fldCharType="begin"/>
      </w:r>
      <w:r>
        <w:instrText xml:space="preserve"> SEQ Figure \* ARABIC </w:instrText>
      </w:r>
      <w:r>
        <w:fldChar w:fldCharType="separate"/>
      </w:r>
      <w:r>
        <w:t>160</w:t>
      </w:r>
      <w:r>
        <w:fldChar w:fldCharType="end"/>
      </w:r>
      <w:r>
        <w:t xml:space="preserve"> - EU27 industrial retail electricity prices 2008-2019, individual Member States lines visible, outliers named</w:t>
      </w:r>
      <w:bookmarkEnd w:id="384"/>
      <w:bookmarkEnd w:id="385"/>
      <w:bookmarkEnd w:id="386"/>
      <w:bookmarkEnd w:id="387"/>
      <w:bookmarkEnd w:id="388"/>
      <w:bookmarkEnd w:id="389"/>
      <w:bookmarkEnd w:id="390"/>
      <w:bookmarkEnd w:id="391"/>
    </w:p>
    <w:p>
      <w:pPr>
        <w:pStyle w:val="Sources"/>
        <w:rPr>
          <w:noProof/>
          <w:lang w:val="fr-BE"/>
        </w:rPr>
      </w:pPr>
      <w:r>
        <w:rPr>
          <w:noProof/>
          <w:lang w:val="fr-BE"/>
        </w:rPr>
        <w:t>Source Trinomics et altri (2020)</w:t>
      </w:r>
    </w:p>
    <w:p>
      <w:pPr>
        <w:spacing w:after="200" w:line="276" w:lineRule="auto"/>
        <w:rPr>
          <w:noProof/>
          <w:lang w:val="fr-BE"/>
        </w:rPr>
      </w:pPr>
    </w:p>
    <w:p>
      <w:pPr>
        <w:rPr>
          <w:noProof/>
          <w:highlight w:val="yellow"/>
          <w:lang w:val="fr-BE"/>
        </w:rPr>
      </w:pPr>
    </w:p>
    <w:p>
      <w:pPr>
        <w:pStyle w:val="Heading3"/>
        <w:numPr>
          <w:ilvl w:val="2"/>
          <w:numId w:val="1"/>
        </w:numPr>
        <w:rPr>
          <w:noProof/>
        </w:rPr>
      </w:pPr>
      <w:bookmarkStart w:id="392" w:name="_Toc449014782"/>
      <w:bookmarkStart w:id="393" w:name="_Toc449098117"/>
      <w:bookmarkStart w:id="394" w:name="_Toc468890483"/>
      <w:r>
        <w:rPr>
          <w:noProof/>
          <w:lang w:val="fr-BE"/>
        </w:rPr>
        <w:t xml:space="preserve"> </w:t>
      </w:r>
      <w:bookmarkStart w:id="395" w:name="_Toc50648349"/>
      <w:bookmarkStart w:id="396" w:name="_Toc50654379"/>
      <w:bookmarkStart w:id="397" w:name="_Toc50654934"/>
      <w:bookmarkStart w:id="398" w:name="_Toc50732481"/>
      <w:bookmarkStart w:id="399" w:name="_Toc52396565"/>
      <w:r>
        <w:rPr>
          <w:noProof/>
        </w:rPr>
        <w:t>Industrial gas prices: EU vs G20 countries</w:t>
      </w:r>
      <w:bookmarkStart w:id="400" w:name="_Toc524619531"/>
      <w:bookmarkStart w:id="401" w:name="_Toc524961078"/>
      <w:bookmarkStart w:id="402" w:name="_Toc525143039"/>
      <w:bookmarkStart w:id="403" w:name="_Toc525222196"/>
      <w:bookmarkStart w:id="404" w:name="_Toc525222365"/>
      <w:bookmarkStart w:id="405" w:name="_Toc526420762"/>
      <w:bookmarkStart w:id="406" w:name="_Toc526433988"/>
      <w:bookmarkStart w:id="407" w:name="_Toc526435930"/>
      <w:bookmarkStart w:id="408" w:name="_Toc530595260"/>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rPr>
          <w:noProof/>
        </w:rPr>
      </w:pPr>
    </w:p>
    <w:p>
      <w:pPr>
        <w:rPr>
          <w:noProof/>
          <w:sz w:val="24"/>
          <w:szCs w:val="24"/>
        </w:rPr>
      </w:pPr>
      <w:r>
        <w:rPr>
          <w:noProof/>
          <w:sz w:val="24"/>
          <w:szCs w:val="24"/>
        </w:rPr>
        <w:t>In this section the retail gas prices for industries of the EU27 are compared with G20 countries over the period 2008-2019. Retail gas prices for industries also have relatively complete datasets until 2019. Prices exclude VAT and all recoverable taxes and levies. The main highlights of the period are:</w:t>
      </w:r>
    </w:p>
    <w:p>
      <w:pPr>
        <w:pStyle w:val="ListParagraph"/>
        <w:numPr>
          <w:ilvl w:val="0"/>
          <w:numId w:val="12"/>
        </w:numPr>
        <w:spacing w:after="0" w:line="300" w:lineRule="atLeast"/>
        <w:ind w:left="284"/>
        <w:rPr>
          <w:noProof/>
          <w:sz w:val="24"/>
          <w:szCs w:val="24"/>
        </w:rPr>
      </w:pPr>
      <w:r>
        <w:rPr>
          <w:noProof/>
          <w:sz w:val="24"/>
          <w:szCs w:val="24"/>
        </w:rPr>
        <w:t>EU prices were in the range of 25-40 EUR/MWh until 2019. Since 2016 they have declined to a level below 25 EUR/MWh (marking a fall of around 20-25% over the 2008-2017). In 2020, amid the crisis triggered by COVID, prices fell to historical lows (e.g. 3 EUR/MWh in the Dutch gas price hub)</w:t>
      </w:r>
    </w:p>
    <w:p>
      <w:pPr>
        <w:spacing w:after="0" w:line="300" w:lineRule="atLeast"/>
        <w:ind w:left="284"/>
        <w:jc w:val="left"/>
        <w:rPr>
          <w:noProof/>
          <w:sz w:val="24"/>
          <w:szCs w:val="24"/>
        </w:rPr>
      </w:pPr>
    </w:p>
    <w:p>
      <w:pPr>
        <w:pStyle w:val="ListParagraph"/>
        <w:numPr>
          <w:ilvl w:val="0"/>
          <w:numId w:val="12"/>
        </w:numPr>
        <w:spacing w:after="0" w:line="300" w:lineRule="atLeast"/>
        <w:ind w:left="284"/>
        <w:rPr>
          <w:b/>
          <w:bCs/>
          <w:noProof/>
          <w:sz w:val="24"/>
          <w:szCs w:val="24"/>
        </w:rPr>
      </w:pPr>
      <w:r>
        <w:rPr>
          <w:noProof/>
          <w:sz w:val="24"/>
          <w:szCs w:val="24"/>
        </w:rPr>
        <w:t xml:space="preserve">Industry gas prices in the </w:t>
      </w:r>
      <w:r>
        <w:rPr>
          <w:b/>
          <w:bCs/>
          <w:noProof/>
          <w:sz w:val="24"/>
          <w:szCs w:val="24"/>
        </w:rPr>
        <w:t>US</w:t>
      </w:r>
      <w:r>
        <w:rPr>
          <w:noProof/>
          <w:sz w:val="24"/>
          <w:szCs w:val="24"/>
        </w:rPr>
        <w:t xml:space="preserve"> (and </w:t>
      </w:r>
      <w:r>
        <w:rPr>
          <w:b/>
          <w:bCs/>
          <w:noProof/>
          <w:sz w:val="24"/>
          <w:szCs w:val="24"/>
        </w:rPr>
        <w:t>Canada</w:t>
      </w:r>
      <w:r>
        <w:rPr>
          <w:noProof/>
          <w:sz w:val="24"/>
          <w:szCs w:val="24"/>
        </w:rPr>
        <w:t xml:space="preserve">) are considerably lower than the EU average.  They were similar to those of the EU in 2008 (around 30 EUR/MWh), but then declined to 10 EUR/MWh in 2016 and remained around that level until 2019. Prices in </w:t>
      </w:r>
      <w:r>
        <w:rPr>
          <w:b/>
          <w:bCs/>
          <w:noProof/>
          <w:sz w:val="24"/>
          <w:szCs w:val="24"/>
        </w:rPr>
        <w:t>China</w:t>
      </w:r>
      <w:r>
        <w:rPr>
          <w:noProof/>
          <w:sz w:val="24"/>
          <w:szCs w:val="24"/>
        </w:rPr>
        <w:t xml:space="preserve"> have declining since 2015 reaching 35 EUR/MWh at the end of 2019. Prices in </w:t>
      </w:r>
      <w:r>
        <w:rPr>
          <w:b/>
          <w:bCs/>
          <w:noProof/>
          <w:sz w:val="24"/>
          <w:szCs w:val="24"/>
        </w:rPr>
        <w:t>Japan</w:t>
      </w:r>
      <w:r>
        <w:rPr>
          <w:noProof/>
          <w:sz w:val="24"/>
          <w:szCs w:val="24"/>
        </w:rPr>
        <w:t xml:space="preserve"> prices increased between 2009 and 2014 (diverging from the EU average), declined strongly between 2014-2016 (to just above EU levels) but have been increasing during the last two year for which data is available (until 2018). – See </w:t>
      </w:r>
      <w:r>
        <w:rPr>
          <w:noProof/>
        </w:rPr>
        <w:fldChar w:fldCharType="begin"/>
      </w:r>
      <w:r>
        <w:rPr>
          <w:b/>
          <w:noProof/>
          <w:sz w:val="24"/>
          <w:szCs w:val="24"/>
        </w:rPr>
        <w:instrText xml:space="preserve"> REF _Ref525112566 \h  \* MERGEFORMAT </w:instrText>
      </w:r>
      <w:r>
        <w:rPr>
          <w:noProof/>
        </w:rPr>
      </w:r>
      <w:r>
        <w:rPr>
          <w:b/>
          <w:noProof/>
          <w:sz w:val="24"/>
          <w:szCs w:val="24"/>
        </w:rPr>
        <w:fldChar w:fldCharType="separate"/>
      </w:r>
      <w:r>
        <w:rPr>
          <w:b/>
          <w:bCs/>
          <w:noProof/>
          <w:sz w:val="24"/>
          <w:szCs w:val="24"/>
        </w:rPr>
        <w:t>Figure 161</w:t>
      </w:r>
      <w:r>
        <w:rPr>
          <w:noProof/>
        </w:rPr>
        <w:fldChar w:fldCharType="end"/>
      </w:r>
      <w:r>
        <w:rPr>
          <w:b/>
          <w:bCs/>
          <w:noProof/>
          <w:sz w:val="24"/>
          <w:szCs w:val="24"/>
        </w:rPr>
        <w:t xml:space="preserve"> </w:t>
      </w:r>
    </w:p>
    <w:p>
      <w:pPr>
        <w:pStyle w:val="ListParagraph"/>
        <w:spacing w:after="0" w:line="300" w:lineRule="atLeast"/>
        <w:rPr>
          <w:noProof/>
        </w:rPr>
      </w:pPr>
    </w:p>
    <w:p>
      <w:pPr>
        <w:spacing w:after="0" w:line="300" w:lineRule="atLeast"/>
        <w:rPr>
          <w:noProof/>
        </w:rPr>
      </w:pPr>
    </w:p>
    <w:p>
      <w:pPr>
        <w:spacing w:after="0" w:line="300" w:lineRule="atLeast"/>
        <w:rPr>
          <w:noProof/>
        </w:rPr>
      </w:pPr>
    </w:p>
    <w:p>
      <w:pPr>
        <w:jc w:val="center"/>
        <w:rPr>
          <w:noProof/>
        </w:rPr>
      </w:pPr>
      <w:r>
        <w:rPr>
          <w:noProof/>
          <w:lang w:eastAsia="en-GB"/>
        </w:rPr>
        <w:drawing>
          <wp:inline distT="0" distB="0" distL="0" distR="0">
            <wp:extent cx="5462923" cy="3086100"/>
            <wp:effectExtent l="0" t="0" r="4445" b="0"/>
            <wp:docPr id="8908507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35">
                      <a:extLst>
                        <a:ext uri="{28A0092B-C50C-407E-A947-70E740481C1C}">
                          <a14:useLocalDpi xmlns:a14="http://schemas.microsoft.com/office/drawing/2010/main"/>
                        </a:ext>
                      </a:extLst>
                    </a:blip>
                    <a:stretch>
                      <a:fillRect/>
                    </a:stretch>
                  </pic:blipFill>
                  <pic:spPr>
                    <a:xfrm>
                      <a:off x="0" y="0"/>
                      <a:ext cx="5462923" cy="3086100"/>
                    </a:xfrm>
                    <a:prstGeom prst="rect">
                      <a:avLst/>
                    </a:prstGeom>
                  </pic:spPr>
                </pic:pic>
              </a:graphicData>
            </a:graphic>
          </wp:inline>
        </w:drawing>
      </w:r>
    </w:p>
    <w:p>
      <w:pPr>
        <w:pStyle w:val="Caption"/>
      </w:pPr>
      <w:bookmarkStart w:id="409" w:name="_Ref525112566"/>
      <w:bookmarkStart w:id="410" w:name="_Ref525112534"/>
      <w:bookmarkStart w:id="411" w:name="_Toc525807885"/>
      <w:bookmarkStart w:id="412" w:name="_Toc526433501"/>
      <w:bookmarkStart w:id="413" w:name="_Toc526433779"/>
      <w:bookmarkStart w:id="414" w:name="_Toc526435721"/>
      <w:bookmarkStart w:id="415" w:name="_Toc530739811"/>
      <w:bookmarkStart w:id="416" w:name="_Toc531366184"/>
      <w:bookmarkStart w:id="417" w:name="_Toc50494157"/>
      <w:bookmarkStart w:id="418" w:name="_Toc52396933"/>
      <w:r>
        <w:t xml:space="preserve">Figure </w:t>
      </w:r>
      <w:r>
        <w:fldChar w:fldCharType="begin"/>
      </w:r>
      <w:r>
        <w:instrText xml:space="preserve"> SEQ Figure \* ARABIC </w:instrText>
      </w:r>
      <w:r>
        <w:fldChar w:fldCharType="separate"/>
      </w:r>
      <w:r>
        <w:t>161</w:t>
      </w:r>
      <w:r>
        <w:fldChar w:fldCharType="end"/>
      </w:r>
      <w:bookmarkEnd w:id="409"/>
      <w:r>
        <w:t xml:space="preserve"> - Retail gas prices for industry: EU vs China, Japan and the US, 2008-201</w:t>
      </w:r>
      <w:bookmarkEnd w:id="410"/>
      <w:bookmarkEnd w:id="411"/>
      <w:bookmarkEnd w:id="412"/>
      <w:bookmarkEnd w:id="413"/>
      <w:bookmarkEnd w:id="414"/>
      <w:bookmarkEnd w:id="415"/>
      <w:bookmarkEnd w:id="416"/>
      <w:r>
        <w:t>9</w:t>
      </w:r>
      <w:bookmarkEnd w:id="417"/>
      <w:bookmarkEnd w:id="418"/>
    </w:p>
    <w:p>
      <w:pPr>
        <w:spacing w:after="0" w:line="300" w:lineRule="atLeast"/>
        <w:jc w:val="left"/>
        <w:rPr>
          <w:noProof/>
          <w:sz w:val="20"/>
          <w:szCs w:val="20"/>
        </w:rPr>
      </w:pPr>
      <w:r>
        <w:rPr>
          <w:noProof/>
          <w:sz w:val="20"/>
          <w:szCs w:val="20"/>
        </w:rPr>
        <w:t>Sources: Trinomics (2020) based on Eurostat, CEIC</w:t>
      </w:r>
    </w:p>
    <w:p>
      <w:pPr>
        <w:spacing w:after="0" w:line="300" w:lineRule="atLeast"/>
        <w:jc w:val="left"/>
        <w:rPr>
          <w:noProof/>
          <w:sz w:val="20"/>
          <w:szCs w:val="20"/>
        </w:rPr>
      </w:pPr>
      <w:r>
        <w:rPr>
          <w:noProof/>
          <w:sz w:val="20"/>
          <w:szCs w:val="20"/>
        </w:rPr>
        <w:t>Note: the Chinese wholesale price is an assumed proxy price based on Usage Price: 36 City Avg: gas for Industrial users. Actual wholesale prices, to the extent they exist in China, are likely to be lower</w:t>
      </w:r>
    </w:p>
    <w:p>
      <w:pPr>
        <w:spacing w:after="0" w:line="300" w:lineRule="atLeast"/>
        <w:jc w:val="left"/>
        <w:rPr>
          <w:noProof/>
        </w:rPr>
      </w:pPr>
    </w:p>
    <w:p>
      <w:pPr>
        <w:spacing w:after="0" w:line="300" w:lineRule="atLeast"/>
        <w:jc w:val="left"/>
        <w:rPr>
          <w:noProof/>
        </w:rPr>
      </w:pPr>
    </w:p>
    <w:p>
      <w:pPr>
        <w:spacing w:after="0" w:line="300" w:lineRule="atLeast"/>
        <w:jc w:val="left"/>
        <w:rPr>
          <w:noProof/>
        </w:rPr>
      </w:pPr>
    </w:p>
    <w:p>
      <w:pPr>
        <w:pStyle w:val="ListParagraph"/>
        <w:numPr>
          <w:ilvl w:val="0"/>
          <w:numId w:val="12"/>
        </w:numPr>
        <w:spacing w:after="0" w:line="300" w:lineRule="atLeast"/>
        <w:rPr>
          <w:b/>
          <w:bCs/>
          <w:noProof/>
          <w:sz w:val="24"/>
          <w:szCs w:val="24"/>
        </w:rPr>
      </w:pPr>
      <w:r>
        <w:rPr>
          <w:noProof/>
          <w:sz w:val="24"/>
          <w:szCs w:val="24"/>
        </w:rPr>
        <w:t xml:space="preserve">Prices in </w:t>
      </w:r>
      <w:r>
        <w:rPr>
          <w:b/>
          <w:bCs/>
          <w:noProof/>
          <w:sz w:val="24"/>
          <w:szCs w:val="24"/>
        </w:rPr>
        <w:t>Turkey</w:t>
      </w:r>
      <w:r>
        <w:rPr>
          <w:noProof/>
          <w:sz w:val="24"/>
          <w:szCs w:val="24"/>
        </w:rPr>
        <w:t xml:space="preserve"> fluctuate while overall displaying a similar trend to the EU average, to which they have been converging since 2018. </w:t>
      </w:r>
      <w:r>
        <w:rPr>
          <w:b/>
          <w:bCs/>
          <w:noProof/>
          <w:sz w:val="24"/>
          <w:szCs w:val="24"/>
        </w:rPr>
        <w:t>South Korean</w:t>
      </w:r>
      <w:r>
        <w:rPr>
          <w:noProof/>
          <w:sz w:val="24"/>
          <w:szCs w:val="24"/>
        </w:rPr>
        <w:t xml:space="preserve"> prices followed similar evolution of other Asian countries but they were relatively stable since 2016. Prices in </w:t>
      </w:r>
      <w:r>
        <w:rPr>
          <w:b/>
          <w:bCs/>
          <w:noProof/>
          <w:sz w:val="24"/>
          <w:szCs w:val="24"/>
        </w:rPr>
        <w:t xml:space="preserve">Brazil, Mexico </w:t>
      </w:r>
      <w:r>
        <w:rPr>
          <w:noProof/>
          <w:sz w:val="24"/>
          <w:szCs w:val="24"/>
        </w:rPr>
        <w:t xml:space="preserve">continue to be around half the EU levels, comparable to those in the US (and Canada). Prices in </w:t>
      </w:r>
      <w:r>
        <w:rPr>
          <w:b/>
          <w:noProof/>
          <w:sz w:val="24"/>
          <w:szCs w:val="24"/>
        </w:rPr>
        <w:t>Saudi Arabia</w:t>
      </w:r>
      <w:r>
        <w:rPr>
          <w:noProof/>
          <w:sz w:val="24"/>
          <w:szCs w:val="24"/>
        </w:rPr>
        <w:t xml:space="preserve"> and </w:t>
      </w:r>
      <w:r>
        <w:rPr>
          <w:b/>
          <w:bCs/>
          <w:noProof/>
          <w:sz w:val="24"/>
          <w:szCs w:val="24"/>
        </w:rPr>
        <w:t xml:space="preserve">Argentina </w:t>
      </w:r>
      <w:r>
        <w:rPr>
          <w:noProof/>
          <w:sz w:val="24"/>
          <w:szCs w:val="24"/>
        </w:rPr>
        <w:t xml:space="preserve">are the lowest of all (below 5 EUR/MWh), possibly kept at those low levels by policy regulation (although they have been increasing since 2015-2016). – See </w:t>
      </w:r>
      <w:r>
        <w:rPr>
          <w:noProof/>
        </w:rPr>
        <w:fldChar w:fldCharType="begin"/>
      </w:r>
      <w:r>
        <w:rPr>
          <w:b/>
          <w:noProof/>
          <w:sz w:val="24"/>
          <w:szCs w:val="24"/>
        </w:rPr>
        <w:instrText xml:space="preserve"> REF _Ref525112606 \h  \* MERGEFORMAT </w:instrText>
      </w:r>
      <w:r>
        <w:rPr>
          <w:noProof/>
        </w:rPr>
      </w:r>
      <w:r>
        <w:rPr>
          <w:b/>
          <w:noProof/>
          <w:sz w:val="24"/>
          <w:szCs w:val="24"/>
        </w:rPr>
        <w:fldChar w:fldCharType="separate"/>
      </w:r>
      <w:r>
        <w:rPr>
          <w:b/>
          <w:bCs/>
          <w:noProof/>
          <w:sz w:val="24"/>
          <w:szCs w:val="24"/>
        </w:rPr>
        <w:t>Figure 162</w:t>
      </w:r>
      <w:r>
        <w:rPr>
          <w:noProof/>
        </w:rPr>
        <w:fldChar w:fldCharType="end"/>
      </w:r>
    </w:p>
    <w:p>
      <w:pPr>
        <w:spacing w:after="0" w:line="300" w:lineRule="atLeast"/>
        <w:rPr>
          <w:noProof/>
        </w:rPr>
      </w:pPr>
    </w:p>
    <w:p>
      <w:pPr>
        <w:spacing w:after="0" w:line="300" w:lineRule="atLeast"/>
        <w:jc w:val="right"/>
        <w:rPr>
          <w:b/>
          <w:bCs/>
          <w:noProof/>
          <w:sz w:val="24"/>
          <w:szCs w:val="24"/>
        </w:rPr>
      </w:pPr>
      <w:r>
        <w:rPr>
          <w:noProof/>
          <w:lang w:eastAsia="en-GB"/>
        </w:rPr>
        <w:drawing>
          <wp:inline distT="0" distB="0" distL="0" distR="0">
            <wp:extent cx="5833647" cy="3348000"/>
            <wp:effectExtent l="0" t="0" r="0" b="5080"/>
            <wp:docPr id="2074875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36">
                      <a:extLst>
                        <a:ext uri="{28A0092B-C50C-407E-A947-70E740481C1C}">
                          <a14:useLocalDpi xmlns:a14="http://schemas.microsoft.com/office/drawing/2010/main"/>
                        </a:ext>
                      </a:extLst>
                    </a:blip>
                    <a:stretch>
                      <a:fillRect/>
                    </a:stretch>
                  </pic:blipFill>
                  <pic:spPr>
                    <a:xfrm>
                      <a:off x="0" y="0"/>
                      <a:ext cx="5881780" cy="3375624"/>
                    </a:xfrm>
                    <a:prstGeom prst="rect">
                      <a:avLst/>
                    </a:prstGeom>
                  </pic:spPr>
                </pic:pic>
              </a:graphicData>
            </a:graphic>
          </wp:inline>
        </w:drawing>
      </w:r>
    </w:p>
    <w:p>
      <w:pPr>
        <w:spacing w:after="0" w:line="300" w:lineRule="atLeast"/>
        <w:rPr>
          <w:noProof/>
        </w:rPr>
      </w:pPr>
    </w:p>
    <w:p>
      <w:pPr>
        <w:pStyle w:val="Caption"/>
      </w:pPr>
      <w:bookmarkStart w:id="419" w:name="_Ref525112606"/>
      <w:bookmarkStart w:id="420" w:name="_Toc525807886"/>
      <w:bookmarkStart w:id="421" w:name="_Toc526433502"/>
      <w:bookmarkStart w:id="422" w:name="_Toc526433780"/>
      <w:bookmarkStart w:id="423" w:name="_Toc526435722"/>
      <w:bookmarkStart w:id="424" w:name="_Toc530739812"/>
      <w:bookmarkStart w:id="425" w:name="_Toc531366185"/>
      <w:bookmarkStart w:id="426" w:name="_Toc50494158"/>
      <w:bookmarkStart w:id="427" w:name="_Toc52396934"/>
      <w:r>
        <w:t xml:space="preserve">Figure </w:t>
      </w:r>
      <w:r>
        <w:fldChar w:fldCharType="begin"/>
      </w:r>
      <w:r>
        <w:instrText xml:space="preserve"> SEQ Figure \* ARABIC </w:instrText>
      </w:r>
      <w:r>
        <w:fldChar w:fldCharType="separate"/>
      </w:r>
      <w:r>
        <w:t>162</w:t>
      </w:r>
      <w:r>
        <w:fldChar w:fldCharType="end"/>
      </w:r>
      <w:bookmarkEnd w:id="419"/>
      <w:r>
        <w:t xml:space="preserve"> - Retail gas prices for industry: EU vs other non-EU G20 countries, 2008-201</w:t>
      </w:r>
      <w:bookmarkEnd w:id="420"/>
      <w:bookmarkEnd w:id="421"/>
      <w:bookmarkEnd w:id="422"/>
      <w:bookmarkEnd w:id="423"/>
      <w:bookmarkEnd w:id="424"/>
      <w:bookmarkEnd w:id="425"/>
      <w:r>
        <w:t>9</w:t>
      </w:r>
      <w:bookmarkEnd w:id="426"/>
      <w:bookmarkEnd w:id="427"/>
    </w:p>
    <w:p>
      <w:pPr>
        <w:pStyle w:val="Sources"/>
        <w:rPr>
          <w:noProof/>
        </w:rPr>
      </w:pPr>
      <w:r>
        <w:rPr>
          <w:noProof/>
        </w:rPr>
        <w:t>Sources: Trinomics (2020) based on Eurostat, CEIC, ERRA, IEA</w:t>
      </w:r>
    </w:p>
    <w:p>
      <w:pPr>
        <w:jc w:val="left"/>
        <w:rPr>
          <w:noProof/>
          <w:sz w:val="20"/>
          <w:szCs w:val="20"/>
          <w:lang w:val="fr-BE" w:eastAsia="de-DE"/>
        </w:rPr>
      </w:pPr>
    </w:p>
    <w:p>
      <w:pPr>
        <w:pStyle w:val="ListParagraph"/>
        <w:numPr>
          <w:ilvl w:val="0"/>
          <w:numId w:val="12"/>
        </w:numPr>
        <w:spacing w:line="300" w:lineRule="atLeast"/>
        <w:ind w:left="714" w:hanging="357"/>
        <w:rPr>
          <w:noProof/>
          <w:sz w:val="24"/>
          <w:szCs w:val="24"/>
        </w:rPr>
      </w:pPr>
      <w:r>
        <w:rPr>
          <w:noProof/>
          <w:sz w:val="24"/>
          <w:szCs w:val="24"/>
        </w:rPr>
        <w:t xml:space="preserve">Price differential (in 2018 euros) did evolve favourably for the EU with regard to more than half of the countries including important trade partners such as China, Turkey, Japan and Russia (and also India, Australia and Saudi Arabia). The price gap evolved unfavourably with the US and Canada (in which prices fell more than the EU average). The price gap with, China, Turkey, Japan and Russia evolved positively for the EU as the prices in these countries fell less than in the EU. (see </w:t>
      </w:r>
      <w:r>
        <w:rPr>
          <w:noProof/>
        </w:rPr>
        <w:fldChar w:fldCharType="begin"/>
      </w:r>
      <w:r>
        <w:rPr>
          <w:noProof/>
          <w:sz w:val="24"/>
          <w:szCs w:val="24"/>
        </w:rPr>
        <w:instrText xml:space="preserve"> REF _Ref531105932 \h  \* MERGEFORMAT </w:instrText>
      </w:r>
      <w:r>
        <w:rPr>
          <w:noProof/>
        </w:rPr>
      </w:r>
      <w:r>
        <w:rPr>
          <w:noProof/>
          <w:sz w:val="24"/>
          <w:szCs w:val="24"/>
        </w:rPr>
        <w:fldChar w:fldCharType="separate"/>
      </w:r>
      <w:r>
        <w:rPr>
          <w:b/>
          <w:bCs/>
          <w:noProof/>
          <w:sz w:val="24"/>
          <w:szCs w:val="24"/>
        </w:rPr>
        <w:t>Table 25</w:t>
      </w:r>
      <w:r>
        <w:rPr>
          <w:noProof/>
        </w:rPr>
        <w:fldChar w:fldCharType="end"/>
      </w:r>
      <w:r>
        <w:rPr>
          <w:noProof/>
          <w:sz w:val="24"/>
          <w:szCs w:val="24"/>
        </w:rPr>
        <w:t>)</w:t>
      </w:r>
    </w:p>
    <w:p>
      <w:pPr>
        <w:spacing w:after="0"/>
        <w:jc w:val="left"/>
        <w:rPr>
          <w:noProof/>
        </w:rPr>
      </w:pPr>
      <w:r>
        <w:rPr>
          <w:noProof/>
        </w:rPr>
        <w:br w:type="page"/>
      </w:r>
    </w:p>
    <w:p>
      <w:pPr>
        <w:pStyle w:val="Caption"/>
      </w:pPr>
      <w:bookmarkStart w:id="428" w:name="_Ref531105932"/>
      <w:bookmarkStart w:id="429" w:name="_Toc52396984"/>
      <w:r>
        <w:t xml:space="preserve">Table </w:t>
      </w:r>
      <w:r>
        <w:fldChar w:fldCharType="begin"/>
      </w:r>
      <w:r>
        <w:instrText xml:space="preserve"> SEQ Table \* ARABIC </w:instrText>
      </w:r>
      <w:r>
        <w:fldChar w:fldCharType="separate"/>
      </w:r>
      <w:r>
        <w:t>25</w:t>
      </w:r>
      <w:r>
        <w:fldChar w:fldCharType="end"/>
      </w:r>
      <w:bookmarkEnd w:id="428"/>
      <w:r>
        <w:t xml:space="preserve"> - Changes in the industry retail natural gas price differential compared to EU prices between 2008-2019 (constant 2018 euros per MWh)</w:t>
      </w:r>
      <w:bookmarkEnd w:id="429"/>
    </w:p>
    <w:p>
      <w:pPr>
        <w:pStyle w:val="Sources"/>
        <w:rPr>
          <w:noProof/>
        </w:rPr>
      </w:pPr>
    </w:p>
    <w:tbl>
      <w:tblPr>
        <w:tblW w:w="9049" w:type="dxa"/>
        <w:tblInd w:w="569" w:type="dxa"/>
        <w:tblLook w:val="04A0" w:firstRow="1" w:lastRow="0" w:firstColumn="1" w:lastColumn="0" w:noHBand="0" w:noVBand="1"/>
      </w:tblPr>
      <w:tblGrid>
        <w:gridCol w:w="1134"/>
        <w:gridCol w:w="1120"/>
        <w:gridCol w:w="1106"/>
        <w:gridCol w:w="882"/>
        <w:gridCol w:w="1079"/>
        <w:gridCol w:w="872"/>
        <w:gridCol w:w="892"/>
        <w:gridCol w:w="1078"/>
        <w:gridCol w:w="886"/>
      </w:tblGrid>
      <w:tr>
        <w:trPr>
          <w:trHeight w:val="253"/>
        </w:trPr>
        <w:tc>
          <w:tcPr>
            <w:tcW w:w="1134" w:type="dxa"/>
            <w:tcBorders>
              <w:top w:val="single" w:sz="4" w:space="0" w:color="auto"/>
              <w:left w:val="single" w:sz="4" w:space="0" w:color="auto"/>
              <w:bottom w:val="single" w:sz="4" w:space="0" w:color="B9BBBB"/>
              <w:right w:val="nil"/>
            </w:tcBorders>
            <w:shd w:val="clear" w:color="auto" w:fill="005962"/>
            <w:noWrap/>
            <w:vAlign w:val="bottom"/>
            <w:hideMark/>
          </w:tcPr>
          <w:p>
            <w:pPr>
              <w:rPr>
                <w:rFonts w:ascii="Arial" w:eastAsia="Times New Roman" w:hAnsi="Arial" w:cs="Arial"/>
                <w:noProof/>
                <w:sz w:val="16"/>
                <w:szCs w:val="16"/>
                <w:lang w:eastAsia="en-GB"/>
              </w:rPr>
            </w:pPr>
            <w:r>
              <w:rPr>
                <w:rFonts w:ascii="Arial" w:eastAsia="Times New Roman" w:hAnsi="Arial" w:cs="Arial"/>
                <w:b/>
                <w:bCs/>
                <w:noProof/>
                <w:color w:val="FFFFFF"/>
                <w:sz w:val="16"/>
                <w:szCs w:val="16"/>
                <w:lang w:eastAsia="en-GB"/>
              </w:rPr>
              <w:t>Country</w:t>
            </w:r>
          </w:p>
        </w:tc>
        <w:tc>
          <w:tcPr>
            <w:tcW w:w="1120" w:type="dxa"/>
            <w:tcBorders>
              <w:top w:val="single" w:sz="4" w:space="0" w:color="auto"/>
              <w:left w:val="single" w:sz="4" w:space="0" w:color="D1D1D2"/>
              <w:bottom w:val="single" w:sz="4" w:space="0" w:color="D1D1D2"/>
              <w:right w:val="single" w:sz="4" w:space="0" w:color="D1D1D2"/>
            </w:tcBorders>
            <w:shd w:val="clear" w:color="auto" w:fill="005962"/>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color w:val="FFFFFF"/>
                <w:sz w:val="16"/>
                <w:szCs w:val="16"/>
                <w:lang w:eastAsia="en-GB"/>
              </w:rPr>
              <w:t>Start price [EUR2018]</w:t>
            </w:r>
          </w:p>
        </w:tc>
        <w:tc>
          <w:tcPr>
            <w:tcW w:w="1106" w:type="dxa"/>
            <w:tcBorders>
              <w:top w:val="single" w:sz="4" w:space="0" w:color="auto"/>
              <w:left w:val="nil"/>
              <w:bottom w:val="single" w:sz="4" w:space="0" w:color="D1D1D2"/>
              <w:right w:val="single" w:sz="4" w:space="0" w:color="D1D1D2"/>
            </w:tcBorders>
            <w:shd w:val="clear" w:color="auto" w:fill="005962"/>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color w:val="FFFFFF"/>
                <w:sz w:val="16"/>
                <w:szCs w:val="16"/>
                <w:lang w:eastAsia="en-GB"/>
              </w:rPr>
              <w:t>End price [EUR2018]</w:t>
            </w:r>
          </w:p>
        </w:tc>
        <w:tc>
          <w:tcPr>
            <w:tcW w:w="882" w:type="dxa"/>
            <w:tcBorders>
              <w:top w:val="single" w:sz="4" w:space="0" w:color="auto"/>
              <w:left w:val="single" w:sz="4" w:space="0" w:color="D1D1D2"/>
              <w:bottom w:val="single" w:sz="4" w:space="0" w:color="D1D1D2"/>
              <w:right w:val="single" w:sz="4" w:space="0" w:color="D1D1D2"/>
            </w:tcBorders>
            <w:shd w:val="clear" w:color="auto" w:fill="005962"/>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b/>
                <w:bCs/>
                <w:noProof/>
                <w:color w:val="FFFFFF"/>
                <w:sz w:val="16"/>
                <w:szCs w:val="16"/>
                <w:lang w:eastAsia="en-GB"/>
              </w:rPr>
              <w:t>Change EUR</w:t>
            </w:r>
          </w:p>
        </w:tc>
        <w:tc>
          <w:tcPr>
            <w:tcW w:w="1079" w:type="dxa"/>
            <w:tcBorders>
              <w:top w:val="single" w:sz="4" w:space="0" w:color="auto"/>
              <w:left w:val="single" w:sz="4" w:space="0" w:color="D1D1D2"/>
              <w:bottom w:val="single" w:sz="4" w:space="0" w:color="D1D1D2"/>
              <w:right w:val="single" w:sz="4" w:space="0" w:color="D1D1D2"/>
            </w:tcBorders>
            <w:shd w:val="clear" w:color="auto" w:fill="005962"/>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b/>
                <w:bCs/>
                <w:noProof/>
                <w:color w:val="FFFFFF"/>
                <w:sz w:val="16"/>
                <w:szCs w:val="16"/>
                <w:lang w:eastAsia="en-GB"/>
              </w:rPr>
              <w:t>Change %</w:t>
            </w:r>
          </w:p>
        </w:tc>
        <w:tc>
          <w:tcPr>
            <w:tcW w:w="872" w:type="dxa"/>
            <w:tcBorders>
              <w:top w:val="single" w:sz="4" w:space="0" w:color="auto"/>
              <w:left w:val="nil"/>
              <w:bottom w:val="nil"/>
              <w:right w:val="single" w:sz="4" w:space="0" w:color="D1D1D2"/>
            </w:tcBorders>
            <w:shd w:val="clear" w:color="auto" w:fill="005962"/>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b/>
                <w:bCs/>
                <w:noProof/>
                <w:color w:val="FFFFFF"/>
                <w:sz w:val="16"/>
                <w:szCs w:val="16"/>
                <w:lang w:eastAsia="en-GB"/>
              </w:rPr>
              <w:t>Start Gap [EUR]</w:t>
            </w:r>
          </w:p>
        </w:tc>
        <w:tc>
          <w:tcPr>
            <w:tcW w:w="892" w:type="dxa"/>
            <w:tcBorders>
              <w:top w:val="single" w:sz="4" w:space="0" w:color="auto"/>
              <w:left w:val="nil"/>
              <w:bottom w:val="nil"/>
              <w:right w:val="single" w:sz="4" w:space="0" w:color="D1D1D2"/>
            </w:tcBorders>
            <w:shd w:val="clear" w:color="auto" w:fill="005962"/>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b/>
                <w:bCs/>
                <w:noProof/>
                <w:color w:val="FFFFFF"/>
                <w:sz w:val="16"/>
                <w:szCs w:val="16"/>
                <w:lang w:eastAsia="en-GB"/>
              </w:rPr>
              <w:t>End Gap [EUR]</w:t>
            </w:r>
          </w:p>
        </w:tc>
        <w:tc>
          <w:tcPr>
            <w:tcW w:w="1078" w:type="dxa"/>
            <w:tcBorders>
              <w:top w:val="single" w:sz="4" w:space="0" w:color="auto"/>
              <w:left w:val="nil"/>
              <w:bottom w:val="nil"/>
              <w:right w:val="single" w:sz="4" w:space="0" w:color="D1D1D2"/>
            </w:tcBorders>
            <w:shd w:val="clear" w:color="auto" w:fill="005962"/>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b/>
                <w:bCs/>
                <w:noProof/>
                <w:color w:val="FFFFFF"/>
                <w:sz w:val="16"/>
                <w:szCs w:val="16"/>
                <w:lang w:eastAsia="en-GB"/>
              </w:rPr>
              <w:t>Difference [EUR]</w:t>
            </w:r>
          </w:p>
        </w:tc>
        <w:tc>
          <w:tcPr>
            <w:tcW w:w="886" w:type="dxa"/>
            <w:tcBorders>
              <w:top w:val="single" w:sz="4" w:space="0" w:color="auto"/>
              <w:left w:val="nil"/>
              <w:bottom w:val="nil"/>
              <w:right w:val="single" w:sz="4" w:space="0" w:color="auto"/>
            </w:tcBorders>
            <w:shd w:val="clear" w:color="auto" w:fill="005962"/>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b/>
                <w:bCs/>
                <w:noProof/>
                <w:color w:val="FFFFFF"/>
                <w:sz w:val="16"/>
                <w:szCs w:val="16"/>
                <w:lang w:eastAsia="en-GB"/>
              </w:rPr>
              <w:t>Relative  for EU</w:t>
            </w:r>
          </w:p>
        </w:tc>
      </w:tr>
      <w:tr>
        <w:trPr>
          <w:trHeight w:val="253"/>
        </w:trPr>
        <w:tc>
          <w:tcPr>
            <w:tcW w:w="1134" w:type="dxa"/>
            <w:tcBorders>
              <w:top w:val="single" w:sz="4" w:space="0" w:color="auto"/>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EU27</w:t>
            </w:r>
          </w:p>
        </w:tc>
        <w:tc>
          <w:tcPr>
            <w:tcW w:w="1120" w:type="dxa"/>
            <w:tcBorders>
              <w:top w:val="single" w:sz="4" w:space="0" w:color="auto"/>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33.14</w:t>
            </w:r>
          </w:p>
        </w:tc>
        <w:tc>
          <w:tcPr>
            <w:tcW w:w="1106" w:type="dxa"/>
            <w:tcBorders>
              <w:top w:val="single" w:sz="4" w:space="0" w:color="auto"/>
              <w:left w:val="nil"/>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24.07</w:t>
            </w:r>
          </w:p>
        </w:tc>
        <w:tc>
          <w:tcPr>
            <w:tcW w:w="882" w:type="dxa"/>
            <w:tcBorders>
              <w:top w:val="single" w:sz="4" w:space="0" w:color="auto"/>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-9.07</w:t>
            </w:r>
          </w:p>
        </w:tc>
        <w:tc>
          <w:tcPr>
            <w:tcW w:w="1079" w:type="dxa"/>
            <w:tcBorders>
              <w:top w:val="single" w:sz="4" w:space="0" w:color="auto"/>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-27.4%</w:t>
            </w:r>
          </w:p>
        </w:tc>
        <w:tc>
          <w:tcPr>
            <w:tcW w:w="872" w:type="dxa"/>
            <w:tcBorders>
              <w:top w:val="single" w:sz="4" w:space="0" w:color="auto"/>
              <w:left w:val="nil"/>
              <w:bottom w:val="nil"/>
              <w:right w:val="single" w:sz="4" w:space="0" w:color="D1D1D2"/>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single" w:sz="4" w:space="0" w:color="auto"/>
              <w:left w:val="nil"/>
              <w:bottom w:val="nil"/>
              <w:right w:val="single" w:sz="4" w:space="0" w:color="D1D1D2"/>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78" w:type="dxa"/>
            <w:tcBorders>
              <w:top w:val="single" w:sz="4" w:space="0" w:color="auto"/>
              <w:left w:val="nil"/>
              <w:bottom w:val="nil"/>
              <w:right w:val="single" w:sz="4" w:space="0" w:color="D1D1D2"/>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86" w:type="dxa"/>
            <w:tcBorders>
              <w:top w:val="single" w:sz="4" w:space="0" w:color="auto"/>
              <w:left w:val="nil"/>
              <w:bottom w:val="nil"/>
              <w:right w:val="single" w:sz="4" w:space="0" w:color="auto"/>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4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Argentina</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0.20</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1.94</w:t>
            </w:r>
          </w:p>
        </w:tc>
        <w:tc>
          <w:tcPr>
            <w:tcW w:w="88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1.75</w:t>
            </w:r>
          </w:p>
        </w:tc>
        <w:tc>
          <w:tcPr>
            <w:tcW w:w="1079"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891.1%</w:t>
            </w:r>
          </w:p>
        </w:tc>
        <w:tc>
          <w:tcPr>
            <w:tcW w:w="87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-32.94</w:t>
            </w:r>
          </w:p>
        </w:tc>
        <w:tc>
          <w:tcPr>
            <w:tcW w:w="8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-22.13</w:t>
            </w:r>
          </w:p>
        </w:tc>
        <w:tc>
          <w:tcPr>
            <w:tcW w:w="1078"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10.81</w:t>
            </w:r>
          </w:p>
        </w:tc>
        <w:tc>
          <w:tcPr>
            <w:tcW w:w="886"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Australia</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15.18</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21.35</w:t>
            </w:r>
          </w:p>
        </w:tc>
        <w:tc>
          <w:tcPr>
            <w:tcW w:w="88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6.17</w:t>
            </w:r>
          </w:p>
        </w:tc>
        <w:tc>
          <w:tcPr>
            <w:tcW w:w="1079"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40.6%</w:t>
            </w:r>
          </w:p>
        </w:tc>
        <w:tc>
          <w:tcPr>
            <w:tcW w:w="87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-17.95</w:t>
            </w:r>
          </w:p>
        </w:tc>
        <w:tc>
          <w:tcPr>
            <w:tcW w:w="8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-2.72</w:t>
            </w:r>
          </w:p>
        </w:tc>
        <w:tc>
          <w:tcPr>
            <w:tcW w:w="1078"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15.23</w:t>
            </w:r>
          </w:p>
        </w:tc>
        <w:tc>
          <w:tcPr>
            <w:tcW w:w="886"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Brazil</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23.06</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13.60</w:t>
            </w:r>
          </w:p>
        </w:tc>
        <w:tc>
          <w:tcPr>
            <w:tcW w:w="88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-9.46</w:t>
            </w:r>
          </w:p>
        </w:tc>
        <w:tc>
          <w:tcPr>
            <w:tcW w:w="107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-41.0%</w:t>
            </w:r>
          </w:p>
        </w:tc>
        <w:tc>
          <w:tcPr>
            <w:tcW w:w="87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-10.07</w:t>
            </w:r>
          </w:p>
        </w:tc>
        <w:tc>
          <w:tcPr>
            <w:tcW w:w="8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-10.47</w:t>
            </w:r>
          </w:p>
        </w:tc>
        <w:tc>
          <w:tcPr>
            <w:tcW w:w="1078"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-0.40</w:t>
            </w:r>
          </w:p>
        </w:tc>
        <w:tc>
          <w:tcPr>
            <w:tcW w:w="886"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Canada</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30.07</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8.24</w:t>
            </w:r>
          </w:p>
        </w:tc>
        <w:tc>
          <w:tcPr>
            <w:tcW w:w="88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-21.83</w:t>
            </w:r>
          </w:p>
        </w:tc>
        <w:tc>
          <w:tcPr>
            <w:tcW w:w="107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-72.6%</w:t>
            </w:r>
          </w:p>
        </w:tc>
        <w:tc>
          <w:tcPr>
            <w:tcW w:w="87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-3.07</w:t>
            </w:r>
          </w:p>
        </w:tc>
        <w:tc>
          <w:tcPr>
            <w:tcW w:w="8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-15.83</w:t>
            </w:r>
          </w:p>
        </w:tc>
        <w:tc>
          <w:tcPr>
            <w:tcW w:w="1078"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-12.77</w:t>
            </w:r>
          </w:p>
        </w:tc>
        <w:tc>
          <w:tcPr>
            <w:tcW w:w="886"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China</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39.52</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34.27</w:t>
            </w:r>
          </w:p>
        </w:tc>
        <w:tc>
          <w:tcPr>
            <w:tcW w:w="88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-5.25</w:t>
            </w:r>
          </w:p>
        </w:tc>
        <w:tc>
          <w:tcPr>
            <w:tcW w:w="107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-13.3%</w:t>
            </w:r>
          </w:p>
        </w:tc>
        <w:tc>
          <w:tcPr>
            <w:tcW w:w="87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6.39</w:t>
            </w:r>
          </w:p>
        </w:tc>
        <w:tc>
          <w:tcPr>
            <w:tcW w:w="8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10.20</w:t>
            </w:r>
          </w:p>
        </w:tc>
        <w:tc>
          <w:tcPr>
            <w:tcW w:w="1078"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3.81</w:t>
            </w:r>
          </w:p>
        </w:tc>
        <w:tc>
          <w:tcPr>
            <w:tcW w:w="886"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India</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4.33</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8.80</w:t>
            </w:r>
          </w:p>
        </w:tc>
        <w:tc>
          <w:tcPr>
            <w:tcW w:w="88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4.47</w:t>
            </w:r>
          </w:p>
        </w:tc>
        <w:tc>
          <w:tcPr>
            <w:tcW w:w="1079"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103.4%</w:t>
            </w:r>
          </w:p>
        </w:tc>
        <w:tc>
          <w:tcPr>
            <w:tcW w:w="87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-28.81</w:t>
            </w:r>
          </w:p>
        </w:tc>
        <w:tc>
          <w:tcPr>
            <w:tcW w:w="8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-15.27</w:t>
            </w:r>
          </w:p>
        </w:tc>
        <w:tc>
          <w:tcPr>
            <w:tcW w:w="1078"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13.54</w:t>
            </w:r>
          </w:p>
        </w:tc>
        <w:tc>
          <w:tcPr>
            <w:tcW w:w="886"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Indonesia</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lef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1106" w:type="dxa"/>
            <w:tcBorders>
              <w:top w:val="nil"/>
              <w:left w:val="nil"/>
              <w:bottom w:val="single" w:sz="4" w:space="0" w:color="D1D1D2"/>
              <w:right w:val="nil"/>
            </w:tcBorders>
            <w:shd w:val="clear" w:color="auto" w:fill="CCD7ED"/>
            <w:noWrap/>
            <w:vAlign w:val="bottom"/>
            <w:hideMark/>
          </w:tcPr>
          <w:p>
            <w:pPr>
              <w:spacing w:after="0"/>
              <w:jc w:val="lef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 </w:t>
            </w:r>
          </w:p>
        </w:tc>
        <w:tc>
          <w:tcPr>
            <w:tcW w:w="882" w:type="dxa"/>
            <w:tcBorders>
              <w:top w:val="nil"/>
              <w:left w:val="single" w:sz="4" w:space="0" w:color="D1D1D2"/>
              <w:bottom w:val="single" w:sz="4" w:space="0" w:color="D1D1D2"/>
              <w:right w:val="single" w:sz="4" w:space="0" w:color="D1D1D2"/>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79" w:type="dxa"/>
            <w:tcBorders>
              <w:top w:val="nil"/>
              <w:left w:val="nil"/>
              <w:bottom w:val="single" w:sz="4" w:space="0" w:color="D1D1D2"/>
              <w:right w:val="single" w:sz="4" w:space="0" w:color="D1D1D2"/>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72" w:type="dxa"/>
            <w:tcBorders>
              <w:top w:val="nil"/>
              <w:left w:val="single" w:sz="4" w:space="0" w:color="B9BBBB"/>
              <w:bottom w:val="single" w:sz="4" w:space="0" w:color="B9BBBB"/>
              <w:right w:val="single" w:sz="4" w:space="0" w:color="B9BBBB"/>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92" w:type="dxa"/>
            <w:tcBorders>
              <w:top w:val="nil"/>
              <w:left w:val="nil"/>
              <w:bottom w:val="single" w:sz="4" w:space="0" w:color="B9BBBB"/>
              <w:right w:val="single" w:sz="4" w:space="0" w:color="B9BBBB"/>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1078" w:type="dxa"/>
            <w:tcBorders>
              <w:top w:val="nil"/>
              <w:left w:val="nil"/>
              <w:bottom w:val="single" w:sz="4" w:space="0" w:color="B9BBBB"/>
              <w:right w:val="single" w:sz="4" w:space="0" w:color="B9BBBB"/>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c>
          <w:tcPr>
            <w:tcW w:w="886" w:type="dxa"/>
            <w:tcBorders>
              <w:top w:val="nil"/>
              <w:left w:val="single" w:sz="4" w:space="0" w:color="D1D1D2"/>
              <w:bottom w:val="single" w:sz="4" w:space="0" w:color="D1D1D2"/>
              <w:right w:val="single" w:sz="4" w:space="0" w:color="auto"/>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 </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Japan</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45.61</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38.93</w:t>
            </w:r>
          </w:p>
        </w:tc>
        <w:tc>
          <w:tcPr>
            <w:tcW w:w="88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-6.68</w:t>
            </w:r>
          </w:p>
        </w:tc>
        <w:tc>
          <w:tcPr>
            <w:tcW w:w="107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-14.7%</w:t>
            </w:r>
          </w:p>
        </w:tc>
        <w:tc>
          <w:tcPr>
            <w:tcW w:w="87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12.47</w:t>
            </w:r>
          </w:p>
        </w:tc>
        <w:tc>
          <w:tcPr>
            <w:tcW w:w="8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14.85</w:t>
            </w:r>
          </w:p>
        </w:tc>
        <w:tc>
          <w:tcPr>
            <w:tcW w:w="1078"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2.38</w:t>
            </w:r>
          </w:p>
        </w:tc>
        <w:tc>
          <w:tcPr>
            <w:tcW w:w="886"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Mexico</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20.44</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9.61</w:t>
            </w:r>
          </w:p>
        </w:tc>
        <w:tc>
          <w:tcPr>
            <w:tcW w:w="88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-10.84</w:t>
            </w:r>
          </w:p>
        </w:tc>
        <w:tc>
          <w:tcPr>
            <w:tcW w:w="107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-53.0%</w:t>
            </w:r>
          </w:p>
        </w:tc>
        <w:tc>
          <w:tcPr>
            <w:tcW w:w="87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-12.69</w:t>
            </w:r>
          </w:p>
        </w:tc>
        <w:tc>
          <w:tcPr>
            <w:tcW w:w="8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-14.46</w:t>
            </w:r>
          </w:p>
        </w:tc>
        <w:tc>
          <w:tcPr>
            <w:tcW w:w="1078"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-1.77</w:t>
            </w:r>
          </w:p>
        </w:tc>
        <w:tc>
          <w:tcPr>
            <w:tcW w:w="886"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Russia</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8.44</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7.00</w:t>
            </w:r>
          </w:p>
        </w:tc>
        <w:tc>
          <w:tcPr>
            <w:tcW w:w="88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-1.44</w:t>
            </w:r>
          </w:p>
        </w:tc>
        <w:tc>
          <w:tcPr>
            <w:tcW w:w="107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-17.1%</w:t>
            </w:r>
          </w:p>
        </w:tc>
        <w:tc>
          <w:tcPr>
            <w:tcW w:w="87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-24.69</w:t>
            </w:r>
          </w:p>
        </w:tc>
        <w:tc>
          <w:tcPr>
            <w:tcW w:w="8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-17.07</w:t>
            </w:r>
          </w:p>
        </w:tc>
        <w:tc>
          <w:tcPr>
            <w:tcW w:w="1078"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7.62</w:t>
            </w:r>
          </w:p>
        </w:tc>
        <w:tc>
          <w:tcPr>
            <w:tcW w:w="886"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Saudi Arabia</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2.17</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3.12</w:t>
            </w:r>
          </w:p>
        </w:tc>
        <w:tc>
          <w:tcPr>
            <w:tcW w:w="882"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0.95</w:t>
            </w:r>
          </w:p>
        </w:tc>
        <w:tc>
          <w:tcPr>
            <w:tcW w:w="1079"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43.9%</w:t>
            </w:r>
          </w:p>
        </w:tc>
        <w:tc>
          <w:tcPr>
            <w:tcW w:w="87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-30.96</w:t>
            </w:r>
          </w:p>
        </w:tc>
        <w:tc>
          <w:tcPr>
            <w:tcW w:w="8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-20.95</w:t>
            </w:r>
          </w:p>
        </w:tc>
        <w:tc>
          <w:tcPr>
            <w:tcW w:w="1078"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10.02</w:t>
            </w:r>
          </w:p>
        </w:tc>
        <w:tc>
          <w:tcPr>
            <w:tcW w:w="886"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South Africa</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35.27</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11.39</w:t>
            </w:r>
          </w:p>
        </w:tc>
        <w:tc>
          <w:tcPr>
            <w:tcW w:w="88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-23.88</w:t>
            </w:r>
          </w:p>
        </w:tc>
        <w:tc>
          <w:tcPr>
            <w:tcW w:w="107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-67.7%</w:t>
            </w:r>
          </w:p>
        </w:tc>
        <w:tc>
          <w:tcPr>
            <w:tcW w:w="87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2.13</w:t>
            </w:r>
          </w:p>
        </w:tc>
        <w:tc>
          <w:tcPr>
            <w:tcW w:w="89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-12.68</w:t>
            </w:r>
          </w:p>
        </w:tc>
        <w:tc>
          <w:tcPr>
            <w:tcW w:w="1078"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-14.81</w:t>
            </w:r>
          </w:p>
        </w:tc>
        <w:tc>
          <w:tcPr>
            <w:tcW w:w="886"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South Korea</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46.38</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35.68</w:t>
            </w:r>
          </w:p>
        </w:tc>
        <w:tc>
          <w:tcPr>
            <w:tcW w:w="88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-10.71</w:t>
            </w:r>
          </w:p>
        </w:tc>
        <w:tc>
          <w:tcPr>
            <w:tcW w:w="107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-23.1%</w:t>
            </w:r>
          </w:p>
        </w:tc>
        <w:tc>
          <w:tcPr>
            <w:tcW w:w="87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13.25</w:t>
            </w:r>
          </w:p>
        </w:tc>
        <w:tc>
          <w:tcPr>
            <w:tcW w:w="8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11.61</w:t>
            </w:r>
          </w:p>
        </w:tc>
        <w:tc>
          <w:tcPr>
            <w:tcW w:w="1078"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-1.64</w:t>
            </w:r>
          </w:p>
        </w:tc>
        <w:tc>
          <w:tcPr>
            <w:tcW w:w="886"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lef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r>
        <w:trPr>
          <w:trHeight w:val="210"/>
        </w:trPr>
        <w:tc>
          <w:tcPr>
            <w:tcW w:w="1134" w:type="dxa"/>
            <w:tcBorders>
              <w:top w:val="nil"/>
              <w:left w:val="single" w:sz="4" w:space="0" w:color="auto"/>
              <w:bottom w:val="single" w:sz="4" w:space="0" w:color="B9BBBB"/>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Turkey</w:t>
            </w:r>
          </w:p>
        </w:tc>
        <w:tc>
          <w:tcPr>
            <w:tcW w:w="1120" w:type="dxa"/>
            <w:tcBorders>
              <w:top w:val="nil"/>
              <w:left w:val="single" w:sz="4" w:space="0" w:color="D1D1D2"/>
              <w:bottom w:val="single" w:sz="4" w:space="0" w:color="D1D1D2"/>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27.07</w:t>
            </w:r>
          </w:p>
        </w:tc>
        <w:tc>
          <w:tcPr>
            <w:tcW w:w="1106" w:type="dxa"/>
            <w:tcBorders>
              <w:top w:val="nil"/>
              <w:left w:val="nil"/>
              <w:bottom w:val="single" w:sz="4" w:space="0" w:color="D1D1D2"/>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24.43</w:t>
            </w:r>
          </w:p>
        </w:tc>
        <w:tc>
          <w:tcPr>
            <w:tcW w:w="882"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-2.64</w:t>
            </w:r>
          </w:p>
        </w:tc>
        <w:tc>
          <w:tcPr>
            <w:tcW w:w="107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-9.8%</w:t>
            </w:r>
          </w:p>
        </w:tc>
        <w:tc>
          <w:tcPr>
            <w:tcW w:w="872"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-6.06</w:t>
            </w:r>
          </w:p>
        </w:tc>
        <w:tc>
          <w:tcPr>
            <w:tcW w:w="892"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0.36</w:t>
            </w:r>
          </w:p>
        </w:tc>
        <w:tc>
          <w:tcPr>
            <w:tcW w:w="1078"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6.42</w:t>
            </w:r>
          </w:p>
        </w:tc>
        <w:tc>
          <w:tcPr>
            <w:tcW w:w="886"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lef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Positive</w:t>
            </w:r>
          </w:p>
        </w:tc>
      </w:tr>
      <w:tr>
        <w:trPr>
          <w:trHeight w:val="210"/>
        </w:trPr>
        <w:tc>
          <w:tcPr>
            <w:tcW w:w="1134" w:type="dxa"/>
            <w:tcBorders>
              <w:top w:val="nil"/>
              <w:left w:val="single" w:sz="4" w:space="0" w:color="auto"/>
              <w:bottom w:val="single" w:sz="4" w:space="0" w:color="auto"/>
              <w:right w:val="nil"/>
            </w:tcBorders>
            <w:noWrap/>
            <w:vAlign w:val="bottom"/>
            <w:hideMark/>
          </w:tcPr>
          <w:p>
            <w:pPr>
              <w:spacing w:after="0"/>
              <w:jc w:val="left"/>
              <w:rPr>
                <w:rFonts w:ascii="Arial" w:eastAsia="Times New Roman" w:hAnsi="Arial" w:cs="Arial"/>
                <w:noProof/>
                <w:sz w:val="16"/>
                <w:szCs w:val="16"/>
                <w:lang w:eastAsia="en-GB"/>
              </w:rPr>
            </w:pPr>
            <w:r>
              <w:rPr>
                <w:rFonts w:ascii="Arial" w:eastAsia="Times New Roman" w:hAnsi="Arial" w:cs="Arial"/>
                <w:noProof/>
                <w:sz w:val="16"/>
                <w:szCs w:val="16"/>
                <w:lang w:eastAsia="en-GB"/>
              </w:rPr>
              <w:t>USA</w:t>
            </w:r>
          </w:p>
        </w:tc>
        <w:tc>
          <w:tcPr>
            <w:tcW w:w="1120" w:type="dxa"/>
            <w:tcBorders>
              <w:top w:val="nil"/>
              <w:left w:val="single" w:sz="4" w:space="0" w:color="D1D1D2"/>
              <w:bottom w:val="single" w:sz="4" w:space="0" w:color="auto"/>
              <w:right w:val="single" w:sz="4" w:space="0" w:color="D1D1D2"/>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31.69</w:t>
            </w:r>
          </w:p>
        </w:tc>
        <w:tc>
          <w:tcPr>
            <w:tcW w:w="1106" w:type="dxa"/>
            <w:tcBorders>
              <w:top w:val="nil"/>
              <w:left w:val="nil"/>
              <w:bottom w:val="single" w:sz="4" w:space="0" w:color="auto"/>
              <w:right w:val="nil"/>
            </w:tcBorders>
            <w:shd w:val="clear" w:color="auto" w:fill="CCD7ED"/>
            <w:noWrap/>
            <w:vAlign w:val="bottom"/>
            <w:hideMark/>
          </w:tcPr>
          <w:p>
            <w:pPr>
              <w:spacing w:after="0"/>
              <w:jc w:val="right"/>
              <w:rPr>
                <w:rFonts w:ascii="Arial" w:eastAsia="Times New Roman" w:hAnsi="Arial" w:cs="Arial"/>
                <w:b/>
                <w:bCs/>
                <w:noProof/>
                <w:sz w:val="16"/>
                <w:szCs w:val="16"/>
                <w:lang w:eastAsia="en-GB"/>
              </w:rPr>
            </w:pPr>
            <w:r>
              <w:rPr>
                <w:rFonts w:ascii="Arial" w:eastAsia="Times New Roman" w:hAnsi="Arial" w:cs="Arial"/>
                <w:b/>
                <w:bCs/>
                <w:noProof/>
                <w:sz w:val="16"/>
                <w:szCs w:val="16"/>
                <w:lang w:eastAsia="en-GB"/>
              </w:rPr>
              <w:t>10.58</w:t>
            </w:r>
          </w:p>
        </w:tc>
        <w:tc>
          <w:tcPr>
            <w:tcW w:w="882" w:type="dxa"/>
            <w:tcBorders>
              <w:top w:val="single" w:sz="4" w:space="0" w:color="D1D1D2"/>
              <w:left w:val="single" w:sz="4" w:space="0" w:color="D1D1D2"/>
              <w:bottom w:val="single" w:sz="4" w:space="0" w:color="auto"/>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-21.11</w:t>
            </w:r>
          </w:p>
        </w:tc>
        <w:tc>
          <w:tcPr>
            <w:tcW w:w="1079" w:type="dxa"/>
            <w:tcBorders>
              <w:top w:val="single" w:sz="4" w:space="0" w:color="D1D1D2"/>
              <w:left w:val="single" w:sz="4" w:space="0" w:color="D1D1D2"/>
              <w:bottom w:val="single" w:sz="4" w:space="0" w:color="auto"/>
              <w:right w:val="single" w:sz="4" w:space="0" w:color="D1D1D2"/>
            </w:tcBorders>
            <w:shd w:val="clear" w:color="auto" w:fill="C6EFCE"/>
            <w:noWrap/>
            <w:vAlign w:val="bottom"/>
            <w:hideMark/>
          </w:tcPr>
          <w:p>
            <w:pPr>
              <w:spacing w:after="0"/>
              <w:jc w:val="right"/>
              <w:rPr>
                <w:rFonts w:ascii="Arial" w:eastAsia="Times New Roman" w:hAnsi="Arial" w:cs="Arial"/>
                <w:noProof/>
                <w:color w:val="006100"/>
                <w:sz w:val="16"/>
                <w:szCs w:val="16"/>
                <w:lang w:eastAsia="en-GB"/>
              </w:rPr>
            </w:pPr>
            <w:r>
              <w:rPr>
                <w:rFonts w:ascii="Arial" w:eastAsia="Times New Roman" w:hAnsi="Arial" w:cs="Arial"/>
                <w:noProof/>
                <w:color w:val="006100"/>
                <w:sz w:val="16"/>
                <w:szCs w:val="16"/>
                <w:lang w:eastAsia="en-GB"/>
              </w:rPr>
              <w:t>-66.6%</w:t>
            </w:r>
          </w:p>
        </w:tc>
        <w:tc>
          <w:tcPr>
            <w:tcW w:w="872"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-1.44</w:t>
            </w:r>
          </w:p>
        </w:tc>
        <w:tc>
          <w:tcPr>
            <w:tcW w:w="892"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-13.49</w:t>
            </w:r>
          </w:p>
        </w:tc>
        <w:tc>
          <w:tcPr>
            <w:tcW w:w="1078"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-12.04</w:t>
            </w:r>
          </w:p>
        </w:tc>
        <w:tc>
          <w:tcPr>
            <w:tcW w:w="886" w:type="dxa"/>
            <w:tcBorders>
              <w:top w:val="single" w:sz="4" w:space="0" w:color="D1D1D2"/>
              <w:left w:val="single" w:sz="4" w:space="0" w:color="D1D1D2"/>
              <w:bottom w:val="single" w:sz="4" w:space="0" w:color="auto"/>
              <w:right w:val="single" w:sz="4" w:space="0" w:color="auto"/>
            </w:tcBorders>
            <w:shd w:val="clear" w:color="auto" w:fill="FFC7CE"/>
            <w:noWrap/>
            <w:vAlign w:val="bottom"/>
            <w:hideMark/>
          </w:tcPr>
          <w:p>
            <w:pPr>
              <w:spacing w:after="0"/>
              <w:jc w:val="left"/>
              <w:rPr>
                <w:rFonts w:ascii="Arial" w:eastAsia="Times New Roman" w:hAnsi="Arial" w:cs="Arial"/>
                <w:noProof/>
                <w:color w:val="9C0006"/>
                <w:sz w:val="16"/>
                <w:szCs w:val="16"/>
                <w:lang w:eastAsia="en-GB"/>
              </w:rPr>
            </w:pPr>
            <w:r>
              <w:rPr>
                <w:rFonts w:ascii="Arial" w:eastAsia="Times New Roman" w:hAnsi="Arial" w:cs="Arial"/>
                <w:noProof/>
                <w:color w:val="9C0006"/>
                <w:sz w:val="16"/>
                <w:szCs w:val="16"/>
                <w:lang w:eastAsia="en-GB"/>
              </w:rPr>
              <w:t>Negative</w:t>
            </w:r>
          </w:p>
        </w:tc>
      </w:tr>
    </w:tbl>
    <w:p>
      <w:pPr>
        <w:pStyle w:val="Sources"/>
        <w:rPr>
          <w:noProof/>
          <w:lang w:val="fr-BE"/>
        </w:rPr>
      </w:pPr>
      <w:r>
        <w:rPr>
          <w:noProof/>
          <w:lang w:val="fr-BE"/>
        </w:rPr>
        <w:t>Source: Trinomics et altri study (2020)</w:t>
      </w:r>
    </w:p>
    <w:p>
      <w:pPr>
        <w:rPr>
          <w:noProof/>
        </w:rPr>
      </w:pPr>
      <w:r>
        <w:rPr>
          <w:noProof/>
        </w:rPr>
        <w:t>Note: a positive impact for the EU is recorded if the price gap has improved over time, e.g. that if a country had lower prices initially the gap is now smaller or prices are higher than the EU average, or if a country had higher prices and that the gap has increased. A negative impact is recorded if a country had lower prices than the EU, and that the gap has now increased, or if the country had higher prices than the EU but this gap has narrowed or the country now has lower prices.</w:t>
      </w:r>
    </w:p>
    <w:p>
      <w:pPr>
        <w:rPr>
          <w:noProof/>
        </w:rPr>
      </w:pPr>
      <w:r>
        <w:rPr>
          <w:noProof/>
          <w:sz w:val="24"/>
          <w:szCs w:val="24"/>
        </w:rPr>
        <w:t xml:space="preserve">Between 2008 and 2019, the analysis of the factors driving price differential (see </w:t>
      </w:r>
      <w:r>
        <w:rPr>
          <w:noProof/>
        </w:rPr>
        <w:fldChar w:fldCharType="begin"/>
      </w:r>
      <w:r>
        <w:rPr>
          <w:b/>
          <w:noProof/>
          <w:sz w:val="24"/>
          <w:szCs w:val="24"/>
        </w:rPr>
        <w:instrText xml:space="preserve"> REF _Ref531105975 \h  \* MERGEFORMAT </w:instrText>
      </w:r>
      <w:r>
        <w:rPr>
          <w:noProof/>
        </w:rPr>
      </w:r>
      <w:r>
        <w:rPr>
          <w:b/>
          <w:noProof/>
          <w:sz w:val="24"/>
          <w:szCs w:val="24"/>
        </w:rPr>
        <w:fldChar w:fldCharType="separate"/>
      </w:r>
      <w:r>
        <w:rPr>
          <w:b/>
          <w:bCs/>
          <w:noProof/>
          <w:sz w:val="24"/>
          <w:szCs w:val="24"/>
        </w:rPr>
        <w:t>Table 26</w:t>
      </w:r>
      <w:r>
        <w:rPr>
          <w:noProof/>
        </w:rPr>
        <w:fldChar w:fldCharType="end"/>
      </w:r>
      <w:r>
        <w:rPr>
          <w:noProof/>
          <w:sz w:val="24"/>
          <w:szCs w:val="24"/>
        </w:rPr>
        <w:t>) shows that:</w:t>
      </w:r>
    </w:p>
    <w:p>
      <w:pPr>
        <w:pStyle w:val="ListParagraph"/>
        <w:numPr>
          <w:ilvl w:val="0"/>
          <w:numId w:val="12"/>
        </w:numPr>
        <w:spacing w:line="300" w:lineRule="atLeast"/>
        <w:ind w:left="426" w:hanging="426"/>
        <w:contextualSpacing w:val="0"/>
        <w:rPr>
          <w:noProof/>
          <w:sz w:val="24"/>
          <w:szCs w:val="24"/>
        </w:rPr>
      </w:pPr>
      <w:r>
        <w:rPr>
          <w:noProof/>
          <w:sz w:val="24"/>
          <w:szCs w:val="24"/>
        </w:rPr>
        <w:t xml:space="preserve">EU nominal prices in Euros decreased by 9% over the period. Nominal prices in national currency decreased very significantly in South Africa (-30%), significantly in the US, Canada and Mexico (around -15%), similarly to the EU in Brazil (-8%) and technically in China and South Korea (- 3%). Prices, increased in all other non-EU G20 countries, especially in Turkey (+40%). </w:t>
      </w:r>
    </w:p>
    <w:p>
      <w:pPr>
        <w:pStyle w:val="ListParagraph"/>
        <w:numPr>
          <w:ilvl w:val="0"/>
          <w:numId w:val="12"/>
        </w:numPr>
        <w:spacing w:line="300" w:lineRule="atLeast"/>
        <w:ind w:left="426" w:hanging="426"/>
        <w:contextualSpacing w:val="0"/>
        <w:rPr>
          <w:noProof/>
          <w:sz w:val="24"/>
          <w:szCs w:val="24"/>
        </w:rPr>
      </w:pPr>
      <w:r>
        <w:rPr>
          <w:noProof/>
          <w:sz w:val="24"/>
          <w:szCs w:val="24"/>
        </w:rPr>
        <w:t>Inflation pushed prices up especially in Turkey (+25%), South Africa (17%), Brazil (+11%) and Mexico (10%), moderately in China (7%), South Korea (6%) and mildly in the US (4%) and Canada (3%). Prices decreased in Japan (only technically, -0.3%)</w:t>
      </w:r>
    </w:p>
    <w:p>
      <w:pPr>
        <w:pStyle w:val="ListParagraph"/>
        <w:numPr>
          <w:ilvl w:val="0"/>
          <w:numId w:val="12"/>
        </w:numPr>
        <w:spacing w:line="300" w:lineRule="atLeast"/>
        <w:ind w:left="426" w:hanging="426"/>
        <w:contextualSpacing w:val="0"/>
        <w:rPr>
          <w:noProof/>
          <w:sz w:val="24"/>
          <w:szCs w:val="24"/>
        </w:rPr>
      </w:pPr>
      <w:r>
        <w:rPr>
          <w:noProof/>
          <w:sz w:val="24"/>
          <w:szCs w:val="24"/>
        </w:rPr>
        <w:t xml:space="preserve">Exchange rate played important role in pushing prices downwards in Turkey (-66%), Argentina (-15%) and moderately in countries like South Africa, Brazil, Mexico, Japan, Russia and India (- 3-6%).  Exchange rates appreciations against the Euro were important as regards China (+10%) and moderately as regards the US and South Korea (+3%). </w:t>
      </w:r>
    </w:p>
    <w:p>
      <w:pPr>
        <w:pStyle w:val="ListParagraph"/>
        <w:spacing w:line="300" w:lineRule="atLeast"/>
        <w:ind w:left="426"/>
        <w:contextualSpacing w:val="0"/>
        <w:rPr>
          <w:noProof/>
          <w:sz w:val="24"/>
          <w:szCs w:val="24"/>
        </w:rPr>
      </w:pPr>
      <w:r>
        <w:rPr>
          <w:noProof/>
          <w:sz w:val="24"/>
          <w:szCs w:val="24"/>
        </w:rPr>
        <w:t xml:space="preserve"> </w:t>
      </w:r>
      <w:bookmarkStart w:id="430" w:name="_Toc519542615"/>
      <w:bookmarkEnd w:id="430"/>
    </w:p>
    <w:p>
      <w:pPr>
        <w:rPr>
          <w:noProof/>
        </w:rPr>
        <w:sectPr>
          <w:headerReference w:type="even" r:id="rId137"/>
          <w:headerReference w:type="default" r:id="rId138"/>
          <w:footerReference w:type="even" r:id="rId139"/>
          <w:footerReference w:type="default" r:id="rId140"/>
          <w:headerReference w:type="first" r:id="rId141"/>
          <w:footerReference w:type="first" r:id="rId142"/>
          <w:footnotePr>
            <w:numStart w:val="51"/>
          </w:footnotePr>
          <w:pgSz w:w="11906" w:h="16838"/>
          <w:pgMar w:top="1440" w:right="1440" w:bottom="1440" w:left="1440" w:header="709" w:footer="567" w:gutter="0"/>
          <w:cols w:space="708"/>
          <w:docGrid w:linePitch="360"/>
        </w:sectPr>
      </w:pPr>
    </w:p>
    <w:p>
      <w:pPr>
        <w:pStyle w:val="Caption"/>
        <w:rPr>
          <w:lang w:eastAsia="de-DE"/>
        </w:rPr>
      </w:pPr>
      <w:bookmarkStart w:id="431" w:name="_Ref517957309"/>
      <w:bookmarkStart w:id="432" w:name="_Ref531105975"/>
      <w:bookmarkStart w:id="433" w:name="_Toc52396985"/>
      <w:bookmarkEnd w:id="431"/>
      <w:r>
        <w:t xml:space="preserve">Table </w:t>
      </w:r>
      <w:r>
        <w:fldChar w:fldCharType="begin"/>
      </w:r>
      <w:r>
        <w:instrText xml:space="preserve"> SEQ Table \* ARABIC </w:instrText>
      </w:r>
      <w:r>
        <w:fldChar w:fldCharType="separate"/>
      </w:r>
      <w:r>
        <w:t>26</w:t>
      </w:r>
      <w:r>
        <w:fldChar w:fldCharType="end"/>
      </w:r>
      <w:bookmarkEnd w:id="432"/>
      <w:r>
        <w:rPr>
          <w:lang w:eastAsia="de-DE"/>
        </w:rPr>
        <w:t xml:space="preserve"> - Factors in observed industrial retail natural gas price changes per country, nominal prices, per MWh</w:t>
      </w:r>
      <w:bookmarkEnd w:id="433"/>
    </w:p>
    <w:p>
      <w:pPr>
        <w:rPr>
          <w:noProof/>
          <w:lang w:eastAsia="de-DE"/>
        </w:rPr>
      </w:pPr>
    </w:p>
    <w:tbl>
      <w:tblPr>
        <w:tblW w:w="13305" w:type="dxa"/>
        <w:tblLook w:val="04A0" w:firstRow="1" w:lastRow="0" w:firstColumn="1" w:lastColumn="0" w:noHBand="0" w:noVBand="1"/>
      </w:tblPr>
      <w:tblGrid>
        <w:gridCol w:w="1121"/>
        <w:gridCol w:w="888"/>
        <w:gridCol w:w="949"/>
        <w:gridCol w:w="967"/>
        <w:gridCol w:w="957"/>
        <w:gridCol w:w="1017"/>
        <w:gridCol w:w="1109"/>
        <w:gridCol w:w="1189"/>
        <w:gridCol w:w="967"/>
        <w:gridCol w:w="957"/>
        <w:gridCol w:w="1017"/>
        <w:gridCol w:w="1109"/>
        <w:gridCol w:w="1058"/>
      </w:tblGrid>
      <w:tr>
        <w:trPr>
          <w:trHeight w:val="972"/>
        </w:trPr>
        <w:tc>
          <w:tcPr>
            <w:tcW w:w="1121" w:type="dxa"/>
            <w:tcBorders>
              <w:top w:val="single" w:sz="4" w:space="0" w:color="B9BBBB"/>
              <w:left w:val="single" w:sz="4" w:space="0" w:color="B9BBBB"/>
              <w:bottom w:val="nil"/>
              <w:right w:val="single" w:sz="4" w:space="0" w:color="B9BBBB"/>
            </w:tcBorders>
            <w:shd w:val="clear" w:color="auto" w:fill="005962"/>
            <w:vAlign w:val="bottom"/>
            <w:hideMark/>
          </w:tcPr>
          <w:p>
            <w:pPr>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Country</w:t>
            </w:r>
          </w:p>
        </w:tc>
        <w:tc>
          <w:tcPr>
            <w:tcW w:w="888"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Start date</w:t>
            </w:r>
          </w:p>
        </w:tc>
        <w:tc>
          <w:tcPr>
            <w:tcW w:w="949"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End date</w:t>
            </w:r>
          </w:p>
        </w:tc>
        <w:tc>
          <w:tcPr>
            <w:tcW w:w="967"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Nominal Start price EUR</w:t>
            </w:r>
          </w:p>
        </w:tc>
        <w:tc>
          <w:tcPr>
            <w:tcW w:w="957"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Change due to inflation [EUR]</w:t>
            </w:r>
          </w:p>
        </w:tc>
        <w:tc>
          <w:tcPr>
            <w:tcW w:w="1017"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Change due to price change in national currency [EUR]</w:t>
            </w:r>
          </w:p>
        </w:tc>
        <w:tc>
          <w:tcPr>
            <w:tcW w:w="1109" w:type="dxa"/>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Exchange rate effect [EUR]</w:t>
            </w:r>
          </w:p>
        </w:tc>
        <w:tc>
          <w:tcPr>
            <w:tcW w:w="1189" w:type="dxa"/>
            <w:tcBorders>
              <w:top w:val="nil"/>
              <w:left w:val="single" w:sz="4" w:space="0" w:color="B9BBBB"/>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Total change [EUR]</w:t>
            </w:r>
          </w:p>
        </w:tc>
        <w:tc>
          <w:tcPr>
            <w:tcW w:w="967"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Nominal End price EUR</w:t>
            </w:r>
          </w:p>
        </w:tc>
        <w:tc>
          <w:tcPr>
            <w:tcW w:w="957"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Change due to inflation [%]</w:t>
            </w:r>
          </w:p>
        </w:tc>
        <w:tc>
          <w:tcPr>
            <w:tcW w:w="1017" w:type="dxa"/>
            <w:tcBorders>
              <w:top w:val="nil"/>
              <w:left w:val="nil"/>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Change due to real price change in national currency [%]</w:t>
            </w:r>
          </w:p>
        </w:tc>
        <w:tc>
          <w:tcPr>
            <w:tcW w:w="1109" w:type="dxa"/>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Exchange rate effect [%]</w:t>
            </w:r>
          </w:p>
        </w:tc>
        <w:tc>
          <w:tcPr>
            <w:tcW w:w="1058" w:type="dxa"/>
            <w:tcBorders>
              <w:top w:val="nil"/>
              <w:left w:val="single" w:sz="4" w:space="0" w:color="B9BBBB"/>
              <w:bottom w:val="nil"/>
              <w:right w:val="single" w:sz="4" w:space="0" w:color="B9BBBB"/>
            </w:tcBorders>
            <w:shd w:val="clear" w:color="auto" w:fill="005962"/>
            <w:vAlign w:val="bottom"/>
            <w:hideMark/>
          </w:tcPr>
          <w:p>
            <w:pPr>
              <w:spacing w:after="0"/>
              <w:jc w:val="left"/>
              <w:rPr>
                <w:rFonts w:ascii="Trebuchet MS" w:eastAsia="Times New Roman" w:hAnsi="Trebuchet MS" w:cs="Arial"/>
                <w:b/>
                <w:bCs/>
                <w:noProof/>
                <w:color w:val="FFFFFF"/>
                <w:sz w:val="16"/>
                <w:szCs w:val="16"/>
                <w:lang w:eastAsia="en-GB"/>
              </w:rPr>
            </w:pPr>
            <w:r>
              <w:rPr>
                <w:rFonts w:ascii="Trebuchet MS" w:eastAsia="Times New Roman" w:hAnsi="Trebuchet MS" w:cs="Arial"/>
                <w:b/>
                <w:bCs/>
                <w:noProof/>
                <w:color w:val="FFFFFF"/>
                <w:sz w:val="16"/>
                <w:szCs w:val="16"/>
                <w:lang w:eastAsia="en-GB"/>
              </w:rPr>
              <w:t>Total change [%]</w:t>
            </w:r>
          </w:p>
        </w:tc>
      </w:tr>
      <w:tr>
        <w:trPr>
          <w:trHeight w:val="219"/>
        </w:trPr>
        <w:tc>
          <w:tcPr>
            <w:tcW w:w="1121" w:type="dxa"/>
            <w:tcBorders>
              <w:top w:val="single" w:sz="4" w:space="0" w:color="auto"/>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EU27</w:t>
            </w:r>
          </w:p>
        </w:tc>
        <w:tc>
          <w:tcPr>
            <w:tcW w:w="888" w:type="dxa"/>
            <w:tcBorders>
              <w:top w:val="single" w:sz="4" w:space="0" w:color="auto"/>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single" w:sz="4" w:space="0" w:color="auto"/>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2019-11</w:t>
            </w:r>
          </w:p>
        </w:tc>
        <w:tc>
          <w:tcPr>
            <w:tcW w:w="967" w:type="dxa"/>
            <w:tcBorders>
              <w:top w:val="single" w:sz="4" w:space="0" w:color="auto"/>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29.82</w:t>
            </w:r>
          </w:p>
        </w:tc>
        <w:tc>
          <w:tcPr>
            <w:tcW w:w="957" w:type="dxa"/>
            <w:tcBorders>
              <w:top w:val="single" w:sz="4" w:space="0" w:color="auto"/>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3.68</w:t>
            </w:r>
          </w:p>
        </w:tc>
        <w:tc>
          <w:tcPr>
            <w:tcW w:w="1017" w:type="dxa"/>
            <w:tcBorders>
              <w:top w:val="single" w:sz="4" w:space="0" w:color="auto"/>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-9.01</w:t>
            </w:r>
          </w:p>
        </w:tc>
        <w:tc>
          <w:tcPr>
            <w:tcW w:w="1109" w:type="dxa"/>
            <w:tcBorders>
              <w:top w:val="single" w:sz="4" w:space="0" w:color="auto"/>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0.00</w:t>
            </w:r>
          </w:p>
        </w:tc>
        <w:tc>
          <w:tcPr>
            <w:tcW w:w="1189" w:type="dxa"/>
            <w:tcBorders>
              <w:top w:val="single" w:sz="4" w:space="0" w:color="auto"/>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-5.34</w:t>
            </w:r>
          </w:p>
        </w:tc>
        <w:tc>
          <w:tcPr>
            <w:tcW w:w="967" w:type="dxa"/>
            <w:tcBorders>
              <w:top w:val="single" w:sz="4" w:space="0" w:color="auto"/>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24.49</w:t>
            </w:r>
          </w:p>
        </w:tc>
        <w:tc>
          <w:tcPr>
            <w:tcW w:w="957" w:type="dxa"/>
            <w:tcBorders>
              <w:top w:val="single" w:sz="4" w:space="0" w:color="auto"/>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12.3%</w:t>
            </w:r>
          </w:p>
        </w:tc>
        <w:tc>
          <w:tcPr>
            <w:tcW w:w="1017" w:type="dxa"/>
            <w:tcBorders>
              <w:top w:val="single" w:sz="4" w:space="0" w:color="auto"/>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-30.2%</w:t>
            </w:r>
          </w:p>
        </w:tc>
        <w:tc>
          <w:tcPr>
            <w:tcW w:w="1109" w:type="dxa"/>
            <w:tcBorders>
              <w:top w:val="single" w:sz="4" w:space="0" w:color="auto"/>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0.0%</w:t>
            </w:r>
          </w:p>
        </w:tc>
        <w:tc>
          <w:tcPr>
            <w:tcW w:w="1058" w:type="dxa"/>
            <w:tcBorders>
              <w:top w:val="single" w:sz="4" w:space="0" w:color="auto"/>
              <w:left w:val="single" w:sz="4" w:space="0" w:color="D1D1D2"/>
              <w:bottom w:val="single" w:sz="4" w:space="0" w:color="D1D1D2"/>
              <w:right w:val="single" w:sz="4" w:space="0" w:color="auto"/>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-17.9%</w:t>
            </w:r>
          </w:p>
        </w:tc>
      </w:tr>
      <w:tr>
        <w:trPr>
          <w:trHeight w:val="208"/>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Argentina</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2008-9</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2019-6</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1.49</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4.30</w:t>
            </w:r>
          </w:p>
        </w:tc>
        <w:tc>
          <w:tcPr>
            <w:tcW w:w="101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10.23</w:t>
            </w:r>
          </w:p>
        </w:tc>
        <w:tc>
          <w:tcPr>
            <w:tcW w:w="110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-14.55</w:t>
            </w:r>
          </w:p>
        </w:tc>
        <w:tc>
          <w:tcPr>
            <w:tcW w:w="118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-0.02</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1.48</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288.4%</w:t>
            </w:r>
          </w:p>
        </w:tc>
        <w:tc>
          <w:tcPr>
            <w:tcW w:w="1017"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686.2%</w:t>
            </w:r>
          </w:p>
        </w:tc>
        <w:tc>
          <w:tcPr>
            <w:tcW w:w="110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-975.9%</w:t>
            </w:r>
          </w:p>
        </w:tc>
        <w:tc>
          <w:tcPr>
            <w:tcW w:w="1058"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-1.3%</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Australia</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11.79</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2.60</w:t>
            </w:r>
          </w:p>
        </w:tc>
        <w:tc>
          <w:tcPr>
            <w:tcW w:w="101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6.19</w:t>
            </w:r>
          </w:p>
        </w:tc>
        <w:tc>
          <w:tcPr>
            <w:tcW w:w="110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0.93</w:t>
            </w:r>
          </w:p>
        </w:tc>
        <w:tc>
          <w:tcPr>
            <w:tcW w:w="118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9.72</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21.51</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22.0%</w:t>
            </w:r>
          </w:p>
        </w:tc>
        <w:tc>
          <w:tcPr>
            <w:tcW w:w="1017"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52.5%</w:t>
            </w:r>
          </w:p>
        </w:tc>
        <w:tc>
          <w:tcPr>
            <w:tcW w:w="1109"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7.9%</w:t>
            </w:r>
          </w:p>
        </w:tc>
        <w:tc>
          <w:tcPr>
            <w:tcW w:w="1058"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82.4%</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Brazil</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2008-12</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2018-12</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17.55</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10.95</w:t>
            </w:r>
          </w:p>
        </w:tc>
        <w:tc>
          <w:tcPr>
            <w:tcW w:w="1017"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-8.54</w:t>
            </w:r>
          </w:p>
        </w:tc>
        <w:tc>
          <w:tcPr>
            <w:tcW w:w="110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-5.05</w:t>
            </w:r>
          </w:p>
        </w:tc>
        <w:tc>
          <w:tcPr>
            <w:tcW w:w="118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-2.64</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13.64</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62.4%</w:t>
            </w:r>
          </w:p>
        </w:tc>
        <w:tc>
          <w:tcPr>
            <w:tcW w:w="1017"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-48.7%</w:t>
            </w:r>
          </w:p>
        </w:tc>
        <w:tc>
          <w:tcPr>
            <w:tcW w:w="110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-28.8%</w:t>
            </w:r>
          </w:p>
        </w:tc>
        <w:tc>
          <w:tcPr>
            <w:tcW w:w="1058"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-15.0%</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Canada</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20.58</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3.09</w:t>
            </w:r>
          </w:p>
        </w:tc>
        <w:tc>
          <w:tcPr>
            <w:tcW w:w="1017"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-14.74</w:t>
            </w:r>
          </w:p>
        </w:tc>
        <w:tc>
          <w:tcPr>
            <w:tcW w:w="110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-0.20</w:t>
            </w:r>
          </w:p>
        </w:tc>
        <w:tc>
          <w:tcPr>
            <w:tcW w:w="118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-11.85</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8.73</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15.0%</w:t>
            </w:r>
          </w:p>
        </w:tc>
        <w:tc>
          <w:tcPr>
            <w:tcW w:w="1017"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-71.6%</w:t>
            </w:r>
          </w:p>
        </w:tc>
        <w:tc>
          <w:tcPr>
            <w:tcW w:w="110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-1.0%</w:t>
            </w:r>
          </w:p>
        </w:tc>
        <w:tc>
          <w:tcPr>
            <w:tcW w:w="1058"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-57.6%</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China</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2019-11</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22.04</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6.82</w:t>
            </w:r>
          </w:p>
        </w:tc>
        <w:tc>
          <w:tcPr>
            <w:tcW w:w="1017"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-3.02</w:t>
            </w:r>
          </w:p>
        </w:tc>
        <w:tc>
          <w:tcPr>
            <w:tcW w:w="110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9.66</w:t>
            </w:r>
          </w:p>
        </w:tc>
        <w:tc>
          <w:tcPr>
            <w:tcW w:w="118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13.46</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35.50</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30.9%</w:t>
            </w:r>
          </w:p>
        </w:tc>
        <w:tc>
          <w:tcPr>
            <w:tcW w:w="1017"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-13.7%</w:t>
            </w:r>
          </w:p>
        </w:tc>
        <w:tc>
          <w:tcPr>
            <w:tcW w:w="1109"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43.8%</w:t>
            </w:r>
          </w:p>
        </w:tc>
        <w:tc>
          <w:tcPr>
            <w:tcW w:w="1058"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61.1%</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India</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2018-1</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xml:space="preserve">        4.98 </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2.85</w:t>
            </w:r>
          </w:p>
        </w:tc>
        <w:tc>
          <w:tcPr>
            <w:tcW w:w="101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4.47</w:t>
            </w:r>
          </w:p>
        </w:tc>
        <w:tc>
          <w:tcPr>
            <w:tcW w:w="110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-3.14</w:t>
            </w:r>
          </w:p>
        </w:tc>
        <w:tc>
          <w:tcPr>
            <w:tcW w:w="118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4.18</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9.15</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57.2%</w:t>
            </w:r>
          </w:p>
        </w:tc>
        <w:tc>
          <w:tcPr>
            <w:tcW w:w="1017"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89.7%</w:t>
            </w:r>
          </w:p>
        </w:tc>
        <w:tc>
          <w:tcPr>
            <w:tcW w:w="110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-63.0%</w:t>
            </w:r>
          </w:p>
        </w:tc>
        <w:tc>
          <w:tcPr>
            <w:tcW w:w="1058"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83.9%</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Indonesia</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No data</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w:t>
            </w:r>
          </w:p>
        </w:tc>
        <w:tc>
          <w:tcPr>
            <w:tcW w:w="957" w:type="dxa"/>
            <w:tcBorders>
              <w:top w:val="nil"/>
              <w:left w:val="single" w:sz="4" w:space="0" w:color="B9BBBB"/>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017" w:type="dxa"/>
            <w:tcBorders>
              <w:top w:val="nil"/>
              <w:left w:val="nil"/>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109" w:type="dxa"/>
            <w:tcBorders>
              <w:top w:val="nil"/>
              <w:left w:val="nil"/>
              <w:bottom w:val="single" w:sz="4" w:space="0" w:color="B9BBBB"/>
              <w:right w:val="single" w:sz="4" w:space="0" w:color="B9BBBB"/>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189" w:type="dxa"/>
            <w:tcBorders>
              <w:top w:val="nil"/>
              <w:left w:val="nil"/>
              <w:bottom w:val="single" w:sz="4" w:space="0" w:color="B9BBBB"/>
              <w:right w:val="single" w:sz="4" w:space="0" w:color="B9BBBB"/>
            </w:tcBorders>
            <w:noWrap/>
            <w:vAlign w:val="bottom"/>
            <w:hideMark/>
          </w:tcPr>
          <w:p>
            <w:pPr>
              <w:spacing w:after="0"/>
              <w:jc w:val="lef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lef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w:t>
            </w:r>
          </w:p>
        </w:tc>
        <w:tc>
          <w:tcPr>
            <w:tcW w:w="957"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017"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10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 </w:t>
            </w:r>
          </w:p>
        </w:tc>
        <w:tc>
          <w:tcPr>
            <w:tcW w:w="1058" w:type="dxa"/>
            <w:tcBorders>
              <w:top w:val="nil"/>
              <w:left w:val="nil"/>
              <w:bottom w:val="single" w:sz="4" w:space="0" w:color="D1D1D2"/>
              <w:right w:val="single" w:sz="4" w:space="0" w:color="auto"/>
            </w:tcBorders>
            <w:noWrap/>
            <w:vAlign w:val="bottom"/>
            <w:hideMark/>
          </w:tcPr>
          <w:p>
            <w:pPr>
              <w:spacing w:after="0"/>
              <w:jc w:val="lef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 </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Japan</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2009-1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2018-1</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34.97</w:t>
            </w:r>
          </w:p>
        </w:tc>
        <w:tc>
          <w:tcPr>
            <w:tcW w:w="957"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-0.29</w:t>
            </w:r>
          </w:p>
        </w:tc>
        <w:tc>
          <w:tcPr>
            <w:tcW w:w="101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7.90</w:t>
            </w:r>
          </w:p>
        </w:tc>
        <w:tc>
          <w:tcPr>
            <w:tcW w:w="110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-4.89</w:t>
            </w:r>
          </w:p>
        </w:tc>
        <w:tc>
          <w:tcPr>
            <w:tcW w:w="118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2.72</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37.70</w:t>
            </w:r>
          </w:p>
        </w:tc>
        <w:tc>
          <w:tcPr>
            <w:tcW w:w="957" w:type="dxa"/>
            <w:tcBorders>
              <w:top w:val="single" w:sz="4" w:space="0" w:color="D1D1D2"/>
              <w:left w:val="single" w:sz="4" w:space="0" w:color="auto"/>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-0.8%</w:t>
            </w:r>
          </w:p>
        </w:tc>
        <w:tc>
          <w:tcPr>
            <w:tcW w:w="1017"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22.6%</w:t>
            </w:r>
          </w:p>
        </w:tc>
        <w:tc>
          <w:tcPr>
            <w:tcW w:w="110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-14.0%</w:t>
            </w:r>
          </w:p>
        </w:tc>
        <w:tc>
          <w:tcPr>
            <w:tcW w:w="1058"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7.8%</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Mexico</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18.78</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9.23</w:t>
            </w:r>
          </w:p>
        </w:tc>
        <w:tc>
          <w:tcPr>
            <w:tcW w:w="1017"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-13.75</w:t>
            </w:r>
          </w:p>
        </w:tc>
        <w:tc>
          <w:tcPr>
            <w:tcW w:w="110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-3.80</w:t>
            </w:r>
          </w:p>
        </w:tc>
        <w:tc>
          <w:tcPr>
            <w:tcW w:w="118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-8.32</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10.46</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49.1%</w:t>
            </w:r>
          </w:p>
        </w:tc>
        <w:tc>
          <w:tcPr>
            <w:tcW w:w="1017"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-73.2%</w:t>
            </w:r>
          </w:p>
        </w:tc>
        <w:tc>
          <w:tcPr>
            <w:tcW w:w="110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-20.2%</w:t>
            </w:r>
          </w:p>
        </w:tc>
        <w:tc>
          <w:tcPr>
            <w:tcW w:w="1058"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-44.3%</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Russia</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2015-4</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5.78</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4.07</w:t>
            </w:r>
          </w:p>
        </w:tc>
        <w:tc>
          <w:tcPr>
            <w:tcW w:w="101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1.61</w:t>
            </w:r>
          </w:p>
        </w:tc>
        <w:tc>
          <w:tcPr>
            <w:tcW w:w="110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-4.18</w:t>
            </w:r>
          </w:p>
        </w:tc>
        <w:tc>
          <w:tcPr>
            <w:tcW w:w="118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1.50</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7.27</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70.4%</w:t>
            </w:r>
          </w:p>
        </w:tc>
        <w:tc>
          <w:tcPr>
            <w:tcW w:w="1017"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27.9%</w:t>
            </w:r>
          </w:p>
        </w:tc>
        <w:tc>
          <w:tcPr>
            <w:tcW w:w="110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-72.3%</w:t>
            </w:r>
          </w:p>
        </w:tc>
        <w:tc>
          <w:tcPr>
            <w:tcW w:w="1058"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26.0%</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Saudi Arabia</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2018-1</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1.49</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0.25</w:t>
            </w:r>
          </w:p>
        </w:tc>
        <w:tc>
          <w:tcPr>
            <w:tcW w:w="101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0.80</w:t>
            </w:r>
          </w:p>
        </w:tc>
        <w:tc>
          <w:tcPr>
            <w:tcW w:w="110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0.49</w:t>
            </w:r>
          </w:p>
        </w:tc>
        <w:tc>
          <w:tcPr>
            <w:tcW w:w="118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1.54</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3.02</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16.8%</w:t>
            </w:r>
          </w:p>
        </w:tc>
        <w:tc>
          <w:tcPr>
            <w:tcW w:w="1017"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53.8%</w:t>
            </w:r>
          </w:p>
        </w:tc>
        <w:tc>
          <w:tcPr>
            <w:tcW w:w="1109"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33.0%</w:t>
            </w:r>
          </w:p>
        </w:tc>
        <w:tc>
          <w:tcPr>
            <w:tcW w:w="1058"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103.7%</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South Africa</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2017-12</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30.14</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16.58</w:t>
            </w:r>
          </w:p>
        </w:tc>
        <w:tc>
          <w:tcPr>
            <w:tcW w:w="1017"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-30.12</w:t>
            </w:r>
          </w:p>
        </w:tc>
        <w:tc>
          <w:tcPr>
            <w:tcW w:w="110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-5.62</w:t>
            </w:r>
          </w:p>
        </w:tc>
        <w:tc>
          <w:tcPr>
            <w:tcW w:w="118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-19.16</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10.98</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55.0%</w:t>
            </w:r>
          </w:p>
        </w:tc>
        <w:tc>
          <w:tcPr>
            <w:tcW w:w="1017"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-99.9%</w:t>
            </w:r>
          </w:p>
        </w:tc>
        <w:tc>
          <w:tcPr>
            <w:tcW w:w="110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-18.6%</w:t>
            </w:r>
          </w:p>
        </w:tc>
        <w:tc>
          <w:tcPr>
            <w:tcW w:w="1058" w:type="dxa"/>
            <w:tcBorders>
              <w:top w:val="single" w:sz="4" w:space="0" w:color="D1D1D2"/>
              <w:left w:val="single" w:sz="4" w:space="0" w:color="D1D1D2"/>
              <w:bottom w:val="single" w:sz="4" w:space="0" w:color="D1D1D2"/>
              <w:right w:val="single" w:sz="4" w:space="0" w:color="auto"/>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-63.6%</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South Korea</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31.75</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5.74</w:t>
            </w:r>
          </w:p>
        </w:tc>
        <w:tc>
          <w:tcPr>
            <w:tcW w:w="1017"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-2.83</w:t>
            </w:r>
          </w:p>
        </w:tc>
        <w:tc>
          <w:tcPr>
            <w:tcW w:w="110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3.17</w:t>
            </w:r>
          </w:p>
        </w:tc>
        <w:tc>
          <w:tcPr>
            <w:tcW w:w="118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6.08</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37.82</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18.1%</w:t>
            </w:r>
          </w:p>
        </w:tc>
        <w:tc>
          <w:tcPr>
            <w:tcW w:w="1017"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-8.9%</w:t>
            </w:r>
          </w:p>
        </w:tc>
        <w:tc>
          <w:tcPr>
            <w:tcW w:w="1109"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10.0%</w:t>
            </w:r>
          </w:p>
        </w:tc>
        <w:tc>
          <w:tcPr>
            <w:tcW w:w="1058"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19.2%</w:t>
            </w:r>
          </w:p>
        </w:tc>
      </w:tr>
      <w:tr>
        <w:trPr>
          <w:trHeight w:val="182"/>
        </w:trPr>
        <w:tc>
          <w:tcPr>
            <w:tcW w:w="1121" w:type="dxa"/>
            <w:tcBorders>
              <w:top w:val="nil"/>
              <w:left w:val="single" w:sz="4" w:space="0" w:color="auto"/>
              <w:bottom w:val="single" w:sz="4" w:space="0" w:color="B9BBBB"/>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Turkey</w:t>
            </w:r>
          </w:p>
        </w:tc>
        <w:tc>
          <w:tcPr>
            <w:tcW w:w="888" w:type="dxa"/>
            <w:tcBorders>
              <w:top w:val="nil"/>
              <w:left w:val="single" w:sz="4" w:space="0" w:color="D1D1D2"/>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D1D1D2"/>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2019-11</w:t>
            </w:r>
          </w:p>
        </w:tc>
        <w:tc>
          <w:tcPr>
            <w:tcW w:w="967" w:type="dxa"/>
            <w:tcBorders>
              <w:top w:val="nil"/>
              <w:left w:val="nil"/>
              <w:bottom w:val="single" w:sz="4" w:space="0" w:color="D1D1D2"/>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24.37</w:t>
            </w:r>
          </w:p>
        </w:tc>
        <w:tc>
          <w:tcPr>
            <w:tcW w:w="95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24.73</w:t>
            </w:r>
          </w:p>
        </w:tc>
        <w:tc>
          <w:tcPr>
            <w:tcW w:w="1017"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41.90</w:t>
            </w:r>
          </w:p>
        </w:tc>
        <w:tc>
          <w:tcPr>
            <w:tcW w:w="1109" w:type="dxa"/>
            <w:tcBorders>
              <w:top w:val="single" w:sz="4" w:space="0" w:color="B9BBBB"/>
              <w:left w:val="single" w:sz="4" w:space="0" w:color="B9BBBB"/>
              <w:bottom w:val="single" w:sz="4" w:space="0" w:color="B9BBBB"/>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-66.14</w:t>
            </w:r>
          </w:p>
        </w:tc>
        <w:tc>
          <w:tcPr>
            <w:tcW w:w="1189" w:type="dxa"/>
            <w:tcBorders>
              <w:top w:val="single" w:sz="4" w:space="0" w:color="B9BBBB"/>
              <w:left w:val="single" w:sz="4" w:space="0" w:color="B9BBBB"/>
              <w:bottom w:val="single" w:sz="4" w:space="0" w:color="B9BBBB"/>
              <w:right w:val="single" w:sz="4" w:space="0" w:color="B9BBBB"/>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0.49</w:t>
            </w:r>
          </w:p>
        </w:tc>
        <w:tc>
          <w:tcPr>
            <w:tcW w:w="967" w:type="dxa"/>
            <w:tcBorders>
              <w:top w:val="nil"/>
              <w:left w:val="nil"/>
              <w:bottom w:val="single" w:sz="4" w:space="0" w:color="D1D1D2"/>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24.85</w:t>
            </w:r>
          </w:p>
        </w:tc>
        <w:tc>
          <w:tcPr>
            <w:tcW w:w="957" w:type="dxa"/>
            <w:tcBorders>
              <w:top w:val="single" w:sz="4" w:space="0" w:color="D1D1D2"/>
              <w:left w:val="single" w:sz="4" w:space="0" w:color="auto"/>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101.5%</w:t>
            </w:r>
          </w:p>
        </w:tc>
        <w:tc>
          <w:tcPr>
            <w:tcW w:w="1017" w:type="dxa"/>
            <w:tcBorders>
              <w:top w:val="single" w:sz="4" w:space="0" w:color="D1D1D2"/>
              <w:left w:val="single" w:sz="4" w:space="0" w:color="D1D1D2"/>
              <w:bottom w:val="single" w:sz="4" w:space="0" w:color="D1D1D2"/>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171.9%</w:t>
            </w:r>
          </w:p>
        </w:tc>
        <w:tc>
          <w:tcPr>
            <w:tcW w:w="1109" w:type="dxa"/>
            <w:tcBorders>
              <w:top w:val="single" w:sz="4" w:space="0" w:color="D1D1D2"/>
              <w:left w:val="single" w:sz="4" w:space="0" w:color="D1D1D2"/>
              <w:bottom w:val="single" w:sz="4" w:space="0" w:color="D1D1D2"/>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-271.4%</w:t>
            </w:r>
          </w:p>
        </w:tc>
        <w:tc>
          <w:tcPr>
            <w:tcW w:w="1058" w:type="dxa"/>
            <w:tcBorders>
              <w:top w:val="single" w:sz="4" w:space="0" w:color="D1D1D2"/>
              <w:left w:val="single" w:sz="4" w:space="0" w:color="D1D1D2"/>
              <w:bottom w:val="single" w:sz="4" w:space="0" w:color="D1D1D2"/>
              <w:right w:val="single" w:sz="4" w:space="0" w:color="auto"/>
            </w:tcBorders>
            <w:shd w:val="clear" w:color="auto" w:fill="FFC7CE"/>
            <w:noWrap/>
            <w:vAlign w:val="bottom"/>
            <w:hideMark/>
          </w:tcPr>
          <w:p>
            <w:pPr>
              <w:spacing w:after="0"/>
              <w:jc w:val="right"/>
              <w:rPr>
                <w:rFonts w:ascii="Trebuchet MS" w:eastAsia="Times New Roman" w:hAnsi="Trebuchet MS" w:cs="Arial"/>
                <w:b/>
                <w:bCs/>
                <w:noProof/>
                <w:color w:val="9C0006"/>
                <w:sz w:val="16"/>
                <w:szCs w:val="16"/>
                <w:lang w:eastAsia="en-GB"/>
              </w:rPr>
            </w:pPr>
            <w:r>
              <w:rPr>
                <w:rFonts w:ascii="Trebuchet MS" w:eastAsia="Times New Roman" w:hAnsi="Trebuchet MS" w:cs="Arial"/>
                <w:b/>
                <w:bCs/>
                <w:noProof/>
                <w:color w:val="9C0006"/>
                <w:sz w:val="16"/>
                <w:szCs w:val="16"/>
                <w:lang w:eastAsia="en-GB"/>
              </w:rPr>
              <w:t>2.0%</w:t>
            </w:r>
          </w:p>
        </w:tc>
      </w:tr>
      <w:tr>
        <w:trPr>
          <w:trHeight w:val="182"/>
        </w:trPr>
        <w:tc>
          <w:tcPr>
            <w:tcW w:w="1121" w:type="dxa"/>
            <w:tcBorders>
              <w:top w:val="nil"/>
              <w:left w:val="single" w:sz="4" w:space="0" w:color="auto"/>
              <w:bottom w:val="single" w:sz="4" w:space="0" w:color="auto"/>
              <w:right w:val="nil"/>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USA</w:t>
            </w:r>
          </w:p>
        </w:tc>
        <w:tc>
          <w:tcPr>
            <w:tcW w:w="888" w:type="dxa"/>
            <w:tcBorders>
              <w:top w:val="nil"/>
              <w:left w:val="single" w:sz="4" w:space="0" w:color="D1D1D2"/>
              <w:bottom w:val="single" w:sz="4" w:space="0" w:color="auto"/>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2008-1</w:t>
            </w:r>
          </w:p>
        </w:tc>
        <w:tc>
          <w:tcPr>
            <w:tcW w:w="949" w:type="dxa"/>
            <w:tcBorders>
              <w:top w:val="nil"/>
              <w:left w:val="nil"/>
              <w:bottom w:val="single" w:sz="4" w:space="0" w:color="auto"/>
              <w:right w:val="single" w:sz="4" w:space="0" w:color="D1D1D2"/>
            </w:tcBorders>
            <w:noWrap/>
            <w:vAlign w:val="bottom"/>
            <w:hideMark/>
          </w:tcPr>
          <w:p>
            <w:pPr>
              <w:spacing w:after="0"/>
              <w:jc w:val="left"/>
              <w:rPr>
                <w:rFonts w:ascii="Trebuchet MS" w:eastAsia="Times New Roman" w:hAnsi="Trebuchet MS" w:cs="Arial"/>
                <w:noProof/>
                <w:sz w:val="16"/>
                <w:szCs w:val="16"/>
                <w:lang w:eastAsia="en-GB"/>
              </w:rPr>
            </w:pPr>
            <w:r>
              <w:rPr>
                <w:rFonts w:ascii="Trebuchet MS" w:eastAsia="Times New Roman" w:hAnsi="Trebuchet MS" w:cs="Arial"/>
                <w:noProof/>
                <w:sz w:val="16"/>
                <w:szCs w:val="16"/>
                <w:lang w:eastAsia="en-GB"/>
              </w:rPr>
              <w:t>2019-1</w:t>
            </w:r>
          </w:p>
        </w:tc>
        <w:tc>
          <w:tcPr>
            <w:tcW w:w="967" w:type="dxa"/>
            <w:tcBorders>
              <w:top w:val="nil"/>
              <w:left w:val="nil"/>
              <w:bottom w:val="single" w:sz="4" w:space="0" w:color="auto"/>
              <w:right w:val="nil"/>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21.69</w:t>
            </w:r>
          </w:p>
        </w:tc>
        <w:tc>
          <w:tcPr>
            <w:tcW w:w="957"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4.02</w:t>
            </w:r>
          </w:p>
        </w:tc>
        <w:tc>
          <w:tcPr>
            <w:tcW w:w="1017" w:type="dxa"/>
            <w:tcBorders>
              <w:top w:val="single" w:sz="4" w:space="0" w:color="B9BBBB"/>
              <w:left w:val="single" w:sz="4" w:space="0" w:color="B9BBBB"/>
              <w:bottom w:val="single" w:sz="4" w:space="0" w:color="auto"/>
              <w:right w:val="single" w:sz="4" w:space="0" w:color="B9BBBB"/>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-17.01</w:t>
            </w:r>
          </w:p>
        </w:tc>
        <w:tc>
          <w:tcPr>
            <w:tcW w:w="1109" w:type="dxa"/>
            <w:tcBorders>
              <w:top w:val="single" w:sz="4" w:space="0" w:color="B9BBBB"/>
              <w:left w:val="single" w:sz="4" w:space="0" w:color="B9BBBB"/>
              <w:bottom w:val="single" w:sz="4" w:space="0" w:color="auto"/>
              <w:right w:val="single" w:sz="4" w:space="0" w:color="B9BBBB"/>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2.52</w:t>
            </w:r>
          </w:p>
        </w:tc>
        <w:tc>
          <w:tcPr>
            <w:tcW w:w="1189" w:type="dxa"/>
            <w:tcBorders>
              <w:top w:val="single" w:sz="4" w:space="0" w:color="B9BBBB"/>
              <w:left w:val="single" w:sz="4" w:space="0" w:color="B9BBBB"/>
              <w:bottom w:val="single" w:sz="4" w:space="0" w:color="auto"/>
              <w:right w:val="single" w:sz="4" w:space="0" w:color="B9BBBB"/>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-10.47</w:t>
            </w:r>
          </w:p>
        </w:tc>
        <w:tc>
          <w:tcPr>
            <w:tcW w:w="967" w:type="dxa"/>
            <w:tcBorders>
              <w:top w:val="nil"/>
              <w:left w:val="nil"/>
              <w:bottom w:val="single" w:sz="4" w:space="0" w:color="auto"/>
              <w:right w:val="single" w:sz="4" w:space="0" w:color="auto"/>
            </w:tcBorders>
            <w:shd w:val="clear" w:color="auto" w:fill="CCD7ED"/>
            <w:noWrap/>
            <w:vAlign w:val="bottom"/>
            <w:hideMark/>
          </w:tcPr>
          <w:p>
            <w:pPr>
              <w:spacing w:after="0"/>
              <w:jc w:val="right"/>
              <w:rPr>
                <w:rFonts w:ascii="Trebuchet MS" w:eastAsia="Times New Roman" w:hAnsi="Trebuchet MS" w:cs="Arial"/>
                <w:b/>
                <w:bCs/>
                <w:noProof/>
                <w:sz w:val="16"/>
                <w:szCs w:val="16"/>
                <w:lang w:eastAsia="en-GB"/>
              </w:rPr>
            </w:pPr>
            <w:r>
              <w:rPr>
                <w:rFonts w:ascii="Trebuchet MS" w:eastAsia="Times New Roman" w:hAnsi="Trebuchet MS" w:cs="Arial"/>
                <w:b/>
                <w:bCs/>
                <w:noProof/>
                <w:sz w:val="16"/>
                <w:szCs w:val="16"/>
                <w:lang w:eastAsia="en-GB"/>
              </w:rPr>
              <w:t>11.22</w:t>
            </w:r>
          </w:p>
        </w:tc>
        <w:tc>
          <w:tcPr>
            <w:tcW w:w="957" w:type="dxa"/>
            <w:tcBorders>
              <w:top w:val="single" w:sz="4" w:space="0" w:color="D1D1D2"/>
              <w:left w:val="single" w:sz="4" w:space="0" w:color="auto"/>
              <w:bottom w:val="single" w:sz="4" w:space="0" w:color="auto"/>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18.5%</w:t>
            </w:r>
          </w:p>
        </w:tc>
        <w:tc>
          <w:tcPr>
            <w:tcW w:w="1017" w:type="dxa"/>
            <w:tcBorders>
              <w:top w:val="single" w:sz="4" w:space="0" w:color="D1D1D2"/>
              <w:left w:val="single" w:sz="4" w:space="0" w:color="D1D1D2"/>
              <w:bottom w:val="single" w:sz="4" w:space="0" w:color="auto"/>
              <w:right w:val="single" w:sz="4" w:space="0" w:color="D1D1D2"/>
            </w:tcBorders>
            <w:shd w:val="clear" w:color="auto" w:fill="C6EFCE"/>
            <w:noWrap/>
            <w:vAlign w:val="bottom"/>
            <w:hideMark/>
          </w:tcPr>
          <w:p>
            <w:pPr>
              <w:spacing w:after="0"/>
              <w:jc w:val="right"/>
              <w:rPr>
                <w:rFonts w:ascii="Trebuchet MS" w:eastAsia="Times New Roman" w:hAnsi="Trebuchet MS" w:cs="Arial"/>
                <w:noProof/>
                <w:color w:val="006100"/>
                <w:sz w:val="16"/>
                <w:szCs w:val="16"/>
                <w:lang w:eastAsia="en-GB"/>
              </w:rPr>
            </w:pPr>
            <w:r>
              <w:rPr>
                <w:rFonts w:ascii="Trebuchet MS" w:eastAsia="Times New Roman" w:hAnsi="Trebuchet MS" w:cs="Arial"/>
                <w:noProof/>
                <w:color w:val="006100"/>
                <w:sz w:val="16"/>
                <w:szCs w:val="16"/>
                <w:lang w:eastAsia="en-GB"/>
              </w:rPr>
              <w:t>-78.4%</w:t>
            </w:r>
          </w:p>
        </w:tc>
        <w:tc>
          <w:tcPr>
            <w:tcW w:w="1109" w:type="dxa"/>
            <w:tcBorders>
              <w:top w:val="single" w:sz="4" w:space="0" w:color="D1D1D2"/>
              <w:left w:val="single" w:sz="4" w:space="0" w:color="D1D1D2"/>
              <w:bottom w:val="single" w:sz="4" w:space="0" w:color="auto"/>
              <w:right w:val="single" w:sz="4" w:space="0" w:color="D1D1D2"/>
            </w:tcBorders>
            <w:shd w:val="clear" w:color="auto" w:fill="FFC7CE"/>
            <w:noWrap/>
            <w:vAlign w:val="bottom"/>
            <w:hideMark/>
          </w:tcPr>
          <w:p>
            <w:pPr>
              <w:spacing w:after="0"/>
              <w:jc w:val="right"/>
              <w:rPr>
                <w:rFonts w:ascii="Trebuchet MS" w:eastAsia="Times New Roman" w:hAnsi="Trebuchet MS" w:cs="Arial"/>
                <w:noProof/>
                <w:color w:val="9C0006"/>
                <w:sz w:val="16"/>
                <w:szCs w:val="16"/>
                <w:lang w:eastAsia="en-GB"/>
              </w:rPr>
            </w:pPr>
            <w:r>
              <w:rPr>
                <w:rFonts w:ascii="Trebuchet MS" w:eastAsia="Times New Roman" w:hAnsi="Trebuchet MS" w:cs="Arial"/>
                <w:noProof/>
                <w:color w:val="9C0006"/>
                <w:sz w:val="16"/>
                <w:szCs w:val="16"/>
                <w:lang w:eastAsia="en-GB"/>
              </w:rPr>
              <w:t>11.6%</w:t>
            </w:r>
          </w:p>
        </w:tc>
        <w:tc>
          <w:tcPr>
            <w:tcW w:w="1058" w:type="dxa"/>
            <w:tcBorders>
              <w:top w:val="single" w:sz="4" w:space="0" w:color="D1D1D2"/>
              <w:left w:val="single" w:sz="4" w:space="0" w:color="D1D1D2"/>
              <w:bottom w:val="single" w:sz="4" w:space="0" w:color="auto"/>
              <w:right w:val="single" w:sz="4" w:space="0" w:color="auto"/>
            </w:tcBorders>
            <w:shd w:val="clear" w:color="auto" w:fill="C6EFCE"/>
            <w:noWrap/>
            <w:vAlign w:val="bottom"/>
            <w:hideMark/>
          </w:tcPr>
          <w:p>
            <w:pPr>
              <w:spacing w:after="0"/>
              <w:jc w:val="right"/>
              <w:rPr>
                <w:rFonts w:ascii="Trebuchet MS" w:eastAsia="Times New Roman" w:hAnsi="Trebuchet MS" w:cs="Arial"/>
                <w:b/>
                <w:bCs/>
                <w:noProof/>
                <w:color w:val="006100"/>
                <w:sz w:val="16"/>
                <w:szCs w:val="16"/>
                <w:lang w:eastAsia="en-GB"/>
              </w:rPr>
            </w:pPr>
            <w:r>
              <w:rPr>
                <w:rFonts w:ascii="Trebuchet MS" w:eastAsia="Times New Roman" w:hAnsi="Trebuchet MS" w:cs="Arial"/>
                <w:b/>
                <w:bCs/>
                <w:noProof/>
                <w:color w:val="006100"/>
                <w:sz w:val="16"/>
                <w:szCs w:val="16"/>
                <w:lang w:eastAsia="en-GB"/>
              </w:rPr>
              <w:t>-48.3%</w:t>
            </w:r>
          </w:p>
        </w:tc>
      </w:tr>
    </w:tbl>
    <w:p>
      <w:pPr>
        <w:pStyle w:val="Sources"/>
        <w:rPr>
          <w:noProof/>
          <w:lang w:val="fr-BE" w:eastAsia="de-DE"/>
        </w:rPr>
      </w:pPr>
      <w:r>
        <w:rPr>
          <w:noProof/>
          <w:lang w:val="fr-BE" w:eastAsia="de-DE"/>
        </w:rPr>
        <w:t>Source: Trinomics et altri (2020)</w:t>
      </w:r>
    </w:p>
    <w:p>
      <w:pPr>
        <w:rPr>
          <w:noProof/>
          <w:lang w:val="fr-BE" w:eastAsia="de-DE"/>
        </w:rPr>
      </w:pPr>
    </w:p>
    <w:p>
      <w:pPr>
        <w:rPr>
          <w:noProof/>
          <w:lang w:val="fr-BE"/>
        </w:rPr>
        <w:sectPr>
          <w:headerReference w:type="even" r:id="rId143"/>
          <w:headerReference w:type="default" r:id="rId144"/>
          <w:footerReference w:type="even" r:id="rId145"/>
          <w:footerReference w:type="default" r:id="rId146"/>
          <w:headerReference w:type="first" r:id="rId147"/>
          <w:footerReference w:type="first" r:id="rId148"/>
          <w:footnotePr>
            <w:numStart w:val="51"/>
          </w:footnotePr>
          <w:pgSz w:w="16838" w:h="11906" w:orient="landscape"/>
          <w:pgMar w:top="1440" w:right="1440" w:bottom="1440" w:left="1440" w:header="709" w:footer="567" w:gutter="0"/>
          <w:cols w:space="708"/>
          <w:docGrid w:linePitch="360"/>
        </w:sectPr>
      </w:pPr>
    </w:p>
    <w:p>
      <w:pPr>
        <w:pStyle w:val="ListParagraph"/>
        <w:spacing w:after="0" w:line="300" w:lineRule="atLeast"/>
        <w:ind w:left="0"/>
        <w:jc w:val="center"/>
        <w:rPr>
          <w:b/>
          <w:bCs/>
          <w:noProof/>
        </w:rPr>
      </w:pPr>
      <w:r>
        <w:rPr>
          <w:b/>
          <w:bCs/>
          <w:noProof/>
        </w:rPr>
        <w:t>Note on the range and dispersion of retail gas prices for industry in the EU</w:t>
      </w:r>
    </w:p>
    <w:p>
      <w:pPr>
        <w:pStyle w:val="ListParagraph"/>
        <w:spacing w:after="0" w:line="300" w:lineRule="atLeast"/>
        <w:ind w:left="0"/>
        <w:jc w:val="left"/>
        <w:rPr>
          <w:noProof/>
        </w:rPr>
      </w:pPr>
    </w:p>
    <w:p>
      <w:pPr>
        <w:pStyle w:val="Caption"/>
      </w:pPr>
      <w:r>
        <w:t xml:space="preserve">The max-min range of gas prices in the EU Member States was roughly between slightly less than 15 EUR/MWh to close to 60 EUR/MWh. The dispersion in gas is thus much lower than for electricity with most of the countries being much closer to the average price. </w:t>
      </w:r>
    </w:p>
    <w:p>
      <w:pPr>
        <w:pStyle w:val="ListParagraph"/>
        <w:spacing w:after="0" w:line="300" w:lineRule="atLeast"/>
        <w:ind w:left="0"/>
        <w:jc w:val="left"/>
        <w:rPr>
          <w:noProof/>
          <w:highlight w:val="yellow"/>
        </w:rPr>
      </w:pPr>
    </w:p>
    <w:p>
      <w:pPr>
        <w:pStyle w:val="ListParagraph"/>
        <w:spacing w:after="0" w:line="300" w:lineRule="atLeast"/>
        <w:ind w:left="0"/>
        <w:jc w:val="right"/>
        <w:rPr>
          <w:noProof/>
          <w:highlight w:val="yellow"/>
        </w:rPr>
      </w:pPr>
      <w:r>
        <w:rPr>
          <w:noProof/>
          <w:lang w:eastAsia="en-GB"/>
        </w:rPr>
        <w:drawing>
          <wp:inline distT="0" distB="0" distL="0" distR="0">
            <wp:extent cx="5448484" cy="3739486"/>
            <wp:effectExtent l="0" t="0" r="0" b="0"/>
            <wp:docPr id="12368808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49">
                      <a:extLst>
                        <a:ext uri="{28A0092B-C50C-407E-A947-70E740481C1C}">
                          <a14:useLocalDpi xmlns:a14="http://schemas.microsoft.com/office/drawing/2010/main"/>
                        </a:ext>
                      </a:extLst>
                    </a:blip>
                    <a:stretch>
                      <a:fillRect/>
                    </a:stretch>
                  </pic:blipFill>
                  <pic:spPr>
                    <a:xfrm>
                      <a:off x="0" y="0"/>
                      <a:ext cx="5448484" cy="3739486"/>
                    </a:xfrm>
                    <a:prstGeom prst="rect">
                      <a:avLst/>
                    </a:prstGeom>
                  </pic:spPr>
                </pic:pic>
              </a:graphicData>
            </a:graphic>
          </wp:inline>
        </w:drawing>
      </w:r>
    </w:p>
    <w:p>
      <w:pPr>
        <w:pStyle w:val="ListParagraph"/>
        <w:spacing w:after="0" w:line="300" w:lineRule="atLeast"/>
        <w:ind w:left="0"/>
        <w:jc w:val="left"/>
        <w:rPr>
          <w:noProof/>
          <w:highlight w:val="yellow"/>
        </w:rPr>
      </w:pPr>
    </w:p>
    <w:p>
      <w:pPr>
        <w:pStyle w:val="Caption"/>
      </w:pPr>
      <w:bookmarkStart w:id="434" w:name="_Toc525807888"/>
      <w:bookmarkStart w:id="435" w:name="_Toc526433504"/>
      <w:bookmarkStart w:id="436" w:name="_Toc526433782"/>
      <w:bookmarkStart w:id="437" w:name="_Toc526435724"/>
      <w:bookmarkStart w:id="438" w:name="_Toc530739814"/>
      <w:bookmarkStart w:id="439" w:name="_Toc531366187"/>
      <w:bookmarkStart w:id="440" w:name="_Toc50494159"/>
      <w:bookmarkStart w:id="441" w:name="_Toc52396935"/>
      <w:r>
        <w:t xml:space="preserve">Figure </w:t>
      </w:r>
      <w:r>
        <w:fldChar w:fldCharType="begin"/>
      </w:r>
      <w:r>
        <w:instrText xml:space="preserve"> SEQ Figure \* ARABIC </w:instrText>
      </w:r>
      <w:r>
        <w:fldChar w:fldCharType="separate"/>
      </w:r>
      <w:r>
        <w:t>163</w:t>
      </w:r>
      <w:r>
        <w:fldChar w:fldCharType="end"/>
      </w:r>
      <w:r>
        <w:t xml:space="preserve"> - Max-min range of retail gas prices for industry in the EU, 2008-201</w:t>
      </w:r>
      <w:bookmarkEnd w:id="434"/>
      <w:bookmarkEnd w:id="435"/>
      <w:bookmarkEnd w:id="436"/>
      <w:bookmarkEnd w:id="437"/>
      <w:bookmarkEnd w:id="438"/>
      <w:bookmarkEnd w:id="439"/>
      <w:r>
        <w:t>9</w:t>
      </w:r>
      <w:bookmarkEnd w:id="440"/>
      <w:bookmarkEnd w:id="441"/>
    </w:p>
    <w:p>
      <w:pPr>
        <w:pStyle w:val="Sources"/>
        <w:rPr>
          <w:noProof/>
        </w:rPr>
      </w:pPr>
      <w:r>
        <w:rPr>
          <w:noProof/>
        </w:rPr>
        <w:t xml:space="preserve"> Sources: Eurostat</w:t>
      </w:r>
    </w:p>
    <w:p>
      <w:pPr>
        <w:rPr>
          <w:noProof/>
        </w:rPr>
      </w:pPr>
    </w:p>
    <w:p>
      <w:pPr>
        <w:jc w:val="center"/>
        <w:rPr>
          <w:noProof/>
        </w:rPr>
      </w:pPr>
      <w:r>
        <w:rPr>
          <w:noProof/>
          <w:lang w:eastAsia="en-GB"/>
        </w:rPr>
        <w:drawing>
          <wp:inline distT="0" distB="0" distL="0" distR="0">
            <wp:extent cx="5731510" cy="2451100"/>
            <wp:effectExtent l="0" t="0" r="2540" b="6350"/>
            <wp:docPr id="852234319" name="Picture 852234319"/>
            <wp:cNvGraphicFramePr/>
            <a:graphic xmlns:a="http://schemas.openxmlformats.org/drawingml/2006/main">
              <a:graphicData uri="http://schemas.openxmlformats.org/drawingml/2006/picture">
                <pic:pic xmlns:pic="http://schemas.openxmlformats.org/drawingml/2006/picture">
                  <pic:nvPicPr>
                    <pic:cNvPr id="852234319" name="Picture 852234319"/>
                    <pic:cNvPicPr/>
                  </pic:nvPicPr>
                  <pic:blipFill>
                    <a:blip r:embed="rId150" cstate="print">
                      <a:extLst>
                        <a:ext uri="{28A0092B-C50C-407E-A947-70E740481C1C}">
                          <a14:useLocalDpi xmlns:a14="http://schemas.microsoft.com/office/drawing/2010/main"/>
                        </a:ext>
                      </a:extLst>
                    </a:blip>
                    <a:srcRect/>
                    <a:stretch>
                      <a:fillRect/>
                    </a:stretch>
                  </pic:blipFill>
                  <pic:spPr bwMode="auto">
                    <a:xfrm>
                      <a:off x="0" y="0"/>
                      <a:ext cx="5731510" cy="2451100"/>
                    </a:xfrm>
                    <a:prstGeom prst="rect">
                      <a:avLst/>
                    </a:prstGeom>
                    <a:noFill/>
                    <a:ln>
                      <a:noFill/>
                    </a:ln>
                  </pic:spPr>
                </pic:pic>
              </a:graphicData>
            </a:graphic>
          </wp:inline>
        </w:drawing>
      </w:r>
    </w:p>
    <w:p>
      <w:pPr>
        <w:pStyle w:val="Caption"/>
      </w:pPr>
      <w:bookmarkStart w:id="442" w:name="_Toc525807889"/>
      <w:bookmarkStart w:id="443" w:name="_Toc526433505"/>
      <w:bookmarkStart w:id="444" w:name="_Toc526433783"/>
      <w:bookmarkStart w:id="445" w:name="_Toc526435725"/>
      <w:bookmarkStart w:id="446" w:name="_Toc530739815"/>
      <w:bookmarkStart w:id="447" w:name="_Toc531366188"/>
      <w:bookmarkStart w:id="448" w:name="_Toc50494160"/>
      <w:bookmarkStart w:id="449" w:name="_Toc52396936"/>
      <w:r>
        <w:t xml:space="preserve">Figure </w:t>
      </w:r>
      <w:r>
        <w:fldChar w:fldCharType="begin"/>
      </w:r>
      <w:r>
        <w:instrText xml:space="preserve"> SEQ Figure \* ARABIC </w:instrText>
      </w:r>
      <w:r>
        <w:fldChar w:fldCharType="separate"/>
      </w:r>
      <w:r>
        <w:t>164</w:t>
      </w:r>
      <w:r>
        <w:fldChar w:fldCharType="end"/>
      </w:r>
      <w:r>
        <w:t xml:space="preserve"> - Box plot of industrial gas prices, 2008-201</w:t>
      </w:r>
      <w:bookmarkEnd w:id="442"/>
      <w:bookmarkEnd w:id="443"/>
      <w:bookmarkEnd w:id="444"/>
      <w:bookmarkEnd w:id="445"/>
      <w:bookmarkEnd w:id="446"/>
      <w:bookmarkEnd w:id="447"/>
      <w:r>
        <w:t>9</w:t>
      </w:r>
      <w:bookmarkEnd w:id="448"/>
      <w:bookmarkEnd w:id="449"/>
    </w:p>
    <w:p>
      <w:pPr>
        <w:pStyle w:val="Sources"/>
        <w:rPr>
          <w:noProof/>
        </w:rPr>
      </w:pPr>
      <w:r>
        <w:rPr>
          <w:noProof/>
        </w:rPr>
        <w:t>Source: Trinomics et altri study</w:t>
      </w:r>
    </w:p>
    <w:p>
      <w:pPr>
        <w:rPr>
          <w:noProof/>
        </w:rPr>
      </w:pPr>
      <w:r>
        <w:rPr>
          <w:noProof/>
        </w:rPr>
        <w:t xml:space="preserve">Note: the square represents the range of the prices for the 25% of countries above and below the average (50% of the sample) </w:t>
      </w:r>
    </w:p>
    <w:p>
      <w:pPr>
        <w:rPr>
          <w:noProof/>
          <w:sz w:val="24"/>
          <w:szCs w:val="24"/>
        </w:rPr>
      </w:pPr>
    </w:p>
    <w:p>
      <w:pPr>
        <w:spacing w:after="240"/>
        <w:rPr>
          <w:noProof/>
          <w:sz w:val="24"/>
          <w:szCs w:val="24"/>
        </w:rPr>
      </w:pPr>
      <w:r>
        <w:rPr>
          <w:noProof/>
          <w:sz w:val="24"/>
          <w:szCs w:val="24"/>
        </w:rPr>
        <w:t xml:space="preserve">The figure below identifies the Member States which are close to the maximum and minimum price levels in the range of EU price as well as those with significant deviations from the EU27 average. </w:t>
      </w:r>
    </w:p>
    <w:p>
      <w:pPr>
        <w:jc w:val="center"/>
        <w:rPr>
          <w:noProof/>
        </w:rPr>
      </w:pPr>
      <w:r>
        <w:rPr>
          <w:noProof/>
          <w:lang w:eastAsia="en-GB"/>
        </w:rPr>
        <w:drawing>
          <wp:inline distT="0" distB="0" distL="0" distR="0">
            <wp:extent cx="5731510" cy="4219575"/>
            <wp:effectExtent l="0" t="0" r="2540" b="9525"/>
            <wp:docPr id="852234325" name="Picture 852234325"/>
            <wp:cNvGraphicFramePr/>
            <a:graphic xmlns:a="http://schemas.openxmlformats.org/drawingml/2006/main">
              <a:graphicData uri="http://schemas.openxmlformats.org/drawingml/2006/picture">
                <pic:pic xmlns:pic="http://schemas.openxmlformats.org/drawingml/2006/picture">
                  <pic:nvPicPr>
                    <pic:cNvPr id="852234325" name="Picture 852234325"/>
                    <pic:cNvPicPr/>
                  </pic:nvPicPr>
                  <pic:blipFill>
                    <a:blip r:embed="rId151" cstate="print">
                      <a:extLst>
                        <a:ext uri="{28A0092B-C50C-407E-A947-70E740481C1C}">
                          <a14:useLocalDpi xmlns:a14="http://schemas.microsoft.com/office/drawing/2010/main"/>
                        </a:ext>
                      </a:extLst>
                    </a:blip>
                    <a:srcRect/>
                    <a:stretch>
                      <a:fillRect/>
                    </a:stretch>
                  </pic:blipFill>
                  <pic:spPr bwMode="auto">
                    <a:xfrm>
                      <a:off x="0" y="0"/>
                      <a:ext cx="5731510" cy="4219575"/>
                    </a:xfrm>
                    <a:prstGeom prst="rect">
                      <a:avLst/>
                    </a:prstGeom>
                    <a:noFill/>
                    <a:ln>
                      <a:noFill/>
                    </a:ln>
                  </pic:spPr>
                </pic:pic>
              </a:graphicData>
            </a:graphic>
          </wp:inline>
        </w:drawing>
      </w:r>
    </w:p>
    <w:p>
      <w:pPr>
        <w:pStyle w:val="Caption"/>
      </w:pPr>
      <w:bookmarkStart w:id="450" w:name="_Toc525807890"/>
      <w:bookmarkStart w:id="451" w:name="_Toc526433506"/>
      <w:bookmarkStart w:id="452" w:name="_Toc526433784"/>
      <w:bookmarkStart w:id="453" w:name="_Toc526435726"/>
      <w:bookmarkStart w:id="454" w:name="_Toc530739816"/>
      <w:bookmarkStart w:id="455" w:name="_Toc531366189"/>
      <w:bookmarkStart w:id="456" w:name="_Toc50494161"/>
      <w:bookmarkStart w:id="457" w:name="_Toc52396937"/>
      <w:r>
        <w:t xml:space="preserve">Figure </w:t>
      </w:r>
      <w:r>
        <w:fldChar w:fldCharType="begin"/>
      </w:r>
      <w:r>
        <w:instrText xml:space="preserve"> SEQ Figure \* ARABIC </w:instrText>
      </w:r>
      <w:r>
        <w:fldChar w:fldCharType="separate"/>
      </w:r>
      <w:r>
        <w:t>165</w:t>
      </w:r>
      <w:r>
        <w:fldChar w:fldCharType="end"/>
      </w:r>
      <w:r>
        <w:t xml:space="preserve"> - EU27 industrial retail natural gas prices 2008-2019, Member States lines visible, outliers named</w:t>
      </w:r>
      <w:bookmarkEnd w:id="450"/>
      <w:bookmarkEnd w:id="451"/>
      <w:bookmarkEnd w:id="452"/>
      <w:bookmarkEnd w:id="453"/>
      <w:bookmarkEnd w:id="454"/>
      <w:bookmarkEnd w:id="455"/>
      <w:bookmarkEnd w:id="456"/>
      <w:bookmarkEnd w:id="457"/>
    </w:p>
    <w:p>
      <w:pPr>
        <w:pStyle w:val="Sources"/>
        <w:rPr>
          <w:noProof/>
          <w:lang w:val="fr-BE"/>
        </w:rPr>
      </w:pPr>
      <w:r>
        <w:rPr>
          <w:noProof/>
          <w:lang w:val="fr-BE"/>
        </w:rPr>
        <w:t>Source: Trinomics et altri (2020)</w:t>
      </w:r>
    </w:p>
    <w:p>
      <w:pPr>
        <w:rPr>
          <w:noProof/>
          <w:lang w:val="fr-BE"/>
        </w:rPr>
      </w:pPr>
      <w:bookmarkStart w:id="458" w:name="_Toc444779700"/>
      <w:r>
        <w:rPr>
          <w:noProof/>
          <w:lang w:val="fr-BE"/>
        </w:rPr>
        <w:br w:type="page"/>
      </w:r>
    </w:p>
    <w:p>
      <w:pPr>
        <w:pStyle w:val="Heading1"/>
        <w:rPr>
          <w:noProof/>
          <w:lang w:val="fr-BE"/>
        </w:rPr>
      </w:pPr>
    </w:p>
    <w:p>
      <w:pPr>
        <w:pStyle w:val="Heading2"/>
        <w:numPr>
          <w:ilvl w:val="1"/>
          <w:numId w:val="1"/>
        </w:numPr>
        <w:rPr>
          <w:noProof/>
        </w:rPr>
      </w:pPr>
      <w:bookmarkStart w:id="459" w:name="_Toc449945405"/>
      <w:bookmarkStart w:id="460" w:name="_Toc468890485"/>
      <w:bookmarkStart w:id="461" w:name="_Toc524619532"/>
      <w:bookmarkStart w:id="462" w:name="_Toc524961079"/>
      <w:bookmarkStart w:id="463" w:name="_Toc525143040"/>
      <w:bookmarkStart w:id="464" w:name="_Toc525222197"/>
      <w:bookmarkStart w:id="465" w:name="_Toc525222366"/>
      <w:bookmarkStart w:id="466" w:name="_Toc526420763"/>
      <w:bookmarkStart w:id="467" w:name="_Toc526433989"/>
      <w:bookmarkStart w:id="468" w:name="_Toc526435931"/>
      <w:bookmarkStart w:id="469" w:name="_Toc530595261"/>
      <w:bookmarkStart w:id="470" w:name="_Toc50648350"/>
      <w:bookmarkStart w:id="471" w:name="_Toc50654380"/>
      <w:bookmarkStart w:id="472" w:name="_Toc50654935"/>
      <w:bookmarkStart w:id="473" w:name="_Toc50732482"/>
      <w:bookmarkStart w:id="474" w:name="_Toc52396566"/>
      <w:r>
        <w:rPr>
          <w:noProof/>
        </w:rPr>
        <w:t>Overview of selected Energy-intensive Industries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rPr>
          <w:noProof/>
          <w:sz w:val="24"/>
          <w:szCs w:val="24"/>
        </w:rPr>
      </w:pPr>
      <w:bookmarkStart w:id="475" w:name="_Toc468890486"/>
    </w:p>
    <w:p>
      <w:pPr>
        <w:rPr>
          <w:noProof/>
          <w:sz w:val="24"/>
          <w:szCs w:val="24"/>
        </w:rPr>
      </w:pPr>
    </w:p>
    <w:p>
      <w:pPr>
        <w:rPr>
          <w:noProof/>
        </w:rPr>
      </w:pPr>
      <w:r>
        <w:rPr>
          <w:noProof/>
          <w:sz w:val="24"/>
          <w:szCs w:val="24"/>
        </w:rPr>
        <w:t>In the previous sections and chapters we have analysed energy prices and costs for industry from highly aggregated statistical information (top-down approach). In this section, based on data collected from production plants (bottom-up approach), we analyse the evolution of energy prices and costs and the impact on the competitiveness of selected energy-intensive industries. This analysis at a more disaggregated level, aims at capturing the specificities of (sub-)sectors which are not reflected by the aggregated sectorial data.  The results presented are based on the study commissioned by the European Commission to Trinomics et altri (2020). Primary data were collected at plant level via dedicated questionnaires.</w:t>
      </w:r>
    </w:p>
    <w:p>
      <w:pPr>
        <w:rPr>
          <w:noProof/>
          <w:sz w:val="24"/>
        </w:rPr>
      </w:pPr>
    </w:p>
    <w:p>
      <w:pPr>
        <w:rPr>
          <w:b/>
          <w:noProof/>
          <w:sz w:val="24"/>
          <w:szCs w:val="24"/>
        </w:rPr>
      </w:pPr>
      <w:r>
        <w:rPr>
          <w:b/>
          <w:noProof/>
          <w:sz w:val="24"/>
          <w:szCs w:val="24"/>
        </w:rPr>
        <w:t>Scope and samples</w:t>
      </w:r>
    </w:p>
    <w:p>
      <w:pPr>
        <w:rPr>
          <w:noProof/>
          <w:sz w:val="24"/>
          <w:szCs w:val="24"/>
        </w:rPr>
      </w:pPr>
      <w:r>
        <w:rPr>
          <w:noProof/>
          <w:sz w:val="24"/>
          <w:szCs w:val="24"/>
        </w:rPr>
        <w:t xml:space="preserve">The bottom-up analysis covers the entire EU over from 2010 to 2017. It focusses on the following five sectors: </w:t>
      </w:r>
      <w:r>
        <w:rPr>
          <w:i/>
          <w:noProof/>
          <w:sz w:val="24"/>
          <w:szCs w:val="24"/>
        </w:rPr>
        <w:t>flat glass</w:t>
      </w:r>
      <w:r>
        <w:rPr>
          <w:noProof/>
          <w:sz w:val="24"/>
          <w:szCs w:val="24"/>
        </w:rPr>
        <w:t xml:space="preserve">, </w:t>
      </w:r>
      <w:r>
        <w:rPr>
          <w:i/>
          <w:noProof/>
          <w:sz w:val="24"/>
          <w:szCs w:val="24"/>
        </w:rPr>
        <w:t>zinc</w:t>
      </w:r>
      <w:r>
        <w:rPr>
          <w:noProof/>
          <w:sz w:val="24"/>
          <w:szCs w:val="24"/>
        </w:rPr>
        <w:t xml:space="preserve">,  </w:t>
      </w:r>
      <w:r>
        <w:rPr>
          <w:i/>
          <w:noProof/>
          <w:sz w:val="24"/>
          <w:szCs w:val="24"/>
        </w:rPr>
        <w:t>ferro-alloys and silicon</w:t>
      </w:r>
      <w:r>
        <w:rPr>
          <w:noProof/>
          <w:sz w:val="24"/>
          <w:szCs w:val="24"/>
        </w:rPr>
        <w:t xml:space="preserve">, </w:t>
      </w:r>
      <w:r>
        <w:rPr>
          <w:i/>
          <w:noProof/>
          <w:sz w:val="24"/>
          <w:szCs w:val="24"/>
        </w:rPr>
        <w:t>refineries</w:t>
      </w:r>
      <w:r>
        <w:rPr>
          <w:noProof/>
          <w:sz w:val="24"/>
          <w:szCs w:val="24"/>
        </w:rPr>
        <w:t xml:space="preserve"> and </w:t>
      </w:r>
      <w:r>
        <w:rPr>
          <w:i/>
          <w:noProof/>
          <w:sz w:val="24"/>
          <w:szCs w:val="24"/>
        </w:rPr>
        <w:t>fertilisers</w:t>
      </w:r>
      <w:r>
        <w:rPr>
          <w:noProof/>
          <w:sz w:val="24"/>
          <w:szCs w:val="24"/>
        </w:rPr>
        <w:t xml:space="preserve">. </w:t>
      </w:r>
    </w:p>
    <w:p>
      <w:pPr>
        <w:rPr>
          <w:noProof/>
          <w:sz w:val="24"/>
          <w:szCs w:val="24"/>
        </w:rPr>
      </w:pPr>
      <w:r>
        <w:rPr>
          <w:noProof/>
          <w:sz w:val="24"/>
          <w:szCs w:val="24"/>
        </w:rPr>
        <w:t>The selection of these sectors covers various features of EU energy-intensive industries:</w:t>
      </w:r>
    </w:p>
    <w:p>
      <w:pPr>
        <w:pStyle w:val="ListParagraph"/>
        <w:numPr>
          <w:ilvl w:val="0"/>
          <w:numId w:val="14"/>
        </w:numPr>
        <w:ind w:left="714" w:hanging="357"/>
        <w:contextualSpacing w:val="0"/>
        <w:rPr>
          <w:noProof/>
          <w:sz w:val="24"/>
          <w:szCs w:val="24"/>
        </w:rPr>
      </w:pPr>
      <w:r>
        <w:rPr>
          <w:noProof/>
          <w:sz w:val="24"/>
          <w:szCs w:val="24"/>
        </w:rPr>
        <w:t xml:space="preserve">Natural gas-intensive sectors (e.g. </w:t>
      </w:r>
      <w:r>
        <w:rPr>
          <w:i/>
          <w:noProof/>
          <w:sz w:val="24"/>
          <w:szCs w:val="24"/>
        </w:rPr>
        <w:t>fertilisers</w:t>
      </w:r>
      <w:r>
        <w:rPr>
          <w:noProof/>
          <w:sz w:val="24"/>
          <w:szCs w:val="24"/>
        </w:rPr>
        <w:t xml:space="preserve">, </w:t>
      </w:r>
      <w:r>
        <w:rPr>
          <w:i/>
          <w:noProof/>
          <w:sz w:val="24"/>
          <w:szCs w:val="24"/>
        </w:rPr>
        <w:t>flat glass</w:t>
      </w:r>
      <w:r>
        <w:rPr>
          <w:noProof/>
          <w:sz w:val="24"/>
          <w:szCs w:val="24"/>
        </w:rPr>
        <w:t xml:space="preserve">, </w:t>
      </w:r>
      <w:r>
        <w:rPr>
          <w:i/>
          <w:noProof/>
          <w:sz w:val="24"/>
          <w:szCs w:val="24"/>
        </w:rPr>
        <w:t>refineries</w:t>
      </w:r>
      <w:r>
        <w:rPr>
          <w:noProof/>
          <w:sz w:val="24"/>
          <w:szCs w:val="24"/>
        </w:rPr>
        <w:t xml:space="preserve">) and electricity-intensive sectors (e.g. </w:t>
      </w:r>
      <w:r>
        <w:rPr>
          <w:i/>
          <w:noProof/>
          <w:sz w:val="24"/>
          <w:szCs w:val="24"/>
        </w:rPr>
        <w:t>zinc</w:t>
      </w:r>
      <w:r>
        <w:rPr>
          <w:noProof/>
          <w:sz w:val="24"/>
          <w:szCs w:val="24"/>
        </w:rPr>
        <w:t>);</w:t>
      </w:r>
    </w:p>
    <w:p>
      <w:pPr>
        <w:pStyle w:val="ListParagraph"/>
        <w:numPr>
          <w:ilvl w:val="0"/>
          <w:numId w:val="14"/>
        </w:numPr>
        <w:ind w:left="714" w:hanging="357"/>
        <w:contextualSpacing w:val="0"/>
        <w:rPr>
          <w:noProof/>
          <w:sz w:val="24"/>
          <w:szCs w:val="24"/>
        </w:rPr>
      </w:pPr>
      <w:r>
        <w:rPr>
          <w:noProof/>
          <w:sz w:val="24"/>
          <w:szCs w:val="24"/>
        </w:rPr>
        <w:t xml:space="preserve">Sectors purchasing additional energy carriers, including crude oil (e.g. </w:t>
      </w:r>
      <w:r>
        <w:rPr>
          <w:i/>
          <w:noProof/>
          <w:sz w:val="24"/>
          <w:szCs w:val="24"/>
        </w:rPr>
        <w:t>refineries</w:t>
      </w:r>
      <w:r>
        <w:rPr>
          <w:noProof/>
          <w:sz w:val="24"/>
          <w:szCs w:val="24"/>
        </w:rPr>
        <w:t>);</w:t>
      </w:r>
    </w:p>
    <w:p>
      <w:pPr>
        <w:pStyle w:val="ListParagraph"/>
        <w:numPr>
          <w:ilvl w:val="0"/>
          <w:numId w:val="14"/>
        </w:numPr>
        <w:ind w:left="714" w:hanging="357"/>
        <w:contextualSpacing w:val="0"/>
        <w:rPr>
          <w:noProof/>
          <w:sz w:val="24"/>
          <w:szCs w:val="24"/>
        </w:rPr>
      </w:pPr>
      <w:r>
        <w:rPr>
          <w:noProof/>
          <w:sz w:val="24"/>
          <w:szCs w:val="24"/>
        </w:rPr>
        <w:t xml:space="preserve">Sectors concentrated in European regions (e.g. </w:t>
      </w:r>
      <w:r>
        <w:rPr>
          <w:i/>
          <w:noProof/>
          <w:sz w:val="24"/>
          <w:szCs w:val="24"/>
        </w:rPr>
        <w:t>zinc</w:t>
      </w:r>
      <w:r>
        <w:rPr>
          <w:noProof/>
          <w:sz w:val="24"/>
          <w:szCs w:val="24"/>
        </w:rPr>
        <w:t xml:space="preserve"> is mainly located in Central Eastern and South Europe) and sectors geographically dispersed in Europe (e.g. </w:t>
      </w:r>
      <w:r>
        <w:rPr>
          <w:i/>
          <w:noProof/>
          <w:sz w:val="24"/>
          <w:szCs w:val="24"/>
        </w:rPr>
        <w:t>flat glass</w:t>
      </w:r>
      <w:r>
        <w:rPr>
          <w:noProof/>
          <w:sz w:val="24"/>
          <w:szCs w:val="24"/>
        </w:rPr>
        <w:t>);</w:t>
      </w:r>
    </w:p>
    <w:p>
      <w:pPr>
        <w:pStyle w:val="ListParagraph"/>
        <w:numPr>
          <w:ilvl w:val="0"/>
          <w:numId w:val="14"/>
        </w:numPr>
        <w:ind w:left="714" w:hanging="357"/>
        <w:contextualSpacing w:val="0"/>
        <w:rPr>
          <w:noProof/>
          <w:sz w:val="24"/>
          <w:szCs w:val="24"/>
        </w:rPr>
      </w:pPr>
      <w:r>
        <w:rPr>
          <w:noProof/>
          <w:sz w:val="24"/>
          <w:szCs w:val="24"/>
        </w:rPr>
        <w:t xml:space="preserve">Sectors dominated by large companies (e.g. </w:t>
      </w:r>
      <w:r>
        <w:rPr>
          <w:i/>
          <w:noProof/>
          <w:sz w:val="24"/>
          <w:szCs w:val="24"/>
        </w:rPr>
        <w:t>refineries</w:t>
      </w:r>
      <w:r>
        <w:rPr>
          <w:noProof/>
          <w:sz w:val="24"/>
          <w:szCs w:val="24"/>
        </w:rPr>
        <w:t xml:space="preserve">) and sectors including many SMEs (e.g. </w:t>
      </w:r>
      <w:r>
        <w:rPr>
          <w:i/>
          <w:noProof/>
          <w:sz w:val="24"/>
          <w:szCs w:val="24"/>
        </w:rPr>
        <w:t>flat glass</w:t>
      </w:r>
      <w:r>
        <w:rPr>
          <w:noProof/>
          <w:sz w:val="24"/>
          <w:szCs w:val="24"/>
        </w:rPr>
        <w:t>);</w:t>
      </w:r>
    </w:p>
    <w:p>
      <w:pPr>
        <w:pStyle w:val="ListParagraph"/>
        <w:numPr>
          <w:ilvl w:val="0"/>
          <w:numId w:val="14"/>
        </w:numPr>
        <w:ind w:left="714" w:hanging="357"/>
        <w:contextualSpacing w:val="0"/>
        <w:rPr>
          <w:noProof/>
          <w:sz w:val="24"/>
          <w:szCs w:val="24"/>
        </w:rPr>
      </w:pPr>
      <w:r>
        <w:rPr>
          <w:noProof/>
          <w:sz w:val="24"/>
          <w:szCs w:val="24"/>
        </w:rPr>
        <w:t xml:space="preserve">Net importer sectors (e.g. </w:t>
      </w:r>
      <w:r>
        <w:rPr>
          <w:i/>
          <w:noProof/>
          <w:sz w:val="24"/>
          <w:szCs w:val="24"/>
        </w:rPr>
        <w:t>ferro-alloys and silicon</w:t>
      </w:r>
      <w:r>
        <w:rPr>
          <w:noProof/>
          <w:sz w:val="24"/>
          <w:szCs w:val="24"/>
        </w:rPr>
        <w:t xml:space="preserve">) and net exporter sectors (e.g. </w:t>
      </w:r>
      <w:r>
        <w:rPr>
          <w:i/>
          <w:noProof/>
          <w:sz w:val="24"/>
          <w:szCs w:val="24"/>
        </w:rPr>
        <w:t>flat glass</w:t>
      </w:r>
      <w:r>
        <w:rPr>
          <w:noProof/>
          <w:sz w:val="24"/>
          <w:szCs w:val="24"/>
        </w:rPr>
        <w:t>) with different levels of exposure to international competition.</w:t>
      </w:r>
    </w:p>
    <w:p>
      <w:pPr>
        <w:pStyle w:val="FootnoteText"/>
        <w:rPr>
          <w:rFonts w:eastAsia="Calibri"/>
          <w:noProof/>
          <w:color w:val="auto"/>
          <w:sz w:val="24"/>
          <w:szCs w:val="24"/>
          <w:lang w:eastAsia="en-US"/>
        </w:rPr>
      </w:pPr>
    </w:p>
    <w:p>
      <w:pPr>
        <w:rPr>
          <w:noProof/>
          <w:sz w:val="24"/>
          <w:szCs w:val="24"/>
        </w:rPr>
      </w:pPr>
      <w:r>
        <w:rPr>
          <w:b/>
          <w:noProof/>
          <w:sz w:val="24"/>
          <w:szCs w:val="24"/>
        </w:rPr>
        <w:fldChar w:fldCharType="begin"/>
      </w:r>
      <w:r>
        <w:rPr>
          <w:b/>
          <w:noProof/>
          <w:sz w:val="24"/>
          <w:szCs w:val="24"/>
        </w:rPr>
        <w:instrText xml:space="preserve"> REF _Ref50371431 \h  \* MERGEFORMAT </w:instrText>
      </w:r>
      <w:r>
        <w:rPr>
          <w:b/>
          <w:noProof/>
          <w:sz w:val="24"/>
          <w:szCs w:val="24"/>
        </w:rPr>
      </w:r>
      <w:r>
        <w:rPr>
          <w:b/>
          <w:noProof/>
          <w:sz w:val="24"/>
          <w:szCs w:val="24"/>
        </w:rPr>
        <w:fldChar w:fldCharType="separate"/>
      </w:r>
      <w:r>
        <w:rPr>
          <w:b/>
          <w:noProof/>
          <w:sz w:val="24"/>
          <w:szCs w:val="24"/>
        </w:rPr>
        <w:t>Table 27</w:t>
      </w:r>
      <w:r>
        <w:rPr>
          <w:b/>
          <w:noProof/>
          <w:sz w:val="24"/>
          <w:szCs w:val="24"/>
        </w:rPr>
        <w:fldChar w:fldCharType="end"/>
      </w:r>
      <w:r>
        <w:rPr>
          <w:noProof/>
          <w:sz w:val="24"/>
          <w:szCs w:val="24"/>
        </w:rPr>
        <w:t xml:space="preserve"> shows the representativeness at EU level (share of the sample in the EU turnover or production capacity) and geographical scope of the sample over four European regions.</w:t>
      </w:r>
      <w:r>
        <w:rPr>
          <w:noProof/>
          <w:sz w:val="24"/>
          <w:szCs w:val="24"/>
          <w:vertAlign w:val="superscript"/>
        </w:rPr>
        <w:footnoteReference w:id="23"/>
      </w:r>
      <w:r>
        <w:rPr>
          <w:noProof/>
          <w:sz w:val="24"/>
          <w:szCs w:val="24"/>
        </w:rPr>
        <w:t xml:space="preserve">  The EU representativeness of the surveyed plants samples ranges from 12% (refineries) to 97% (</w:t>
      </w:r>
      <w:r>
        <w:rPr>
          <w:i/>
          <w:noProof/>
          <w:sz w:val="24"/>
          <w:szCs w:val="24"/>
        </w:rPr>
        <w:t>zinc</w:t>
      </w:r>
      <w:r>
        <w:rPr>
          <w:noProof/>
          <w:sz w:val="24"/>
          <w:szCs w:val="24"/>
        </w:rPr>
        <w:t xml:space="preserve">) of their sector’s turnover or production capacity. The results of the bottom-up analysis are based on data collected from 96 plants across six industrial sectors; participating plants reflected the average features of EU installations. </w:t>
      </w:r>
    </w:p>
    <w:p>
      <w:pPr>
        <w:rPr>
          <w:noProof/>
          <w:sz w:val="24"/>
          <w:szCs w:val="24"/>
        </w:rPr>
      </w:pPr>
    </w:p>
    <w:p>
      <w:pPr>
        <w:rPr>
          <w:noProof/>
          <w:sz w:val="24"/>
          <w:szCs w:val="24"/>
        </w:rPr>
      </w:pPr>
    </w:p>
    <w:p>
      <w:pPr>
        <w:rPr>
          <w:noProof/>
          <w:sz w:val="24"/>
          <w:szCs w:val="24"/>
        </w:rPr>
      </w:pPr>
    </w:p>
    <w:p>
      <w:pPr>
        <w:rPr>
          <w:noProof/>
          <w:sz w:val="24"/>
          <w:szCs w:val="24"/>
        </w:rPr>
      </w:pPr>
    </w:p>
    <w:p>
      <w:pPr>
        <w:rPr>
          <w:noProof/>
          <w:sz w:val="24"/>
          <w:szCs w:val="24"/>
        </w:rPr>
      </w:pPr>
    </w:p>
    <w:p>
      <w:pPr>
        <w:pStyle w:val="Caption"/>
      </w:pPr>
      <w:r>
        <w:t xml:space="preserve">        </w:t>
      </w:r>
      <w:bookmarkStart w:id="476" w:name="_Ref50371431"/>
      <w:bookmarkStart w:id="477" w:name="_Toc52396986"/>
      <w:r>
        <w:t xml:space="preserve">Table </w:t>
      </w:r>
      <w:r>
        <w:fldChar w:fldCharType="begin"/>
      </w:r>
      <w:r>
        <w:instrText xml:space="preserve"> SEQ Table \* ARABIC </w:instrText>
      </w:r>
      <w:r>
        <w:fldChar w:fldCharType="separate"/>
      </w:r>
      <w:r>
        <w:t>27</w:t>
      </w:r>
      <w:r>
        <w:fldChar w:fldCharType="end"/>
      </w:r>
      <w:bookmarkEnd w:id="476"/>
      <w:r>
        <w:t xml:space="preserve"> - Plants participating in the study</w:t>
      </w:r>
      <w:bookmarkEnd w:id="477"/>
    </w:p>
    <w:tbl>
      <w:tblPr>
        <w:tblStyle w:val="Table161"/>
        <w:tblW w:w="0" w:type="auto"/>
        <w:tblLook w:val="04A0" w:firstRow="1" w:lastRow="0" w:firstColumn="1" w:lastColumn="0" w:noHBand="0" w:noVBand="1"/>
      </w:tblPr>
      <w:tblGrid>
        <w:gridCol w:w="1256"/>
        <w:gridCol w:w="999"/>
        <w:gridCol w:w="1079"/>
        <w:gridCol w:w="1062"/>
        <w:gridCol w:w="1170"/>
        <w:gridCol w:w="711"/>
        <w:gridCol w:w="244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tcPr>
          <w:p>
            <w:pPr>
              <w:rPr>
                <w:noProof/>
                <w:sz w:val="24"/>
                <w:szCs w:val="24"/>
              </w:rPr>
            </w:pPr>
            <w:r>
              <w:rPr>
                <w:noProof/>
                <w:sz w:val="24"/>
                <w:szCs w:val="24"/>
              </w:rPr>
              <w:t>Sector</w:t>
            </w:r>
          </w:p>
        </w:tc>
        <w:tc>
          <w:tcPr>
            <w:tcW w:w="5021" w:type="dxa"/>
            <w:gridSpan w:val="5"/>
            <w:tcBorders>
              <w:left w:val="single" w:sz="4" w:space="0" w:color="auto"/>
              <w:right w:val="single" w:sz="4" w:space="0" w:color="auto"/>
            </w:tcBorders>
          </w:tcPr>
          <w:p>
            <w:pPr>
              <w:cnfStyle w:val="100000000000" w:firstRow="1" w:lastRow="0" w:firstColumn="0" w:lastColumn="0" w:oddVBand="0" w:evenVBand="0" w:oddHBand="0" w:evenHBand="0" w:firstRowFirstColumn="0" w:firstRowLastColumn="0" w:lastRowFirstColumn="0" w:lastRowLastColumn="0"/>
              <w:rPr>
                <w:noProof/>
                <w:sz w:val="24"/>
                <w:szCs w:val="24"/>
              </w:rPr>
            </w:pPr>
            <w:r>
              <w:rPr>
                <w:noProof/>
                <w:sz w:val="24"/>
                <w:szCs w:val="24"/>
              </w:rPr>
              <w:t xml:space="preserve">Number of plants by geographical region </w:t>
            </w:r>
            <w:r>
              <w:rPr>
                <w:noProof/>
                <w:sz w:val="24"/>
                <w:szCs w:val="24"/>
                <w:vertAlign w:val="superscript"/>
              </w:rPr>
              <w:t>(1)</w:t>
            </w:r>
          </w:p>
        </w:tc>
        <w:tc>
          <w:tcPr>
            <w:tcW w:w="2442" w:type="dxa"/>
            <w:tcBorders>
              <w:top w:val="single" w:sz="4" w:space="0" w:color="auto"/>
              <w:left w:val="single" w:sz="4" w:space="0" w:color="auto"/>
              <w:bottom w:val="single" w:sz="4" w:space="0" w:color="auto"/>
              <w:right w:val="single" w:sz="4" w:space="0" w:color="auto"/>
            </w:tcBorders>
          </w:tcPr>
          <w:p>
            <w:pPr>
              <w:jc w:val="center"/>
              <w:cnfStyle w:val="100000000000" w:firstRow="1" w:lastRow="0" w:firstColumn="0" w:lastColumn="0" w:oddVBand="0" w:evenVBand="0" w:oddHBand="0" w:evenHBand="0" w:firstRowFirstColumn="0" w:firstRowLastColumn="0" w:lastRowFirstColumn="0" w:lastRowLastColumn="0"/>
              <w:rPr>
                <w:noProof/>
                <w:sz w:val="24"/>
                <w:szCs w:val="24"/>
              </w:rPr>
            </w:pPr>
            <w:r>
              <w:rPr>
                <w:noProof/>
                <w:sz w:val="24"/>
                <w:szCs w:val="24"/>
              </w:rPr>
              <w:t xml:space="preserve">Representativeness in 2018 </w:t>
            </w:r>
            <w:r>
              <w:rPr>
                <w:noProof/>
                <w:sz w:val="24"/>
                <w:szCs w:val="24"/>
                <w:vertAlign w:val="superscript"/>
              </w:rPr>
              <w:t>(2)</w:t>
            </w:r>
          </w:p>
        </w:tc>
      </w:tr>
      <w:tr>
        <w:trPr>
          <w:trHeight w:val="373"/>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shd w:val="clear" w:color="auto" w:fill="4F81BD" w:themeFill="accent1"/>
          </w:tcPr>
          <w:p>
            <w:pPr>
              <w:jc w:val="center"/>
              <w:rPr>
                <w:noProof/>
                <w:color w:val="FFFFFF" w:themeColor="background1"/>
                <w:sz w:val="16"/>
                <w:szCs w:val="16"/>
              </w:rPr>
            </w:pPr>
          </w:p>
        </w:tc>
        <w:tc>
          <w:tcPr>
            <w:tcW w:w="999" w:type="dxa"/>
            <w:tcBorders>
              <w:top w:val="single" w:sz="4" w:space="0" w:color="auto"/>
              <w:left w:val="single" w:sz="4" w:space="0" w:color="auto"/>
              <w:bottom w:val="single" w:sz="4" w:space="0" w:color="auto"/>
              <w:right w:val="single" w:sz="4" w:space="0" w:color="auto"/>
            </w:tcBorders>
            <w:shd w:val="clear" w:color="auto" w:fill="4F81BD" w:themeFill="accent1"/>
          </w:tcPr>
          <w:p>
            <w:pPr>
              <w:jc w:val="center"/>
              <w:cnfStyle w:val="000000000000" w:firstRow="0" w:lastRow="0" w:firstColumn="0" w:lastColumn="0" w:oddVBand="0" w:evenVBand="0" w:oddHBand="0" w:evenHBand="0" w:firstRowFirstColumn="0" w:firstRowLastColumn="0" w:lastRowFirstColumn="0" w:lastRowLastColumn="0"/>
              <w:rPr>
                <w:noProof/>
                <w:color w:val="FFFFFF" w:themeColor="background1"/>
                <w:sz w:val="20"/>
                <w:szCs w:val="20"/>
              </w:rPr>
            </w:pPr>
            <w:r>
              <w:rPr>
                <w:noProof/>
                <w:color w:val="FFFFFF" w:themeColor="background1"/>
                <w:sz w:val="20"/>
                <w:szCs w:val="20"/>
              </w:rPr>
              <w:t>Central Eastern Europe</w:t>
            </w:r>
          </w:p>
        </w:tc>
        <w:tc>
          <w:tcPr>
            <w:tcW w:w="1079" w:type="dxa"/>
            <w:tcBorders>
              <w:top w:val="single" w:sz="4" w:space="0" w:color="auto"/>
              <w:left w:val="single" w:sz="4" w:space="0" w:color="auto"/>
              <w:bottom w:val="single" w:sz="4" w:space="0" w:color="auto"/>
              <w:right w:val="single" w:sz="4" w:space="0" w:color="auto"/>
            </w:tcBorders>
            <w:shd w:val="clear" w:color="auto" w:fill="4F81BD" w:themeFill="accent1"/>
          </w:tcPr>
          <w:p>
            <w:pPr>
              <w:jc w:val="center"/>
              <w:cnfStyle w:val="000000000000" w:firstRow="0" w:lastRow="0" w:firstColumn="0" w:lastColumn="0" w:oddVBand="0" w:evenVBand="0" w:oddHBand="0" w:evenHBand="0" w:firstRowFirstColumn="0" w:firstRowLastColumn="0" w:lastRowFirstColumn="0" w:lastRowLastColumn="0"/>
              <w:rPr>
                <w:noProof/>
                <w:color w:val="FFFFFF" w:themeColor="background1"/>
                <w:sz w:val="20"/>
                <w:szCs w:val="20"/>
              </w:rPr>
            </w:pPr>
            <w:r>
              <w:rPr>
                <w:noProof/>
                <w:color w:val="FFFFFF" w:themeColor="background1"/>
                <w:sz w:val="20"/>
                <w:szCs w:val="20"/>
              </w:rPr>
              <w:t>North Western Europe</w:t>
            </w:r>
          </w:p>
        </w:tc>
        <w:tc>
          <w:tcPr>
            <w:tcW w:w="1062" w:type="dxa"/>
            <w:tcBorders>
              <w:top w:val="single" w:sz="4" w:space="0" w:color="auto"/>
              <w:left w:val="single" w:sz="4" w:space="0" w:color="auto"/>
              <w:bottom w:val="single" w:sz="4" w:space="0" w:color="auto"/>
              <w:right w:val="single" w:sz="4" w:space="0" w:color="auto"/>
            </w:tcBorders>
            <w:shd w:val="clear" w:color="auto" w:fill="4F81BD" w:themeFill="accent1"/>
          </w:tcPr>
          <w:p>
            <w:pPr>
              <w:jc w:val="center"/>
              <w:cnfStyle w:val="000000000000" w:firstRow="0" w:lastRow="0" w:firstColumn="0" w:lastColumn="0" w:oddVBand="0" w:evenVBand="0" w:oddHBand="0" w:evenHBand="0" w:firstRowFirstColumn="0" w:firstRowLastColumn="0" w:lastRowFirstColumn="0" w:lastRowLastColumn="0"/>
              <w:rPr>
                <w:noProof/>
                <w:color w:val="FFFFFF" w:themeColor="background1"/>
                <w:sz w:val="20"/>
                <w:szCs w:val="20"/>
              </w:rPr>
            </w:pPr>
            <w:r>
              <w:rPr>
                <w:noProof/>
                <w:color w:val="FFFFFF" w:themeColor="background1"/>
                <w:sz w:val="20"/>
                <w:szCs w:val="20"/>
              </w:rPr>
              <w:t>Southern Europe</w:t>
            </w:r>
          </w:p>
        </w:tc>
        <w:tc>
          <w:tcPr>
            <w:tcW w:w="1170" w:type="dxa"/>
            <w:tcBorders>
              <w:top w:val="single" w:sz="4" w:space="0" w:color="auto"/>
              <w:left w:val="single" w:sz="4" w:space="0" w:color="auto"/>
              <w:bottom w:val="single" w:sz="4" w:space="0" w:color="auto"/>
              <w:right w:val="single" w:sz="4" w:space="0" w:color="auto"/>
            </w:tcBorders>
            <w:shd w:val="clear" w:color="auto" w:fill="4F81BD" w:themeFill="accent1"/>
          </w:tcPr>
          <w:p>
            <w:pPr>
              <w:jc w:val="center"/>
              <w:cnfStyle w:val="000000000000" w:firstRow="0" w:lastRow="0" w:firstColumn="0" w:lastColumn="0" w:oddVBand="0" w:evenVBand="0" w:oddHBand="0" w:evenHBand="0" w:firstRowFirstColumn="0" w:firstRowLastColumn="0" w:lastRowFirstColumn="0" w:lastRowLastColumn="0"/>
              <w:rPr>
                <w:noProof/>
                <w:color w:val="FFFFFF" w:themeColor="background1"/>
                <w:sz w:val="20"/>
                <w:szCs w:val="20"/>
              </w:rPr>
            </w:pPr>
            <w:r>
              <w:rPr>
                <w:noProof/>
                <w:color w:val="FFFFFF" w:themeColor="background1"/>
                <w:sz w:val="20"/>
                <w:szCs w:val="20"/>
              </w:rPr>
              <w:t>Non-EU North Western Europe</w:t>
            </w:r>
          </w:p>
        </w:tc>
        <w:tc>
          <w:tcPr>
            <w:tcW w:w="711" w:type="dxa"/>
            <w:tcBorders>
              <w:top w:val="single" w:sz="4" w:space="0" w:color="auto"/>
              <w:left w:val="single" w:sz="4" w:space="0" w:color="auto"/>
              <w:bottom w:val="single" w:sz="4" w:space="0" w:color="auto"/>
              <w:right w:val="single" w:sz="4" w:space="0" w:color="auto"/>
            </w:tcBorders>
            <w:shd w:val="clear" w:color="auto" w:fill="4F81BD" w:themeFill="accent1"/>
          </w:tcPr>
          <w:p>
            <w:pPr>
              <w:jc w:val="center"/>
              <w:cnfStyle w:val="000000000000" w:firstRow="0" w:lastRow="0" w:firstColumn="0" w:lastColumn="0" w:oddVBand="0" w:evenVBand="0" w:oddHBand="0" w:evenHBand="0" w:firstRowFirstColumn="0" w:firstRowLastColumn="0" w:lastRowFirstColumn="0" w:lastRowLastColumn="0"/>
              <w:rPr>
                <w:noProof/>
                <w:color w:val="FFFFFF" w:themeColor="background1"/>
                <w:sz w:val="20"/>
                <w:szCs w:val="20"/>
              </w:rPr>
            </w:pPr>
            <w:r>
              <w:rPr>
                <w:noProof/>
                <w:color w:val="FFFFFF" w:themeColor="background1"/>
                <w:sz w:val="20"/>
                <w:szCs w:val="20"/>
              </w:rPr>
              <w:t>Total</w:t>
            </w:r>
          </w:p>
        </w:tc>
        <w:tc>
          <w:tcPr>
            <w:tcW w:w="2442" w:type="dxa"/>
            <w:tcBorders>
              <w:top w:val="single" w:sz="4" w:space="0" w:color="auto"/>
              <w:left w:val="single" w:sz="4" w:space="0" w:color="auto"/>
              <w:bottom w:val="single" w:sz="4" w:space="0" w:color="auto"/>
              <w:right w:val="single" w:sz="4" w:space="0" w:color="auto"/>
            </w:tcBorders>
            <w:shd w:val="clear" w:color="auto" w:fill="4F81BD" w:themeFill="accent1"/>
          </w:tcPr>
          <w:p>
            <w:pPr>
              <w:cnfStyle w:val="000000000000" w:firstRow="0" w:lastRow="0" w:firstColumn="0" w:lastColumn="0" w:oddVBand="0" w:evenVBand="0" w:oddHBand="0" w:evenHBand="0" w:firstRowFirstColumn="0" w:firstRowLastColumn="0" w:lastRowFirstColumn="0" w:lastRowLastColumn="0"/>
              <w:rPr>
                <w:noProof/>
                <w:color w:val="FFFFFF" w:themeColor="background1"/>
                <w:sz w:val="20"/>
                <w:szCs w:val="20"/>
              </w:rPr>
            </w:pPr>
            <w:r>
              <w:rPr>
                <w:noProof/>
                <w:color w:val="FFFFFF" w:themeColor="background1"/>
                <w:sz w:val="20"/>
                <w:szCs w:val="20"/>
              </w:rPr>
              <w:t>Share of turnover (T) or production capacity (C)</w:t>
            </w:r>
          </w:p>
        </w:tc>
      </w:tr>
      <w:tr>
        <w:tc>
          <w:tcPr>
            <w:cnfStyle w:val="001000000000" w:firstRow="0" w:lastRow="0" w:firstColumn="1" w:lastColumn="0" w:oddVBand="0" w:evenVBand="0" w:oddHBand="0" w:evenHBand="0" w:firstRowFirstColumn="0" w:firstRowLastColumn="0" w:lastRowFirstColumn="0" w:lastRowLastColumn="0"/>
            <w:tcW w:w="0" w:type="auto"/>
          </w:tcPr>
          <w:p>
            <w:pPr>
              <w:jc w:val="center"/>
              <w:rPr>
                <w:b/>
                <w:bCs/>
                <w:noProof/>
                <w:sz w:val="24"/>
                <w:szCs w:val="24"/>
              </w:rPr>
            </w:pPr>
            <w:r>
              <w:rPr>
                <w:b/>
                <w:bCs/>
                <w:noProof/>
                <w:sz w:val="24"/>
                <w:szCs w:val="24"/>
              </w:rPr>
              <w:t>Flat glass</w:t>
            </w:r>
          </w:p>
        </w:tc>
        <w:tc>
          <w:tcPr>
            <w:tcW w:w="999" w:type="dxa"/>
            <w:tcBorders>
              <w:top w:val="single" w:sz="4" w:space="0" w:color="auto"/>
            </w:tcBorders>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7</w:t>
            </w:r>
          </w:p>
        </w:tc>
        <w:tc>
          <w:tcPr>
            <w:tcW w:w="1079" w:type="dxa"/>
            <w:tcBorders>
              <w:top w:val="single" w:sz="4" w:space="0" w:color="auto"/>
            </w:tcBorders>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19</w:t>
            </w:r>
          </w:p>
        </w:tc>
        <w:tc>
          <w:tcPr>
            <w:tcW w:w="1062" w:type="dxa"/>
            <w:tcBorders>
              <w:top w:val="single" w:sz="4" w:space="0" w:color="auto"/>
            </w:tcBorders>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10</w:t>
            </w:r>
          </w:p>
        </w:tc>
        <w:tc>
          <w:tcPr>
            <w:tcW w:w="1170" w:type="dxa"/>
            <w:tcBorders>
              <w:top w:val="single" w:sz="4" w:space="0" w:color="auto"/>
            </w:tcBorders>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4</w:t>
            </w:r>
          </w:p>
        </w:tc>
        <w:tc>
          <w:tcPr>
            <w:tcW w:w="711" w:type="dxa"/>
            <w:tcBorders>
              <w:top w:val="single" w:sz="4" w:space="0" w:color="auto"/>
            </w:tcBorders>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40</w:t>
            </w:r>
          </w:p>
        </w:tc>
        <w:tc>
          <w:tcPr>
            <w:tcW w:w="2442" w:type="dxa"/>
            <w:tcBorders>
              <w:top w:val="single" w:sz="4" w:space="0" w:color="auto"/>
            </w:tcBorders>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74% C</w:t>
            </w:r>
          </w:p>
        </w:tc>
      </w:tr>
      <w:tr>
        <w:tc>
          <w:tcPr>
            <w:cnfStyle w:val="001000000000" w:firstRow="0" w:lastRow="0" w:firstColumn="1" w:lastColumn="0" w:oddVBand="0" w:evenVBand="0" w:oddHBand="0" w:evenHBand="0" w:firstRowFirstColumn="0" w:firstRowLastColumn="0" w:lastRowFirstColumn="0" w:lastRowLastColumn="0"/>
            <w:tcW w:w="0" w:type="auto"/>
          </w:tcPr>
          <w:p>
            <w:pPr>
              <w:jc w:val="center"/>
              <w:rPr>
                <w:b/>
                <w:bCs/>
                <w:noProof/>
                <w:sz w:val="24"/>
                <w:szCs w:val="24"/>
              </w:rPr>
            </w:pPr>
            <w:r>
              <w:rPr>
                <w:b/>
                <w:bCs/>
                <w:noProof/>
                <w:sz w:val="24"/>
                <w:szCs w:val="24"/>
              </w:rPr>
              <w:t>Zinc</w:t>
            </w:r>
          </w:p>
        </w:tc>
        <w:tc>
          <w:tcPr>
            <w:tcW w:w="999"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5</w:t>
            </w:r>
          </w:p>
        </w:tc>
        <w:tc>
          <w:tcPr>
            <w:tcW w:w="1079"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1</w:t>
            </w:r>
          </w:p>
        </w:tc>
        <w:tc>
          <w:tcPr>
            <w:tcW w:w="1062"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2</w:t>
            </w:r>
          </w:p>
        </w:tc>
        <w:tc>
          <w:tcPr>
            <w:tcW w:w="1170"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w:t>
            </w:r>
          </w:p>
        </w:tc>
        <w:tc>
          <w:tcPr>
            <w:tcW w:w="711"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8</w:t>
            </w:r>
          </w:p>
        </w:tc>
        <w:tc>
          <w:tcPr>
            <w:tcW w:w="2442"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97% T</w:t>
            </w:r>
          </w:p>
        </w:tc>
      </w:tr>
      <w:tr>
        <w:tc>
          <w:tcPr>
            <w:cnfStyle w:val="001000000000" w:firstRow="0" w:lastRow="0" w:firstColumn="1" w:lastColumn="0" w:oddVBand="0" w:evenVBand="0" w:oddHBand="0" w:evenHBand="0" w:firstRowFirstColumn="0" w:firstRowLastColumn="0" w:lastRowFirstColumn="0" w:lastRowLastColumn="0"/>
            <w:tcW w:w="0" w:type="auto"/>
          </w:tcPr>
          <w:p>
            <w:pPr>
              <w:jc w:val="center"/>
              <w:rPr>
                <w:b/>
                <w:bCs/>
                <w:noProof/>
                <w:sz w:val="24"/>
                <w:szCs w:val="24"/>
              </w:rPr>
            </w:pPr>
            <w:r>
              <w:rPr>
                <w:b/>
                <w:bCs/>
                <w:noProof/>
                <w:sz w:val="24"/>
                <w:szCs w:val="24"/>
              </w:rPr>
              <w:t>Ferro-alloys and silicon</w:t>
            </w:r>
          </w:p>
        </w:tc>
        <w:tc>
          <w:tcPr>
            <w:tcW w:w="999"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2</w:t>
            </w:r>
          </w:p>
        </w:tc>
        <w:tc>
          <w:tcPr>
            <w:tcW w:w="1079"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3</w:t>
            </w:r>
          </w:p>
        </w:tc>
        <w:tc>
          <w:tcPr>
            <w:tcW w:w="1062"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2</w:t>
            </w:r>
          </w:p>
        </w:tc>
        <w:tc>
          <w:tcPr>
            <w:tcW w:w="1170"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w:t>
            </w:r>
          </w:p>
        </w:tc>
        <w:tc>
          <w:tcPr>
            <w:tcW w:w="711"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7</w:t>
            </w:r>
          </w:p>
        </w:tc>
        <w:tc>
          <w:tcPr>
            <w:tcW w:w="2442" w:type="dxa"/>
          </w:tcPr>
          <w:p>
            <w:pPr>
              <w:jc w:val="center"/>
              <w:cnfStyle w:val="000000000000" w:firstRow="0" w:lastRow="0" w:firstColumn="0" w:lastColumn="0" w:oddVBand="0" w:evenVBand="0" w:oddHBand="0" w:evenHBand="0" w:firstRowFirstColumn="0" w:firstRowLastColumn="0" w:lastRowFirstColumn="0" w:lastRowLastColumn="0"/>
              <w:rPr>
                <w:i/>
                <w:iCs/>
                <w:noProof/>
                <w:sz w:val="24"/>
                <w:szCs w:val="24"/>
              </w:rPr>
            </w:pPr>
            <w:r>
              <w:rPr>
                <w:i/>
                <w:iCs/>
                <w:noProof/>
                <w:sz w:val="24"/>
                <w:szCs w:val="24"/>
              </w:rPr>
              <w:t>NA</w:t>
            </w:r>
          </w:p>
        </w:tc>
      </w:tr>
      <w:tr>
        <w:tc>
          <w:tcPr>
            <w:cnfStyle w:val="001000000000" w:firstRow="0" w:lastRow="0" w:firstColumn="1" w:lastColumn="0" w:oddVBand="0" w:evenVBand="0" w:oddHBand="0" w:evenHBand="0" w:firstRowFirstColumn="0" w:firstRowLastColumn="0" w:lastRowFirstColumn="0" w:lastRowLastColumn="0"/>
            <w:tcW w:w="0" w:type="auto"/>
          </w:tcPr>
          <w:p>
            <w:pPr>
              <w:jc w:val="center"/>
              <w:rPr>
                <w:b/>
                <w:bCs/>
                <w:noProof/>
                <w:sz w:val="24"/>
                <w:szCs w:val="24"/>
              </w:rPr>
            </w:pPr>
            <w:r>
              <w:rPr>
                <w:b/>
                <w:bCs/>
                <w:noProof/>
                <w:sz w:val="24"/>
                <w:szCs w:val="24"/>
              </w:rPr>
              <w:t xml:space="preserve">Refineries </w:t>
            </w:r>
          </w:p>
        </w:tc>
        <w:tc>
          <w:tcPr>
            <w:tcW w:w="999"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4</w:t>
            </w:r>
          </w:p>
        </w:tc>
        <w:tc>
          <w:tcPr>
            <w:tcW w:w="1079"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8</w:t>
            </w:r>
          </w:p>
        </w:tc>
        <w:tc>
          <w:tcPr>
            <w:tcW w:w="1062"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8</w:t>
            </w:r>
          </w:p>
        </w:tc>
        <w:tc>
          <w:tcPr>
            <w:tcW w:w="1170"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3</w:t>
            </w:r>
          </w:p>
        </w:tc>
        <w:tc>
          <w:tcPr>
            <w:tcW w:w="711"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23</w:t>
            </w:r>
          </w:p>
        </w:tc>
        <w:tc>
          <w:tcPr>
            <w:tcW w:w="2442"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12% T</w:t>
            </w:r>
          </w:p>
        </w:tc>
      </w:tr>
      <w:tr>
        <w:tc>
          <w:tcPr>
            <w:cnfStyle w:val="001000000000" w:firstRow="0" w:lastRow="0" w:firstColumn="1" w:lastColumn="0" w:oddVBand="0" w:evenVBand="0" w:oddHBand="0" w:evenHBand="0" w:firstRowFirstColumn="0" w:firstRowLastColumn="0" w:lastRowFirstColumn="0" w:lastRowLastColumn="0"/>
            <w:tcW w:w="0" w:type="auto"/>
          </w:tcPr>
          <w:p>
            <w:pPr>
              <w:jc w:val="center"/>
              <w:rPr>
                <w:b/>
                <w:bCs/>
                <w:noProof/>
                <w:sz w:val="24"/>
                <w:szCs w:val="24"/>
              </w:rPr>
            </w:pPr>
            <w:r>
              <w:rPr>
                <w:b/>
                <w:bCs/>
                <w:noProof/>
                <w:sz w:val="24"/>
                <w:szCs w:val="24"/>
              </w:rPr>
              <w:t>Fertilisers</w:t>
            </w:r>
          </w:p>
        </w:tc>
        <w:tc>
          <w:tcPr>
            <w:tcW w:w="999"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7</w:t>
            </w:r>
          </w:p>
        </w:tc>
        <w:tc>
          <w:tcPr>
            <w:tcW w:w="1079"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3</w:t>
            </w:r>
          </w:p>
        </w:tc>
        <w:tc>
          <w:tcPr>
            <w:tcW w:w="1062"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3</w:t>
            </w:r>
          </w:p>
        </w:tc>
        <w:tc>
          <w:tcPr>
            <w:tcW w:w="1170"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w:t>
            </w:r>
          </w:p>
        </w:tc>
        <w:tc>
          <w:tcPr>
            <w:tcW w:w="711"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13</w:t>
            </w:r>
          </w:p>
        </w:tc>
        <w:tc>
          <w:tcPr>
            <w:tcW w:w="2442" w:type="dxa"/>
          </w:tcPr>
          <w:p>
            <w:pPr>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sz w:val="24"/>
                <w:szCs w:val="24"/>
              </w:rPr>
              <w:t>90% C</w:t>
            </w:r>
          </w:p>
        </w:tc>
      </w:tr>
    </w:tbl>
    <w:p>
      <w:pPr>
        <w:ind w:firstLine="720"/>
        <w:rPr>
          <w:noProof/>
        </w:rPr>
      </w:pPr>
      <w:r>
        <w:rPr>
          <w:noProof/>
        </w:rPr>
        <w:t>Source: Trinomics (2020)</w:t>
      </w:r>
    </w:p>
    <w:p>
      <w:pPr>
        <w:pStyle w:val="FootnoteText"/>
        <w:numPr>
          <w:ilvl w:val="0"/>
          <w:numId w:val="36"/>
        </w:numPr>
        <w:rPr>
          <w:noProof/>
          <w:color w:val="auto"/>
        </w:rPr>
      </w:pPr>
      <w:r>
        <w:rPr>
          <w:b/>
          <w:bCs/>
          <w:noProof/>
          <w:color w:val="auto"/>
        </w:rPr>
        <w:t>Central-Eastern Europe:</w:t>
      </w:r>
      <w:r>
        <w:rPr>
          <w:noProof/>
          <w:color w:val="auto"/>
        </w:rPr>
        <w:t xml:space="preserve"> Bulgaria, Croatia, Czechia, Estonia, Hungary, Latvia, Lithuania, Poland, Romania, Slovak Republic, Slovenia;</w:t>
      </w:r>
      <w:r>
        <w:rPr>
          <w:b/>
          <w:bCs/>
          <w:noProof/>
          <w:color w:val="auto"/>
        </w:rPr>
        <w:t xml:space="preserve"> North-Western Europe:</w:t>
      </w:r>
      <w:r>
        <w:rPr>
          <w:noProof/>
          <w:color w:val="auto"/>
        </w:rPr>
        <w:t xml:space="preserve"> Austria, Belgium, Denmark, Finland, France, Germany, Ireland, Luxembourg, the Netherlands, Sweden, the UK; </w:t>
      </w:r>
      <w:r>
        <w:rPr>
          <w:b/>
          <w:bCs/>
          <w:noProof/>
          <w:color w:val="auto"/>
        </w:rPr>
        <w:t>Southern Europe:</w:t>
      </w:r>
      <w:r>
        <w:rPr>
          <w:noProof/>
          <w:color w:val="auto"/>
        </w:rPr>
        <w:t xml:space="preserve"> Cyprus, Greece, Italy, Malta, Portugal, Spain. Non-EU; </w:t>
      </w:r>
      <w:r>
        <w:rPr>
          <w:b/>
          <w:noProof/>
          <w:color w:val="auto"/>
        </w:rPr>
        <w:t>Non-EU North Western Europe</w:t>
      </w:r>
      <w:r>
        <w:rPr>
          <w:noProof/>
          <w:color w:val="auto"/>
        </w:rPr>
        <w:t>: UK, Norway, Iceland</w:t>
      </w:r>
    </w:p>
    <w:p>
      <w:pPr>
        <w:pStyle w:val="FootnoteText"/>
        <w:numPr>
          <w:ilvl w:val="0"/>
          <w:numId w:val="36"/>
        </w:numPr>
        <w:rPr>
          <w:noProof/>
          <w:color w:val="auto"/>
        </w:rPr>
      </w:pPr>
      <w:r>
        <w:rPr>
          <w:noProof/>
          <w:color w:val="auto"/>
        </w:rPr>
        <w:t>For illustrative purpose, figures are shown for 2018. Estimates of the representativeness may vary from year to year although with a similar order of magnitude.</w:t>
      </w:r>
    </w:p>
    <w:p>
      <w:pPr>
        <w:pStyle w:val="FootnoteText"/>
        <w:ind w:left="360"/>
        <w:rPr>
          <w:noProof/>
          <w:color w:val="auto"/>
          <w:szCs w:val="24"/>
        </w:rPr>
      </w:pPr>
    </w:p>
    <w:p>
      <w:pPr>
        <w:pStyle w:val="FootnoteText"/>
        <w:rPr>
          <w:noProof/>
          <w:szCs w:val="24"/>
        </w:rPr>
      </w:pPr>
    </w:p>
    <w:p>
      <w:pPr>
        <w:spacing w:after="0"/>
        <w:jc w:val="left"/>
        <w:rPr>
          <w:b/>
          <w:noProof/>
          <w:sz w:val="24"/>
        </w:rPr>
      </w:pPr>
      <w:bookmarkStart w:id="478" w:name="_Toc468890490"/>
      <w:bookmarkEnd w:id="475"/>
      <w:r>
        <w:rPr>
          <w:b/>
          <w:noProof/>
          <w:sz w:val="24"/>
        </w:rPr>
        <w:t>Cross-sectorial findings</w:t>
      </w:r>
    </w:p>
    <w:p>
      <w:pPr>
        <w:rPr>
          <w:noProof/>
          <w:sz w:val="24"/>
          <w:szCs w:val="24"/>
        </w:rPr>
      </w:pPr>
      <w:r>
        <w:rPr>
          <w:noProof/>
          <w:sz w:val="24"/>
          <w:szCs w:val="24"/>
        </w:rPr>
        <w:t>The straightforward relationship between high electricity consumption levels and low average prices is well established and had been already confirmed by CEPS-Ecofys</w:t>
      </w:r>
      <w:r>
        <w:rPr>
          <w:rStyle w:val="FootnoteReference"/>
          <w:noProof/>
          <w:sz w:val="24"/>
          <w:szCs w:val="24"/>
        </w:rPr>
        <w:footnoteReference w:id="24"/>
      </w:r>
      <w:r>
        <w:rPr>
          <w:noProof/>
          <w:sz w:val="24"/>
          <w:szCs w:val="24"/>
        </w:rPr>
        <w:t xml:space="preserve"> study (2018) which fed into the previous (2018) Report on energy prices and costs report</w:t>
      </w:r>
      <w:r>
        <w:rPr>
          <w:rStyle w:val="FootnoteReference"/>
          <w:noProof/>
          <w:sz w:val="24"/>
          <w:szCs w:val="24"/>
        </w:rPr>
        <w:footnoteReference w:id="25"/>
      </w:r>
      <w:r>
        <w:rPr>
          <w:noProof/>
          <w:sz w:val="24"/>
          <w:szCs w:val="24"/>
        </w:rPr>
        <w:t>. The relation is explained by various factors: i) larger consumers of electricity are directly connected to the grids and thus do not have to pay the distribution fees ii) larger consumer have more bargaining power to negotiate their prices iii) larger consumers of electricity are sometimes exempted from specific taxes and levies on electricity prices iv) larger consumers of some industries can adapt their manufacturing processes to better exploit cheaper, baseload electricity (e.g. produce at night when prices are lower).</w:t>
      </w:r>
    </w:p>
    <w:p>
      <w:pPr>
        <w:rPr>
          <w:b/>
          <w:bCs/>
          <w:noProof/>
          <w:sz w:val="24"/>
          <w:szCs w:val="24"/>
        </w:rPr>
      </w:pPr>
      <w:r>
        <w:rPr>
          <w:noProof/>
          <w:sz w:val="24"/>
          <w:szCs w:val="24"/>
        </w:rPr>
        <w:t xml:space="preserve">The new data collected by Trinomics (2020) is in line with those previous findings. It shows that the above mentioned inverse relation between prices and consumption also holds (and is possibly grounded) when the sectors’ energy intensities are compared with electricity and gas prices they pay. </w:t>
      </w:r>
      <w:r>
        <w:rPr>
          <w:b/>
          <w:noProof/>
          <w:sz w:val="24"/>
          <w:szCs w:val="24"/>
        </w:rPr>
        <w:fldChar w:fldCharType="begin"/>
      </w:r>
      <w:r>
        <w:rPr>
          <w:b/>
          <w:noProof/>
          <w:sz w:val="24"/>
          <w:szCs w:val="24"/>
        </w:rPr>
        <w:instrText xml:space="preserve"> REF _Ref50632060 \h  \* MERGEFORMAT </w:instrText>
      </w:r>
      <w:r>
        <w:rPr>
          <w:b/>
          <w:noProof/>
          <w:sz w:val="24"/>
          <w:szCs w:val="24"/>
        </w:rPr>
      </w:r>
      <w:r>
        <w:rPr>
          <w:b/>
          <w:noProof/>
          <w:sz w:val="24"/>
          <w:szCs w:val="24"/>
        </w:rPr>
        <w:fldChar w:fldCharType="separate"/>
      </w:r>
      <w:r>
        <w:rPr>
          <w:b/>
          <w:noProof/>
          <w:sz w:val="24"/>
          <w:szCs w:val="24"/>
        </w:rPr>
        <w:t>Figure</w:t>
      </w:r>
      <w:r>
        <w:rPr>
          <w:noProof/>
          <w:sz w:val="24"/>
          <w:szCs w:val="24"/>
        </w:rPr>
        <w:t xml:space="preserve"> </w:t>
      </w:r>
      <w:r>
        <w:rPr>
          <w:b/>
          <w:noProof/>
          <w:sz w:val="24"/>
          <w:szCs w:val="24"/>
        </w:rPr>
        <w:t>166</w:t>
      </w:r>
      <w:r>
        <w:rPr>
          <w:b/>
          <w:noProof/>
          <w:sz w:val="24"/>
          <w:szCs w:val="24"/>
        </w:rPr>
        <w:fldChar w:fldCharType="end"/>
      </w:r>
      <w:r>
        <w:rPr>
          <w:noProof/>
          <w:sz w:val="24"/>
          <w:szCs w:val="24"/>
        </w:rPr>
        <w:t xml:space="preserve"> and </w:t>
      </w:r>
      <w:r>
        <w:rPr>
          <w:b/>
          <w:noProof/>
          <w:sz w:val="24"/>
          <w:szCs w:val="24"/>
        </w:rPr>
        <w:fldChar w:fldCharType="begin"/>
      </w:r>
      <w:r>
        <w:rPr>
          <w:b/>
          <w:noProof/>
          <w:sz w:val="24"/>
          <w:szCs w:val="24"/>
        </w:rPr>
        <w:instrText xml:space="preserve"> REF _Ref50632066 \h  \* MERGEFORMAT </w:instrText>
      </w:r>
      <w:r>
        <w:rPr>
          <w:b/>
          <w:noProof/>
          <w:sz w:val="24"/>
          <w:szCs w:val="24"/>
        </w:rPr>
      </w:r>
      <w:r>
        <w:rPr>
          <w:b/>
          <w:noProof/>
          <w:sz w:val="24"/>
          <w:szCs w:val="24"/>
        </w:rPr>
        <w:fldChar w:fldCharType="separate"/>
      </w:r>
      <w:r>
        <w:rPr>
          <w:b/>
          <w:noProof/>
          <w:sz w:val="24"/>
          <w:szCs w:val="24"/>
        </w:rPr>
        <w:t>Figure</w:t>
      </w:r>
      <w:r>
        <w:rPr>
          <w:noProof/>
          <w:sz w:val="24"/>
          <w:szCs w:val="24"/>
        </w:rPr>
        <w:t xml:space="preserve"> </w:t>
      </w:r>
      <w:r>
        <w:rPr>
          <w:b/>
          <w:noProof/>
          <w:sz w:val="24"/>
          <w:szCs w:val="24"/>
        </w:rPr>
        <w:t>167</w:t>
      </w:r>
      <w:r>
        <w:rPr>
          <w:b/>
          <w:noProof/>
          <w:sz w:val="24"/>
          <w:szCs w:val="24"/>
        </w:rPr>
        <w:fldChar w:fldCharType="end"/>
      </w:r>
      <w:r>
        <w:rPr>
          <w:noProof/>
          <w:sz w:val="24"/>
          <w:szCs w:val="24"/>
        </w:rPr>
        <w:t xml:space="preserve"> display this inverse relation.</w:t>
      </w:r>
    </w:p>
    <w:p>
      <w:pPr>
        <w:pStyle w:val="Caption"/>
      </w:pPr>
      <w:r>
        <w:rPr>
          <w:lang w:eastAsia="en-GB"/>
        </w:rPr>
        <w:drawing>
          <wp:inline distT="0" distB="0" distL="0" distR="0">
            <wp:extent cx="2885936" cy="1801259"/>
            <wp:effectExtent l="0" t="0" r="0" b="889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2898215" cy="1808923"/>
                    </a:xfrm>
                    <a:prstGeom prst="rect">
                      <a:avLst/>
                    </a:prstGeom>
                    <a:noFill/>
                  </pic:spPr>
                </pic:pic>
              </a:graphicData>
            </a:graphic>
          </wp:inline>
        </w:drawing>
      </w:r>
      <w:r>
        <w:rPr>
          <w:lang w:eastAsia="en-GB"/>
        </w:rPr>
        <w:drawing>
          <wp:inline distT="0" distB="0" distL="0" distR="0">
            <wp:extent cx="2734147" cy="1764960"/>
            <wp:effectExtent l="0" t="0" r="9525" b="6985"/>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3">
                      <a:extLst>
                        <a:ext uri="{28A0092B-C50C-407E-A947-70E740481C1C}">
                          <a14:useLocalDpi xmlns:a14="http://schemas.microsoft.com/office/drawing/2010/main"/>
                        </a:ext>
                      </a:extLst>
                    </a:blip>
                    <a:srcRect/>
                    <a:stretch>
                      <a:fillRect/>
                    </a:stretch>
                  </pic:blipFill>
                  <pic:spPr bwMode="auto">
                    <a:xfrm>
                      <a:off x="0" y="0"/>
                      <a:ext cx="2758715" cy="1780819"/>
                    </a:xfrm>
                    <a:prstGeom prst="rect">
                      <a:avLst/>
                    </a:prstGeom>
                    <a:noFill/>
                  </pic:spPr>
                </pic:pic>
              </a:graphicData>
            </a:graphic>
          </wp:inline>
        </w:drawing>
      </w:r>
    </w:p>
    <w:p>
      <w:pPr>
        <w:pStyle w:val="Caption"/>
      </w:pPr>
      <w:bookmarkStart w:id="479" w:name="_Ref50632060"/>
      <w:bookmarkStart w:id="480" w:name="_Ref50632054"/>
      <w:bookmarkStart w:id="481" w:name="_Toc52396938"/>
      <w:r>
        <w:t xml:space="preserve">Figure </w:t>
      </w:r>
      <w:r>
        <w:fldChar w:fldCharType="begin"/>
      </w:r>
      <w:r>
        <w:instrText xml:space="preserve"> SEQ Figure \* ARABIC </w:instrText>
      </w:r>
      <w:r>
        <w:fldChar w:fldCharType="separate"/>
      </w:r>
      <w:r>
        <w:t>166</w:t>
      </w:r>
      <w:r>
        <w:fldChar w:fldCharType="end"/>
      </w:r>
      <w:bookmarkEnd w:id="479"/>
      <w:r>
        <w:t xml:space="preserve"> - Electricity prices vs energy intensity by sector (based on plant’s data)</w:t>
      </w:r>
      <w:bookmarkEnd w:id="480"/>
      <w:bookmarkEnd w:id="481"/>
    </w:p>
    <w:p>
      <w:pPr>
        <w:pStyle w:val="Sources"/>
        <w:rPr>
          <w:noProof/>
          <w:sz w:val="22"/>
        </w:rPr>
      </w:pPr>
      <w:r>
        <w:rPr>
          <w:noProof/>
        </w:rPr>
        <w:t>Source: Trinomics (2020)</w:t>
      </w:r>
    </w:p>
    <w:p>
      <w:pPr>
        <w:rPr>
          <w:noProof/>
        </w:rPr>
      </w:pPr>
    </w:p>
    <w:p>
      <w:pPr>
        <w:spacing w:after="0"/>
        <w:rPr>
          <w:noProof/>
        </w:rPr>
      </w:pPr>
      <w:r>
        <w:rPr>
          <w:noProof/>
          <w:lang w:eastAsia="en-GB"/>
        </w:rPr>
        <w:drawing>
          <wp:inline distT="0" distB="0" distL="0" distR="0">
            <wp:extent cx="2674620" cy="188785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4">
                      <a:extLst>
                        <a:ext uri="{28A0092B-C50C-407E-A947-70E740481C1C}">
                          <a14:useLocalDpi xmlns:a14="http://schemas.microsoft.com/office/drawing/2010/main"/>
                        </a:ext>
                      </a:extLst>
                    </a:blip>
                    <a:srcRect/>
                    <a:stretch>
                      <a:fillRect/>
                    </a:stretch>
                  </pic:blipFill>
                  <pic:spPr bwMode="auto">
                    <a:xfrm>
                      <a:off x="0" y="0"/>
                      <a:ext cx="2674620" cy="1887855"/>
                    </a:xfrm>
                    <a:prstGeom prst="rect">
                      <a:avLst/>
                    </a:prstGeom>
                    <a:noFill/>
                  </pic:spPr>
                </pic:pic>
              </a:graphicData>
            </a:graphic>
          </wp:inline>
        </w:drawing>
      </w:r>
      <w:r>
        <w:rPr>
          <w:noProof/>
          <w:lang w:eastAsia="en-GB"/>
        </w:rPr>
        <w:t xml:space="preserve"> </w:t>
      </w:r>
      <w:r>
        <w:rPr>
          <w:noProof/>
          <w:lang w:eastAsia="en-GB"/>
        </w:rPr>
        <w:drawing>
          <wp:inline distT="0" distB="0" distL="0" distR="0">
            <wp:extent cx="2628900" cy="1880870"/>
            <wp:effectExtent l="0" t="0" r="0" b="5080"/>
            <wp:docPr id="1590563936" name="Picture 1590563936"/>
            <wp:cNvGraphicFramePr/>
            <a:graphic xmlns:a="http://schemas.openxmlformats.org/drawingml/2006/main">
              <a:graphicData uri="http://schemas.openxmlformats.org/drawingml/2006/picture">
                <pic:pic xmlns:pic="http://schemas.openxmlformats.org/drawingml/2006/picture">
                  <pic:nvPicPr>
                    <pic:cNvPr id="1590563936" name="Picture 1590563936"/>
                    <pic:cNvPicPr/>
                  </pic:nvPicPr>
                  <pic:blipFill>
                    <a:blip r:embed="rId155">
                      <a:extLst>
                        <a:ext uri="{28A0092B-C50C-407E-A947-70E740481C1C}">
                          <a14:useLocalDpi xmlns:a14="http://schemas.microsoft.com/office/drawing/2010/main"/>
                        </a:ext>
                      </a:extLst>
                    </a:blip>
                    <a:srcRect/>
                    <a:stretch>
                      <a:fillRect/>
                    </a:stretch>
                  </pic:blipFill>
                  <pic:spPr bwMode="auto">
                    <a:xfrm>
                      <a:off x="0" y="0"/>
                      <a:ext cx="2628900" cy="1880870"/>
                    </a:xfrm>
                    <a:prstGeom prst="rect">
                      <a:avLst/>
                    </a:prstGeom>
                    <a:noFill/>
                  </pic:spPr>
                </pic:pic>
              </a:graphicData>
            </a:graphic>
          </wp:inline>
        </w:drawing>
      </w:r>
    </w:p>
    <w:p>
      <w:pPr>
        <w:pStyle w:val="Caption"/>
      </w:pPr>
      <w:bookmarkStart w:id="482" w:name="_Ref50632066"/>
      <w:bookmarkStart w:id="483" w:name="_Ref527040612"/>
      <w:bookmarkStart w:id="484" w:name="_Toc525807895"/>
      <w:bookmarkStart w:id="485" w:name="_Toc526433511"/>
      <w:bookmarkStart w:id="486" w:name="_Toc526433789"/>
      <w:bookmarkStart w:id="487" w:name="_Toc526435731"/>
      <w:bookmarkStart w:id="488" w:name="_Toc530739821"/>
      <w:bookmarkStart w:id="489" w:name="_Toc531366194"/>
      <w:bookmarkStart w:id="490" w:name="_Toc52396939"/>
      <w:r>
        <w:t xml:space="preserve">Figure </w:t>
      </w:r>
      <w:r>
        <w:fldChar w:fldCharType="begin"/>
      </w:r>
      <w:r>
        <w:instrText xml:space="preserve"> SEQ Figure \* ARABIC </w:instrText>
      </w:r>
      <w:r>
        <w:fldChar w:fldCharType="separate"/>
      </w:r>
      <w:r>
        <w:t>167</w:t>
      </w:r>
      <w:r>
        <w:fldChar w:fldCharType="end"/>
      </w:r>
      <w:bookmarkEnd w:id="482"/>
      <w:r>
        <w:t xml:space="preserve"> </w:t>
      </w:r>
      <w:bookmarkEnd w:id="483"/>
      <w:r>
        <w:t>– Gas prices vs energy intensity by sector (based on plant’s data)</w:t>
      </w:r>
      <w:bookmarkEnd w:id="484"/>
      <w:bookmarkEnd w:id="485"/>
      <w:bookmarkEnd w:id="486"/>
      <w:bookmarkEnd w:id="487"/>
      <w:bookmarkEnd w:id="488"/>
      <w:bookmarkEnd w:id="489"/>
      <w:bookmarkEnd w:id="490"/>
    </w:p>
    <w:p>
      <w:pPr>
        <w:pStyle w:val="Sources"/>
        <w:rPr>
          <w:noProof/>
          <w:sz w:val="22"/>
        </w:rPr>
      </w:pPr>
      <w:r>
        <w:rPr>
          <w:noProof/>
        </w:rPr>
        <w:t>Source: Trinomics (2020)</w:t>
      </w:r>
    </w:p>
    <w:bookmarkEnd w:id="478"/>
    <w:p>
      <w:pPr>
        <w:rPr>
          <w:noProof/>
          <w:color w:val="000000"/>
          <w:sz w:val="24"/>
          <w:lang w:eastAsia="en-GB"/>
        </w:rPr>
      </w:pPr>
    </w:p>
    <w:p>
      <w:pPr>
        <w:rPr>
          <w:b/>
          <w:noProof/>
          <w:color w:val="000000"/>
          <w:sz w:val="24"/>
          <w:lang w:eastAsia="en-GB"/>
        </w:rPr>
      </w:pPr>
      <w:r>
        <w:rPr>
          <w:b/>
          <w:noProof/>
          <w:color w:val="000000"/>
          <w:sz w:val="24"/>
          <w:lang w:eastAsia="en-GB"/>
        </w:rPr>
        <w:t>Overview of the results of selected EU energy-intensive sectors</w:t>
      </w:r>
    </w:p>
    <w:p>
      <w:pPr>
        <w:rPr>
          <w:noProof/>
          <w:sz w:val="24"/>
          <w:szCs w:val="24"/>
        </w:rPr>
      </w:pPr>
      <w:r>
        <w:rPr>
          <w:b/>
          <w:noProof/>
          <w:color w:val="FF0000"/>
          <w:sz w:val="24"/>
          <w:szCs w:val="24"/>
        </w:rPr>
        <w:fldChar w:fldCharType="begin"/>
      </w:r>
      <w:r>
        <w:rPr>
          <w:b/>
          <w:noProof/>
          <w:color w:val="FF0000"/>
          <w:sz w:val="24"/>
          <w:szCs w:val="24"/>
        </w:rPr>
        <w:instrText xml:space="preserve"> REF _Ref50372973 \h  \* MERGEFORMAT </w:instrText>
      </w:r>
      <w:r>
        <w:rPr>
          <w:b/>
          <w:noProof/>
          <w:color w:val="FF0000"/>
          <w:sz w:val="24"/>
          <w:szCs w:val="24"/>
        </w:rPr>
      </w:r>
      <w:r>
        <w:rPr>
          <w:b/>
          <w:noProof/>
          <w:color w:val="FF0000"/>
          <w:sz w:val="24"/>
          <w:szCs w:val="24"/>
        </w:rPr>
        <w:fldChar w:fldCharType="separate"/>
      </w:r>
      <w:r>
        <w:rPr>
          <w:b/>
          <w:noProof/>
          <w:sz w:val="24"/>
          <w:szCs w:val="24"/>
        </w:rPr>
        <w:t>Table 28</w:t>
      </w:r>
      <w:r>
        <w:rPr>
          <w:b/>
          <w:noProof/>
          <w:color w:val="FF0000"/>
          <w:sz w:val="24"/>
          <w:szCs w:val="24"/>
        </w:rPr>
        <w:fldChar w:fldCharType="end"/>
      </w:r>
      <w:r>
        <w:rPr>
          <w:noProof/>
          <w:color w:val="FF0000"/>
          <w:sz w:val="24"/>
          <w:szCs w:val="24"/>
        </w:rPr>
        <w:t xml:space="preserve"> </w:t>
      </w:r>
      <w:r>
        <w:rPr>
          <w:noProof/>
          <w:sz w:val="24"/>
          <w:szCs w:val="24"/>
        </w:rPr>
        <w:t xml:space="preserve">shows average energy prices and costs as well as energy costs shares in production costs of the selected Energy-intensive industries in Europe. Figures are presented for 2018 only, the latest year for which data was collected from all sectors. Note that natural gas costs in particular reached higher levels in 2018 than in previous years. </w:t>
      </w:r>
    </w:p>
    <w:p>
      <w:pPr>
        <w:rPr>
          <w:noProof/>
          <w:sz w:val="24"/>
          <w:szCs w:val="24"/>
        </w:rPr>
      </w:pPr>
      <w:r>
        <w:rPr>
          <w:noProof/>
          <w:sz w:val="24"/>
          <w:szCs w:val="24"/>
        </w:rPr>
        <w:t>Electricity prices range from 40-45 EUR/MWh in the sectors with plants consuming very large amounts of electricity (</w:t>
      </w:r>
      <w:r>
        <w:rPr>
          <w:i/>
          <w:noProof/>
          <w:sz w:val="24"/>
          <w:szCs w:val="24"/>
        </w:rPr>
        <w:t>ferro-alloys and silicon</w:t>
      </w:r>
      <w:r>
        <w:rPr>
          <w:noProof/>
          <w:sz w:val="24"/>
          <w:szCs w:val="24"/>
        </w:rPr>
        <w:t xml:space="preserve">, </w:t>
      </w:r>
      <w:r>
        <w:rPr>
          <w:i/>
          <w:noProof/>
          <w:sz w:val="24"/>
          <w:szCs w:val="24"/>
        </w:rPr>
        <w:t>zinc</w:t>
      </w:r>
      <w:r>
        <w:rPr>
          <w:noProof/>
          <w:sz w:val="24"/>
          <w:szCs w:val="24"/>
        </w:rPr>
        <w:t>) to 70-80 EUR/MWh in sectors with plants with relatively smaller electricity consumption (</w:t>
      </w:r>
      <w:r>
        <w:rPr>
          <w:i/>
          <w:noProof/>
          <w:sz w:val="24"/>
          <w:szCs w:val="24"/>
        </w:rPr>
        <w:t>flat glass</w:t>
      </w:r>
      <w:r>
        <w:rPr>
          <w:noProof/>
          <w:sz w:val="24"/>
          <w:szCs w:val="24"/>
        </w:rPr>
        <w:t xml:space="preserve">, </w:t>
      </w:r>
      <w:r>
        <w:rPr>
          <w:i/>
          <w:noProof/>
          <w:sz w:val="24"/>
          <w:szCs w:val="24"/>
        </w:rPr>
        <w:t>refineries</w:t>
      </w:r>
      <w:r>
        <w:rPr>
          <w:noProof/>
          <w:sz w:val="24"/>
          <w:szCs w:val="24"/>
        </w:rPr>
        <w:t xml:space="preserve">, </w:t>
      </w:r>
      <w:r>
        <w:rPr>
          <w:i/>
          <w:noProof/>
          <w:sz w:val="24"/>
          <w:szCs w:val="24"/>
        </w:rPr>
        <w:t>fertilisers</w:t>
      </w:r>
      <w:r>
        <w:rPr>
          <w:noProof/>
          <w:sz w:val="24"/>
          <w:szCs w:val="24"/>
        </w:rPr>
        <w:t>). Similarly, sectors with large gas consuming plants (</w:t>
      </w:r>
      <w:r>
        <w:rPr>
          <w:i/>
          <w:noProof/>
          <w:sz w:val="24"/>
          <w:szCs w:val="24"/>
        </w:rPr>
        <w:t>fertilisers</w:t>
      </w:r>
      <w:r>
        <w:rPr>
          <w:noProof/>
          <w:sz w:val="24"/>
          <w:szCs w:val="24"/>
        </w:rPr>
        <w:t xml:space="preserve">, </w:t>
      </w:r>
      <w:r>
        <w:rPr>
          <w:i/>
          <w:noProof/>
          <w:sz w:val="24"/>
          <w:szCs w:val="24"/>
        </w:rPr>
        <w:t>flat glass</w:t>
      </w:r>
      <w:r>
        <w:rPr>
          <w:noProof/>
          <w:sz w:val="24"/>
          <w:szCs w:val="24"/>
        </w:rPr>
        <w:t xml:space="preserve">) appear paying much less for their gas (around 25 EUR/MWh) than the other sectors. </w:t>
      </w:r>
    </w:p>
    <w:p>
      <w:pPr>
        <w:rPr>
          <w:noProof/>
          <w:sz w:val="24"/>
          <w:szCs w:val="24"/>
        </w:rPr>
      </w:pPr>
      <w:r>
        <w:rPr>
          <w:noProof/>
          <w:sz w:val="24"/>
          <w:szCs w:val="24"/>
        </w:rPr>
        <w:t xml:space="preserve">The energy costs shares in production costs vary widely across sectors. The highest energy costs share amongst the sectors studied was found in the very gas intensive sector of </w:t>
      </w:r>
      <w:r>
        <w:rPr>
          <w:i/>
          <w:noProof/>
          <w:sz w:val="24"/>
          <w:szCs w:val="24"/>
        </w:rPr>
        <w:t>fertilisers</w:t>
      </w:r>
      <w:r>
        <w:rPr>
          <w:noProof/>
          <w:sz w:val="24"/>
          <w:szCs w:val="24"/>
        </w:rPr>
        <w:t xml:space="preserve"> (71%), followed by electro intensive sectors such as </w:t>
      </w:r>
      <w:r>
        <w:rPr>
          <w:i/>
          <w:noProof/>
          <w:sz w:val="24"/>
          <w:szCs w:val="24"/>
        </w:rPr>
        <w:t>zinc</w:t>
      </w:r>
      <w:r>
        <w:rPr>
          <w:noProof/>
          <w:sz w:val="24"/>
          <w:szCs w:val="24"/>
        </w:rPr>
        <w:t xml:space="preserve"> (31%) and </w:t>
      </w:r>
      <w:r>
        <w:rPr>
          <w:i/>
          <w:noProof/>
          <w:sz w:val="24"/>
          <w:szCs w:val="24"/>
        </w:rPr>
        <w:t>ferro-alloys and silicon</w:t>
      </w:r>
      <w:r>
        <w:rPr>
          <w:noProof/>
          <w:sz w:val="24"/>
          <w:szCs w:val="24"/>
        </w:rPr>
        <w:t xml:space="preserve"> (28%) and the gas intensive sector of </w:t>
      </w:r>
      <w:r>
        <w:rPr>
          <w:i/>
          <w:noProof/>
          <w:sz w:val="24"/>
          <w:szCs w:val="24"/>
        </w:rPr>
        <w:t>flat glass</w:t>
      </w:r>
      <w:r>
        <w:rPr>
          <w:noProof/>
          <w:sz w:val="24"/>
          <w:szCs w:val="24"/>
        </w:rPr>
        <w:t xml:space="preserve"> (25%). Refineries, for which the sample is rather small, displayed lower energy costs shares (estimated at ~15%). </w:t>
      </w:r>
    </w:p>
    <w:p>
      <w:pPr>
        <w:rPr>
          <w:noProof/>
          <w:sz w:val="24"/>
          <w:szCs w:val="24"/>
        </w:rPr>
      </w:pPr>
      <w:r>
        <w:rPr>
          <w:noProof/>
          <w:sz w:val="24"/>
          <w:szCs w:val="24"/>
        </w:rPr>
        <w:t xml:space="preserve">To better understand the potential impact of energy costs on the financial balances and competitiveness of the sectors studied, it is important to know about the sector’s external exposure to international trade. The higher the exposure (because of exports or imports), the more relevant that the effect of the changes of the energy costs (and any other relevant production costs) could be. </w:t>
      </w:r>
      <w:r>
        <w:rPr>
          <w:b/>
          <w:noProof/>
          <w:sz w:val="24"/>
          <w:szCs w:val="24"/>
        </w:rPr>
        <w:fldChar w:fldCharType="begin"/>
      </w:r>
      <w:r>
        <w:rPr>
          <w:b/>
          <w:noProof/>
          <w:sz w:val="24"/>
          <w:szCs w:val="24"/>
        </w:rPr>
        <w:instrText xml:space="preserve"> REF _Ref50644110 \h  \* MERGEFORMAT </w:instrText>
      </w:r>
      <w:r>
        <w:rPr>
          <w:b/>
          <w:noProof/>
          <w:sz w:val="24"/>
          <w:szCs w:val="24"/>
        </w:rPr>
      </w:r>
      <w:r>
        <w:rPr>
          <w:b/>
          <w:noProof/>
          <w:sz w:val="24"/>
          <w:szCs w:val="24"/>
        </w:rPr>
        <w:fldChar w:fldCharType="separate"/>
      </w:r>
      <w:r>
        <w:rPr>
          <w:b/>
          <w:noProof/>
          <w:sz w:val="24"/>
          <w:szCs w:val="24"/>
        </w:rPr>
        <w:t>Table 29</w:t>
      </w:r>
      <w:r>
        <w:rPr>
          <w:b/>
          <w:noProof/>
          <w:sz w:val="24"/>
          <w:szCs w:val="24"/>
        </w:rPr>
        <w:fldChar w:fldCharType="end"/>
      </w:r>
      <w:r>
        <w:rPr>
          <w:noProof/>
          <w:sz w:val="24"/>
          <w:szCs w:val="24"/>
        </w:rPr>
        <w:t xml:space="preserve"> indicates the exposure of most of the sectors studied is </w:t>
      </w:r>
      <w:r>
        <w:rPr>
          <w:i/>
          <w:noProof/>
          <w:sz w:val="24"/>
          <w:szCs w:val="24"/>
        </w:rPr>
        <w:t>medium</w:t>
      </w:r>
      <w:r>
        <w:rPr>
          <w:noProof/>
          <w:sz w:val="24"/>
          <w:szCs w:val="24"/>
        </w:rPr>
        <w:t xml:space="preserve"> or </w:t>
      </w:r>
      <w:r>
        <w:rPr>
          <w:i/>
          <w:noProof/>
          <w:sz w:val="24"/>
          <w:szCs w:val="24"/>
        </w:rPr>
        <w:t>high</w:t>
      </w:r>
      <w:r>
        <w:rPr>
          <w:noProof/>
          <w:sz w:val="24"/>
          <w:szCs w:val="24"/>
        </w:rPr>
        <w:t xml:space="preserve"> highlighting the potential significance of energy costs for affecting the competiveness and profitability of these sectors. </w:t>
      </w:r>
    </w:p>
    <w:p>
      <w:pPr>
        <w:rPr>
          <w:noProof/>
          <w:sz w:val="24"/>
          <w:szCs w:val="24"/>
        </w:rPr>
      </w:pPr>
      <w:r>
        <w:rPr>
          <w:noProof/>
          <w:sz w:val="24"/>
          <w:szCs w:val="24"/>
        </w:rPr>
        <w:t xml:space="preserve">Having said that, the actual impact of energy costs on the competiveness and trade balances of industrial sectors will depend on many factors, in particular the existence of divergences with competitors as regards the evolution of other relevant production costs (e.g. labour costs, non-energy raw material related costs, etc.). Indeed, competiveness is relative and depends on the developments of competitors (e.g. energy costs could fall for a sector but they would not increase its competiveness if the energy costs of the competitors fall more). A detailed analysis of energy costs and the sectors’ market and trade developments can be found in the Annex of the Trinomics et altri study (2020). The analyses by sector show that overall, energy costs developments, despite being important part of production costs, did not play a decisive role in increasing or decreasing the trade balances (i.e. an indicator that ‘reveals’ the actual competitiveness) of the sectors studied. In recent years (2014-2016), decreases in gas costs in </w:t>
      </w:r>
      <w:r>
        <w:rPr>
          <w:i/>
          <w:noProof/>
          <w:sz w:val="24"/>
          <w:szCs w:val="24"/>
        </w:rPr>
        <w:t xml:space="preserve">fertilisers </w:t>
      </w:r>
      <w:r>
        <w:rPr>
          <w:noProof/>
          <w:sz w:val="24"/>
          <w:szCs w:val="24"/>
        </w:rPr>
        <w:t xml:space="preserve">and </w:t>
      </w:r>
      <w:r>
        <w:rPr>
          <w:i/>
          <w:noProof/>
          <w:sz w:val="24"/>
          <w:szCs w:val="24"/>
        </w:rPr>
        <w:t>flat glass</w:t>
      </w:r>
      <w:r>
        <w:rPr>
          <w:noProof/>
          <w:sz w:val="24"/>
          <w:szCs w:val="24"/>
        </w:rPr>
        <w:t xml:space="preserve"> helped to increase or restore these sectors’ profitability but had a limited impact on their trade balances and competiveness. In fertilisers’ plants, when the share of energy costs out of total production costs plants rose again in 2018, the export/import amounts remained roughly steady. Similarly, for </w:t>
      </w:r>
      <w:r>
        <w:rPr>
          <w:i/>
          <w:noProof/>
          <w:sz w:val="24"/>
          <w:szCs w:val="24"/>
        </w:rPr>
        <w:t>ferro-alloys and silicon,</w:t>
      </w:r>
      <w:r>
        <w:rPr>
          <w:noProof/>
          <w:sz w:val="24"/>
          <w:szCs w:val="24"/>
        </w:rPr>
        <w:t xml:space="preserve"> the steady increase in electricity prices and costs for the sector between 2016 and 2019 reduced its profitability but did not meaningfully impact the sector’s trade balance or competitiveness. For other sectors, the impact of energy costs on profitability and competiveness is difficult to assess (</w:t>
      </w:r>
      <w:r>
        <w:rPr>
          <w:i/>
          <w:noProof/>
          <w:sz w:val="24"/>
          <w:szCs w:val="24"/>
        </w:rPr>
        <w:t>zinc</w:t>
      </w:r>
      <w:r>
        <w:rPr>
          <w:noProof/>
          <w:sz w:val="24"/>
          <w:szCs w:val="24"/>
        </w:rPr>
        <w:t xml:space="preserve">) or other factors are identified as the key factor for sector’s profitability and competiveness (e.g. for </w:t>
      </w:r>
      <w:r>
        <w:rPr>
          <w:i/>
          <w:noProof/>
          <w:sz w:val="24"/>
          <w:szCs w:val="24"/>
        </w:rPr>
        <w:t>refineries</w:t>
      </w:r>
      <w:r>
        <w:rPr>
          <w:noProof/>
          <w:sz w:val="24"/>
          <w:szCs w:val="24"/>
        </w:rPr>
        <w:t xml:space="preserve"> profitability is closely linked to crude oil prices; high when crude oil prices are high and low or negative with low crude oil prices) </w:t>
      </w:r>
    </w:p>
    <w:p>
      <w:pPr>
        <w:rPr>
          <w:noProof/>
          <w:sz w:val="24"/>
          <w:szCs w:val="24"/>
        </w:rPr>
      </w:pPr>
      <w:r>
        <w:rPr>
          <w:noProof/>
          <w:sz w:val="24"/>
          <w:szCs w:val="24"/>
        </w:rPr>
        <w:t>COVID pandemic and its impact on industrial energy costs</w:t>
      </w:r>
    </w:p>
    <w:p>
      <w:pPr>
        <w:rPr>
          <w:noProof/>
          <w:sz w:val="24"/>
          <w:szCs w:val="24"/>
        </w:rPr>
      </w:pPr>
      <w:r>
        <w:rPr>
          <w:noProof/>
          <w:sz w:val="24"/>
          <w:szCs w:val="24"/>
        </w:rPr>
        <w:t xml:space="preserve">Finally, through interaction and discussion with industry representatives during the data collection and analyses for producing the Trinomics et altri (2020) study, informal feedback has been gathered on the possible impact of COVID’s pandemic on energy costs and their economic consequences for industry. COVID’s pandemic has curbed significantly demand for products, reducing the sales revenues of industrial sectors and triggering reductions of production output in plants. That said, in this context of low production and sales, energy costs are not expected to play an important role in aggravating the economic situation of most energy-intensive industries. This is because COVID’s induced economic crisis and mobility restrictions have also prompted a very significant fall in energy prices during the first half of 2020 (as signalled in the first chapters of this document). This sudden and notable fall in energy prices is very likely not being followed by equivalent declines in the prices of other non-energy production inputs (salaries, fees for services or prices for manufactured goods) which tend to be more stable. Moreover, while energy consumption usually declines with lower output, the use or consumption of other non-energy inputs and services (e.g. labour force, renting of offices, plants, payments of interests) tends to be more stable and difficult to reduce despite lower output of the firms. All this implies that that the purchases of energy (the energy costs) should be falling much faster than the expenditure related to other non-energy production costs, resulting in lower shares of energy costs in production costs. </w:t>
      </w:r>
    </w:p>
    <w:p>
      <w:pPr>
        <w:rPr>
          <w:noProof/>
          <w:sz w:val="24"/>
          <w:szCs w:val="24"/>
        </w:rPr>
      </w:pPr>
      <w:r>
        <w:rPr>
          <w:noProof/>
          <w:sz w:val="24"/>
          <w:szCs w:val="24"/>
        </w:rPr>
        <w:t>That said, in certain cases, energy costs might still have a role in eroding profits in certain energy-intensive sectors. This is the case for sectors which have an important amount of their energy consumption that is fixed or cannot be reduced along with the decline in output. In these cases, the firm could be suffering a disproportionate increase in the share of their energy costs in production costs. This would apply, for instance, to sectors that have to run their furnaces 24/h despite the level of output. This information has to be taken with caution given that the sector’s actual data on the recent consumption of energy and other production inputs will only be fully accounted in the coming months</w:t>
      </w:r>
      <w:r>
        <w:rPr>
          <w:rStyle w:val="FootnoteReference"/>
          <w:noProof/>
          <w:sz w:val="24"/>
          <w:szCs w:val="24"/>
        </w:rPr>
        <w:footnoteReference w:id="26"/>
      </w:r>
      <w:r>
        <w:rPr>
          <w:noProof/>
          <w:sz w:val="24"/>
          <w:szCs w:val="24"/>
        </w:rPr>
        <w:t>.</w:t>
      </w:r>
    </w:p>
    <w:p>
      <w:pPr>
        <w:rPr>
          <w:noProof/>
          <w:sz w:val="24"/>
          <w:szCs w:val="24"/>
        </w:rPr>
      </w:pPr>
    </w:p>
    <w:p>
      <w:pPr>
        <w:pStyle w:val="Caption"/>
      </w:pPr>
      <w:bookmarkStart w:id="491" w:name="_Ref48813375"/>
      <w:bookmarkStart w:id="492" w:name="_Ref50372973"/>
      <w:bookmarkStart w:id="493" w:name="_Toc52396987"/>
      <w:bookmarkEnd w:id="491"/>
      <w:r>
        <w:t xml:space="preserve">Table </w:t>
      </w:r>
      <w:r>
        <w:fldChar w:fldCharType="begin"/>
      </w:r>
      <w:r>
        <w:instrText xml:space="preserve"> SEQ Table \* ARABIC </w:instrText>
      </w:r>
      <w:r>
        <w:fldChar w:fldCharType="separate"/>
      </w:r>
      <w:r>
        <w:t>28</w:t>
      </w:r>
      <w:r>
        <w:fldChar w:fldCharType="end"/>
      </w:r>
      <w:bookmarkEnd w:id="492"/>
      <w:r>
        <w:t xml:space="preserve"> Energy prices &amp; costs in selected EU energy-intensive sectors – simple average EU, 2018.</w:t>
      </w:r>
      <w:bookmarkEnd w:id="493"/>
      <w:r>
        <w:t xml:space="preserve"> </w:t>
      </w:r>
    </w:p>
    <w:tbl>
      <w:tblPr>
        <w:tblStyle w:val="TableGrid"/>
        <w:tblW w:w="10456" w:type="dxa"/>
        <w:tblLayout w:type="fixed"/>
        <w:tblLook w:val="04A0" w:firstRow="1" w:lastRow="0" w:firstColumn="1" w:lastColumn="0" w:noHBand="0" w:noVBand="1"/>
      </w:tblPr>
      <w:tblGrid>
        <w:gridCol w:w="1242"/>
        <w:gridCol w:w="993"/>
        <w:gridCol w:w="992"/>
        <w:gridCol w:w="1701"/>
        <w:gridCol w:w="975"/>
        <w:gridCol w:w="1009"/>
        <w:gridCol w:w="993"/>
        <w:gridCol w:w="1417"/>
        <w:gridCol w:w="1134"/>
      </w:tblGrid>
      <w:tr>
        <w:tc>
          <w:tcPr>
            <w:tcW w:w="1242" w:type="dxa"/>
            <w:shd w:val="clear" w:color="auto" w:fill="4F81BD" w:themeFill="accent1"/>
            <w:vAlign w:val="center"/>
          </w:tcPr>
          <w:p>
            <w:pPr>
              <w:spacing w:before="60" w:after="60"/>
              <w:rPr>
                <w:b/>
                <w:bCs/>
                <w:noProof/>
                <w:color w:val="FFFFFF" w:themeColor="background1"/>
                <w:sz w:val="16"/>
                <w:szCs w:val="16"/>
              </w:rPr>
            </w:pPr>
            <w:r>
              <w:rPr>
                <w:b/>
                <w:noProof/>
                <w:color w:val="FFFFFF" w:themeColor="background1"/>
                <w:sz w:val="16"/>
                <w:szCs w:val="16"/>
              </w:rPr>
              <w:t>Sector</w:t>
            </w:r>
          </w:p>
        </w:tc>
        <w:tc>
          <w:tcPr>
            <w:tcW w:w="993" w:type="dxa"/>
            <w:shd w:val="clear" w:color="auto" w:fill="4F81BD" w:themeFill="accent1"/>
            <w:vAlign w:val="center"/>
          </w:tcPr>
          <w:p>
            <w:pPr>
              <w:spacing w:before="60" w:after="60"/>
              <w:jc w:val="center"/>
              <w:rPr>
                <w:noProof/>
                <w:color w:val="FFFFFF" w:themeColor="background1"/>
                <w:sz w:val="16"/>
                <w:szCs w:val="16"/>
              </w:rPr>
            </w:pPr>
            <w:r>
              <w:rPr>
                <w:rFonts w:eastAsia="Times New Roman" w:cs="Calibri"/>
                <w:noProof/>
                <w:color w:val="FFFFFF" w:themeColor="background1"/>
                <w:sz w:val="16"/>
                <w:szCs w:val="16"/>
                <w:lang w:eastAsia="en-GB"/>
              </w:rPr>
              <w:t>Electricity prices (€/MWh)</w:t>
            </w:r>
          </w:p>
        </w:tc>
        <w:tc>
          <w:tcPr>
            <w:tcW w:w="992" w:type="dxa"/>
            <w:shd w:val="clear" w:color="auto" w:fill="4F81BD" w:themeFill="accent1"/>
            <w:vAlign w:val="center"/>
          </w:tcPr>
          <w:p>
            <w:pPr>
              <w:spacing w:before="60" w:after="60"/>
              <w:jc w:val="center"/>
              <w:rPr>
                <w:noProof/>
                <w:color w:val="FFFFFF" w:themeColor="background1"/>
                <w:sz w:val="16"/>
                <w:szCs w:val="16"/>
              </w:rPr>
            </w:pPr>
            <w:r>
              <w:rPr>
                <w:rFonts w:eastAsia="Times New Roman" w:cs="Calibri"/>
                <w:noProof/>
                <w:color w:val="FFFFFF" w:themeColor="background1"/>
                <w:sz w:val="16"/>
                <w:szCs w:val="16"/>
                <w:lang w:eastAsia="en-GB"/>
              </w:rPr>
              <w:t>Electricity costs per production quantity (€/tonne)</w:t>
            </w:r>
          </w:p>
        </w:tc>
        <w:tc>
          <w:tcPr>
            <w:tcW w:w="1701" w:type="dxa"/>
            <w:shd w:val="clear" w:color="auto" w:fill="4F81BD" w:themeFill="accent1"/>
            <w:vAlign w:val="center"/>
          </w:tcPr>
          <w:p>
            <w:pPr>
              <w:spacing w:before="60" w:after="60"/>
              <w:jc w:val="center"/>
              <w:rPr>
                <w:b/>
                <w:noProof/>
                <w:color w:val="FFFFFF" w:themeColor="background1"/>
                <w:sz w:val="16"/>
                <w:szCs w:val="16"/>
              </w:rPr>
            </w:pPr>
            <w:r>
              <w:rPr>
                <w:rFonts w:eastAsia="Times New Roman" w:cs="Calibri"/>
                <w:b/>
                <w:noProof/>
                <w:color w:val="FFFFFF" w:themeColor="background1"/>
                <w:sz w:val="16"/>
                <w:szCs w:val="16"/>
                <w:lang w:eastAsia="en-GB"/>
              </w:rPr>
              <w:t>Electricity costs as a share of production costs</w:t>
            </w:r>
          </w:p>
        </w:tc>
        <w:tc>
          <w:tcPr>
            <w:tcW w:w="975" w:type="dxa"/>
            <w:shd w:val="clear" w:color="auto" w:fill="4F81BD" w:themeFill="accent1"/>
            <w:vAlign w:val="center"/>
          </w:tcPr>
          <w:p>
            <w:pPr>
              <w:spacing w:before="60" w:after="60"/>
              <w:jc w:val="center"/>
              <w:rPr>
                <w:noProof/>
                <w:color w:val="FFFFFF" w:themeColor="background1"/>
                <w:sz w:val="16"/>
                <w:szCs w:val="16"/>
              </w:rPr>
            </w:pPr>
            <w:r>
              <w:rPr>
                <w:rFonts w:eastAsia="Times New Roman" w:cs="Calibri"/>
                <w:noProof/>
                <w:color w:val="FFFFFF" w:themeColor="background1"/>
                <w:sz w:val="16"/>
                <w:szCs w:val="16"/>
                <w:lang w:eastAsia="en-GB"/>
              </w:rPr>
              <w:t>Electricity intensity (MWh/tonne)</w:t>
            </w:r>
          </w:p>
        </w:tc>
        <w:tc>
          <w:tcPr>
            <w:tcW w:w="1009" w:type="dxa"/>
            <w:shd w:val="clear" w:color="auto" w:fill="4F81BD" w:themeFill="accent1"/>
            <w:vAlign w:val="center"/>
          </w:tcPr>
          <w:p>
            <w:pPr>
              <w:spacing w:before="60" w:after="60"/>
              <w:jc w:val="center"/>
              <w:rPr>
                <w:noProof/>
                <w:color w:val="FFFFFF" w:themeColor="background1"/>
                <w:sz w:val="16"/>
                <w:szCs w:val="16"/>
              </w:rPr>
            </w:pPr>
            <w:r>
              <w:rPr>
                <w:rFonts w:eastAsia="Times New Roman" w:cs="Calibri"/>
                <w:noProof/>
                <w:color w:val="FFFFFF" w:themeColor="background1"/>
                <w:sz w:val="16"/>
                <w:szCs w:val="16"/>
                <w:lang w:eastAsia="en-GB"/>
              </w:rPr>
              <w:t>Natural gas price (€/MWh)</w:t>
            </w:r>
          </w:p>
        </w:tc>
        <w:tc>
          <w:tcPr>
            <w:tcW w:w="993" w:type="dxa"/>
            <w:shd w:val="clear" w:color="auto" w:fill="4F81BD" w:themeFill="accent1"/>
            <w:vAlign w:val="center"/>
          </w:tcPr>
          <w:p>
            <w:pPr>
              <w:spacing w:before="60" w:after="60"/>
              <w:jc w:val="center"/>
              <w:rPr>
                <w:noProof/>
                <w:color w:val="FFFFFF" w:themeColor="background1"/>
                <w:sz w:val="16"/>
                <w:szCs w:val="16"/>
              </w:rPr>
            </w:pPr>
            <w:r>
              <w:rPr>
                <w:rFonts w:eastAsia="Times New Roman" w:cs="Calibri"/>
                <w:noProof/>
                <w:color w:val="FFFFFF" w:themeColor="background1"/>
                <w:sz w:val="16"/>
                <w:szCs w:val="16"/>
                <w:lang w:val="fr-FR" w:eastAsia="en-GB"/>
              </w:rPr>
              <w:t>Natural gas costs per production quantity (€/tonne)</w:t>
            </w:r>
          </w:p>
        </w:tc>
        <w:tc>
          <w:tcPr>
            <w:tcW w:w="1417" w:type="dxa"/>
            <w:shd w:val="clear" w:color="auto" w:fill="4F81BD" w:themeFill="accent1"/>
            <w:vAlign w:val="center"/>
          </w:tcPr>
          <w:p>
            <w:pPr>
              <w:spacing w:before="60" w:after="60"/>
              <w:jc w:val="center"/>
              <w:rPr>
                <w:b/>
                <w:noProof/>
                <w:color w:val="FFFFFF" w:themeColor="background1"/>
                <w:sz w:val="16"/>
                <w:szCs w:val="16"/>
              </w:rPr>
            </w:pPr>
            <w:r>
              <w:rPr>
                <w:rFonts w:eastAsia="Times New Roman" w:cs="Calibri"/>
                <w:b/>
                <w:noProof/>
                <w:color w:val="FFFFFF" w:themeColor="background1"/>
                <w:sz w:val="16"/>
                <w:szCs w:val="16"/>
                <w:lang w:eastAsia="en-GB"/>
              </w:rPr>
              <w:t>Natural gas costs as a share of production costs</w:t>
            </w:r>
          </w:p>
        </w:tc>
        <w:tc>
          <w:tcPr>
            <w:tcW w:w="1134" w:type="dxa"/>
            <w:shd w:val="clear" w:color="auto" w:fill="4F81BD" w:themeFill="accent1"/>
            <w:vAlign w:val="center"/>
          </w:tcPr>
          <w:p>
            <w:pPr>
              <w:spacing w:before="60" w:after="60"/>
              <w:jc w:val="center"/>
              <w:rPr>
                <w:rFonts w:eastAsia="Times New Roman" w:cs="Calibri"/>
                <w:noProof/>
                <w:color w:val="FFFFFF" w:themeColor="background1"/>
                <w:sz w:val="16"/>
                <w:szCs w:val="16"/>
                <w:lang w:eastAsia="en-GB"/>
              </w:rPr>
            </w:pPr>
            <w:r>
              <w:rPr>
                <w:rFonts w:eastAsia="Times New Roman" w:cs="Calibri"/>
                <w:noProof/>
                <w:color w:val="FFFFFF" w:themeColor="background1"/>
                <w:sz w:val="16"/>
                <w:szCs w:val="16"/>
                <w:lang w:eastAsia="en-GB"/>
              </w:rPr>
              <w:t>Natural gas intensity (MWh/tonne)</w:t>
            </w:r>
          </w:p>
        </w:tc>
      </w:tr>
      <w:tr>
        <w:tc>
          <w:tcPr>
            <w:tcW w:w="1242" w:type="dxa"/>
            <w:vAlign w:val="center"/>
          </w:tcPr>
          <w:p>
            <w:pPr>
              <w:spacing w:before="60" w:after="60"/>
              <w:rPr>
                <w:b/>
                <w:noProof/>
                <w:sz w:val="20"/>
                <w:szCs w:val="20"/>
              </w:rPr>
            </w:pPr>
            <w:r>
              <w:rPr>
                <w:b/>
                <w:noProof/>
                <w:sz w:val="20"/>
                <w:szCs w:val="20"/>
              </w:rPr>
              <w:t>Flat glass</w:t>
            </w:r>
          </w:p>
        </w:tc>
        <w:tc>
          <w:tcPr>
            <w:tcW w:w="993" w:type="dxa"/>
            <w:vAlign w:val="center"/>
          </w:tcPr>
          <w:p>
            <w:pPr>
              <w:spacing w:before="60" w:after="60"/>
              <w:jc w:val="center"/>
              <w:rPr>
                <w:noProof/>
                <w:sz w:val="20"/>
                <w:szCs w:val="20"/>
              </w:rPr>
            </w:pPr>
            <w:r>
              <w:rPr>
                <w:noProof/>
                <w:sz w:val="20"/>
                <w:szCs w:val="20"/>
              </w:rPr>
              <w:t>7</w:t>
            </w:r>
            <w:r>
              <w:rPr>
                <w:bCs/>
                <w:noProof/>
                <w:sz w:val="20"/>
                <w:szCs w:val="20"/>
              </w:rPr>
              <w:t>9</w:t>
            </w:r>
          </w:p>
        </w:tc>
        <w:tc>
          <w:tcPr>
            <w:tcW w:w="992" w:type="dxa"/>
            <w:vAlign w:val="center"/>
          </w:tcPr>
          <w:p>
            <w:pPr>
              <w:spacing w:before="60" w:after="60"/>
              <w:jc w:val="center"/>
              <w:rPr>
                <w:noProof/>
                <w:sz w:val="20"/>
                <w:szCs w:val="20"/>
              </w:rPr>
            </w:pPr>
            <w:r>
              <w:rPr>
                <w:noProof/>
                <w:sz w:val="20"/>
                <w:szCs w:val="20"/>
              </w:rPr>
              <w:t>1</w:t>
            </w:r>
            <w:r>
              <w:rPr>
                <w:bCs/>
                <w:noProof/>
                <w:sz w:val="20"/>
                <w:szCs w:val="20"/>
              </w:rPr>
              <w:t>8</w:t>
            </w:r>
          </w:p>
        </w:tc>
        <w:tc>
          <w:tcPr>
            <w:tcW w:w="1701" w:type="dxa"/>
            <w:shd w:val="clear" w:color="auto" w:fill="F2F2F2" w:themeFill="background1" w:themeFillShade="F2"/>
            <w:vAlign w:val="center"/>
          </w:tcPr>
          <w:p>
            <w:pPr>
              <w:spacing w:before="60" w:after="60"/>
              <w:jc w:val="center"/>
              <w:rPr>
                <w:noProof/>
                <w:sz w:val="20"/>
                <w:szCs w:val="20"/>
              </w:rPr>
            </w:pPr>
            <w:r>
              <w:rPr>
                <w:noProof/>
                <w:sz w:val="20"/>
                <w:szCs w:val="20"/>
              </w:rPr>
              <w:t>6%</w:t>
            </w:r>
          </w:p>
        </w:tc>
        <w:tc>
          <w:tcPr>
            <w:tcW w:w="975" w:type="dxa"/>
            <w:vAlign w:val="center"/>
          </w:tcPr>
          <w:p>
            <w:pPr>
              <w:spacing w:before="60" w:after="60"/>
              <w:jc w:val="center"/>
              <w:rPr>
                <w:noProof/>
                <w:sz w:val="20"/>
                <w:szCs w:val="20"/>
              </w:rPr>
            </w:pPr>
            <w:r>
              <w:rPr>
                <w:noProof/>
                <w:sz w:val="20"/>
                <w:szCs w:val="20"/>
              </w:rPr>
              <w:t>0.23</w:t>
            </w:r>
          </w:p>
        </w:tc>
        <w:tc>
          <w:tcPr>
            <w:tcW w:w="1009" w:type="dxa"/>
            <w:vAlign w:val="center"/>
          </w:tcPr>
          <w:p>
            <w:pPr>
              <w:spacing w:before="60" w:after="60"/>
              <w:jc w:val="center"/>
              <w:rPr>
                <w:noProof/>
                <w:sz w:val="20"/>
                <w:szCs w:val="20"/>
              </w:rPr>
            </w:pPr>
            <w:r>
              <w:rPr>
                <w:rFonts w:eastAsia="Times New Roman" w:cs="Calibri"/>
                <w:noProof/>
                <w:sz w:val="20"/>
                <w:szCs w:val="20"/>
                <w:lang w:eastAsia="en-GB"/>
              </w:rPr>
              <w:t>25</w:t>
            </w:r>
          </w:p>
        </w:tc>
        <w:tc>
          <w:tcPr>
            <w:tcW w:w="993" w:type="dxa"/>
            <w:vAlign w:val="center"/>
          </w:tcPr>
          <w:p>
            <w:pPr>
              <w:spacing w:before="60" w:after="60"/>
              <w:jc w:val="center"/>
              <w:rPr>
                <w:noProof/>
                <w:sz w:val="20"/>
                <w:szCs w:val="20"/>
              </w:rPr>
            </w:pPr>
            <w:r>
              <w:rPr>
                <w:rFonts w:cstheme="minorHAnsi"/>
                <w:noProof/>
                <w:sz w:val="20"/>
                <w:szCs w:val="20"/>
              </w:rPr>
              <w:t>54</w:t>
            </w:r>
          </w:p>
        </w:tc>
        <w:tc>
          <w:tcPr>
            <w:tcW w:w="1417" w:type="dxa"/>
            <w:shd w:val="clear" w:color="auto" w:fill="F2F2F2" w:themeFill="background1" w:themeFillShade="F2"/>
            <w:vAlign w:val="center"/>
          </w:tcPr>
          <w:p>
            <w:pPr>
              <w:spacing w:before="60" w:after="60"/>
              <w:jc w:val="center"/>
              <w:rPr>
                <w:noProof/>
                <w:sz w:val="20"/>
                <w:szCs w:val="20"/>
              </w:rPr>
            </w:pPr>
            <w:r>
              <w:rPr>
                <w:noProof/>
                <w:sz w:val="20"/>
                <w:szCs w:val="20"/>
              </w:rPr>
              <w:t>19%</w:t>
            </w:r>
          </w:p>
        </w:tc>
        <w:tc>
          <w:tcPr>
            <w:tcW w:w="1134" w:type="dxa"/>
            <w:vAlign w:val="center"/>
          </w:tcPr>
          <w:p>
            <w:pPr>
              <w:spacing w:before="60" w:after="60"/>
              <w:jc w:val="center"/>
              <w:rPr>
                <w:rFonts w:eastAsia="Times New Roman" w:cs="Calibri"/>
                <w:noProof/>
                <w:sz w:val="20"/>
                <w:szCs w:val="20"/>
                <w:lang w:eastAsia="en-GB"/>
              </w:rPr>
            </w:pPr>
            <w:r>
              <w:rPr>
                <w:rFonts w:eastAsia="Times New Roman" w:cs="Calibri"/>
                <w:noProof/>
                <w:sz w:val="20"/>
                <w:szCs w:val="20"/>
                <w:lang w:eastAsia="en-GB"/>
              </w:rPr>
              <w:t>2.19</w:t>
            </w:r>
          </w:p>
        </w:tc>
      </w:tr>
      <w:tr>
        <w:tc>
          <w:tcPr>
            <w:tcW w:w="1242" w:type="dxa"/>
            <w:vAlign w:val="center"/>
          </w:tcPr>
          <w:p>
            <w:pPr>
              <w:spacing w:before="60" w:after="60"/>
              <w:rPr>
                <w:b/>
                <w:noProof/>
                <w:sz w:val="20"/>
                <w:szCs w:val="20"/>
              </w:rPr>
            </w:pPr>
            <w:r>
              <w:rPr>
                <w:b/>
                <w:noProof/>
                <w:sz w:val="20"/>
                <w:szCs w:val="20"/>
              </w:rPr>
              <w:t>Zinc</w:t>
            </w:r>
          </w:p>
        </w:tc>
        <w:tc>
          <w:tcPr>
            <w:tcW w:w="993" w:type="dxa"/>
            <w:vAlign w:val="center"/>
          </w:tcPr>
          <w:p>
            <w:pPr>
              <w:spacing w:before="60" w:after="60"/>
              <w:jc w:val="center"/>
              <w:rPr>
                <w:noProof/>
                <w:sz w:val="20"/>
                <w:szCs w:val="20"/>
              </w:rPr>
            </w:pPr>
            <w:r>
              <w:rPr>
                <w:noProof/>
                <w:sz w:val="20"/>
                <w:szCs w:val="20"/>
              </w:rPr>
              <w:t>46</w:t>
            </w:r>
          </w:p>
        </w:tc>
        <w:tc>
          <w:tcPr>
            <w:tcW w:w="992" w:type="dxa"/>
            <w:vAlign w:val="center"/>
          </w:tcPr>
          <w:p>
            <w:pPr>
              <w:spacing w:before="60" w:after="60"/>
              <w:jc w:val="center"/>
              <w:rPr>
                <w:noProof/>
                <w:sz w:val="20"/>
                <w:szCs w:val="20"/>
              </w:rPr>
            </w:pPr>
            <w:r>
              <w:rPr>
                <w:noProof/>
                <w:sz w:val="20"/>
                <w:szCs w:val="20"/>
              </w:rPr>
              <w:t>19</w:t>
            </w:r>
            <w:r>
              <w:rPr>
                <w:bCs/>
                <w:noProof/>
                <w:sz w:val="20"/>
                <w:szCs w:val="20"/>
              </w:rPr>
              <w:t>1</w:t>
            </w:r>
          </w:p>
        </w:tc>
        <w:tc>
          <w:tcPr>
            <w:tcW w:w="1701" w:type="dxa"/>
            <w:shd w:val="clear" w:color="auto" w:fill="F2F2F2" w:themeFill="background1" w:themeFillShade="F2"/>
            <w:vAlign w:val="center"/>
          </w:tcPr>
          <w:p>
            <w:pPr>
              <w:spacing w:before="60" w:after="60"/>
              <w:jc w:val="center"/>
              <w:rPr>
                <w:noProof/>
                <w:sz w:val="20"/>
                <w:szCs w:val="20"/>
              </w:rPr>
            </w:pPr>
            <w:r>
              <w:rPr>
                <w:noProof/>
                <w:sz w:val="20"/>
                <w:szCs w:val="20"/>
              </w:rPr>
              <w:t>31%</w:t>
            </w:r>
          </w:p>
        </w:tc>
        <w:tc>
          <w:tcPr>
            <w:tcW w:w="975" w:type="dxa"/>
            <w:vAlign w:val="center"/>
          </w:tcPr>
          <w:p>
            <w:pPr>
              <w:spacing w:before="60" w:after="60"/>
              <w:jc w:val="center"/>
              <w:rPr>
                <w:noProof/>
                <w:sz w:val="20"/>
                <w:szCs w:val="20"/>
              </w:rPr>
            </w:pPr>
            <w:r>
              <w:rPr>
                <w:noProof/>
                <w:sz w:val="20"/>
                <w:szCs w:val="20"/>
              </w:rPr>
              <w:t>4.18</w:t>
            </w:r>
          </w:p>
        </w:tc>
        <w:tc>
          <w:tcPr>
            <w:tcW w:w="1009" w:type="dxa"/>
            <w:vAlign w:val="center"/>
          </w:tcPr>
          <w:p>
            <w:pPr>
              <w:spacing w:before="60" w:after="60"/>
              <w:jc w:val="center"/>
              <w:rPr>
                <w:noProof/>
                <w:sz w:val="20"/>
                <w:szCs w:val="20"/>
              </w:rPr>
            </w:pPr>
            <w:r>
              <w:rPr>
                <w:noProof/>
                <w:sz w:val="20"/>
                <w:szCs w:val="20"/>
              </w:rPr>
              <w:t>3</w:t>
            </w:r>
            <w:r>
              <w:rPr>
                <w:bCs/>
                <w:noProof/>
                <w:sz w:val="20"/>
                <w:szCs w:val="20"/>
              </w:rPr>
              <w:t>2</w:t>
            </w:r>
          </w:p>
        </w:tc>
        <w:tc>
          <w:tcPr>
            <w:tcW w:w="993" w:type="dxa"/>
            <w:vAlign w:val="center"/>
          </w:tcPr>
          <w:p>
            <w:pPr>
              <w:spacing w:before="60" w:after="60"/>
              <w:jc w:val="center"/>
              <w:rPr>
                <w:noProof/>
                <w:sz w:val="20"/>
                <w:szCs w:val="20"/>
              </w:rPr>
            </w:pPr>
            <w:r>
              <w:rPr>
                <w:noProof/>
                <w:sz w:val="20"/>
                <w:szCs w:val="20"/>
              </w:rPr>
              <w:t>6.5</w:t>
            </w:r>
          </w:p>
        </w:tc>
        <w:tc>
          <w:tcPr>
            <w:tcW w:w="1417" w:type="dxa"/>
            <w:shd w:val="clear" w:color="auto" w:fill="F2F2F2" w:themeFill="background1" w:themeFillShade="F2"/>
            <w:vAlign w:val="center"/>
          </w:tcPr>
          <w:p>
            <w:pPr>
              <w:spacing w:before="60" w:after="60"/>
              <w:jc w:val="center"/>
              <w:rPr>
                <w:noProof/>
                <w:sz w:val="20"/>
                <w:szCs w:val="20"/>
              </w:rPr>
            </w:pPr>
            <w:r>
              <w:rPr>
                <w:noProof/>
                <w:sz w:val="20"/>
                <w:szCs w:val="20"/>
              </w:rPr>
              <w:t>0.3%</w:t>
            </w:r>
          </w:p>
        </w:tc>
        <w:tc>
          <w:tcPr>
            <w:tcW w:w="1134" w:type="dxa"/>
            <w:vAlign w:val="center"/>
          </w:tcPr>
          <w:p>
            <w:pPr>
              <w:spacing w:before="60" w:after="60"/>
              <w:jc w:val="center"/>
              <w:rPr>
                <w:rFonts w:eastAsia="Times New Roman" w:cs="Calibri"/>
                <w:noProof/>
                <w:sz w:val="20"/>
                <w:szCs w:val="20"/>
                <w:lang w:eastAsia="en-GB"/>
              </w:rPr>
            </w:pPr>
            <w:r>
              <w:rPr>
                <w:rFonts w:eastAsia="Times New Roman" w:cs="Calibri"/>
                <w:noProof/>
                <w:sz w:val="20"/>
                <w:szCs w:val="20"/>
                <w:lang w:eastAsia="en-GB"/>
              </w:rPr>
              <w:t>0.25</w:t>
            </w:r>
          </w:p>
        </w:tc>
      </w:tr>
      <w:tr>
        <w:tc>
          <w:tcPr>
            <w:tcW w:w="1242" w:type="dxa"/>
            <w:vAlign w:val="center"/>
          </w:tcPr>
          <w:p>
            <w:pPr>
              <w:spacing w:before="60" w:after="60"/>
              <w:rPr>
                <w:b/>
                <w:noProof/>
                <w:sz w:val="20"/>
                <w:szCs w:val="20"/>
              </w:rPr>
            </w:pPr>
            <w:r>
              <w:rPr>
                <w:b/>
                <w:noProof/>
                <w:sz w:val="20"/>
                <w:szCs w:val="20"/>
              </w:rPr>
              <w:t>Ferro-alloys and silicon</w:t>
            </w:r>
          </w:p>
        </w:tc>
        <w:tc>
          <w:tcPr>
            <w:tcW w:w="993" w:type="dxa"/>
            <w:vAlign w:val="center"/>
          </w:tcPr>
          <w:p>
            <w:pPr>
              <w:spacing w:before="60" w:after="60"/>
              <w:jc w:val="center"/>
              <w:rPr>
                <w:noProof/>
                <w:sz w:val="20"/>
                <w:szCs w:val="20"/>
              </w:rPr>
            </w:pPr>
            <w:r>
              <w:rPr>
                <w:noProof/>
                <w:sz w:val="20"/>
                <w:szCs w:val="20"/>
              </w:rPr>
              <w:t>43</w:t>
            </w:r>
          </w:p>
        </w:tc>
        <w:tc>
          <w:tcPr>
            <w:tcW w:w="992" w:type="dxa"/>
            <w:vAlign w:val="center"/>
          </w:tcPr>
          <w:p>
            <w:pPr>
              <w:spacing w:before="60" w:after="60"/>
              <w:jc w:val="center"/>
              <w:rPr>
                <w:noProof/>
                <w:sz w:val="20"/>
                <w:szCs w:val="20"/>
              </w:rPr>
            </w:pPr>
            <w:r>
              <w:rPr>
                <w:noProof/>
                <w:sz w:val="20"/>
                <w:szCs w:val="20"/>
              </w:rPr>
              <w:t>304</w:t>
            </w:r>
          </w:p>
        </w:tc>
        <w:tc>
          <w:tcPr>
            <w:tcW w:w="1701" w:type="dxa"/>
            <w:shd w:val="clear" w:color="auto" w:fill="F2F2F2" w:themeFill="background1" w:themeFillShade="F2"/>
            <w:vAlign w:val="center"/>
          </w:tcPr>
          <w:p>
            <w:pPr>
              <w:spacing w:before="60" w:after="60"/>
              <w:jc w:val="center"/>
              <w:rPr>
                <w:noProof/>
                <w:sz w:val="20"/>
                <w:szCs w:val="20"/>
              </w:rPr>
            </w:pPr>
            <w:r>
              <w:rPr>
                <w:noProof/>
                <w:sz w:val="20"/>
                <w:szCs w:val="20"/>
              </w:rPr>
              <w:t>28%</w:t>
            </w:r>
          </w:p>
        </w:tc>
        <w:tc>
          <w:tcPr>
            <w:tcW w:w="975" w:type="dxa"/>
            <w:vAlign w:val="center"/>
          </w:tcPr>
          <w:p>
            <w:pPr>
              <w:spacing w:before="60" w:after="60"/>
              <w:jc w:val="center"/>
              <w:rPr>
                <w:noProof/>
                <w:sz w:val="20"/>
                <w:szCs w:val="20"/>
              </w:rPr>
            </w:pPr>
            <w:r>
              <w:rPr>
                <w:noProof/>
                <w:sz w:val="20"/>
                <w:szCs w:val="20"/>
              </w:rPr>
              <w:t>7.38</w:t>
            </w:r>
          </w:p>
        </w:tc>
        <w:tc>
          <w:tcPr>
            <w:tcW w:w="1009" w:type="dxa"/>
            <w:vAlign w:val="center"/>
          </w:tcPr>
          <w:p>
            <w:pPr>
              <w:spacing w:before="60" w:after="60"/>
              <w:jc w:val="center"/>
              <w:rPr>
                <w:noProof/>
                <w:sz w:val="20"/>
                <w:szCs w:val="20"/>
              </w:rPr>
            </w:pPr>
            <w:r>
              <w:rPr>
                <w:noProof/>
                <w:sz w:val="20"/>
                <w:szCs w:val="20"/>
              </w:rPr>
              <w:t>40</w:t>
            </w:r>
          </w:p>
        </w:tc>
        <w:tc>
          <w:tcPr>
            <w:tcW w:w="993" w:type="dxa"/>
            <w:vAlign w:val="center"/>
          </w:tcPr>
          <w:p>
            <w:pPr>
              <w:spacing w:before="60" w:after="60"/>
              <w:jc w:val="center"/>
              <w:rPr>
                <w:noProof/>
                <w:sz w:val="20"/>
                <w:szCs w:val="20"/>
              </w:rPr>
            </w:pPr>
            <w:r>
              <w:rPr>
                <w:noProof/>
                <w:sz w:val="20"/>
                <w:szCs w:val="20"/>
              </w:rPr>
              <w:t>1.1</w:t>
            </w:r>
          </w:p>
        </w:tc>
        <w:tc>
          <w:tcPr>
            <w:tcW w:w="1417" w:type="dxa"/>
            <w:shd w:val="clear" w:color="auto" w:fill="F2F2F2" w:themeFill="background1" w:themeFillShade="F2"/>
            <w:vAlign w:val="center"/>
          </w:tcPr>
          <w:p>
            <w:pPr>
              <w:spacing w:before="60" w:after="60"/>
              <w:jc w:val="center"/>
              <w:rPr>
                <w:noProof/>
                <w:sz w:val="20"/>
                <w:szCs w:val="20"/>
              </w:rPr>
            </w:pPr>
            <w:r>
              <w:rPr>
                <w:noProof/>
                <w:sz w:val="20"/>
                <w:szCs w:val="20"/>
              </w:rPr>
              <w:t>0.1%</w:t>
            </w:r>
          </w:p>
        </w:tc>
        <w:tc>
          <w:tcPr>
            <w:tcW w:w="1134" w:type="dxa"/>
            <w:vAlign w:val="center"/>
          </w:tcPr>
          <w:p>
            <w:pPr>
              <w:spacing w:before="60" w:after="60"/>
              <w:jc w:val="center"/>
              <w:rPr>
                <w:rFonts w:eastAsia="Times New Roman" w:cs="Calibri"/>
                <w:noProof/>
                <w:sz w:val="20"/>
                <w:szCs w:val="20"/>
                <w:lang w:eastAsia="en-GB"/>
              </w:rPr>
            </w:pPr>
            <w:r>
              <w:rPr>
                <w:rFonts w:eastAsia="Times New Roman" w:cs="Calibri"/>
                <w:noProof/>
                <w:sz w:val="20"/>
                <w:szCs w:val="20"/>
                <w:lang w:eastAsia="en-GB"/>
              </w:rPr>
              <w:t>0.03</w:t>
            </w:r>
          </w:p>
        </w:tc>
      </w:tr>
      <w:tr>
        <w:tc>
          <w:tcPr>
            <w:tcW w:w="1242" w:type="dxa"/>
            <w:vAlign w:val="center"/>
          </w:tcPr>
          <w:p>
            <w:pPr>
              <w:spacing w:before="60" w:after="60"/>
              <w:rPr>
                <w:b/>
                <w:noProof/>
                <w:sz w:val="20"/>
                <w:szCs w:val="20"/>
              </w:rPr>
            </w:pPr>
            <w:r>
              <w:rPr>
                <w:b/>
                <w:noProof/>
                <w:sz w:val="20"/>
                <w:szCs w:val="20"/>
              </w:rPr>
              <w:t>Refineries</w:t>
            </w:r>
          </w:p>
        </w:tc>
        <w:tc>
          <w:tcPr>
            <w:tcW w:w="993" w:type="dxa"/>
            <w:vAlign w:val="center"/>
          </w:tcPr>
          <w:p>
            <w:pPr>
              <w:spacing w:before="60" w:after="60"/>
              <w:jc w:val="center"/>
              <w:rPr>
                <w:noProof/>
                <w:sz w:val="20"/>
                <w:szCs w:val="20"/>
              </w:rPr>
            </w:pPr>
            <w:r>
              <w:rPr>
                <w:noProof/>
                <w:sz w:val="20"/>
                <w:szCs w:val="20"/>
              </w:rPr>
              <w:t>77</w:t>
            </w:r>
          </w:p>
        </w:tc>
        <w:tc>
          <w:tcPr>
            <w:tcW w:w="992" w:type="dxa"/>
            <w:vAlign w:val="center"/>
          </w:tcPr>
          <w:p>
            <w:pPr>
              <w:spacing w:before="60" w:after="60"/>
              <w:jc w:val="center"/>
              <w:rPr>
                <w:noProof/>
                <w:sz w:val="20"/>
                <w:szCs w:val="20"/>
              </w:rPr>
            </w:pPr>
            <w:r>
              <w:rPr>
                <w:noProof/>
                <w:sz w:val="20"/>
                <w:szCs w:val="20"/>
              </w:rPr>
              <w:t>3.7</w:t>
            </w:r>
          </w:p>
        </w:tc>
        <w:tc>
          <w:tcPr>
            <w:tcW w:w="1701" w:type="dxa"/>
            <w:shd w:val="clear" w:color="auto" w:fill="F2F2F2" w:themeFill="background1" w:themeFillShade="F2"/>
            <w:vAlign w:val="center"/>
          </w:tcPr>
          <w:p>
            <w:pPr>
              <w:spacing w:before="60" w:after="60"/>
              <w:jc w:val="center"/>
              <w:rPr>
                <w:noProof/>
                <w:sz w:val="20"/>
                <w:szCs w:val="20"/>
              </w:rPr>
            </w:pPr>
            <w:r>
              <w:rPr>
                <w:noProof/>
                <w:sz w:val="20"/>
                <w:szCs w:val="20"/>
              </w:rPr>
              <w:t>5%</w:t>
            </w:r>
          </w:p>
        </w:tc>
        <w:tc>
          <w:tcPr>
            <w:tcW w:w="975" w:type="dxa"/>
            <w:vAlign w:val="center"/>
          </w:tcPr>
          <w:p>
            <w:pPr>
              <w:spacing w:before="60" w:after="60"/>
              <w:jc w:val="center"/>
              <w:rPr>
                <w:noProof/>
                <w:sz w:val="20"/>
                <w:szCs w:val="20"/>
              </w:rPr>
            </w:pPr>
            <w:r>
              <w:rPr>
                <w:noProof/>
                <w:sz w:val="20"/>
                <w:szCs w:val="20"/>
              </w:rPr>
              <w:t>0.05</w:t>
            </w:r>
          </w:p>
        </w:tc>
        <w:tc>
          <w:tcPr>
            <w:tcW w:w="1009" w:type="dxa"/>
            <w:vAlign w:val="center"/>
          </w:tcPr>
          <w:p>
            <w:pPr>
              <w:spacing w:before="60" w:after="60"/>
              <w:jc w:val="center"/>
              <w:rPr>
                <w:noProof/>
                <w:sz w:val="20"/>
                <w:szCs w:val="20"/>
              </w:rPr>
            </w:pPr>
            <w:r>
              <w:rPr>
                <w:bCs/>
                <w:noProof/>
                <w:sz w:val="20"/>
                <w:szCs w:val="20"/>
              </w:rPr>
              <w:t>30</w:t>
            </w:r>
          </w:p>
        </w:tc>
        <w:tc>
          <w:tcPr>
            <w:tcW w:w="993" w:type="dxa"/>
            <w:vAlign w:val="center"/>
          </w:tcPr>
          <w:p>
            <w:pPr>
              <w:spacing w:before="60" w:after="60"/>
              <w:jc w:val="center"/>
              <w:rPr>
                <w:noProof/>
                <w:sz w:val="20"/>
                <w:szCs w:val="20"/>
              </w:rPr>
            </w:pPr>
            <w:r>
              <w:rPr>
                <w:noProof/>
                <w:sz w:val="20"/>
                <w:szCs w:val="20"/>
              </w:rPr>
              <w:t>7</w:t>
            </w:r>
          </w:p>
        </w:tc>
        <w:tc>
          <w:tcPr>
            <w:tcW w:w="1417" w:type="dxa"/>
            <w:shd w:val="clear" w:color="auto" w:fill="F2F2F2" w:themeFill="background1" w:themeFillShade="F2"/>
            <w:vAlign w:val="center"/>
          </w:tcPr>
          <w:p>
            <w:pPr>
              <w:spacing w:before="60" w:after="60"/>
              <w:jc w:val="center"/>
              <w:rPr>
                <w:noProof/>
                <w:sz w:val="20"/>
                <w:szCs w:val="20"/>
              </w:rPr>
            </w:pPr>
            <w:r>
              <w:rPr>
                <w:noProof/>
                <w:sz w:val="20"/>
                <w:szCs w:val="20"/>
              </w:rPr>
              <w:t>9%</w:t>
            </w:r>
          </w:p>
        </w:tc>
        <w:tc>
          <w:tcPr>
            <w:tcW w:w="1134" w:type="dxa"/>
            <w:vAlign w:val="center"/>
          </w:tcPr>
          <w:p>
            <w:pPr>
              <w:spacing w:before="60" w:after="60"/>
              <w:jc w:val="center"/>
              <w:rPr>
                <w:rFonts w:eastAsia="Times New Roman" w:cs="Calibri"/>
                <w:noProof/>
                <w:sz w:val="20"/>
                <w:szCs w:val="20"/>
                <w:lang w:eastAsia="en-GB"/>
              </w:rPr>
            </w:pPr>
            <w:r>
              <w:rPr>
                <w:rFonts w:eastAsia="Times New Roman" w:cs="Calibri"/>
                <w:noProof/>
                <w:sz w:val="20"/>
                <w:szCs w:val="20"/>
                <w:lang w:eastAsia="en-GB"/>
              </w:rPr>
              <w:t>0.33</w:t>
            </w:r>
          </w:p>
        </w:tc>
      </w:tr>
      <w:tr>
        <w:tc>
          <w:tcPr>
            <w:tcW w:w="1242" w:type="dxa"/>
            <w:vAlign w:val="center"/>
          </w:tcPr>
          <w:p>
            <w:pPr>
              <w:spacing w:before="60" w:after="60"/>
              <w:rPr>
                <w:b/>
                <w:noProof/>
                <w:sz w:val="20"/>
                <w:szCs w:val="20"/>
              </w:rPr>
            </w:pPr>
            <w:r>
              <w:rPr>
                <w:b/>
                <w:noProof/>
                <w:sz w:val="20"/>
                <w:szCs w:val="20"/>
              </w:rPr>
              <w:t>Fertilisers</w:t>
            </w:r>
          </w:p>
        </w:tc>
        <w:tc>
          <w:tcPr>
            <w:tcW w:w="993" w:type="dxa"/>
            <w:vAlign w:val="center"/>
          </w:tcPr>
          <w:p>
            <w:pPr>
              <w:spacing w:before="60" w:after="60"/>
              <w:jc w:val="center"/>
              <w:rPr>
                <w:noProof/>
                <w:sz w:val="20"/>
                <w:szCs w:val="20"/>
              </w:rPr>
            </w:pPr>
            <w:r>
              <w:rPr>
                <w:noProof/>
                <w:sz w:val="20"/>
                <w:szCs w:val="20"/>
              </w:rPr>
              <w:t>7</w:t>
            </w:r>
            <w:r>
              <w:rPr>
                <w:bCs/>
                <w:noProof/>
                <w:sz w:val="20"/>
                <w:szCs w:val="20"/>
              </w:rPr>
              <w:t>3</w:t>
            </w:r>
          </w:p>
        </w:tc>
        <w:tc>
          <w:tcPr>
            <w:tcW w:w="992" w:type="dxa"/>
            <w:vAlign w:val="center"/>
          </w:tcPr>
          <w:p>
            <w:pPr>
              <w:spacing w:before="60" w:after="60"/>
              <w:jc w:val="center"/>
              <w:rPr>
                <w:noProof/>
                <w:sz w:val="20"/>
                <w:szCs w:val="20"/>
              </w:rPr>
            </w:pPr>
            <w:r>
              <w:rPr>
                <w:noProof/>
                <w:sz w:val="20"/>
                <w:szCs w:val="20"/>
              </w:rPr>
              <w:t>1</w:t>
            </w:r>
            <w:r>
              <w:rPr>
                <w:bCs/>
                <w:noProof/>
                <w:sz w:val="20"/>
                <w:szCs w:val="20"/>
              </w:rPr>
              <w:t>1</w:t>
            </w:r>
          </w:p>
        </w:tc>
        <w:tc>
          <w:tcPr>
            <w:tcW w:w="1701" w:type="dxa"/>
            <w:shd w:val="clear" w:color="auto" w:fill="F2F2F2" w:themeFill="background1" w:themeFillShade="F2"/>
            <w:vAlign w:val="center"/>
          </w:tcPr>
          <w:p>
            <w:pPr>
              <w:spacing w:before="60" w:after="60"/>
              <w:jc w:val="center"/>
              <w:rPr>
                <w:noProof/>
                <w:sz w:val="20"/>
                <w:szCs w:val="20"/>
              </w:rPr>
            </w:pPr>
            <w:r>
              <w:rPr>
                <w:noProof/>
                <w:sz w:val="20"/>
                <w:szCs w:val="20"/>
              </w:rPr>
              <w:t>7%</w:t>
            </w:r>
          </w:p>
        </w:tc>
        <w:tc>
          <w:tcPr>
            <w:tcW w:w="975" w:type="dxa"/>
            <w:vAlign w:val="center"/>
          </w:tcPr>
          <w:p>
            <w:pPr>
              <w:spacing w:before="60" w:after="60"/>
              <w:jc w:val="center"/>
              <w:rPr>
                <w:noProof/>
                <w:sz w:val="20"/>
                <w:szCs w:val="20"/>
              </w:rPr>
            </w:pPr>
            <w:r>
              <w:rPr>
                <w:noProof/>
                <w:sz w:val="20"/>
                <w:szCs w:val="20"/>
              </w:rPr>
              <w:t>0.17</w:t>
            </w:r>
          </w:p>
        </w:tc>
        <w:tc>
          <w:tcPr>
            <w:tcW w:w="1009" w:type="dxa"/>
            <w:vAlign w:val="center"/>
          </w:tcPr>
          <w:p>
            <w:pPr>
              <w:spacing w:before="60" w:after="60"/>
              <w:jc w:val="center"/>
              <w:rPr>
                <w:noProof/>
                <w:sz w:val="20"/>
                <w:szCs w:val="20"/>
              </w:rPr>
            </w:pPr>
            <w:r>
              <w:rPr>
                <w:bCs/>
                <w:noProof/>
                <w:sz w:val="20"/>
                <w:szCs w:val="20"/>
              </w:rPr>
              <w:t>24</w:t>
            </w:r>
          </w:p>
        </w:tc>
        <w:tc>
          <w:tcPr>
            <w:tcW w:w="993" w:type="dxa"/>
            <w:vAlign w:val="center"/>
          </w:tcPr>
          <w:p>
            <w:pPr>
              <w:spacing w:before="60" w:after="60"/>
              <w:jc w:val="center"/>
              <w:rPr>
                <w:noProof/>
                <w:sz w:val="20"/>
                <w:szCs w:val="20"/>
              </w:rPr>
            </w:pPr>
            <w:r>
              <w:rPr>
                <w:noProof/>
                <w:sz w:val="20"/>
                <w:szCs w:val="20"/>
              </w:rPr>
              <w:t>11</w:t>
            </w:r>
            <w:r>
              <w:rPr>
                <w:bCs/>
                <w:noProof/>
                <w:sz w:val="20"/>
                <w:szCs w:val="20"/>
              </w:rPr>
              <w:t>4</w:t>
            </w:r>
          </w:p>
        </w:tc>
        <w:tc>
          <w:tcPr>
            <w:tcW w:w="1417" w:type="dxa"/>
            <w:shd w:val="clear" w:color="auto" w:fill="F2F2F2" w:themeFill="background1" w:themeFillShade="F2"/>
            <w:vAlign w:val="center"/>
          </w:tcPr>
          <w:p>
            <w:pPr>
              <w:spacing w:before="60" w:after="60"/>
              <w:jc w:val="center"/>
              <w:rPr>
                <w:noProof/>
                <w:sz w:val="20"/>
                <w:szCs w:val="20"/>
              </w:rPr>
            </w:pPr>
            <w:r>
              <w:rPr>
                <w:noProof/>
                <w:sz w:val="20"/>
                <w:szCs w:val="20"/>
              </w:rPr>
              <w:t>64%</w:t>
            </w:r>
          </w:p>
        </w:tc>
        <w:tc>
          <w:tcPr>
            <w:tcW w:w="1134" w:type="dxa"/>
            <w:vAlign w:val="center"/>
          </w:tcPr>
          <w:p>
            <w:pPr>
              <w:spacing w:before="60" w:after="60"/>
              <w:jc w:val="center"/>
              <w:rPr>
                <w:rFonts w:eastAsia="Times New Roman" w:cs="Calibri"/>
                <w:noProof/>
                <w:sz w:val="20"/>
                <w:szCs w:val="20"/>
                <w:lang w:eastAsia="en-GB"/>
              </w:rPr>
            </w:pPr>
            <w:r>
              <w:rPr>
                <w:rFonts w:eastAsia="Times New Roman" w:cs="Calibri"/>
                <w:noProof/>
                <w:sz w:val="20"/>
                <w:szCs w:val="20"/>
                <w:lang w:eastAsia="en-GB"/>
              </w:rPr>
              <w:t>5.01</w:t>
            </w:r>
          </w:p>
        </w:tc>
      </w:tr>
    </w:tbl>
    <w:p>
      <w:pPr>
        <w:pStyle w:val="FootnoteText"/>
        <w:rPr>
          <w:noProof/>
        </w:rPr>
      </w:pPr>
      <w:r>
        <w:rPr>
          <w:noProof/>
        </w:rPr>
        <w:t xml:space="preserve">Source: Trinomics (2020). </w:t>
      </w:r>
    </w:p>
    <w:p>
      <w:pPr>
        <w:pStyle w:val="FootnoteText"/>
        <w:rPr>
          <w:noProof/>
        </w:rPr>
      </w:pPr>
    </w:p>
    <w:p>
      <w:pPr>
        <w:pStyle w:val="Caption"/>
        <w:rPr>
          <w:lang w:eastAsia="en-GB"/>
        </w:rPr>
      </w:pPr>
      <w:bookmarkStart w:id="494" w:name="_Ref50644110"/>
      <w:bookmarkStart w:id="495" w:name="_Toc52396988"/>
      <w:r>
        <w:t xml:space="preserve">Table </w:t>
      </w:r>
      <w:r>
        <w:fldChar w:fldCharType="begin"/>
      </w:r>
      <w:r>
        <w:instrText xml:space="preserve"> SEQ Table \* ARABIC </w:instrText>
      </w:r>
      <w:r>
        <w:fldChar w:fldCharType="separate"/>
      </w:r>
      <w:r>
        <w:t>29</w:t>
      </w:r>
      <w:r>
        <w:fldChar w:fldCharType="end"/>
      </w:r>
      <w:bookmarkEnd w:id="494"/>
      <w:r>
        <w:t xml:space="preserve"> - </w:t>
      </w:r>
      <w:r>
        <w:rPr>
          <w:lang w:eastAsia="en-GB"/>
        </w:rPr>
        <w:t>Exposure of EU selected energy-intensive industris to international trade – 2017/2018</w:t>
      </w:r>
      <w:bookmarkEnd w:id="495"/>
    </w:p>
    <w:tbl>
      <w:tblPr>
        <w:tblStyle w:val="Table1"/>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8"/>
        <w:gridCol w:w="991"/>
        <w:gridCol w:w="1285"/>
        <w:gridCol w:w="1134"/>
        <w:gridCol w:w="1276"/>
        <w:gridCol w:w="1418"/>
        <w:gridCol w:w="1559"/>
        <w:gridCol w:w="1559"/>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shd w:val="clear" w:color="auto" w:fill="4F81BD" w:themeFill="accent1"/>
          </w:tcPr>
          <w:p>
            <w:pPr>
              <w:jc w:val="center"/>
              <w:rPr>
                <w:noProof/>
                <w:sz w:val="18"/>
                <w:szCs w:val="18"/>
              </w:rPr>
            </w:pPr>
            <w:r>
              <w:rPr>
                <w:bCs/>
                <w:noProof/>
                <w:sz w:val="18"/>
                <w:szCs w:val="18"/>
              </w:rPr>
              <w:t>Sector</w:t>
            </w:r>
          </w:p>
        </w:tc>
        <w:tc>
          <w:tcPr>
            <w:tcW w:w="991" w:type="dxa"/>
            <w:shd w:val="clear" w:color="auto" w:fill="4F81BD" w:themeFill="accent1"/>
          </w:tcPr>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rFonts w:cs="Calibri"/>
                <w:noProof/>
                <w:sz w:val="18"/>
                <w:szCs w:val="18"/>
                <w:lang w:eastAsia="en-GB"/>
              </w:rPr>
              <w:t>Gross exports (M€)</w:t>
            </w:r>
          </w:p>
        </w:tc>
        <w:tc>
          <w:tcPr>
            <w:tcW w:w="1285" w:type="dxa"/>
            <w:shd w:val="clear" w:color="auto" w:fill="4F81BD" w:themeFill="accent1"/>
          </w:tcPr>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rFonts w:cs="Calibri"/>
                <w:noProof/>
                <w:sz w:val="18"/>
                <w:szCs w:val="18"/>
                <w:lang w:eastAsia="en-GB"/>
              </w:rPr>
              <w:t>Gross imports  (M€)</w:t>
            </w:r>
          </w:p>
        </w:tc>
        <w:tc>
          <w:tcPr>
            <w:tcW w:w="1134" w:type="dxa"/>
            <w:shd w:val="clear" w:color="auto" w:fill="4F81BD" w:themeFill="accent1"/>
          </w:tcPr>
          <w:p>
            <w:pPr>
              <w:jc w:val="center"/>
              <w:cnfStyle w:val="100000000000" w:firstRow="1" w:lastRow="0" w:firstColumn="0" w:lastColumn="0" w:oddVBand="0" w:evenVBand="0" w:oddHBand="0" w:evenHBand="0" w:firstRowFirstColumn="0" w:firstRowLastColumn="0" w:lastRowFirstColumn="0" w:lastRowLastColumn="0"/>
              <w:rPr>
                <w:rFonts w:cs="Calibri"/>
                <w:noProof/>
                <w:sz w:val="18"/>
                <w:szCs w:val="18"/>
                <w:lang w:eastAsia="en-GB"/>
              </w:rPr>
            </w:pPr>
            <w:r>
              <w:rPr>
                <w:rFonts w:cs="Calibri"/>
                <w:noProof/>
                <w:sz w:val="18"/>
                <w:szCs w:val="18"/>
                <w:lang w:eastAsia="en-GB"/>
              </w:rPr>
              <w:t xml:space="preserve">Production value </w:t>
            </w:r>
          </w:p>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rFonts w:cs="Calibri"/>
                <w:noProof/>
                <w:sz w:val="18"/>
                <w:szCs w:val="18"/>
                <w:lang w:eastAsia="en-GB"/>
              </w:rPr>
              <w:t>(M€)</w:t>
            </w:r>
          </w:p>
        </w:tc>
        <w:tc>
          <w:tcPr>
            <w:tcW w:w="1276" w:type="dxa"/>
            <w:shd w:val="clear" w:color="auto" w:fill="4F81BD" w:themeFill="accent1"/>
          </w:tcPr>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rFonts w:cs="Calibri"/>
                <w:noProof/>
                <w:sz w:val="18"/>
                <w:szCs w:val="18"/>
                <w:lang w:eastAsia="en-GB"/>
              </w:rPr>
              <w:t>Internal consumption (M€)</w:t>
            </w:r>
          </w:p>
        </w:tc>
        <w:tc>
          <w:tcPr>
            <w:tcW w:w="1418" w:type="dxa"/>
            <w:shd w:val="clear" w:color="auto" w:fill="4F81BD" w:themeFill="accent1"/>
          </w:tcPr>
          <w:p>
            <w:pPr>
              <w:jc w:val="center"/>
              <w:cnfStyle w:val="100000000000" w:firstRow="1" w:lastRow="0" w:firstColumn="0" w:lastColumn="0" w:oddVBand="0" w:evenVBand="0" w:oddHBand="0" w:evenHBand="0" w:firstRowFirstColumn="0" w:firstRowLastColumn="0" w:lastRowFirstColumn="0" w:lastRowLastColumn="0"/>
              <w:rPr>
                <w:rFonts w:cs="Calibri"/>
                <w:noProof/>
                <w:sz w:val="18"/>
                <w:szCs w:val="18"/>
                <w:lang w:eastAsia="en-GB"/>
              </w:rPr>
            </w:pPr>
          </w:p>
          <w:p>
            <w:pPr>
              <w:jc w:val="center"/>
              <w:cnfStyle w:val="100000000000" w:firstRow="1" w:lastRow="0" w:firstColumn="0" w:lastColumn="0" w:oddVBand="0" w:evenVBand="0" w:oddHBand="0" w:evenHBand="0" w:firstRowFirstColumn="0" w:firstRowLastColumn="0" w:lastRowFirstColumn="0" w:lastRowLastColumn="0"/>
              <w:rPr>
                <w:rFonts w:cs="Calibri"/>
                <w:noProof/>
                <w:sz w:val="16"/>
                <w:szCs w:val="16"/>
                <w:lang w:eastAsia="en-GB"/>
              </w:rPr>
            </w:pPr>
            <w:r>
              <w:rPr>
                <w:rFonts w:cs="Calibri"/>
                <w:noProof/>
                <w:sz w:val="18"/>
                <w:szCs w:val="18"/>
                <w:lang w:eastAsia="en-GB"/>
              </w:rPr>
              <w:t>IMPORT EXPOSURE (1)</w:t>
            </w:r>
            <w:r>
              <w:rPr>
                <w:rFonts w:cs="Calibri"/>
                <w:noProof/>
                <w:sz w:val="16"/>
                <w:szCs w:val="16"/>
                <w:lang w:eastAsia="en-GB"/>
              </w:rPr>
              <w:t xml:space="preserve"> </w:t>
            </w:r>
          </w:p>
          <w:p>
            <w:pPr>
              <w:jc w:val="center"/>
              <w:cnfStyle w:val="100000000000" w:firstRow="1" w:lastRow="0" w:firstColumn="0" w:lastColumn="0" w:oddVBand="0" w:evenVBand="0" w:oddHBand="0" w:evenHBand="0" w:firstRowFirstColumn="0" w:firstRowLastColumn="0" w:lastRowFirstColumn="0" w:lastRowLastColumn="0"/>
              <w:rPr>
                <w:noProof/>
                <w:sz w:val="18"/>
                <w:szCs w:val="18"/>
              </w:rPr>
            </w:pPr>
          </w:p>
        </w:tc>
        <w:tc>
          <w:tcPr>
            <w:tcW w:w="1559" w:type="dxa"/>
            <w:shd w:val="clear" w:color="auto" w:fill="4F81BD" w:themeFill="accent1"/>
          </w:tcPr>
          <w:p>
            <w:pPr>
              <w:jc w:val="center"/>
              <w:cnfStyle w:val="100000000000" w:firstRow="1" w:lastRow="0" w:firstColumn="0" w:lastColumn="0" w:oddVBand="0" w:evenVBand="0" w:oddHBand="0" w:evenHBand="0" w:firstRowFirstColumn="0" w:firstRowLastColumn="0" w:lastRowFirstColumn="0" w:lastRowLastColumn="0"/>
              <w:rPr>
                <w:rFonts w:cs="Calibri"/>
                <w:noProof/>
                <w:sz w:val="18"/>
                <w:szCs w:val="18"/>
                <w:lang w:eastAsia="en-GB"/>
              </w:rPr>
            </w:pPr>
            <w:r>
              <w:rPr>
                <w:rFonts w:cs="Calibri"/>
                <w:noProof/>
                <w:sz w:val="18"/>
                <w:szCs w:val="18"/>
                <w:lang w:eastAsia="en-GB"/>
              </w:rPr>
              <w:t>EXPORT EXPOSURE</w:t>
            </w:r>
          </w:p>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rFonts w:cs="Calibri"/>
                <w:noProof/>
                <w:sz w:val="18"/>
                <w:szCs w:val="18"/>
                <w:lang w:eastAsia="en-GB"/>
              </w:rPr>
              <w:t xml:space="preserve"> (2)</w:t>
            </w:r>
            <w:r>
              <w:rPr>
                <w:rFonts w:cs="Calibri"/>
                <w:noProof/>
                <w:sz w:val="16"/>
                <w:szCs w:val="16"/>
                <w:lang w:eastAsia="en-GB"/>
              </w:rPr>
              <w:t xml:space="preserve"> </w:t>
            </w:r>
          </w:p>
        </w:tc>
        <w:tc>
          <w:tcPr>
            <w:tcW w:w="1559" w:type="dxa"/>
            <w:shd w:val="clear" w:color="auto" w:fill="4F81BD" w:themeFill="accent1"/>
          </w:tcPr>
          <w:p>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EXPOSURE TO INTERNATIONAL TRADE</w:t>
            </w:r>
          </w:p>
        </w:tc>
      </w:tr>
      <w:tr>
        <w:tc>
          <w:tcPr>
            <w:cnfStyle w:val="001000000000" w:firstRow="0" w:lastRow="0" w:firstColumn="1" w:lastColumn="0" w:oddVBand="0" w:evenVBand="0" w:oddHBand="0" w:evenHBand="0" w:firstRowFirstColumn="0" w:firstRowLastColumn="0" w:lastRowFirstColumn="0" w:lastRowLastColumn="0"/>
            <w:tcW w:w="1268" w:type="dxa"/>
          </w:tcPr>
          <w:p>
            <w:pPr>
              <w:jc w:val="center"/>
              <w:rPr>
                <w:b/>
                <w:bCs/>
                <w:noProof/>
                <w:sz w:val="20"/>
                <w:szCs w:val="20"/>
              </w:rPr>
            </w:pPr>
            <w:r>
              <w:rPr>
                <w:b/>
                <w:bCs/>
                <w:noProof/>
                <w:sz w:val="20"/>
                <w:szCs w:val="20"/>
              </w:rPr>
              <w:t>Flat glass</w:t>
            </w:r>
            <w:r>
              <w:rPr>
                <w:b/>
                <w:bCs/>
                <w:noProof/>
                <w:sz w:val="20"/>
                <w:szCs w:val="20"/>
                <w:vertAlign w:val="superscript"/>
              </w:rPr>
              <w:t>3,4</w:t>
            </w:r>
          </w:p>
        </w:tc>
        <w:tc>
          <w:tcPr>
            <w:tcW w:w="991"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466</w:t>
            </w:r>
          </w:p>
        </w:tc>
        <w:tc>
          <w:tcPr>
            <w:tcW w:w="1285"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270</w:t>
            </w:r>
          </w:p>
        </w:tc>
        <w:tc>
          <w:tcPr>
            <w:tcW w:w="1134"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2828</w:t>
            </w:r>
          </w:p>
        </w:tc>
        <w:tc>
          <w:tcPr>
            <w:tcW w:w="1276"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2632</w:t>
            </w:r>
          </w:p>
        </w:tc>
        <w:tc>
          <w:tcPr>
            <w:tcW w:w="1418"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10%</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17%</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b/>
                <w:noProof/>
                <w:sz w:val="20"/>
                <w:szCs w:val="20"/>
              </w:rPr>
            </w:pPr>
            <w:r>
              <w:rPr>
                <w:b/>
                <w:noProof/>
                <w:sz w:val="20"/>
                <w:szCs w:val="20"/>
              </w:rPr>
              <w:t>Medium</w:t>
            </w:r>
          </w:p>
        </w:tc>
      </w:tr>
      <w:tr>
        <w:tc>
          <w:tcPr>
            <w:cnfStyle w:val="001000000000" w:firstRow="0" w:lastRow="0" w:firstColumn="1" w:lastColumn="0" w:oddVBand="0" w:evenVBand="0" w:oddHBand="0" w:evenHBand="0" w:firstRowFirstColumn="0" w:firstRowLastColumn="0" w:lastRowFirstColumn="0" w:lastRowLastColumn="0"/>
            <w:tcW w:w="1268" w:type="dxa"/>
          </w:tcPr>
          <w:p>
            <w:pPr>
              <w:jc w:val="center"/>
              <w:rPr>
                <w:b/>
                <w:bCs/>
                <w:noProof/>
                <w:sz w:val="20"/>
                <w:szCs w:val="20"/>
              </w:rPr>
            </w:pPr>
            <w:r>
              <w:rPr>
                <w:b/>
                <w:bCs/>
                <w:noProof/>
                <w:sz w:val="20"/>
                <w:szCs w:val="20"/>
              </w:rPr>
              <w:t>Zinc</w:t>
            </w:r>
            <w:r>
              <w:rPr>
                <w:b/>
                <w:bCs/>
                <w:noProof/>
                <w:sz w:val="20"/>
                <w:szCs w:val="20"/>
                <w:vertAlign w:val="superscript"/>
              </w:rPr>
              <w:t>5</w:t>
            </w:r>
          </w:p>
        </w:tc>
        <w:tc>
          <w:tcPr>
            <w:tcW w:w="991"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1030</w:t>
            </w:r>
          </w:p>
        </w:tc>
        <w:tc>
          <w:tcPr>
            <w:tcW w:w="1285"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1152</w:t>
            </w:r>
          </w:p>
        </w:tc>
        <w:tc>
          <w:tcPr>
            <w:tcW w:w="1134"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5136</w:t>
            </w:r>
          </w:p>
        </w:tc>
        <w:tc>
          <w:tcPr>
            <w:tcW w:w="1276"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5258</w:t>
            </w:r>
          </w:p>
        </w:tc>
        <w:tc>
          <w:tcPr>
            <w:tcW w:w="1418"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22%</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20%</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b/>
                <w:noProof/>
                <w:sz w:val="20"/>
                <w:szCs w:val="20"/>
              </w:rPr>
            </w:pPr>
            <w:r>
              <w:rPr>
                <w:b/>
                <w:noProof/>
                <w:sz w:val="20"/>
                <w:szCs w:val="20"/>
              </w:rPr>
              <w:t>High</w:t>
            </w:r>
          </w:p>
        </w:tc>
      </w:tr>
      <w:tr>
        <w:tc>
          <w:tcPr>
            <w:cnfStyle w:val="001000000000" w:firstRow="0" w:lastRow="0" w:firstColumn="1" w:lastColumn="0" w:oddVBand="0" w:evenVBand="0" w:oddHBand="0" w:evenHBand="0" w:firstRowFirstColumn="0" w:firstRowLastColumn="0" w:lastRowFirstColumn="0" w:lastRowLastColumn="0"/>
            <w:tcW w:w="1268" w:type="dxa"/>
          </w:tcPr>
          <w:p>
            <w:pPr>
              <w:jc w:val="center"/>
              <w:rPr>
                <w:b/>
                <w:bCs/>
                <w:noProof/>
                <w:sz w:val="20"/>
                <w:szCs w:val="20"/>
              </w:rPr>
            </w:pPr>
            <w:r>
              <w:rPr>
                <w:b/>
                <w:bCs/>
                <w:noProof/>
                <w:sz w:val="20"/>
                <w:szCs w:val="20"/>
              </w:rPr>
              <w:t>Ferro-alloys</w:t>
            </w:r>
            <w:r>
              <w:rPr>
                <w:b/>
                <w:bCs/>
                <w:noProof/>
                <w:sz w:val="20"/>
                <w:szCs w:val="20"/>
                <w:vertAlign w:val="superscript"/>
              </w:rPr>
              <w:t>3,4</w:t>
            </w:r>
          </w:p>
        </w:tc>
        <w:tc>
          <w:tcPr>
            <w:tcW w:w="991"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657</w:t>
            </w:r>
          </w:p>
        </w:tc>
        <w:tc>
          <w:tcPr>
            <w:tcW w:w="1285"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2950</w:t>
            </w:r>
          </w:p>
        </w:tc>
        <w:tc>
          <w:tcPr>
            <w:tcW w:w="1134"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4471</w:t>
            </w:r>
          </w:p>
        </w:tc>
        <w:tc>
          <w:tcPr>
            <w:tcW w:w="1276"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6763</w:t>
            </w:r>
          </w:p>
        </w:tc>
        <w:tc>
          <w:tcPr>
            <w:tcW w:w="1418"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44%</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15%</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b/>
                <w:noProof/>
                <w:sz w:val="20"/>
                <w:szCs w:val="20"/>
              </w:rPr>
            </w:pPr>
            <w:r>
              <w:rPr>
                <w:b/>
                <w:noProof/>
                <w:sz w:val="20"/>
                <w:szCs w:val="20"/>
              </w:rPr>
              <w:t>High</w:t>
            </w:r>
          </w:p>
        </w:tc>
      </w:tr>
      <w:tr>
        <w:tc>
          <w:tcPr>
            <w:cnfStyle w:val="001000000000" w:firstRow="0" w:lastRow="0" w:firstColumn="1" w:lastColumn="0" w:oddVBand="0" w:evenVBand="0" w:oddHBand="0" w:evenHBand="0" w:firstRowFirstColumn="0" w:firstRowLastColumn="0" w:lastRowFirstColumn="0" w:lastRowLastColumn="0"/>
            <w:tcW w:w="1268" w:type="dxa"/>
          </w:tcPr>
          <w:p>
            <w:pPr>
              <w:jc w:val="center"/>
              <w:rPr>
                <w:b/>
                <w:bCs/>
                <w:noProof/>
                <w:sz w:val="20"/>
                <w:szCs w:val="20"/>
              </w:rPr>
            </w:pPr>
            <w:r>
              <w:rPr>
                <w:b/>
                <w:bCs/>
                <w:noProof/>
                <w:sz w:val="20"/>
                <w:szCs w:val="20"/>
              </w:rPr>
              <w:t>Silicon</w:t>
            </w:r>
            <w:r>
              <w:rPr>
                <w:b/>
                <w:bCs/>
                <w:noProof/>
                <w:sz w:val="20"/>
                <w:szCs w:val="20"/>
                <w:vertAlign w:val="superscript"/>
              </w:rPr>
              <w:t>3,4</w:t>
            </w:r>
          </w:p>
        </w:tc>
        <w:tc>
          <w:tcPr>
            <w:tcW w:w="991"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55</w:t>
            </w:r>
          </w:p>
        </w:tc>
        <w:tc>
          <w:tcPr>
            <w:tcW w:w="1285"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500</w:t>
            </w:r>
          </w:p>
        </w:tc>
        <w:tc>
          <w:tcPr>
            <w:tcW w:w="1134"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1456</w:t>
            </w:r>
          </w:p>
        </w:tc>
        <w:tc>
          <w:tcPr>
            <w:tcW w:w="1276"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1902</w:t>
            </w:r>
          </w:p>
        </w:tc>
        <w:tc>
          <w:tcPr>
            <w:tcW w:w="1418"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26%</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4%</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b/>
                <w:noProof/>
                <w:sz w:val="20"/>
                <w:szCs w:val="20"/>
              </w:rPr>
            </w:pPr>
            <w:r>
              <w:rPr>
                <w:b/>
                <w:noProof/>
                <w:sz w:val="20"/>
                <w:szCs w:val="20"/>
              </w:rPr>
              <w:t>Low</w:t>
            </w:r>
          </w:p>
        </w:tc>
      </w:tr>
      <w:tr>
        <w:tc>
          <w:tcPr>
            <w:cnfStyle w:val="001000000000" w:firstRow="0" w:lastRow="0" w:firstColumn="1" w:lastColumn="0" w:oddVBand="0" w:evenVBand="0" w:oddHBand="0" w:evenHBand="0" w:firstRowFirstColumn="0" w:firstRowLastColumn="0" w:lastRowFirstColumn="0" w:lastRowLastColumn="0"/>
            <w:tcW w:w="1268" w:type="dxa"/>
          </w:tcPr>
          <w:p>
            <w:pPr>
              <w:jc w:val="center"/>
              <w:rPr>
                <w:b/>
                <w:bCs/>
                <w:noProof/>
                <w:sz w:val="20"/>
                <w:szCs w:val="20"/>
              </w:rPr>
            </w:pPr>
            <w:r>
              <w:rPr>
                <w:b/>
                <w:bCs/>
                <w:noProof/>
                <w:sz w:val="20"/>
                <w:szCs w:val="20"/>
              </w:rPr>
              <w:t>Refineries</w:t>
            </w:r>
            <w:r>
              <w:rPr>
                <w:b/>
                <w:bCs/>
                <w:noProof/>
                <w:sz w:val="20"/>
                <w:szCs w:val="20"/>
                <w:vertAlign w:val="superscript"/>
              </w:rPr>
              <w:t>3,4</w:t>
            </w:r>
          </w:p>
        </w:tc>
        <w:tc>
          <w:tcPr>
            <w:tcW w:w="991"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76667</w:t>
            </w:r>
          </w:p>
        </w:tc>
        <w:tc>
          <w:tcPr>
            <w:tcW w:w="1285"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94228</w:t>
            </w:r>
          </w:p>
        </w:tc>
        <w:tc>
          <w:tcPr>
            <w:tcW w:w="1134"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123947</w:t>
            </w:r>
          </w:p>
        </w:tc>
        <w:tc>
          <w:tcPr>
            <w:tcW w:w="1276"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141509</w:t>
            </w:r>
          </w:p>
        </w:tc>
        <w:tc>
          <w:tcPr>
            <w:tcW w:w="1418"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67%</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62%</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b/>
                <w:noProof/>
                <w:sz w:val="20"/>
                <w:szCs w:val="20"/>
              </w:rPr>
            </w:pPr>
            <w:r>
              <w:rPr>
                <w:b/>
                <w:noProof/>
                <w:sz w:val="20"/>
                <w:szCs w:val="20"/>
              </w:rPr>
              <w:t>Very high</w:t>
            </w:r>
          </w:p>
        </w:tc>
      </w:tr>
      <w:tr>
        <w:tc>
          <w:tcPr>
            <w:cnfStyle w:val="001000000000" w:firstRow="0" w:lastRow="0" w:firstColumn="1" w:lastColumn="0" w:oddVBand="0" w:evenVBand="0" w:oddHBand="0" w:evenHBand="0" w:firstRowFirstColumn="0" w:firstRowLastColumn="0" w:lastRowFirstColumn="0" w:lastRowLastColumn="0"/>
            <w:tcW w:w="1268" w:type="dxa"/>
          </w:tcPr>
          <w:p>
            <w:pPr>
              <w:jc w:val="center"/>
              <w:rPr>
                <w:b/>
                <w:bCs/>
                <w:noProof/>
                <w:sz w:val="20"/>
                <w:szCs w:val="20"/>
              </w:rPr>
            </w:pPr>
            <w:r>
              <w:rPr>
                <w:b/>
                <w:bCs/>
                <w:noProof/>
                <w:sz w:val="20"/>
                <w:szCs w:val="20"/>
              </w:rPr>
              <w:t>Fertilisers</w:t>
            </w:r>
            <w:r>
              <w:rPr>
                <w:b/>
                <w:bCs/>
                <w:noProof/>
                <w:sz w:val="20"/>
                <w:szCs w:val="20"/>
                <w:vertAlign w:val="superscript"/>
              </w:rPr>
              <w:t>3,4</w:t>
            </w:r>
          </w:p>
        </w:tc>
        <w:tc>
          <w:tcPr>
            <w:tcW w:w="991"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1376</w:t>
            </w:r>
          </w:p>
        </w:tc>
        <w:tc>
          <w:tcPr>
            <w:tcW w:w="1285"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2364</w:t>
            </w:r>
          </w:p>
        </w:tc>
        <w:tc>
          <w:tcPr>
            <w:tcW w:w="1134"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18061</w:t>
            </w:r>
          </w:p>
        </w:tc>
        <w:tc>
          <w:tcPr>
            <w:tcW w:w="1276"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19050</w:t>
            </w:r>
          </w:p>
        </w:tc>
        <w:tc>
          <w:tcPr>
            <w:tcW w:w="1418"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12%</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7%</w:t>
            </w:r>
          </w:p>
        </w:tc>
        <w:tc>
          <w:tcPr>
            <w:tcW w:w="1559" w:type="dxa"/>
          </w:tcPr>
          <w:p>
            <w:pPr>
              <w:jc w:val="center"/>
              <w:cnfStyle w:val="000000000000" w:firstRow="0" w:lastRow="0" w:firstColumn="0" w:lastColumn="0" w:oddVBand="0" w:evenVBand="0" w:oddHBand="0" w:evenHBand="0" w:firstRowFirstColumn="0" w:firstRowLastColumn="0" w:lastRowFirstColumn="0" w:lastRowLastColumn="0"/>
              <w:rPr>
                <w:b/>
                <w:noProof/>
                <w:sz w:val="20"/>
                <w:szCs w:val="20"/>
              </w:rPr>
            </w:pPr>
            <w:r>
              <w:rPr>
                <w:b/>
                <w:noProof/>
                <w:sz w:val="20"/>
                <w:szCs w:val="20"/>
              </w:rPr>
              <w:t>Medium</w:t>
            </w:r>
          </w:p>
        </w:tc>
      </w:tr>
    </w:tbl>
    <w:p>
      <w:pPr>
        <w:spacing w:after="0"/>
        <w:rPr>
          <w:noProof/>
          <w:color w:val="000000"/>
          <w:sz w:val="24"/>
          <w:lang w:eastAsia="en-GB"/>
        </w:rPr>
      </w:pPr>
      <w:r>
        <w:rPr>
          <w:noProof/>
          <w:color w:val="000000"/>
          <w:sz w:val="24"/>
          <w:lang w:eastAsia="en-GB"/>
        </w:rPr>
        <w:t>Source Trinomics 2020</w:t>
      </w:r>
    </w:p>
    <w:p>
      <w:pPr>
        <w:spacing w:after="0"/>
        <w:rPr>
          <w:noProof/>
          <w:color w:val="000000"/>
          <w:sz w:val="16"/>
          <w:szCs w:val="16"/>
          <w:lang w:eastAsia="en-GB"/>
        </w:rPr>
      </w:pPr>
      <w:r>
        <w:rPr>
          <w:noProof/>
          <w:color w:val="000000"/>
          <w:sz w:val="16"/>
          <w:szCs w:val="16"/>
          <w:lang w:eastAsia="en-GB"/>
        </w:rPr>
        <w:t>(1)</w:t>
      </w:r>
      <w:r>
        <w:rPr>
          <w:rFonts w:cs="Calibri"/>
          <w:noProof/>
          <w:sz w:val="16"/>
          <w:szCs w:val="16"/>
          <w:lang w:eastAsia="en-GB"/>
        </w:rPr>
        <w:t xml:space="preserve"> Share of internal consumption served by extra-EU imports</w:t>
      </w:r>
    </w:p>
    <w:p>
      <w:pPr>
        <w:spacing w:after="0"/>
        <w:rPr>
          <w:rFonts w:cs="Calibri"/>
          <w:noProof/>
          <w:sz w:val="16"/>
          <w:szCs w:val="16"/>
          <w:lang w:eastAsia="en-GB"/>
        </w:rPr>
      </w:pPr>
      <w:r>
        <w:rPr>
          <w:noProof/>
          <w:color w:val="000000"/>
          <w:sz w:val="16"/>
          <w:szCs w:val="16"/>
          <w:lang w:eastAsia="en-GB"/>
        </w:rPr>
        <w:t>(2)</w:t>
      </w:r>
      <w:r>
        <w:rPr>
          <w:rFonts w:cs="Calibri"/>
          <w:noProof/>
          <w:sz w:val="16"/>
          <w:szCs w:val="16"/>
          <w:lang w:eastAsia="en-GB"/>
        </w:rPr>
        <w:t xml:space="preserve"> Share of production dedicated to extra-EU exports</w:t>
      </w:r>
    </w:p>
    <w:p>
      <w:pPr>
        <w:spacing w:after="0"/>
        <w:rPr>
          <w:iCs/>
          <w:noProof/>
          <w:sz w:val="16"/>
          <w:szCs w:val="16"/>
        </w:rPr>
      </w:pPr>
      <w:r>
        <w:rPr>
          <w:iCs/>
          <w:noProof/>
          <w:sz w:val="16"/>
          <w:szCs w:val="16"/>
        </w:rPr>
        <w:t>(3)  COMEXT</w:t>
      </w:r>
    </w:p>
    <w:p>
      <w:pPr>
        <w:spacing w:after="0"/>
        <w:rPr>
          <w:iCs/>
          <w:noProof/>
          <w:sz w:val="16"/>
          <w:szCs w:val="16"/>
        </w:rPr>
      </w:pPr>
      <w:r>
        <w:rPr>
          <w:iCs/>
          <w:noProof/>
          <w:sz w:val="16"/>
          <w:szCs w:val="16"/>
        </w:rPr>
        <w:t>(4) PRODCOM</w:t>
      </w:r>
    </w:p>
    <w:p>
      <w:pPr>
        <w:spacing w:after="0"/>
        <w:rPr>
          <w:iCs/>
          <w:noProof/>
          <w:sz w:val="16"/>
          <w:szCs w:val="16"/>
        </w:rPr>
      </w:pPr>
      <w:r>
        <w:rPr>
          <w:iCs/>
          <w:noProof/>
          <w:sz w:val="16"/>
          <w:szCs w:val="16"/>
        </w:rPr>
        <w:t>(5)  Eurostat SBS</w:t>
      </w:r>
    </w:p>
    <w:p>
      <w:pPr>
        <w:rPr>
          <w:noProof/>
          <w:color w:val="000000"/>
          <w:sz w:val="24"/>
          <w:lang w:eastAsia="en-GB"/>
        </w:rPr>
      </w:pPr>
    </w:p>
    <w:p>
      <w:pPr>
        <w:spacing w:after="0"/>
        <w:jc w:val="left"/>
        <w:rPr>
          <w:rFonts w:eastAsia="Times New Roman"/>
          <w:b/>
          <w:bCs/>
          <w:noProof/>
          <w:color w:val="000000"/>
          <w:sz w:val="32"/>
          <w:szCs w:val="32"/>
        </w:rPr>
      </w:pPr>
      <w:r>
        <w:rPr>
          <w:rFonts w:eastAsia="Times New Roman"/>
          <w:b/>
          <w:bCs/>
          <w:noProof/>
          <w:color w:val="000000"/>
          <w:sz w:val="32"/>
          <w:szCs w:val="32"/>
        </w:rPr>
        <w:br w:type="page"/>
      </w:r>
    </w:p>
    <w:p>
      <w:pPr>
        <w:rPr>
          <w:rFonts w:eastAsia="Times New Roman"/>
          <w:b/>
          <w:bCs/>
          <w:noProof/>
          <w:color w:val="000000"/>
          <w:sz w:val="72"/>
          <w:szCs w:val="72"/>
        </w:rPr>
      </w:pPr>
    </w:p>
    <w:p>
      <w:pPr>
        <w:rPr>
          <w:rFonts w:eastAsia="Times New Roman"/>
          <w:b/>
          <w:bCs/>
          <w:noProof/>
          <w:color w:val="000000"/>
          <w:sz w:val="72"/>
          <w:szCs w:val="72"/>
        </w:rPr>
      </w:pPr>
    </w:p>
    <w:p>
      <w:pPr>
        <w:rPr>
          <w:rFonts w:eastAsia="Times New Roman"/>
          <w:b/>
          <w:bCs/>
          <w:noProof/>
          <w:color w:val="000000"/>
          <w:sz w:val="72"/>
          <w:szCs w:val="72"/>
        </w:rPr>
      </w:pPr>
    </w:p>
    <w:p>
      <w:pPr>
        <w:jc w:val="center"/>
        <w:rPr>
          <w:rFonts w:eastAsia="Times New Roman"/>
          <w:b/>
          <w:bCs/>
          <w:noProof/>
          <w:color w:val="000000" w:themeColor="text1"/>
          <w:sz w:val="72"/>
          <w:szCs w:val="72"/>
        </w:rPr>
      </w:pPr>
      <w:r>
        <w:rPr>
          <w:rFonts w:eastAsia="Times New Roman"/>
          <w:b/>
          <w:bCs/>
          <w:noProof/>
          <w:color w:val="000000" w:themeColor="text1"/>
          <w:sz w:val="72"/>
          <w:szCs w:val="72"/>
        </w:rPr>
        <w:t>PART III</w:t>
      </w:r>
    </w:p>
    <w:p>
      <w:pPr>
        <w:jc w:val="center"/>
        <w:rPr>
          <w:rFonts w:eastAsia="Times New Roman"/>
          <w:b/>
          <w:bCs/>
          <w:noProof/>
          <w:color w:val="000000"/>
          <w:sz w:val="72"/>
          <w:szCs w:val="72"/>
        </w:rPr>
      </w:pPr>
    </w:p>
    <w:p>
      <w:pPr>
        <w:jc w:val="center"/>
        <w:rPr>
          <w:rFonts w:eastAsia="Times New Roman"/>
          <w:b/>
          <w:bCs/>
          <w:noProof/>
          <w:color w:val="000000" w:themeColor="text1"/>
          <w:sz w:val="72"/>
          <w:szCs w:val="72"/>
        </w:rPr>
      </w:pPr>
      <w:r>
        <w:rPr>
          <w:rFonts w:eastAsia="Times New Roman"/>
          <w:b/>
          <w:bCs/>
          <w:noProof/>
          <w:color w:val="000000" w:themeColor="text1"/>
          <w:sz w:val="72"/>
          <w:szCs w:val="72"/>
        </w:rPr>
        <w:t xml:space="preserve">Government revenues from energy products </w:t>
      </w:r>
    </w:p>
    <w:p>
      <w:pPr>
        <w:jc w:val="center"/>
        <w:rPr>
          <w:rFonts w:eastAsia="Times New Roman"/>
          <w:b/>
          <w:bCs/>
          <w:noProof/>
          <w:color w:val="000000" w:themeColor="text1"/>
          <w:sz w:val="72"/>
          <w:szCs w:val="72"/>
        </w:rPr>
      </w:pPr>
      <w:r>
        <w:rPr>
          <w:rFonts w:eastAsia="Times New Roman"/>
          <w:b/>
          <w:bCs/>
          <w:noProof/>
          <w:color w:val="000000" w:themeColor="text1"/>
          <w:sz w:val="72"/>
          <w:szCs w:val="72"/>
        </w:rPr>
        <w:t xml:space="preserve">and </w:t>
      </w:r>
    </w:p>
    <w:p>
      <w:pPr>
        <w:jc w:val="center"/>
        <w:rPr>
          <w:rFonts w:eastAsia="Times New Roman"/>
          <w:b/>
          <w:bCs/>
          <w:noProof/>
          <w:color w:val="000000" w:themeColor="text1"/>
          <w:sz w:val="72"/>
          <w:szCs w:val="72"/>
        </w:rPr>
      </w:pPr>
      <w:r>
        <w:rPr>
          <w:rFonts w:eastAsia="Times New Roman"/>
          <w:b/>
          <w:bCs/>
          <w:noProof/>
          <w:color w:val="000000" w:themeColor="text1"/>
          <w:sz w:val="72"/>
          <w:szCs w:val="72"/>
        </w:rPr>
        <w:t>taxes and levies on energy products</w:t>
      </w:r>
    </w:p>
    <w:p>
      <w:pPr>
        <w:rPr>
          <w:rFonts w:eastAsia="Times New Roman"/>
          <w:noProof/>
          <w:color w:val="000000"/>
        </w:rPr>
      </w:pPr>
      <w:r>
        <w:rPr>
          <w:noProof/>
        </w:rPr>
        <w:br w:type="page"/>
      </w:r>
      <w:bookmarkStart w:id="496" w:name="_Toc449098121"/>
      <w:bookmarkStart w:id="497" w:name="_Toc468890498"/>
      <w:bookmarkEnd w:id="458"/>
    </w:p>
    <w:p>
      <w:pPr>
        <w:pStyle w:val="Heading1"/>
        <w:numPr>
          <w:ilvl w:val="0"/>
          <w:numId w:val="1"/>
        </w:numPr>
        <w:rPr>
          <w:noProof/>
        </w:rPr>
      </w:pPr>
      <w:bookmarkStart w:id="498" w:name="_Toc524619547"/>
      <w:bookmarkStart w:id="499" w:name="_Toc524961094"/>
      <w:bookmarkStart w:id="500" w:name="_Toc525143055"/>
      <w:bookmarkStart w:id="501" w:name="_Toc525222212"/>
      <w:bookmarkStart w:id="502" w:name="_Toc525222381"/>
      <w:bookmarkStart w:id="503" w:name="_Toc526420777"/>
      <w:bookmarkStart w:id="504" w:name="_Toc526434003"/>
      <w:bookmarkStart w:id="505" w:name="_Toc526435945"/>
      <w:bookmarkStart w:id="506" w:name="_Toc530595277"/>
      <w:bookmarkStart w:id="507" w:name="_Toc50648351"/>
      <w:bookmarkStart w:id="508" w:name="_Toc50654381"/>
      <w:bookmarkStart w:id="509" w:name="_Toc50654936"/>
      <w:bookmarkStart w:id="510" w:name="_Toc50732483"/>
      <w:bookmarkStart w:id="511" w:name="_Toc52396567"/>
      <w:bookmarkEnd w:id="496"/>
      <w:r>
        <w:rPr>
          <w:noProof/>
        </w:rPr>
        <w:t>The role of energy for government revenues and inflation</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pPr>
        <w:pStyle w:val="Heading2"/>
        <w:numPr>
          <w:ilvl w:val="1"/>
          <w:numId w:val="1"/>
        </w:numPr>
        <w:rPr>
          <w:noProof/>
        </w:rPr>
      </w:pPr>
      <w:bookmarkStart w:id="512" w:name="_Toc468890499"/>
      <w:bookmarkStart w:id="513" w:name="_Ref520196018"/>
      <w:bookmarkStart w:id="514" w:name="_Toc524619548"/>
      <w:bookmarkStart w:id="515" w:name="_Toc524961095"/>
      <w:bookmarkStart w:id="516" w:name="_Toc525143056"/>
      <w:bookmarkStart w:id="517" w:name="_Toc525222213"/>
      <w:bookmarkStart w:id="518" w:name="_Toc525222382"/>
      <w:bookmarkStart w:id="519" w:name="_Toc526420778"/>
      <w:bookmarkStart w:id="520" w:name="_Toc526434004"/>
      <w:bookmarkStart w:id="521" w:name="_Toc526435946"/>
      <w:bookmarkStart w:id="522" w:name="_Toc530595278"/>
      <w:bookmarkStart w:id="523" w:name="_Toc50648352"/>
      <w:bookmarkStart w:id="524" w:name="_Toc50654382"/>
      <w:bookmarkStart w:id="525" w:name="_Toc50654937"/>
      <w:bookmarkStart w:id="526" w:name="_Toc50732484"/>
      <w:bookmarkStart w:id="527" w:name="_Toc52396568"/>
      <w:r>
        <w:rPr>
          <w:noProof/>
        </w:rPr>
        <w:t>Government revenues from the energy sector</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Pr>
          <w:rStyle w:val="FootnoteReference"/>
          <w:noProof/>
          <w:sz w:val="24"/>
          <w:szCs w:val="24"/>
        </w:rPr>
        <w:footnoteReference w:id="27"/>
      </w:r>
      <w:bookmarkEnd w:id="527"/>
    </w:p>
    <w:p>
      <w:pPr>
        <w:rPr>
          <w:noProof/>
        </w:rPr>
      </w:pPr>
      <w:r>
        <w:rPr>
          <w:noProof/>
        </w:rPr>
        <w:tab/>
      </w:r>
    </w:p>
    <w:p>
      <w:pPr>
        <w:rPr>
          <w:b/>
          <w:bCs/>
          <w:noProof/>
          <w:sz w:val="24"/>
          <w:szCs w:val="24"/>
        </w:rPr>
      </w:pPr>
      <w:r>
        <w:rPr>
          <w:b/>
          <w:bCs/>
          <w:noProof/>
          <w:sz w:val="24"/>
          <w:szCs w:val="24"/>
        </w:rPr>
        <w:t>Main findings</w:t>
      </w:r>
    </w:p>
    <w:p>
      <w:pPr>
        <w:numPr>
          <w:ilvl w:val="0"/>
          <w:numId w:val="24"/>
        </w:numPr>
        <w:spacing w:after="240"/>
        <w:ind w:left="714" w:hanging="357"/>
        <w:rPr>
          <w:noProof/>
          <w:sz w:val="24"/>
          <w:szCs w:val="24"/>
        </w:rPr>
      </w:pPr>
      <w:r>
        <w:rPr>
          <w:noProof/>
          <w:sz w:val="24"/>
          <w:szCs w:val="24"/>
        </w:rPr>
        <w:t>In 2018, energy taxes collected by EU Member States amounted to EUR 294 billion, equivalent to 1.85% of EU GDP. As a percentage of GDP and total tax revenue, energy tax revenue has been rather stable since the 2008 economic crisis.</w:t>
      </w:r>
    </w:p>
    <w:p>
      <w:pPr>
        <w:numPr>
          <w:ilvl w:val="0"/>
          <w:numId w:val="24"/>
        </w:numPr>
        <w:spacing w:after="240"/>
        <w:ind w:left="714" w:hanging="357"/>
        <w:rPr>
          <w:noProof/>
          <w:sz w:val="24"/>
          <w:szCs w:val="24"/>
        </w:rPr>
      </w:pPr>
      <w:r>
        <w:rPr>
          <w:noProof/>
          <w:sz w:val="24"/>
          <w:szCs w:val="24"/>
        </w:rPr>
        <w:t>In individual Member States, the role of energy taxes in government revenues and GDP shows a significant variety: Member States with a lower GDP/capita typically have a higher share of energy taxes in both total tax revenue and from GDP.</w:t>
      </w:r>
    </w:p>
    <w:p>
      <w:pPr>
        <w:numPr>
          <w:ilvl w:val="0"/>
          <w:numId w:val="24"/>
        </w:numPr>
        <w:spacing w:after="240"/>
        <w:ind w:left="714" w:hanging="357"/>
        <w:rPr>
          <w:noProof/>
          <w:sz w:val="24"/>
          <w:szCs w:val="24"/>
        </w:rPr>
      </w:pPr>
      <w:r>
        <w:rPr>
          <w:noProof/>
          <w:sz w:val="24"/>
          <w:szCs w:val="24"/>
        </w:rPr>
        <w:t>The energy tax revenue per 1 tonne of oil equivalent of gross inland energy consumption was EUR 177 in 2018. In real terms, this average calculated tax rate increased by 21.1% between 2010 and 2018.</w:t>
      </w:r>
    </w:p>
    <w:p>
      <w:pPr>
        <w:numPr>
          <w:ilvl w:val="0"/>
          <w:numId w:val="24"/>
        </w:numPr>
        <w:spacing w:after="240"/>
        <w:ind w:left="714" w:hanging="357"/>
        <w:rPr>
          <w:noProof/>
          <w:sz w:val="24"/>
          <w:szCs w:val="24"/>
        </w:rPr>
      </w:pPr>
      <w:r>
        <w:rPr>
          <w:noProof/>
          <w:sz w:val="24"/>
          <w:szCs w:val="24"/>
        </w:rPr>
        <w:t>Excise duties constitute the largest part of energy taxes, amounting to around EUR 247.7 billion in 2018. When adjusted for inflation, excise duty revenues have been rather stable in 2011-2014 but increased by 2-3%/year in 2015-2018.</w:t>
      </w:r>
    </w:p>
    <w:p>
      <w:pPr>
        <w:numPr>
          <w:ilvl w:val="0"/>
          <w:numId w:val="24"/>
        </w:numPr>
        <w:spacing w:after="240"/>
        <w:ind w:left="714" w:hanging="357"/>
        <w:rPr>
          <w:noProof/>
          <w:sz w:val="24"/>
          <w:szCs w:val="24"/>
        </w:rPr>
      </w:pPr>
      <w:r>
        <w:rPr>
          <w:noProof/>
          <w:sz w:val="24"/>
          <w:szCs w:val="24"/>
        </w:rPr>
        <w:t>Oil products (mineral oils) continue to dominate excise duty revenues, with a share consistently above 80%, although this share has slightly decreased over the last decade, at the benefit of gas and electricity. In 2018, the share of petroleum products was more than 50% in all Member States and more than 90% in 19 Member States.</w:t>
      </w:r>
    </w:p>
    <w:p>
      <w:pPr>
        <w:numPr>
          <w:ilvl w:val="0"/>
          <w:numId w:val="24"/>
        </w:numPr>
        <w:spacing w:after="240"/>
        <w:ind w:left="714" w:hanging="357"/>
        <w:rPr>
          <w:noProof/>
          <w:sz w:val="24"/>
          <w:szCs w:val="24"/>
        </w:rPr>
      </w:pPr>
      <w:r>
        <w:rPr>
          <w:noProof/>
          <w:sz w:val="24"/>
          <w:szCs w:val="24"/>
        </w:rPr>
        <w:t>For the main oil products, the nominal excise duty revenue is gradually growing, driven by increasing excise duty rates and, in the last few years, rising consumption. In 2013-2015, growing excise duty revenues were offset by lower VAT revenue driven by falling oil and oil product prices. As a result, the nominal tax revenue from petroleum products has been relatively stable and increasing in the last couple of years.</w:t>
      </w:r>
    </w:p>
    <w:p>
      <w:pPr>
        <w:rPr>
          <w:noProof/>
        </w:rPr>
      </w:pPr>
    </w:p>
    <w:p>
      <w:pPr>
        <w:pStyle w:val="Heading3"/>
        <w:numPr>
          <w:ilvl w:val="2"/>
          <w:numId w:val="1"/>
        </w:numPr>
        <w:rPr>
          <w:noProof/>
        </w:rPr>
      </w:pPr>
      <w:bookmarkStart w:id="528" w:name="_Toc524619549"/>
      <w:bookmarkStart w:id="529" w:name="_Toc524961096"/>
      <w:bookmarkStart w:id="530" w:name="_Toc525143057"/>
      <w:bookmarkStart w:id="531" w:name="_Toc525222214"/>
      <w:bookmarkStart w:id="532" w:name="_Toc525222383"/>
      <w:bookmarkStart w:id="533" w:name="_Toc526420779"/>
      <w:bookmarkStart w:id="534" w:name="_Toc526434005"/>
      <w:bookmarkStart w:id="535" w:name="_Toc526435947"/>
      <w:bookmarkStart w:id="536" w:name="_Toc530595279"/>
      <w:bookmarkStart w:id="537" w:name="_Toc50648353"/>
      <w:bookmarkStart w:id="538" w:name="_Toc50654383"/>
      <w:bookmarkStart w:id="539" w:name="_Toc50654938"/>
      <w:bookmarkStart w:id="540" w:name="_Toc50732485"/>
      <w:bookmarkStart w:id="541" w:name="_Toc52396569"/>
      <w:r>
        <w:rPr>
          <w:noProof/>
        </w:rPr>
        <w:t>Energy taxes</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rPr>
          <w:noProof/>
        </w:rPr>
      </w:pPr>
    </w:p>
    <w:p>
      <w:pPr>
        <w:tabs>
          <w:tab w:val="left" w:pos="1474"/>
        </w:tabs>
        <w:spacing w:after="283" w:line="283" w:lineRule="atLeast"/>
        <w:outlineLvl w:val="5"/>
        <w:rPr>
          <w:noProof/>
          <w:sz w:val="24"/>
          <w:szCs w:val="24"/>
        </w:rPr>
      </w:pPr>
      <w:bookmarkStart w:id="542" w:name="_Toc463015777"/>
      <w:bookmarkStart w:id="543" w:name="_Toc463356010"/>
      <w:r>
        <w:rPr>
          <w:noProof/>
          <w:sz w:val="24"/>
          <w:szCs w:val="24"/>
        </w:rPr>
        <w:t>Taxes and duties imposed on energy products are becoming an important source of government revenue in EU Member States. In 2018, energy taxes</w:t>
      </w:r>
      <w:r>
        <w:rPr>
          <w:noProof/>
          <w:sz w:val="24"/>
          <w:szCs w:val="24"/>
          <w:vertAlign w:val="superscript"/>
        </w:rPr>
        <w:footnoteReference w:id="28"/>
      </w:r>
      <w:r>
        <w:rPr>
          <w:noProof/>
          <w:sz w:val="24"/>
          <w:szCs w:val="24"/>
        </w:rPr>
        <w:t xml:space="preserve"> collected by EU Member States amounted to EUR 294 billion. This was equivalent to 1.85% of EU GDP and 4.59% of total revenues from taxes and social contributions (including imputed social contributions).</w:t>
      </w:r>
    </w:p>
    <w:p>
      <w:pPr>
        <w:tabs>
          <w:tab w:val="left" w:pos="1474"/>
        </w:tabs>
        <w:spacing w:after="283" w:line="283" w:lineRule="atLeast"/>
        <w:outlineLvl w:val="5"/>
        <w:rPr>
          <w:noProof/>
          <w:sz w:val="24"/>
          <w:szCs w:val="24"/>
        </w:rPr>
      </w:pPr>
      <w:r>
        <w:rPr>
          <w:noProof/>
          <w:sz w:val="24"/>
          <w:szCs w:val="24"/>
        </w:rPr>
        <w:t>While nominal energy tax revenues increased by 27% between 2009 and 2016 (on average by 3.5%/year), as a percentage of GDP and tax revenue they remained relatively stable, showing only a marginal increase in this period.</w:t>
      </w:r>
    </w:p>
    <w:p>
      <w:pPr>
        <w:rPr>
          <w:noProof/>
          <w:sz w:val="24"/>
          <w:szCs w:val="24"/>
        </w:rPr>
      </w:pPr>
      <w:r>
        <w:rPr>
          <w:noProof/>
          <w:sz w:val="24"/>
          <w:szCs w:val="24"/>
        </w:rPr>
        <w:t>According to the estimations of the Commission's Taxation and Customs Union Directorate-General, around 70% of energy tax revenues come from transport fuels.</w:t>
      </w:r>
      <w:r>
        <w:rPr>
          <w:noProof/>
          <w:sz w:val="24"/>
          <w:szCs w:val="24"/>
          <w:vertAlign w:val="superscript"/>
        </w:rPr>
        <w:footnoteReference w:id="29"/>
      </w:r>
    </w:p>
    <w:p>
      <w:pPr>
        <w:tabs>
          <w:tab w:val="left" w:pos="1474"/>
        </w:tabs>
        <w:spacing w:line="283" w:lineRule="atLeast"/>
        <w:outlineLvl w:val="5"/>
        <w:rPr>
          <w:rFonts w:eastAsia="Times New Roman"/>
          <w:b/>
          <w:bCs/>
          <w:smallCaps/>
          <w:noProof/>
          <w:spacing w:val="5"/>
          <w:sz w:val="18"/>
          <w:lang w:eastAsia="de-DE"/>
        </w:rPr>
      </w:pPr>
      <w:r>
        <w:rPr>
          <w:noProof/>
          <w:lang w:eastAsia="en-GB"/>
        </w:rPr>
        <w:drawing>
          <wp:inline distT="0" distB="0" distL="0" distR="0">
            <wp:extent cx="6607724" cy="3642899"/>
            <wp:effectExtent l="0" t="0" r="3175" b="0"/>
            <wp:docPr id="6194727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6" cstate="print">
                      <a:extLst>
                        <a:ext uri="{28A0092B-C50C-407E-A947-70E740481C1C}">
                          <a14:useLocalDpi xmlns:a14="http://schemas.microsoft.com/office/drawing/2010/main"/>
                        </a:ext>
                      </a:extLst>
                    </a:blip>
                    <a:stretch>
                      <a:fillRect/>
                    </a:stretch>
                  </pic:blipFill>
                  <pic:spPr>
                    <a:xfrm>
                      <a:off x="0" y="0"/>
                      <a:ext cx="6607724" cy="3642899"/>
                    </a:xfrm>
                    <a:prstGeom prst="rect">
                      <a:avLst/>
                    </a:prstGeom>
                  </pic:spPr>
                </pic:pic>
              </a:graphicData>
            </a:graphic>
          </wp:inline>
        </w:drawing>
      </w:r>
    </w:p>
    <w:p>
      <w:pPr>
        <w:pStyle w:val="Caption"/>
      </w:pPr>
      <w:bookmarkStart w:id="544" w:name="_Toc525807925"/>
      <w:bookmarkStart w:id="545" w:name="_Toc526433540"/>
      <w:bookmarkStart w:id="546" w:name="_Toc526433818"/>
      <w:bookmarkStart w:id="547" w:name="_Toc526435760"/>
      <w:bookmarkStart w:id="548" w:name="_Toc530739851"/>
      <w:bookmarkStart w:id="549" w:name="_Toc531366224"/>
      <w:bookmarkStart w:id="550" w:name="_Toc50494162"/>
      <w:bookmarkStart w:id="551" w:name="_Toc52396940"/>
      <w:r>
        <w:t xml:space="preserve">Figure </w:t>
      </w:r>
      <w:r>
        <w:fldChar w:fldCharType="begin"/>
      </w:r>
      <w:r>
        <w:instrText xml:space="preserve"> SEQ Figure \* ARABIC </w:instrText>
      </w:r>
      <w:r>
        <w:fldChar w:fldCharType="separate"/>
      </w:r>
      <w:r>
        <w:t>168</w:t>
      </w:r>
      <w:r>
        <w:fldChar w:fldCharType="end"/>
      </w:r>
      <w:r>
        <w:t xml:space="preserve"> - Energy taxes in the EU</w:t>
      </w:r>
      <w:bookmarkEnd w:id="542"/>
      <w:bookmarkEnd w:id="543"/>
      <w:r>
        <w:t>-28</w:t>
      </w:r>
      <w:bookmarkEnd w:id="544"/>
      <w:bookmarkEnd w:id="545"/>
      <w:bookmarkEnd w:id="546"/>
      <w:bookmarkEnd w:id="547"/>
      <w:bookmarkEnd w:id="548"/>
      <w:bookmarkEnd w:id="549"/>
      <w:bookmarkEnd w:id="550"/>
      <w:bookmarkEnd w:id="551"/>
    </w:p>
    <w:p>
      <w:pPr>
        <w:pStyle w:val="Sources"/>
        <w:rPr>
          <w:noProof/>
        </w:rPr>
      </w:pPr>
      <w:r>
        <w:rPr>
          <w:noProof/>
        </w:rPr>
        <w:t>Source: Eurostat (data series env_ac_tax)</w:t>
      </w:r>
    </w:p>
    <w:p>
      <w:pPr>
        <w:spacing w:after="240"/>
        <w:rPr>
          <w:noProof/>
          <w:sz w:val="20"/>
          <w:szCs w:val="20"/>
        </w:rPr>
      </w:pPr>
      <w:r>
        <w:rPr>
          <w:noProof/>
          <w:sz w:val="20"/>
          <w:szCs w:val="20"/>
        </w:rPr>
        <w:t>*percentage of total revenues from taxes and social contributions (including imputed social contributions)</w:t>
      </w:r>
    </w:p>
    <w:p>
      <w:pPr>
        <w:tabs>
          <w:tab w:val="left" w:pos="1474"/>
        </w:tabs>
        <w:spacing w:after="283" w:line="283" w:lineRule="atLeast"/>
        <w:outlineLvl w:val="5"/>
        <w:rPr>
          <w:smallCaps/>
          <w:noProof/>
          <w:sz w:val="24"/>
          <w:szCs w:val="24"/>
        </w:rPr>
      </w:pPr>
      <w:bookmarkStart w:id="552" w:name="_Toc463015778"/>
      <w:bookmarkStart w:id="553" w:name="_Toc463356011"/>
      <w:r>
        <w:rPr>
          <w:noProof/>
          <w:sz w:val="24"/>
          <w:szCs w:val="24"/>
        </w:rPr>
        <w:t>Looking at individual Member States, the role of energy taxes in government revenues shows a significant variety: in 2018, energy taxes in Latvia made up 9.1% of total revenues from taxes and social contributions (including imputed social contributions) while this share was only 3.3% in Austria. When compared to the GDP, energy tax revenue was highest in Slovenia (3.0%) and lowest in Ireland (1.0%). Typically, Member States with a lower GDP/capita have a higher share of energy taxes from both total tax revenue and from GDP.</w:t>
      </w:r>
    </w:p>
    <w:p>
      <w:pPr>
        <w:tabs>
          <w:tab w:val="left" w:pos="1474"/>
        </w:tabs>
        <w:spacing w:line="283" w:lineRule="atLeast"/>
        <w:outlineLvl w:val="5"/>
        <w:rPr>
          <w:rFonts w:eastAsia="Times New Roman"/>
          <w:b/>
          <w:bCs/>
          <w:smallCaps/>
          <w:noProof/>
          <w:spacing w:val="5"/>
          <w:sz w:val="18"/>
          <w:lang w:eastAsia="de-DE"/>
        </w:rPr>
      </w:pPr>
      <w:r>
        <w:rPr>
          <w:rFonts w:eastAsia="Times New Roman"/>
          <w:b/>
          <w:bCs/>
          <w:smallCaps/>
          <w:noProof/>
          <w:spacing w:val="5"/>
          <w:sz w:val="18"/>
          <w:lang w:eastAsia="en-GB"/>
        </w:rPr>
        <w:drawing>
          <wp:inline distT="0" distB="0" distL="0" distR="0">
            <wp:extent cx="6456045" cy="330454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bwMode="auto">
                    <a:xfrm>
                      <a:off x="0" y="0"/>
                      <a:ext cx="6456045" cy="3304540"/>
                    </a:xfrm>
                    <a:prstGeom prst="rect">
                      <a:avLst/>
                    </a:prstGeom>
                    <a:noFill/>
                  </pic:spPr>
                </pic:pic>
              </a:graphicData>
            </a:graphic>
          </wp:inline>
        </w:drawing>
      </w:r>
    </w:p>
    <w:p>
      <w:pPr>
        <w:pStyle w:val="Caption"/>
      </w:pPr>
      <w:bookmarkStart w:id="554" w:name="_Toc525807926"/>
      <w:bookmarkStart w:id="555" w:name="_Toc526433541"/>
      <w:bookmarkStart w:id="556" w:name="_Toc526433819"/>
      <w:bookmarkStart w:id="557" w:name="_Toc526435761"/>
      <w:bookmarkStart w:id="558" w:name="_Toc530739852"/>
      <w:bookmarkStart w:id="559" w:name="_Toc531366225"/>
      <w:bookmarkStart w:id="560" w:name="_Toc50494163"/>
      <w:bookmarkStart w:id="561" w:name="_Toc52396941"/>
      <w:r>
        <w:t xml:space="preserve">Figure </w:t>
      </w:r>
      <w:r>
        <w:fldChar w:fldCharType="begin"/>
      </w:r>
      <w:r>
        <w:instrText xml:space="preserve"> SEQ Figure \* ARABIC </w:instrText>
      </w:r>
      <w:r>
        <w:fldChar w:fldCharType="separate"/>
      </w:r>
      <w:r>
        <w:t>169</w:t>
      </w:r>
      <w:r>
        <w:fldChar w:fldCharType="end"/>
      </w:r>
      <w:r>
        <w:t xml:space="preserve"> - Energy taxes as a percentage of tax revenue and of GDP in 201</w:t>
      </w:r>
      <w:bookmarkEnd w:id="552"/>
      <w:bookmarkEnd w:id="553"/>
      <w:bookmarkEnd w:id="554"/>
      <w:bookmarkEnd w:id="555"/>
      <w:bookmarkEnd w:id="556"/>
      <w:bookmarkEnd w:id="557"/>
      <w:bookmarkEnd w:id="558"/>
      <w:bookmarkEnd w:id="559"/>
      <w:r>
        <w:t>8</w:t>
      </w:r>
      <w:bookmarkEnd w:id="560"/>
      <w:bookmarkEnd w:id="561"/>
    </w:p>
    <w:p>
      <w:pPr>
        <w:pStyle w:val="Sources"/>
        <w:rPr>
          <w:noProof/>
        </w:rPr>
      </w:pPr>
      <w:r>
        <w:rPr>
          <w:noProof/>
        </w:rPr>
        <w:t>Source: Eurostat (data series env_ac_tax)</w:t>
      </w:r>
    </w:p>
    <w:p>
      <w:pPr>
        <w:spacing w:after="240"/>
        <w:rPr>
          <w:noProof/>
          <w:sz w:val="20"/>
          <w:szCs w:val="20"/>
        </w:rPr>
      </w:pPr>
      <w:r>
        <w:rPr>
          <w:noProof/>
          <w:sz w:val="20"/>
          <w:szCs w:val="20"/>
        </w:rPr>
        <w:t>*percentage of total revenues from taxes and social contributions (including imputed social contributions)</w:t>
      </w:r>
    </w:p>
    <w:p>
      <w:pPr>
        <w:tabs>
          <w:tab w:val="left" w:pos="1474"/>
        </w:tabs>
        <w:spacing w:after="283" w:line="283" w:lineRule="atLeast"/>
        <w:outlineLvl w:val="5"/>
        <w:rPr>
          <w:smallCaps/>
          <w:noProof/>
          <w:sz w:val="24"/>
          <w:szCs w:val="24"/>
        </w:rPr>
      </w:pPr>
      <w:r>
        <w:rPr>
          <w:noProof/>
          <w:sz w:val="24"/>
          <w:szCs w:val="24"/>
        </w:rPr>
        <w:t>Households are the main contributors to energy tax revenues: in 2018, they payed 51% of total energy taxes. This represents a small decrease compared to 2008/2009 when this share reached 53%/54%. From other economic activities, transportation, manufacturing and other services are only second in paying energy taxes with their share 10%, 11% and 11% of total energy taxes, respectively.</w:t>
      </w:r>
    </w:p>
    <w:p>
      <w:pPr>
        <w:tabs>
          <w:tab w:val="left" w:pos="1474"/>
        </w:tabs>
        <w:spacing w:line="283" w:lineRule="atLeast"/>
        <w:outlineLvl w:val="5"/>
        <w:rPr>
          <w:rFonts w:eastAsia="Times New Roman"/>
          <w:b/>
          <w:bCs/>
          <w:smallCaps/>
          <w:noProof/>
          <w:spacing w:val="5"/>
          <w:sz w:val="18"/>
          <w:lang w:eastAsia="de-DE"/>
        </w:rPr>
      </w:pPr>
      <w:r>
        <w:rPr>
          <w:rFonts w:eastAsia="Times New Roman"/>
          <w:b/>
          <w:bCs/>
          <w:smallCaps/>
          <w:noProof/>
          <w:spacing w:val="5"/>
          <w:sz w:val="18"/>
          <w:lang w:eastAsia="en-GB"/>
        </w:rPr>
        <w:drawing>
          <wp:inline distT="0" distB="0" distL="0" distR="0">
            <wp:extent cx="6340475" cy="3391617"/>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a:ext>
                      </a:extLst>
                    </a:blip>
                    <a:srcRect/>
                    <a:stretch>
                      <a:fillRect/>
                    </a:stretch>
                  </pic:blipFill>
                  <pic:spPr bwMode="auto">
                    <a:xfrm>
                      <a:off x="0" y="0"/>
                      <a:ext cx="6355388" cy="3399594"/>
                    </a:xfrm>
                    <a:prstGeom prst="rect">
                      <a:avLst/>
                    </a:prstGeom>
                    <a:noFill/>
                  </pic:spPr>
                </pic:pic>
              </a:graphicData>
            </a:graphic>
          </wp:inline>
        </w:drawing>
      </w:r>
    </w:p>
    <w:p>
      <w:pPr>
        <w:pStyle w:val="Caption"/>
      </w:pPr>
      <w:bookmarkStart w:id="562" w:name="_Toc525807927"/>
      <w:bookmarkStart w:id="563" w:name="_Toc526433542"/>
      <w:bookmarkStart w:id="564" w:name="_Toc526433820"/>
      <w:bookmarkStart w:id="565" w:name="_Toc526435762"/>
      <w:bookmarkStart w:id="566" w:name="_Toc530739853"/>
      <w:bookmarkStart w:id="567" w:name="_Toc531366226"/>
      <w:bookmarkStart w:id="568" w:name="_Toc50494164"/>
      <w:bookmarkStart w:id="569" w:name="_Toc52396942"/>
      <w:r>
        <w:t xml:space="preserve">Figure </w:t>
      </w:r>
      <w:r>
        <w:fldChar w:fldCharType="begin"/>
      </w:r>
      <w:r>
        <w:instrText xml:space="preserve"> SEQ Figure \* ARABIC </w:instrText>
      </w:r>
      <w:r>
        <w:fldChar w:fldCharType="separate"/>
      </w:r>
      <w:r>
        <w:t>170</w:t>
      </w:r>
      <w:r>
        <w:fldChar w:fldCharType="end"/>
      </w:r>
      <w:r>
        <w:t xml:space="preserve"> - Energy taxes by economic activity</w:t>
      </w:r>
      <w:bookmarkEnd w:id="562"/>
      <w:bookmarkEnd w:id="563"/>
      <w:bookmarkEnd w:id="564"/>
      <w:bookmarkEnd w:id="565"/>
      <w:bookmarkEnd w:id="566"/>
      <w:bookmarkEnd w:id="567"/>
      <w:bookmarkEnd w:id="568"/>
      <w:bookmarkEnd w:id="569"/>
    </w:p>
    <w:p>
      <w:pPr>
        <w:pStyle w:val="Sources"/>
        <w:rPr>
          <w:noProof/>
        </w:rPr>
      </w:pPr>
      <w:r>
        <w:rPr>
          <w:noProof/>
        </w:rPr>
        <w:t>Source: Eurostat (data series env_ac_taxind2)</w:t>
      </w:r>
    </w:p>
    <w:p>
      <w:pPr>
        <w:tabs>
          <w:tab w:val="left" w:pos="1474"/>
        </w:tabs>
        <w:spacing w:after="283" w:line="283" w:lineRule="atLeast"/>
        <w:outlineLvl w:val="5"/>
        <w:rPr>
          <w:noProof/>
          <w:sz w:val="24"/>
          <w:szCs w:val="24"/>
        </w:rPr>
      </w:pPr>
      <w:r>
        <w:rPr>
          <w:noProof/>
          <w:sz w:val="24"/>
          <w:szCs w:val="24"/>
        </w:rPr>
        <w:t>The underlying tax base of energy taxes declined in the last decade: the EU's gross inland energy consumption decreased by 12.6% between 2006 and 2014, followed by a slight increase between 2015 and 2018 (+3.0%). This decline was more than offset by the increase of the average calculated tax rate which increased from EUR 121 per 1 tonne of oil equivalent (toe) of gross inland energy consumption in 2006 to EUR 177/toe in 2018.</w:t>
      </w:r>
    </w:p>
    <w:p>
      <w:pPr>
        <w:rPr>
          <w:noProof/>
          <w:sz w:val="24"/>
          <w:szCs w:val="24"/>
        </w:rPr>
      </w:pPr>
      <w:r>
        <w:rPr>
          <w:noProof/>
          <w:sz w:val="24"/>
          <w:szCs w:val="24"/>
        </w:rPr>
        <w:t>When allowing for inflation, the average calculated ‘real’ tax rate decreased between 2002 and 2010 (with a dip in 2008) but increased afterwards. Between 2010 and 2018, the ‘real’ tax burden increased by 21% (by 3%/year), from EUR 142/toe to EUR 171/toe (both measured in 2015 euros).</w:t>
      </w:r>
    </w:p>
    <w:p>
      <w:pPr>
        <w:tabs>
          <w:tab w:val="left" w:pos="1474"/>
        </w:tabs>
        <w:spacing w:line="283" w:lineRule="atLeast"/>
        <w:outlineLvl w:val="5"/>
        <w:rPr>
          <w:rFonts w:eastAsia="Times New Roman"/>
          <w:b/>
          <w:bCs/>
          <w:smallCaps/>
          <w:noProof/>
          <w:spacing w:val="5"/>
          <w:sz w:val="18"/>
          <w:lang w:eastAsia="de-DE"/>
        </w:rPr>
      </w:pPr>
      <w:r>
        <w:rPr>
          <w:rFonts w:eastAsia="Times New Roman"/>
          <w:b/>
          <w:bCs/>
          <w:smallCaps/>
          <w:noProof/>
          <w:spacing w:val="5"/>
          <w:sz w:val="18"/>
          <w:lang w:eastAsia="en-GB"/>
        </w:rPr>
        <w:drawing>
          <wp:inline distT="0" distB="0" distL="0" distR="0">
            <wp:extent cx="6353200" cy="37570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a:ext>
                      </a:extLst>
                    </a:blip>
                    <a:srcRect/>
                    <a:stretch>
                      <a:fillRect/>
                    </a:stretch>
                  </pic:blipFill>
                  <pic:spPr bwMode="auto">
                    <a:xfrm>
                      <a:off x="0" y="0"/>
                      <a:ext cx="6376968" cy="3771092"/>
                    </a:xfrm>
                    <a:prstGeom prst="rect">
                      <a:avLst/>
                    </a:prstGeom>
                    <a:noFill/>
                  </pic:spPr>
                </pic:pic>
              </a:graphicData>
            </a:graphic>
          </wp:inline>
        </w:drawing>
      </w:r>
    </w:p>
    <w:p>
      <w:pPr>
        <w:pStyle w:val="Caption"/>
      </w:pPr>
      <w:bookmarkStart w:id="570" w:name="_Toc525807928"/>
      <w:bookmarkStart w:id="571" w:name="_Toc526433543"/>
      <w:bookmarkStart w:id="572" w:name="_Toc526433821"/>
      <w:bookmarkStart w:id="573" w:name="_Toc526435763"/>
      <w:bookmarkStart w:id="574" w:name="_Toc530739854"/>
      <w:bookmarkStart w:id="575" w:name="_Toc531366227"/>
      <w:bookmarkStart w:id="576" w:name="_Toc50494165"/>
      <w:bookmarkStart w:id="577" w:name="_Toc52396943"/>
      <w:r>
        <w:t xml:space="preserve">Figure </w:t>
      </w:r>
      <w:r>
        <w:fldChar w:fldCharType="begin"/>
      </w:r>
      <w:r>
        <w:instrText xml:space="preserve"> SEQ Figure \* ARABIC </w:instrText>
      </w:r>
      <w:r>
        <w:fldChar w:fldCharType="separate"/>
      </w:r>
      <w:r>
        <w:t>171</w:t>
      </w:r>
      <w:r>
        <w:fldChar w:fldCharType="end"/>
      </w:r>
      <w:r>
        <w:t xml:space="preserve"> – Average energy tax for 1 toe of gross inland energy consumption in the EU-28</w:t>
      </w:r>
      <w:bookmarkEnd w:id="570"/>
      <w:bookmarkEnd w:id="571"/>
      <w:bookmarkEnd w:id="572"/>
      <w:bookmarkEnd w:id="573"/>
      <w:bookmarkEnd w:id="574"/>
      <w:bookmarkEnd w:id="575"/>
      <w:bookmarkEnd w:id="576"/>
      <w:bookmarkEnd w:id="577"/>
    </w:p>
    <w:p>
      <w:pPr>
        <w:pStyle w:val="Sources"/>
        <w:rPr>
          <w:noProof/>
        </w:rPr>
      </w:pPr>
      <w:r>
        <w:rPr>
          <w:noProof/>
        </w:rPr>
        <w:t>Source: DG Energy calculation based on Eurostat data (data series env_ac_tax, nrg_100a and  prc_hicp_aind)</w:t>
      </w:r>
    </w:p>
    <w:p>
      <w:pPr>
        <w:tabs>
          <w:tab w:val="left" w:pos="1474"/>
        </w:tabs>
        <w:spacing w:after="283" w:line="283" w:lineRule="atLeast"/>
        <w:outlineLvl w:val="5"/>
        <w:rPr>
          <w:noProof/>
          <w:sz w:val="24"/>
          <w:szCs w:val="24"/>
        </w:rPr>
      </w:pPr>
      <w:r>
        <w:rPr>
          <w:noProof/>
          <w:sz w:val="24"/>
          <w:szCs w:val="24"/>
        </w:rPr>
        <w:t>On average, the energy tax revenue per 1 toe of gross inland energy consumption was EUR 171 in 2018, but there was a huge variation across Member States, from EUR 76 in Bulgaria to EUR 322 in Denmark. Member States with higher GDP and a higher share of oil in the energy mix tend to have higher energy taxes per 1 toe of gross inland energy consumption.</w:t>
      </w:r>
    </w:p>
    <w:p>
      <w:pPr>
        <w:tabs>
          <w:tab w:val="left" w:pos="1474"/>
        </w:tabs>
        <w:spacing w:line="283" w:lineRule="atLeast"/>
        <w:outlineLvl w:val="5"/>
        <w:rPr>
          <w:rFonts w:eastAsia="Times New Roman"/>
          <w:b/>
          <w:bCs/>
          <w:smallCaps/>
          <w:noProof/>
          <w:spacing w:val="5"/>
          <w:sz w:val="18"/>
          <w:lang w:eastAsia="de-DE"/>
        </w:rPr>
      </w:pPr>
      <w:r>
        <w:rPr>
          <w:rFonts w:eastAsia="Times New Roman"/>
          <w:b/>
          <w:bCs/>
          <w:smallCaps/>
          <w:noProof/>
          <w:spacing w:val="5"/>
          <w:sz w:val="18"/>
          <w:lang w:eastAsia="en-GB"/>
        </w:rPr>
        <w:drawing>
          <wp:inline distT="0" distB="0" distL="0" distR="0">
            <wp:extent cx="6506255" cy="32992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6514071" cy="3303218"/>
                    </a:xfrm>
                    <a:prstGeom prst="rect">
                      <a:avLst/>
                    </a:prstGeom>
                    <a:noFill/>
                  </pic:spPr>
                </pic:pic>
              </a:graphicData>
            </a:graphic>
          </wp:inline>
        </w:drawing>
      </w:r>
    </w:p>
    <w:p>
      <w:pPr>
        <w:pStyle w:val="Caption"/>
      </w:pPr>
      <w:bookmarkStart w:id="578" w:name="_Toc525807929"/>
      <w:bookmarkStart w:id="579" w:name="_Toc526433544"/>
      <w:bookmarkStart w:id="580" w:name="_Toc526433822"/>
      <w:bookmarkStart w:id="581" w:name="_Toc526435764"/>
      <w:bookmarkStart w:id="582" w:name="_Toc530739855"/>
      <w:bookmarkStart w:id="583" w:name="_Toc531366228"/>
      <w:bookmarkStart w:id="584" w:name="_Toc50494166"/>
      <w:bookmarkStart w:id="585" w:name="_Toc52396944"/>
      <w:r>
        <w:t xml:space="preserve">Figure </w:t>
      </w:r>
      <w:r>
        <w:fldChar w:fldCharType="begin"/>
      </w:r>
      <w:r>
        <w:instrText xml:space="preserve"> SEQ Figure \* ARABIC </w:instrText>
      </w:r>
      <w:r>
        <w:fldChar w:fldCharType="separate"/>
      </w:r>
      <w:r>
        <w:t>172</w:t>
      </w:r>
      <w:r>
        <w:fldChar w:fldCharType="end"/>
      </w:r>
      <w:r>
        <w:t xml:space="preserve"> – Average energy tax for 1 toe of gross inland energy consumption in 201</w:t>
      </w:r>
      <w:bookmarkEnd w:id="578"/>
      <w:bookmarkEnd w:id="579"/>
      <w:bookmarkEnd w:id="580"/>
      <w:bookmarkEnd w:id="581"/>
      <w:bookmarkEnd w:id="582"/>
      <w:bookmarkEnd w:id="583"/>
      <w:r>
        <w:t>8</w:t>
      </w:r>
      <w:bookmarkEnd w:id="584"/>
      <w:bookmarkEnd w:id="585"/>
    </w:p>
    <w:p>
      <w:pPr>
        <w:pStyle w:val="Sources"/>
        <w:rPr>
          <w:noProof/>
        </w:rPr>
      </w:pPr>
      <w:r>
        <w:rPr>
          <w:noProof/>
        </w:rPr>
        <w:t>Source: DG Energy calculation based on Eurostat data (data series env_ac_tax and nrg_100a)</w:t>
      </w:r>
    </w:p>
    <w:p>
      <w:pPr>
        <w:rPr>
          <w:b/>
          <w:noProof/>
          <w:sz w:val="24"/>
          <w:szCs w:val="24"/>
        </w:rPr>
      </w:pPr>
    </w:p>
    <w:p>
      <w:pPr>
        <w:pStyle w:val="Heading3"/>
        <w:numPr>
          <w:ilvl w:val="2"/>
          <w:numId w:val="1"/>
        </w:numPr>
        <w:rPr>
          <w:noProof/>
        </w:rPr>
      </w:pPr>
      <w:bookmarkStart w:id="586" w:name="_Toc524619550"/>
      <w:bookmarkStart w:id="587" w:name="_Toc524961097"/>
      <w:bookmarkStart w:id="588" w:name="_Toc525143058"/>
      <w:bookmarkStart w:id="589" w:name="_Toc525222215"/>
      <w:bookmarkStart w:id="590" w:name="_Toc525222384"/>
      <w:bookmarkStart w:id="591" w:name="_Toc526420780"/>
      <w:bookmarkStart w:id="592" w:name="_Toc526434006"/>
      <w:bookmarkStart w:id="593" w:name="_Toc526435948"/>
      <w:bookmarkStart w:id="594" w:name="_Toc530595280"/>
      <w:bookmarkStart w:id="595" w:name="_Toc50648354"/>
      <w:bookmarkStart w:id="596" w:name="_Toc50654384"/>
      <w:bookmarkStart w:id="597" w:name="_Toc50654939"/>
      <w:bookmarkStart w:id="598" w:name="_Toc50732486"/>
      <w:bookmarkStart w:id="599" w:name="_Toc52396570"/>
      <w:r>
        <w:rPr>
          <w:noProof/>
        </w:rPr>
        <w:t>Excise duties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rPr>
          <w:noProof/>
          <w:sz w:val="24"/>
          <w:szCs w:val="24"/>
        </w:rPr>
      </w:pPr>
    </w:p>
    <w:p>
      <w:pPr>
        <w:rPr>
          <w:noProof/>
          <w:sz w:val="24"/>
          <w:szCs w:val="24"/>
        </w:rPr>
      </w:pPr>
      <w:r>
        <w:rPr>
          <w:noProof/>
          <w:sz w:val="24"/>
          <w:szCs w:val="24"/>
        </w:rPr>
        <w:t>Excise duties constitute the largest part of energy taxes.</w:t>
      </w:r>
    </w:p>
    <w:p>
      <w:pPr>
        <w:rPr>
          <w:noProof/>
          <w:sz w:val="24"/>
          <w:szCs w:val="24"/>
        </w:rPr>
      </w:pPr>
      <w:r>
        <w:rPr>
          <w:noProof/>
          <w:sz w:val="24"/>
          <w:szCs w:val="24"/>
        </w:rPr>
        <w:t>Excise duties are indirect taxes imposed on the sale or use of specific products, typically alcohol, tobacco and energy products. All revenue from excise duties goes to the budgets of Member States. Excise duties are set in absolute values, i.e. as a fixed amount per quantity of the product (e.g. per litre/kg/GJ/MWh). Accordingly, assuming that the rates do not change, the revenue will depend on the consumption of the specific product. In contrast, price changes should not impact revenues (at least not directly).</w:t>
      </w:r>
    </w:p>
    <w:p>
      <w:pPr>
        <w:rPr>
          <w:noProof/>
          <w:sz w:val="24"/>
          <w:szCs w:val="24"/>
        </w:rPr>
      </w:pPr>
      <w:r>
        <w:rPr>
          <w:noProof/>
          <w:sz w:val="24"/>
          <w:szCs w:val="24"/>
        </w:rPr>
        <w:t>Current EU rules for taxing energy products are laid down in Council Directive 2003/96/EC174</w:t>
      </w:r>
      <w:r>
        <w:rPr>
          <w:noProof/>
          <w:sz w:val="24"/>
          <w:szCs w:val="24"/>
          <w:vertAlign w:val="superscript"/>
        </w:rPr>
        <w:footnoteReference w:id="30"/>
      </w:r>
      <w:r>
        <w:rPr>
          <w:noProof/>
          <w:sz w:val="24"/>
          <w:szCs w:val="24"/>
        </w:rPr>
        <w:t xml:space="preserve"> (the Energy Tax Directive), which entered into force on 1 January 2004. The Directive covers petroleum products (gasoline, gasoil, kerosene, LPG, heavy fuel oil), natural gas, coal, coke and electricity. In addition to establishing a common EU framework for taxing energy products, the Directive sets minimum excise duty rates.</w:t>
      </w:r>
    </w:p>
    <w:p>
      <w:pPr>
        <w:rPr>
          <w:noProof/>
          <w:sz w:val="24"/>
          <w:szCs w:val="24"/>
        </w:rPr>
      </w:pPr>
      <w:r>
        <w:rPr>
          <w:noProof/>
          <w:sz w:val="24"/>
          <w:szCs w:val="24"/>
        </w:rPr>
        <w:t>The Commission's Taxation and Customs Union Directorate-General (TAXUD) regularly publishes the excise duty rates applicable in EU Member States</w:t>
      </w:r>
      <w:r>
        <w:rPr>
          <w:noProof/>
          <w:sz w:val="24"/>
          <w:szCs w:val="24"/>
          <w:vertAlign w:val="superscript"/>
        </w:rPr>
        <w:footnoteReference w:id="31"/>
      </w:r>
      <w:r>
        <w:rPr>
          <w:noProof/>
          <w:sz w:val="24"/>
          <w:szCs w:val="24"/>
        </w:rPr>
        <w:t xml:space="preserve"> and the revenue from excise duties</w:t>
      </w:r>
      <w:r>
        <w:rPr>
          <w:noProof/>
          <w:sz w:val="24"/>
          <w:szCs w:val="24"/>
          <w:vertAlign w:val="superscript"/>
        </w:rPr>
        <w:footnoteReference w:id="32"/>
      </w:r>
      <w:r>
        <w:rPr>
          <w:noProof/>
          <w:sz w:val="24"/>
          <w:szCs w:val="24"/>
        </w:rPr>
        <w:t>.</w:t>
      </w:r>
    </w:p>
    <w:p>
      <w:pPr>
        <w:rPr>
          <w:noProof/>
          <w:sz w:val="24"/>
          <w:szCs w:val="24"/>
        </w:rPr>
      </w:pPr>
      <w:r>
        <w:rPr>
          <w:noProof/>
          <w:sz w:val="24"/>
          <w:szCs w:val="24"/>
        </w:rPr>
        <w:t>As far as revenues are concerned, the latest available data relate to 2018. According to these data, excise duty revenues amounted to EUR 247.7 billion in 2018. From 2009, total revenue shows an increasing trend.</w:t>
      </w:r>
    </w:p>
    <w:p>
      <w:pPr>
        <w:keepNext/>
        <w:jc w:val="center"/>
        <w:rPr>
          <w:b/>
          <w:bCs/>
          <w:smallCaps/>
          <w:noProof/>
          <w:color w:val="000000" w:themeColor="text1"/>
          <w:spacing w:val="5"/>
          <w:sz w:val="18"/>
          <w:szCs w:val="18"/>
        </w:rPr>
      </w:pPr>
      <w:bookmarkStart w:id="600" w:name="_Toc463356012"/>
      <w:r>
        <w:rPr>
          <w:b/>
          <w:bCs/>
          <w:smallCaps/>
          <w:noProof/>
          <w:color w:val="000000" w:themeColor="text1"/>
          <w:spacing w:val="5"/>
          <w:sz w:val="18"/>
          <w:szCs w:val="18"/>
          <w:lang w:eastAsia="en-GB"/>
        </w:rPr>
        <w:drawing>
          <wp:inline distT="0" distB="0" distL="0" distR="0">
            <wp:extent cx="6460215" cy="30948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6481564" cy="3105043"/>
                    </a:xfrm>
                    <a:prstGeom prst="rect">
                      <a:avLst/>
                    </a:prstGeom>
                    <a:noFill/>
                  </pic:spPr>
                </pic:pic>
              </a:graphicData>
            </a:graphic>
          </wp:inline>
        </w:drawing>
      </w:r>
    </w:p>
    <w:p>
      <w:pPr>
        <w:pStyle w:val="Caption"/>
      </w:pPr>
      <w:bookmarkStart w:id="601" w:name="_Toc525807930"/>
      <w:bookmarkStart w:id="602" w:name="_Toc526433545"/>
      <w:bookmarkStart w:id="603" w:name="_Toc526433823"/>
      <w:bookmarkStart w:id="604" w:name="_Toc526435765"/>
      <w:bookmarkStart w:id="605" w:name="_Toc530739856"/>
      <w:bookmarkStart w:id="606" w:name="_Toc531366229"/>
      <w:bookmarkStart w:id="607" w:name="_Toc50494167"/>
      <w:bookmarkStart w:id="608" w:name="_Toc52396945"/>
      <w:r>
        <w:t xml:space="preserve">Figure </w:t>
      </w:r>
      <w:r>
        <w:fldChar w:fldCharType="begin"/>
      </w:r>
      <w:r>
        <w:instrText xml:space="preserve"> SEQ Figure \* ARABIC </w:instrText>
      </w:r>
      <w:r>
        <w:fldChar w:fldCharType="separate"/>
      </w:r>
      <w:r>
        <w:t>173</w:t>
      </w:r>
      <w:r>
        <w:fldChar w:fldCharType="end"/>
      </w:r>
      <w:r>
        <w:rPr>
          <w:smallCaps/>
          <w:spacing w:val="5"/>
        </w:rPr>
        <w:t xml:space="preserve"> -</w:t>
      </w:r>
      <w:r>
        <w:t xml:space="preserve"> Excise duty revenues from energy consumption</w:t>
      </w:r>
      <w:bookmarkEnd w:id="600"/>
      <w:bookmarkEnd w:id="601"/>
      <w:bookmarkEnd w:id="602"/>
      <w:bookmarkEnd w:id="603"/>
      <w:bookmarkEnd w:id="604"/>
      <w:bookmarkEnd w:id="605"/>
      <w:bookmarkEnd w:id="606"/>
      <w:bookmarkEnd w:id="607"/>
      <w:bookmarkEnd w:id="608"/>
    </w:p>
    <w:p>
      <w:pPr>
        <w:pStyle w:val="Sources"/>
        <w:rPr>
          <w:noProof/>
        </w:rPr>
      </w:pPr>
      <w:r>
        <w:rPr>
          <w:noProof/>
        </w:rPr>
        <w:t>Source: DG Taxation and Customs Union</w:t>
      </w:r>
    </w:p>
    <w:p>
      <w:pPr>
        <w:rPr>
          <w:noProof/>
          <w:sz w:val="24"/>
          <w:szCs w:val="24"/>
        </w:rPr>
      </w:pPr>
      <w:r>
        <w:rPr>
          <w:noProof/>
          <w:sz w:val="24"/>
          <w:szCs w:val="24"/>
        </w:rPr>
        <w:t>If adjusted for inflation, excise duty revenues have slightly decreased between 2008 and 2014: measured in 2015 euros, they amounted to EUR 230 billion in 2008 and EUR 220 billion in 2014. In the last here years (2015-2018), however, real revenues increased by 3.4%, 3.5%, 1.2% and 0.5%, respectively, reaching EUR 239 billion.</w:t>
      </w:r>
    </w:p>
    <w:p>
      <w:pPr>
        <w:tabs>
          <w:tab w:val="left" w:pos="1474"/>
        </w:tabs>
        <w:spacing w:line="283" w:lineRule="atLeast"/>
        <w:jc w:val="center"/>
        <w:outlineLvl w:val="5"/>
        <w:rPr>
          <w:rFonts w:eastAsia="Times New Roman"/>
          <w:b/>
          <w:bCs/>
          <w:smallCaps/>
          <w:noProof/>
          <w:spacing w:val="5"/>
          <w:sz w:val="18"/>
          <w:lang w:eastAsia="de-DE"/>
        </w:rPr>
      </w:pPr>
      <w:bookmarkStart w:id="609" w:name="_Toc463015779"/>
      <w:bookmarkStart w:id="610" w:name="_Toc463356013"/>
      <w:r>
        <w:rPr>
          <w:rFonts w:eastAsia="Times New Roman"/>
          <w:b/>
          <w:bCs/>
          <w:smallCaps/>
          <w:noProof/>
          <w:spacing w:val="5"/>
          <w:sz w:val="18"/>
          <w:lang w:eastAsia="en-GB"/>
        </w:rPr>
        <w:drawing>
          <wp:inline distT="0" distB="0" distL="0" distR="0">
            <wp:extent cx="6543366" cy="34760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6559653" cy="3484700"/>
                    </a:xfrm>
                    <a:prstGeom prst="rect">
                      <a:avLst/>
                    </a:prstGeom>
                    <a:noFill/>
                  </pic:spPr>
                </pic:pic>
              </a:graphicData>
            </a:graphic>
          </wp:inline>
        </w:drawing>
      </w:r>
    </w:p>
    <w:p>
      <w:pPr>
        <w:pStyle w:val="Caption"/>
      </w:pPr>
      <w:bookmarkStart w:id="611" w:name="_Toc525807931"/>
      <w:bookmarkStart w:id="612" w:name="_Toc526433546"/>
      <w:bookmarkStart w:id="613" w:name="_Toc526433824"/>
      <w:bookmarkStart w:id="614" w:name="_Toc526435766"/>
      <w:bookmarkStart w:id="615" w:name="_Toc530739857"/>
      <w:bookmarkStart w:id="616" w:name="_Toc531366230"/>
      <w:bookmarkStart w:id="617" w:name="_Toc50494168"/>
      <w:bookmarkStart w:id="618" w:name="_Toc52396946"/>
      <w:r>
        <w:t xml:space="preserve">Figure </w:t>
      </w:r>
      <w:r>
        <w:fldChar w:fldCharType="begin"/>
      </w:r>
      <w:r>
        <w:instrText xml:space="preserve"> SEQ Figure \* ARABIC </w:instrText>
      </w:r>
      <w:r>
        <w:fldChar w:fldCharType="separate"/>
      </w:r>
      <w:r>
        <w:t>174</w:t>
      </w:r>
      <w:r>
        <w:fldChar w:fldCharType="end"/>
      </w:r>
      <w:r>
        <w:t xml:space="preserve"> - Exercise duty revenues from energy consumption, adjusted for inflation (in 2015 euros)</w:t>
      </w:r>
      <w:bookmarkEnd w:id="609"/>
      <w:bookmarkEnd w:id="610"/>
      <w:bookmarkEnd w:id="611"/>
      <w:bookmarkEnd w:id="612"/>
      <w:bookmarkEnd w:id="613"/>
      <w:bookmarkEnd w:id="614"/>
      <w:bookmarkEnd w:id="615"/>
      <w:bookmarkEnd w:id="616"/>
      <w:bookmarkEnd w:id="617"/>
      <w:bookmarkEnd w:id="618"/>
    </w:p>
    <w:p>
      <w:pPr>
        <w:pStyle w:val="Sources"/>
        <w:rPr>
          <w:noProof/>
        </w:rPr>
      </w:pPr>
      <w:r>
        <w:rPr>
          <w:noProof/>
        </w:rPr>
        <w:t>Source: DG Taxation and Customs Union, adjusted by HICP</w:t>
      </w:r>
    </w:p>
    <w:p>
      <w:pPr>
        <w:rPr>
          <w:noProof/>
          <w:sz w:val="24"/>
          <w:szCs w:val="24"/>
        </w:rPr>
      </w:pPr>
      <w:r>
        <w:rPr>
          <w:noProof/>
          <w:sz w:val="24"/>
          <w:szCs w:val="24"/>
        </w:rPr>
        <w:t>In 2018, oil products were the main source of excise duty revenue, covering 81.4% of all excise duty revenue from energy products. The rest was shared by electricity (11.9%), gas (6.4%) and coal (0.3%).</w:t>
      </w:r>
    </w:p>
    <w:p>
      <w:pPr>
        <w:rPr>
          <w:noProof/>
          <w:sz w:val="24"/>
          <w:szCs w:val="24"/>
        </w:rPr>
      </w:pPr>
      <w:r>
        <w:rPr>
          <w:noProof/>
          <w:sz w:val="24"/>
          <w:szCs w:val="24"/>
        </w:rPr>
        <w:t>The share of oil products from total revenues decreased from 87.8% in 2008 to 81.4% in 2018 mainly at the benefit of gas and electricity.</w:t>
      </w:r>
    </w:p>
    <w:p>
      <w:pPr>
        <w:rPr>
          <w:noProof/>
          <w:sz w:val="24"/>
          <w:szCs w:val="24"/>
        </w:rPr>
      </w:pPr>
      <w:r>
        <w:rPr>
          <w:noProof/>
          <w:sz w:val="24"/>
          <w:szCs w:val="24"/>
        </w:rPr>
        <w:t>Between 2008 and 2018, revenues from taxes on oil products increased by 12.3%, on gas by 62.4%, on electricity by 79.5% and on coal by 101%. In this 11-year period, inflation measured by the Harmonised Index of Consumer Prices (HICP) was 15.3%.</w:t>
      </w:r>
    </w:p>
    <w:p>
      <w:pPr>
        <w:tabs>
          <w:tab w:val="left" w:pos="1474"/>
        </w:tabs>
        <w:spacing w:line="283" w:lineRule="atLeast"/>
        <w:jc w:val="center"/>
        <w:outlineLvl w:val="5"/>
        <w:rPr>
          <w:rFonts w:eastAsia="Times New Roman"/>
          <w:b/>
          <w:bCs/>
          <w:smallCaps/>
          <w:noProof/>
          <w:spacing w:val="5"/>
          <w:sz w:val="18"/>
          <w:lang w:eastAsia="de-DE"/>
        </w:rPr>
      </w:pPr>
      <w:r>
        <w:rPr>
          <w:rFonts w:eastAsia="Times New Roman"/>
          <w:b/>
          <w:bCs/>
          <w:smallCaps/>
          <w:noProof/>
          <w:spacing w:val="5"/>
          <w:sz w:val="18"/>
          <w:lang w:eastAsia="en-GB"/>
        </w:rPr>
        <w:drawing>
          <wp:inline distT="0" distB="0" distL="0" distR="0">
            <wp:extent cx="6003671" cy="36088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a:ext>
                      </a:extLst>
                    </a:blip>
                    <a:srcRect/>
                    <a:stretch>
                      <a:fillRect/>
                    </a:stretch>
                  </pic:blipFill>
                  <pic:spPr bwMode="auto">
                    <a:xfrm>
                      <a:off x="0" y="0"/>
                      <a:ext cx="6032386" cy="3626117"/>
                    </a:xfrm>
                    <a:prstGeom prst="rect">
                      <a:avLst/>
                    </a:prstGeom>
                    <a:noFill/>
                  </pic:spPr>
                </pic:pic>
              </a:graphicData>
            </a:graphic>
          </wp:inline>
        </w:drawing>
      </w:r>
    </w:p>
    <w:p>
      <w:pPr>
        <w:pStyle w:val="Caption"/>
      </w:pPr>
      <w:bookmarkStart w:id="619" w:name="_Toc525807932"/>
      <w:bookmarkStart w:id="620" w:name="_Toc526433547"/>
      <w:bookmarkStart w:id="621" w:name="_Toc526433825"/>
      <w:bookmarkStart w:id="622" w:name="_Toc526435767"/>
      <w:bookmarkStart w:id="623" w:name="_Toc530739858"/>
      <w:bookmarkStart w:id="624" w:name="_Toc531366231"/>
      <w:bookmarkStart w:id="625" w:name="_Toc50494169"/>
      <w:bookmarkStart w:id="626" w:name="_Toc52396947"/>
      <w:r>
        <w:t xml:space="preserve">Figure </w:t>
      </w:r>
      <w:r>
        <w:fldChar w:fldCharType="begin"/>
      </w:r>
      <w:r>
        <w:instrText xml:space="preserve"> SEQ Figure \* ARABIC </w:instrText>
      </w:r>
      <w:r>
        <w:fldChar w:fldCharType="separate"/>
      </w:r>
      <w:r>
        <w:t>175</w:t>
      </w:r>
      <w:r>
        <w:fldChar w:fldCharType="end"/>
      </w:r>
      <w:r>
        <w:t xml:space="preserve"> - The share of excise duty revenues by energy product</w:t>
      </w:r>
      <w:bookmarkEnd w:id="619"/>
      <w:bookmarkEnd w:id="620"/>
      <w:bookmarkEnd w:id="621"/>
      <w:bookmarkEnd w:id="622"/>
      <w:bookmarkEnd w:id="623"/>
      <w:bookmarkEnd w:id="624"/>
      <w:bookmarkEnd w:id="625"/>
      <w:bookmarkEnd w:id="626"/>
    </w:p>
    <w:p>
      <w:pPr>
        <w:pStyle w:val="Sources"/>
        <w:rPr>
          <w:noProof/>
        </w:rPr>
      </w:pPr>
      <w:r>
        <w:rPr>
          <w:noProof/>
        </w:rPr>
        <w:t>Source: DG Taxation and Customs Union</w:t>
      </w:r>
    </w:p>
    <w:p>
      <w:pPr>
        <w:rPr>
          <w:smallCaps/>
          <w:noProof/>
          <w:sz w:val="24"/>
          <w:szCs w:val="24"/>
        </w:rPr>
      </w:pPr>
      <w:bookmarkStart w:id="627" w:name="_Toc463015780"/>
      <w:bookmarkStart w:id="628" w:name="_Toc463356014"/>
      <w:r>
        <w:rPr>
          <w:noProof/>
          <w:sz w:val="24"/>
          <w:szCs w:val="24"/>
        </w:rPr>
        <w:t>Oil products make up majority of the excise duty revenue in all Member States except Malta. In 17 Member States they make up more than 90%.</w:t>
      </w:r>
    </w:p>
    <w:p>
      <w:pPr>
        <w:tabs>
          <w:tab w:val="left" w:pos="1474"/>
        </w:tabs>
        <w:spacing w:line="283" w:lineRule="atLeast"/>
        <w:jc w:val="center"/>
        <w:outlineLvl w:val="5"/>
        <w:rPr>
          <w:rFonts w:eastAsia="Times New Roman"/>
          <w:b/>
          <w:bCs/>
          <w:smallCaps/>
          <w:noProof/>
          <w:spacing w:val="5"/>
          <w:sz w:val="18"/>
          <w:lang w:eastAsia="de-DE"/>
        </w:rPr>
      </w:pPr>
      <w:r>
        <w:rPr>
          <w:rFonts w:eastAsia="Times New Roman"/>
          <w:b/>
          <w:bCs/>
          <w:smallCaps/>
          <w:noProof/>
          <w:spacing w:val="5"/>
          <w:sz w:val="18"/>
          <w:lang w:eastAsia="en-GB"/>
        </w:rPr>
        <w:drawing>
          <wp:inline distT="0" distB="0" distL="0" distR="0">
            <wp:extent cx="6019139" cy="3618154"/>
            <wp:effectExtent l="0" t="0" r="1270" b="1905"/>
            <wp:docPr id="327164197" name="Picture 32716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6043859" cy="3633013"/>
                    </a:xfrm>
                    <a:prstGeom prst="rect">
                      <a:avLst/>
                    </a:prstGeom>
                    <a:noFill/>
                  </pic:spPr>
                </pic:pic>
              </a:graphicData>
            </a:graphic>
          </wp:inline>
        </w:drawing>
      </w:r>
    </w:p>
    <w:p>
      <w:pPr>
        <w:pStyle w:val="Caption"/>
      </w:pPr>
      <w:bookmarkStart w:id="629" w:name="_Toc525807933"/>
      <w:bookmarkStart w:id="630" w:name="_Toc526433548"/>
      <w:bookmarkStart w:id="631" w:name="_Toc526433826"/>
      <w:bookmarkStart w:id="632" w:name="_Toc526435768"/>
      <w:bookmarkStart w:id="633" w:name="_Toc530739859"/>
      <w:bookmarkStart w:id="634" w:name="_Toc531366232"/>
      <w:bookmarkStart w:id="635" w:name="_Toc50494170"/>
      <w:bookmarkStart w:id="636" w:name="_Toc52396948"/>
      <w:r>
        <w:t xml:space="preserve">Figure </w:t>
      </w:r>
      <w:r>
        <w:fldChar w:fldCharType="begin"/>
      </w:r>
      <w:r>
        <w:instrText xml:space="preserve"> SEQ Figure \* ARABIC </w:instrText>
      </w:r>
      <w:r>
        <w:fldChar w:fldCharType="separate"/>
      </w:r>
      <w:r>
        <w:t>176</w:t>
      </w:r>
      <w:r>
        <w:fldChar w:fldCharType="end"/>
      </w:r>
      <w:r>
        <w:t xml:space="preserve"> - The share of excise duty revenues by energy product, 2018</w:t>
      </w:r>
      <w:bookmarkEnd w:id="627"/>
      <w:bookmarkEnd w:id="628"/>
      <w:bookmarkEnd w:id="629"/>
      <w:bookmarkEnd w:id="630"/>
      <w:bookmarkEnd w:id="631"/>
      <w:bookmarkEnd w:id="632"/>
      <w:bookmarkEnd w:id="633"/>
      <w:bookmarkEnd w:id="634"/>
      <w:bookmarkEnd w:id="635"/>
      <w:bookmarkEnd w:id="636"/>
    </w:p>
    <w:p>
      <w:pPr>
        <w:pStyle w:val="Sources"/>
        <w:rPr>
          <w:noProof/>
        </w:rPr>
      </w:pPr>
      <w:r>
        <w:rPr>
          <w:noProof/>
        </w:rPr>
        <w:t>Source: DG Taxation and Customs Union</w:t>
      </w:r>
    </w:p>
    <w:p>
      <w:pPr>
        <w:rPr>
          <w:b/>
          <w:noProof/>
          <w:sz w:val="24"/>
          <w:szCs w:val="24"/>
        </w:rPr>
      </w:pPr>
    </w:p>
    <w:p>
      <w:pPr>
        <w:rPr>
          <w:b/>
          <w:noProof/>
          <w:sz w:val="24"/>
          <w:szCs w:val="24"/>
        </w:rPr>
      </w:pPr>
    </w:p>
    <w:p>
      <w:pPr>
        <w:pStyle w:val="Heading3"/>
        <w:numPr>
          <w:ilvl w:val="2"/>
          <w:numId w:val="1"/>
        </w:numPr>
        <w:rPr>
          <w:noProof/>
        </w:rPr>
      </w:pPr>
      <w:bookmarkStart w:id="637" w:name="_Toc524619551"/>
      <w:bookmarkStart w:id="638" w:name="_Toc524961098"/>
      <w:bookmarkStart w:id="639" w:name="_Toc525143059"/>
      <w:bookmarkStart w:id="640" w:name="_Toc525222216"/>
      <w:bookmarkStart w:id="641" w:name="_Toc525222385"/>
      <w:bookmarkStart w:id="642" w:name="_Toc526420781"/>
      <w:bookmarkStart w:id="643" w:name="_Toc526434007"/>
      <w:bookmarkStart w:id="644" w:name="_Toc526435949"/>
      <w:bookmarkStart w:id="645" w:name="_Toc530595281"/>
      <w:bookmarkStart w:id="646" w:name="_Toc50648355"/>
      <w:bookmarkStart w:id="647" w:name="_Toc50654385"/>
      <w:bookmarkStart w:id="648" w:name="_Toc50654940"/>
      <w:bookmarkStart w:id="649" w:name="_Toc50732487"/>
      <w:bookmarkStart w:id="650" w:name="_Toc52396571"/>
      <w:r>
        <w:rPr>
          <w:noProof/>
        </w:rPr>
        <w:t>Value added tax (VAT)</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rPr>
          <w:noProof/>
          <w:sz w:val="24"/>
          <w:szCs w:val="24"/>
        </w:rPr>
      </w:pPr>
    </w:p>
    <w:p>
      <w:pPr>
        <w:rPr>
          <w:noProof/>
          <w:sz w:val="24"/>
          <w:szCs w:val="24"/>
        </w:rPr>
      </w:pPr>
      <w:r>
        <w:rPr>
          <w:noProof/>
          <w:sz w:val="24"/>
          <w:szCs w:val="24"/>
        </w:rPr>
        <w:t>VAT imposed on energy products is another important source of government revenue. However, unlike for excise duties, there is no publicly available data for VAT revenues from energy products.</w:t>
      </w:r>
    </w:p>
    <w:p>
      <w:pPr>
        <w:rPr>
          <w:noProof/>
          <w:sz w:val="24"/>
          <w:szCs w:val="24"/>
        </w:rPr>
      </w:pPr>
      <w:r>
        <w:rPr>
          <w:noProof/>
          <w:sz w:val="24"/>
          <w:szCs w:val="24"/>
        </w:rPr>
        <w:t>The VAT is a general consumption tax assessed on the value added to goods and services. It applies to practically all goods and services (including energy products) that are bought and sold for use or consumption in the EU. The VAT is borne ultimately by the final consumer; companies can reclaim the VAT they pay on the products and services they use as an input. VAT is charged as a percentage of the price which means that an increase of the price will entail an increase in the tax revenue and vice versa.</w:t>
      </w:r>
    </w:p>
    <w:p>
      <w:pPr>
        <w:rPr>
          <w:noProof/>
          <w:sz w:val="24"/>
          <w:szCs w:val="24"/>
        </w:rPr>
      </w:pPr>
      <w:r>
        <w:rPr>
          <w:noProof/>
          <w:sz w:val="24"/>
          <w:szCs w:val="24"/>
        </w:rPr>
        <w:t>The VAT Directive (2006/112/EC)</w:t>
      </w:r>
      <w:r>
        <w:rPr>
          <w:noProof/>
          <w:sz w:val="24"/>
          <w:szCs w:val="24"/>
          <w:vertAlign w:val="superscript"/>
        </w:rPr>
        <w:footnoteReference w:id="33"/>
      </w:r>
      <w:r>
        <w:rPr>
          <w:noProof/>
          <w:sz w:val="24"/>
          <w:szCs w:val="24"/>
        </w:rPr>
        <w:t xml:space="preserve"> requires that the standard VAT rate must be at least 15% and Member States can apply one or two reduced rates of at least 5% but only to goods or services listed in Annex III of the Directive (energy products are not in the list). In addition, there are multiple exceptions to the basic rules (usually with conditions/deadlines), including</w:t>
      </w:r>
    </w:p>
    <w:p>
      <w:pPr>
        <w:numPr>
          <w:ilvl w:val="0"/>
          <w:numId w:val="6"/>
        </w:numPr>
        <w:spacing w:after="240"/>
        <w:contextualSpacing/>
        <w:rPr>
          <w:noProof/>
          <w:sz w:val="24"/>
          <w:szCs w:val="24"/>
        </w:rPr>
      </w:pPr>
      <w:r>
        <w:rPr>
          <w:noProof/>
          <w:sz w:val="24"/>
          <w:szCs w:val="24"/>
        </w:rPr>
        <w:t>possibility of reduced rates for goods and services other than those listed in the directive (e.g. Article 102 allows the use of reduced rate to the supply of natural gas, electricity and district heating, “provided that no risk of distortion of competition thereby arises”);</w:t>
      </w:r>
    </w:p>
    <w:p>
      <w:pPr>
        <w:numPr>
          <w:ilvl w:val="0"/>
          <w:numId w:val="6"/>
        </w:numPr>
        <w:spacing w:after="240"/>
        <w:ind w:left="714" w:hanging="357"/>
        <w:rPr>
          <w:noProof/>
          <w:sz w:val="24"/>
          <w:szCs w:val="24"/>
        </w:rPr>
      </w:pPr>
      <w:r>
        <w:rPr>
          <w:noProof/>
          <w:sz w:val="24"/>
          <w:szCs w:val="24"/>
        </w:rPr>
        <w:t>several country-specific exceptions, including the permission to use “super reduced” rates under 5% (including zero rates) for certain (including energy) products.</w:t>
      </w:r>
    </w:p>
    <w:p>
      <w:pPr>
        <w:spacing w:after="240"/>
        <w:rPr>
          <w:noProof/>
          <w:sz w:val="24"/>
          <w:szCs w:val="24"/>
        </w:rPr>
      </w:pPr>
      <w:r>
        <w:rPr>
          <w:noProof/>
          <w:sz w:val="24"/>
          <w:szCs w:val="24"/>
        </w:rPr>
        <w:t>The EU-28 average standard VAT rate increased by 2 percentage points between 2008 and 2015 but has been rather stable since then: it was 21.5% in 2016 and 2017 and also at the start of 2018. Hungary has the highest VAT standard rate (27 %), followed by Croatia, Denmark and Sweden (all 25%). Luxembourg (17%) and Malta (18%) apply the lowest standard rate.</w:t>
      </w:r>
    </w:p>
    <w:p>
      <w:pPr>
        <w:tabs>
          <w:tab w:val="left" w:pos="1474"/>
        </w:tabs>
        <w:spacing w:line="283" w:lineRule="atLeast"/>
        <w:jc w:val="center"/>
        <w:outlineLvl w:val="5"/>
        <w:rPr>
          <w:rFonts w:eastAsia="Times New Roman"/>
          <w:b/>
          <w:bCs/>
          <w:smallCaps/>
          <w:noProof/>
          <w:spacing w:val="5"/>
          <w:sz w:val="18"/>
          <w:lang w:eastAsia="de-DE"/>
        </w:rPr>
      </w:pPr>
      <w:r>
        <w:rPr>
          <w:rFonts w:eastAsia="Times New Roman"/>
          <w:b/>
          <w:bCs/>
          <w:smallCaps/>
          <w:noProof/>
          <w:spacing w:val="5"/>
          <w:sz w:val="18"/>
          <w:lang w:eastAsia="en-GB"/>
        </w:rPr>
        <w:drawing>
          <wp:inline distT="0" distB="0" distL="0" distR="0">
            <wp:extent cx="5052384" cy="2442519"/>
            <wp:effectExtent l="0" t="0" r="0" b="0"/>
            <wp:docPr id="327164198" name="Picture 32716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5070372" cy="2451215"/>
                    </a:xfrm>
                    <a:prstGeom prst="rect">
                      <a:avLst/>
                    </a:prstGeom>
                    <a:noFill/>
                    <a:ln>
                      <a:noFill/>
                    </a:ln>
                  </pic:spPr>
                </pic:pic>
              </a:graphicData>
            </a:graphic>
          </wp:inline>
        </w:drawing>
      </w:r>
    </w:p>
    <w:p>
      <w:pPr>
        <w:pStyle w:val="Caption"/>
      </w:pPr>
      <w:bookmarkStart w:id="651" w:name="_Toc525807934"/>
      <w:bookmarkStart w:id="652" w:name="_Toc526433549"/>
      <w:bookmarkStart w:id="653" w:name="_Toc526433827"/>
      <w:bookmarkStart w:id="654" w:name="_Toc526435769"/>
      <w:bookmarkStart w:id="655" w:name="_Toc530739860"/>
      <w:bookmarkStart w:id="656" w:name="_Toc531366233"/>
      <w:bookmarkStart w:id="657" w:name="_Toc50494171"/>
      <w:bookmarkStart w:id="658" w:name="_Toc52396949"/>
      <w:r>
        <w:t xml:space="preserve">Figure </w:t>
      </w:r>
      <w:r>
        <w:fldChar w:fldCharType="begin"/>
      </w:r>
      <w:r>
        <w:instrText xml:space="preserve"> SEQ Figure \* ARABIC </w:instrText>
      </w:r>
      <w:r>
        <w:fldChar w:fldCharType="separate"/>
      </w:r>
      <w:r>
        <w:t>177</w:t>
      </w:r>
      <w:r>
        <w:fldChar w:fldCharType="end"/>
      </w:r>
      <w:r>
        <w:t xml:space="preserve"> - The average standard VAT rate in the EU</w:t>
      </w:r>
      <w:bookmarkEnd w:id="651"/>
      <w:bookmarkEnd w:id="652"/>
      <w:bookmarkEnd w:id="653"/>
      <w:bookmarkEnd w:id="654"/>
      <w:bookmarkEnd w:id="655"/>
      <w:bookmarkEnd w:id="656"/>
      <w:bookmarkEnd w:id="657"/>
      <w:bookmarkEnd w:id="658"/>
    </w:p>
    <w:p>
      <w:pPr>
        <w:pStyle w:val="Sources"/>
        <w:rPr>
          <w:noProof/>
        </w:rPr>
      </w:pPr>
      <w:r>
        <w:rPr>
          <w:noProof/>
        </w:rPr>
        <w:t>Source: DG Taxation and Customs Union</w:t>
      </w:r>
    </w:p>
    <w:p>
      <w:pPr>
        <w:rPr>
          <w:noProof/>
          <w:sz w:val="24"/>
          <w:szCs w:val="24"/>
        </w:rPr>
      </w:pPr>
      <w:r>
        <w:rPr>
          <w:noProof/>
          <w:sz w:val="24"/>
          <w:szCs w:val="24"/>
        </w:rPr>
        <w:t>About half of the Member States use reduced VAT rates for certain energy products, mainly gas, electricity, district heating, firewood and heating oil. Of course, this has an impact on household retail prices and partly explains the price differences across Member States. For example, the applicable VAT rate for gas and electricity ranges from 5% to 27%. DG TAXUD regularly publishes the VAT rates applied by Member States for different product groups/services.</w:t>
      </w:r>
      <w:r>
        <w:rPr>
          <w:noProof/>
          <w:sz w:val="24"/>
          <w:szCs w:val="24"/>
          <w:vertAlign w:val="superscript"/>
        </w:rPr>
        <w:footnoteReference w:id="34"/>
      </w:r>
    </w:p>
    <w:p>
      <w:pPr>
        <w:rPr>
          <w:noProof/>
          <w:sz w:val="24"/>
          <w:szCs w:val="24"/>
        </w:rPr>
      </w:pPr>
      <w:r>
        <w:rPr>
          <w:noProof/>
          <w:sz w:val="24"/>
          <w:szCs w:val="24"/>
        </w:rPr>
        <w:t>As a follow-up of the Action Plan on VAT</w:t>
      </w:r>
      <w:r>
        <w:rPr>
          <w:noProof/>
          <w:sz w:val="24"/>
          <w:szCs w:val="24"/>
          <w:vertAlign w:val="superscript"/>
        </w:rPr>
        <w:footnoteReference w:id="35"/>
      </w:r>
      <w:r>
        <w:rPr>
          <w:noProof/>
          <w:sz w:val="24"/>
          <w:szCs w:val="24"/>
        </w:rPr>
        <w:t>, the Commission adopted a number of legislative proposals related to the VAT system with the objective of working towards the completion of a single EU VAT area. On 18 January 2018, a proposal was adopted to introduce more flexibility for Member States to change the VAT rates they apply to different products. According to the proposal, the current list of goods and services to which reduced rates can be applied would be abolished and replaced by a new "negative" list to which the standard rate of 15% or above would always be applied. The proposed "negative list" contains most oil products, requiring the application of the standard rate. On the other hand, Member States would continue to be able to apply a reduced rate for electricity, gas, LPG, district heating and firewood.</w:t>
      </w:r>
      <w:r>
        <w:rPr>
          <w:noProof/>
          <w:sz w:val="24"/>
          <w:szCs w:val="24"/>
          <w:vertAlign w:val="superscript"/>
        </w:rPr>
        <w:footnoteReference w:id="36"/>
      </w:r>
    </w:p>
    <w:p>
      <w:pPr>
        <w:rPr>
          <w:b/>
          <w:noProof/>
          <w:sz w:val="24"/>
          <w:szCs w:val="24"/>
        </w:rPr>
      </w:pPr>
    </w:p>
    <w:p>
      <w:pPr>
        <w:pStyle w:val="Heading3"/>
        <w:numPr>
          <w:ilvl w:val="2"/>
          <w:numId w:val="1"/>
        </w:numPr>
        <w:rPr>
          <w:noProof/>
        </w:rPr>
      </w:pPr>
      <w:bookmarkStart w:id="659" w:name="_Toc524619552"/>
      <w:bookmarkStart w:id="660" w:name="_Toc524961099"/>
      <w:bookmarkStart w:id="661" w:name="_Toc525143060"/>
      <w:bookmarkStart w:id="662" w:name="_Toc525222217"/>
      <w:bookmarkStart w:id="663" w:name="_Toc525222386"/>
      <w:bookmarkStart w:id="664" w:name="_Toc526420782"/>
      <w:bookmarkStart w:id="665" w:name="_Toc526434008"/>
      <w:bookmarkStart w:id="666" w:name="_Toc526435950"/>
      <w:bookmarkStart w:id="667" w:name="_Toc530595282"/>
      <w:bookmarkStart w:id="668" w:name="_Toc50648356"/>
      <w:bookmarkStart w:id="669" w:name="_Toc50654386"/>
      <w:bookmarkStart w:id="670" w:name="_Toc50654941"/>
      <w:bookmarkStart w:id="671" w:name="_Toc50732488"/>
      <w:bookmarkStart w:id="672" w:name="_Toc52396572"/>
      <w:r>
        <w:rPr>
          <w:noProof/>
        </w:rPr>
        <w:t>Tax revenues from oil products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rPr>
          <w:noProof/>
        </w:rPr>
      </w:pPr>
    </w:p>
    <w:p>
      <w:pPr>
        <w:rPr>
          <w:noProof/>
          <w:sz w:val="24"/>
          <w:szCs w:val="24"/>
        </w:rPr>
      </w:pPr>
      <w:r>
        <w:rPr>
          <w:noProof/>
          <w:sz w:val="24"/>
          <w:szCs w:val="24"/>
        </w:rPr>
        <w:t>Oil products, especially motor fuels, are the main source of tax revenue from the energy sector for government budgets. Data from the Weekly Oil Bulletin</w:t>
      </w:r>
      <w:r>
        <w:rPr>
          <w:noProof/>
          <w:sz w:val="24"/>
          <w:szCs w:val="24"/>
          <w:vertAlign w:val="superscript"/>
        </w:rPr>
        <w:footnoteReference w:id="37"/>
      </w:r>
      <w:r>
        <w:rPr>
          <w:noProof/>
          <w:sz w:val="24"/>
          <w:szCs w:val="24"/>
        </w:rPr>
        <w:t xml:space="preserve"> allows a more detailed analysis of tax revenues from petroleum products, including an estimation of VAT revenues (assuming that no VAT is reclaimed).</w:t>
      </w:r>
    </w:p>
    <w:p>
      <w:pPr>
        <w:rPr>
          <w:noProof/>
          <w:sz w:val="24"/>
          <w:szCs w:val="24"/>
        </w:rPr>
      </w:pPr>
      <w:r>
        <w:rPr>
          <w:noProof/>
          <w:sz w:val="24"/>
          <w:szCs w:val="24"/>
        </w:rPr>
        <w:t>Our analysis covers the three main petroleum products sold in the retail sector: gasoline (Euro-super 95), diesel (automotive gas oil) and heating oil (heating gas oil). For most Member States, the analysis covers the years 2005-2019.</w:t>
      </w:r>
    </w:p>
    <w:p>
      <w:pPr>
        <w:rPr>
          <w:noProof/>
          <w:sz w:val="24"/>
          <w:szCs w:val="24"/>
        </w:rPr>
      </w:pPr>
      <w:r>
        <w:rPr>
          <w:noProof/>
          <w:sz w:val="24"/>
          <w:szCs w:val="24"/>
        </w:rPr>
        <w:t>For each year and each Member State, an average price was calculated as an arithmetic average of the weekly prices. The EU average price was then calculated as the weighted average of these, weighted by consumption. For last year (2019), we used the same consumption as the previous one (2018) as the weight since the figures on 2019 consumption were not ready at the time of this study.</w:t>
      </w:r>
    </w:p>
    <w:p>
      <w:pPr>
        <w:rPr>
          <w:noProof/>
          <w:sz w:val="24"/>
          <w:szCs w:val="24"/>
        </w:rPr>
      </w:pPr>
      <w:r>
        <w:rPr>
          <w:noProof/>
          <w:sz w:val="24"/>
          <w:szCs w:val="24"/>
        </w:rPr>
        <w:t>Based on the development of consumption, consumer prices and their components, we estimated the tax revenues collected by Member States by multiplying average yearly prices with consumption of each fuel converted to litres</w:t>
      </w:r>
      <w:r>
        <w:rPr>
          <w:rStyle w:val="FootnoteReference"/>
          <w:noProof/>
          <w:sz w:val="24"/>
          <w:szCs w:val="24"/>
        </w:rPr>
        <w:footnoteReference w:id="38"/>
      </w:r>
      <w:r>
        <w:rPr>
          <w:noProof/>
          <w:sz w:val="24"/>
          <w:szCs w:val="24"/>
        </w:rPr>
        <w:t>. It is important to underline that most enterprises can reclaim the VAT they pay, so the calculated VAT revenue is a theoretical maximum; the actual VAT revenue collected by Member States must be significantly lower.</w:t>
      </w:r>
    </w:p>
    <w:p>
      <w:pPr>
        <w:rPr>
          <w:noProof/>
          <w:sz w:val="24"/>
          <w:szCs w:val="24"/>
        </w:rPr>
      </w:pPr>
      <w:r>
        <w:rPr>
          <w:noProof/>
          <w:sz w:val="24"/>
          <w:szCs w:val="24"/>
        </w:rPr>
        <w:t>The estimated revenue from excise duties shows an increasing trend between 2005 and 2018. Although the combined consumption of the three product groups decreased between 2008 and 2014, this was largely offset by the increase of the average excise duty rates. If adjusted for inflation, however, excise duty revenues slightly decreased in this period. Supported by the low oil prices and the economic recovery, fuel consumption increased in 2015-2018, giving a boost to excise duty revenues.</w:t>
      </w:r>
    </w:p>
    <w:p>
      <w:pPr>
        <w:rPr>
          <w:noProof/>
          <w:sz w:val="24"/>
          <w:szCs w:val="24"/>
        </w:rPr>
      </w:pPr>
      <w:r>
        <w:rPr>
          <w:noProof/>
          <w:sz w:val="24"/>
          <w:szCs w:val="24"/>
        </w:rPr>
        <w:t>As the VAT is an ad valorem tax, the estimated (theoretical) VAT revenue is fluctuating in line with the net price. Accordingly, it decreased from 95.2 billion euros in 2012 to 73.8 billion euros in 2016 (a decrease of 22%). In the same period, the estimated excise duty revenue increased from EUR 188.2 billion to EUR 191 billion (an increase of 7%). In line with rising fuel prices, estimated VAT revenues increased in period 2017-2019 and estimated excise duty revenue was picking up but not as much as VAT compared to 2016.</w:t>
      </w:r>
    </w:p>
    <w:p>
      <w:pPr>
        <w:rPr>
          <w:noProof/>
          <w:sz w:val="24"/>
          <w:szCs w:val="24"/>
        </w:rPr>
      </w:pPr>
      <w:r>
        <w:rPr>
          <w:noProof/>
          <w:sz w:val="24"/>
          <w:szCs w:val="24"/>
        </w:rPr>
        <w:t>Assuming that roughly half of the VAT is reclaimed (i.e. the actual VAT revenue is half of the theoretical value depicted on the below graph), the increase of excise duty more or less offset the decrease of the VAT revenue in 2012-2018, resulting in a relatively stable tax revenue from petroleum products. When adjusted for inflation, this means the value of the tax revenue has slightly decreased.</w:t>
      </w:r>
    </w:p>
    <w:p>
      <w:pPr>
        <w:tabs>
          <w:tab w:val="left" w:pos="1474"/>
        </w:tabs>
        <w:spacing w:line="283" w:lineRule="atLeast"/>
        <w:jc w:val="center"/>
        <w:outlineLvl w:val="5"/>
        <w:rPr>
          <w:rFonts w:eastAsia="Times New Roman"/>
          <w:b/>
          <w:bCs/>
          <w:smallCaps/>
          <w:noProof/>
          <w:spacing w:val="5"/>
          <w:sz w:val="18"/>
          <w:lang w:eastAsia="de-DE"/>
        </w:rPr>
      </w:pPr>
      <w:bookmarkStart w:id="673" w:name="_Toc463015785"/>
      <w:bookmarkStart w:id="674" w:name="_Toc463356019"/>
      <w:r>
        <w:rPr>
          <w:rFonts w:eastAsia="Times New Roman"/>
          <w:b/>
          <w:bCs/>
          <w:smallCaps/>
          <w:noProof/>
          <w:spacing w:val="5"/>
          <w:sz w:val="18"/>
          <w:lang w:eastAsia="en-GB"/>
        </w:rPr>
        <w:drawing>
          <wp:inline distT="0" distB="0" distL="0" distR="0">
            <wp:extent cx="5737664" cy="3448956"/>
            <wp:effectExtent l="0" t="0" r="0" b="0"/>
            <wp:docPr id="327164205" name="Picture 32716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5774387" cy="3471031"/>
                    </a:xfrm>
                    <a:prstGeom prst="rect">
                      <a:avLst/>
                    </a:prstGeom>
                    <a:noFill/>
                  </pic:spPr>
                </pic:pic>
              </a:graphicData>
            </a:graphic>
          </wp:inline>
        </w:drawing>
      </w:r>
    </w:p>
    <w:p>
      <w:pPr>
        <w:pStyle w:val="Caption"/>
      </w:pPr>
      <w:bookmarkStart w:id="675" w:name="_Toc525807935"/>
      <w:bookmarkStart w:id="676" w:name="_Toc526433550"/>
      <w:bookmarkStart w:id="677" w:name="_Toc526433828"/>
      <w:bookmarkStart w:id="678" w:name="_Toc526435770"/>
      <w:bookmarkStart w:id="679" w:name="_Toc530739861"/>
      <w:bookmarkStart w:id="680" w:name="_Toc531366234"/>
      <w:bookmarkStart w:id="681" w:name="_Toc50494172"/>
      <w:bookmarkStart w:id="682" w:name="_Toc52396950"/>
      <w:r>
        <w:t xml:space="preserve">Figure </w:t>
      </w:r>
      <w:r>
        <w:fldChar w:fldCharType="begin"/>
      </w:r>
      <w:r>
        <w:instrText xml:space="preserve"> SEQ Figure \* ARABIC </w:instrText>
      </w:r>
      <w:r>
        <w:fldChar w:fldCharType="separate"/>
      </w:r>
      <w:r>
        <w:t>178</w:t>
      </w:r>
      <w:r>
        <w:fldChar w:fldCharType="end"/>
      </w:r>
      <w:r>
        <w:t xml:space="preserve"> - Estimated tax revenue from gasoline, diesel and heating oil</w:t>
      </w:r>
      <w:bookmarkEnd w:id="673"/>
      <w:bookmarkEnd w:id="674"/>
      <w:bookmarkEnd w:id="675"/>
      <w:bookmarkEnd w:id="676"/>
      <w:bookmarkEnd w:id="677"/>
      <w:bookmarkEnd w:id="678"/>
      <w:bookmarkEnd w:id="679"/>
      <w:bookmarkEnd w:id="680"/>
      <w:r>
        <w:t>, EUR bn</w:t>
      </w:r>
      <w:bookmarkEnd w:id="681"/>
      <w:bookmarkEnd w:id="682"/>
    </w:p>
    <w:p>
      <w:pPr>
        <w:pStyle w:val="Sources"/>
        <w:rPr>
          <w:noProof/>
        </w:rPr>
      </w:pPr>
      <w:r>
        <w:rPr>
          <w:noProof/>
        </w:rPr>
        <w:t>Source: DG Energy calculation</w:t>
      </w:r>
    </w:p>
    <w:p>
      <w:pPr>
        <w:rPr>
          <w:noProof/>
        </w:rPr>
        <w:sectPr>
          <w:headerReference w:type="even" r:id="rId167"/>
          <w:headerReference w:type="default" r:id="rId168"/>
          <w:footerReference w:type="even" r:id="rId169"/>
          <w:footerReference w:type="default" r:id="rId170"/>
          <w:headerReference w:type="first" r:id="rId171"/>
          <w:footerReference w:type="first" r:id="rId172"/>
          <w:footnotePr>
            <w:numStart w:val="51"/>
          </w:footnotePr>
          <w:pgSz w:w="11906" w:h="16838" w:code="9"/>
          <w:pgMar w:top="1134" w:right="1418" w:bottom="1134" w:left="1418" w:header="709" w:footer="709" w:gutter="0"/>
          <w:cols w:space="720"/>
          <w:docGrid w:linePitch="360"/>
        </w:sectPr>
      </w:pPr>
    </w:p>
    <w:p>
      <w:pPr>
        <w:rPr>
          <w:noProof/>
        </w:rPr>
      </w:pPr>
    </w:p>
    <w:p>
      <w:pPr>
        <w:pStyle w:val="Heading3"/>
        <w:numPr>
          <w:ilvl w:val="2"/>
          <w:numId w:val="1"/>
        </w:numPr>
        <w:rPr>
          <w:noProof/>
        </w:rPr>
      </w:pPr>
      <w:bookmarkStart w:id="683" w:name="_Toc50648357"/>
      <w:bookmarkStart w:id="684" w:name="_Toc50654387"/>
      <w:bookmarkStart w:id="685" w:name="_Toc50654942"/>
      <w:bookmarkStart w:id="686" w:name="_Toc50732489"/>
      <w:bookmarkStart w:id="687" w:name="_Toc52396573"/>
      <w:r>
        <w:rPr>
          <w:noProof/>
        </w:rPr>
        <w:t>Energy taxes, prices and incentives</w:t>
      </w:r>
      <w:bookmarkEnd w:id="683"/>
      <w:bookmarkEnd w:id="684"/>
      <w:bookmarkEnd w:id="685"/>
      <w:bookmarkEnd w:id="686"/>
      <w:bookmarkEnd w:id="687"/>
    </w:p>
    <w:p>
      <w:pPr>
        <w:rPr>
          <w:noProof/>
        </w:rPr>
      </w:pPr>
    </w:p>
    <w:p>
      <w:pPr>
        <w:spacing w:after="0"/>
        <w:rPr>
          <w:noProof/>
          <w:sz w:val="24"/>
        </w:rPr>
      </w:pPr>
      <w:r>
        <w:rPr>
          <w:noProof/>
          <w:sz w:val="24"/>
        </w:rPr>
        <w:t>In a recent study (Trinomics 2020b</w:t>
      </w:r>
      <w:r>
        <w:rPr>
          <w:rStyle w:val="FootnoteReference"/>
          <w:noProof/>
          <w:sz w:val="24"/>
        </w:rPr>
        <w:footnoteReference w:id="39"/>
      </w:r>
      <w:r>
        <w:rPr>
          <w:noProof/>
          <w:sz w:val="24"/>
        </w:rPr>
        <w:t>), analysis of taxes, subsidies and other levies on energy were considered. Key findings are the following</w:t>
      </w:r>
      <w:r>
        <w:rPr>
          <w:rStyle w:val="FootnoteReference"/>
          <w:noProof/>
          <w:sz w:val="24"/>
        </w:rPr>
        <w:footnoteReference w:id="40"/>
      </w:r>
      <w:r>
        <w:rPr>
          <w:noProof/>
          <w:sz w:val="24"/>
        </w:rPr>
        <w:t>:</w:t>
      </w:r>
    </w:p>
    <w:p>
      <w:pPr>
        <w:rPr>
          <w:noProof/>
          <w:sz w:val="24"/>
        </w:rPr>
      </w:pPr>
    </w:p>
    <w:p>
      <w:pPr>
        <w:rPr>
          <w:noProof/>
          <w:sz w:val="24"/>
        </w:rPr>
      </w:pPr>
      <w:r>
        <w:rPr>
          <w:noProof/>
          <w:sz w:val="24"/>
        </w:rPr>
        <w:t>Reported tax rates on energy consumption in the EU27</w:t>
      </w:r>
    </w:p>
    <w:p>
      <w:pPr>
        <w:pStyle w:val="ListParagraph"/>
        <w:numPr>
          <w:ilvl w:val="1"/>
          <w:numId w:val="39"/>
        </w:numPr>
        <w:contextualSpacing w:val="0"/>
        <w:rPr>
          <w:noProof/>
          <w:sz w:val="24"/>
        </w:rPr>
      </w:pPr>
      <w:r>
        <w:rPr>
          <w:noProof/>
          <w:sz w:val="24"/>
        </w:rPr>
        <w:t>Tax rates on energy use increased by 29% between 2008 and 2018, in real terms. The total reported tax rate on energy consumption in the EU27 was EUR 25/MWh in 2018. Member states total tax rates ranged from EUR 9/MWh (Hungary) to EUR 34/MWh in 2018 (Germany), with a median of EUR 19/MWh;</w:t>
      </w:r>
    </w:p>
    <w:p>
      <w:pPr>
        <w:pStyle w:val="ListParagraph"/>
        <w:numPr>
          <w:ilvl w:val="1"/>
          <w:numId w:val="39"/>
        </w:numPr>
        <w:contextualSpacing w:val="0"/>
        <w:rPr>
          <w:noProof/>
          <w:sz w:val="24"/>
        </w:rPr>
      </w:pPr>
      <w:r>
        <w:rPr>
          <w:noProof/>
          <w:sz w:val="24"/>
        </w:rPr>
        <w:t>There is now more differential tax treatment by sector than there was in 2008. Rates increased the most, in absolute terms, in the non-energy-intensive industry (‘non-EII’), services and construction sectors, while rate changes in the passenger road and water transport sectors were small;</w:t>
      </w:r>
    </w:p>
    <w:p>
      <w:pPr>
        <w:pStyle w:val="ListParagraph"/>
        <w:numPr>
          <w:ilvl w:val="1"/>
          <w:numId w:val="39"/>
        </w:numPr>
        <w:contextualSpacing w:val="0"/>
        <w:rPr>
          <w:noProof/>
          <w:sz w:val="24"/>
        </w:rPr>
      </w:pPr>
      <w:r>
        <w:rPr>
          <w:noProof/>
          <w:sz w:val="24"/>
        </w:rPr>
        <w:t xml:space="preserve">Tax rates on EIIs are three times less than on non-EIIs. And the median tax rate on EIIs is half that of non-EIIs; </w:t>
      </w:r>
    </w:p>
    <w:p>
      <w:pPr>
        <w:pStyle w:val="ListParagraph"/>
        <w:numPr>
          <w:ilvl w:val="1"/>
          <w:numId w:val="39"/>
        </w:numPr>
        <w:contextualSpacing w:val="0"/>
        <w:rPr>
          <w:noProof/>
          <w:sz w:val="24"/>
        </w:rPr>
      </w:pPr>
      <w:r>
        <w:rPr>
          <w:noProof/>
          <w:sz w:val="24"/>
        </w:rPr>
        <w:t>Tax rates on liquid fuels used for road transport are the highest and rates on petroleum coke and coal are the lowest. The median tax rate levied by EU MS on gasoline is EUR 60/MWh and EUR 37/MWh on diesel, while the median tax rate on solid fossil fuels (i.e. coal) is EUR 1/MWh, EUR 2/MWh on natural gas, and EUR 4/MWh on electricity.</w:t>
      </w:r>
    </w:p>
    <w:p>
      <w:pPr>
        <w:rPr>
          <w:noProof/>
          <w:sz w:val="24"/>
        </w:rPr>
      </w:pPr>
      <w:r>
        <w:rPr>
          <w:noProof/>
          <w:sz w:val="24"/>
        </w:rPr>
        <w:t>Estimated tax revenues from taxes on energy consumption in the EU27</w:t>
      </w:r>
    </w:p>
    <w:p>
      <w:pPr>
        <w:pStyle w:val="ListParagraph"/>
        <w:numPr>
          <w:ilvl w:val="1"/>
          <w:numId w:val="40"/>
        </w:numPr>
        <w:contextualSpacing w:val="0"/>
        <w:rPr>
          <w:noProof/>
          <w:sz w:val="24"/>
        </w:rPr>
      </w:pPr>
      <w:r>
        <w:rPr>
          <w:noProof/>
          <w:sz w:val="24"/>
        </w:rPr>
        <w:t>Total revenues from taxes on energy consumption increased 23% between 2008 and 2018 (from EUR 219 billion in 2008 to EUR 263 billion in 2018). 47% of the revenue in 2018 was accounted for by Germany and France, and another 28% by Italy, Spain and the Netherlands. Road transport accounts for 60% of tax revenue, followed by residential (15%), then services (12%);</w:t>
      </w:r>
    </w:p>
    <w:p>
      <w:pPr>
        <w:pStyle w:val="ListParagraph"/>
        <w:numPr>
          <w:ilvl w:val="1"/>
          <w:numId w:val="40"/>
        </w:numPr>
        <w:contextualSpacing w:val="0"/>
        <w:rPr>
          <w:noProof/>
          <w:sz w:val="24"/>
        </w:rPr>
      </w:pPr>
      <w:r>
        <w:rPr>
          <w:noProof/>
          <w:sz w:val="24"/>
        </w:rPr>
        <w:t>Three-quarters of revenues in the EU27 were from excise taxes in 2018, and 20% were for renewables support. Between 2008 and 2018 revenues increased by EUR 50 billion, out of which EUR 40 billion were for renewable support;</w:t>
      </w:r>
    </w:p>
    <w:p>
      <w:pPr>
        <w:pStyle w:val="ListParagraph"/>
        <w:numPr>
          <w:ilvl w:val="1"/>
          <w:numId w:val="40"/>
        </w:numPr>
        <w:contextualSpacing w:val="0"/>
        <w:rPr>
          <w:noProof/>
          <w:sz w:val="24"/>
        </w:rPr>
      </w:pPr>
      <w:r>
        <w:rPr>
          <w:noProof/>
          <w:sz w:val="24"/>
        </w:rPr>
        <w:t>Energy-intensive industries and agriculture paid the least taxes relative to the amount of energy they consumed in 2018, whereas the road transport sectors paid the most. EIIs account for 18% of energy consumption and 2% of tax revenue, and agriculture accounts for 3% of energy use and 0.5% of tax revenue while road transport accounts for 29% of energy consumption and 60% of tax revenue;</w:t>
      </w:r>
    </w:p>
    <w:p>
      <w:pPr>
        <w:pStyle w:val="ListParagraph"/>
        <w:numPr>
          <w:ilvl w:val="1"/>
          <w:numId w:val="40"/>
        </w:numPr>
        <w:contextualSpacing w:val="0"/>
        <w:rPr>
          <w:noProof/>
          <w:sz w:val="24"/>
        </w:rPr>
      </w:pPr>
      <w:r>
        <w:rPr>
          <w:noProof/>
          <w:sz w:val="24"/>
        </w:rPr>
        <w:t>Revenues from taxes on electricity rose while those on gasoline fell. Taxes on diesel account for the largest share of tax revenues in 2018 (41%), as they did in 2008. Electricity accounted for 30% of tax revenues in 2018, up 15 percentage points from 2008, while the gasoline share decreased from 30% to 20%, corresponding to a drop of a fifth in gasoline consumption between 2008 and 2018.</w:t>
      </w:r>
    </w:p>
    <w:p>
      <w:pPr>
        <w:rPr>
          <w:noProof/>
          <w:sz w:val="24"/>
        </w:rPr>
      </w:pPr>
      <w:r>
        <w:rPr>
          <w:noProof/>
          <w:sz w:val="24"/>
        </w:rPr>
        <w:t>Taxes on energy production and infrastructure in the EU27</w:t>
      </w:r>
    </w:p>
    <w:p>
      <w:pPr>
        <w:pStyle w:val="ListParagraph"/>
        <w:numPr>
          <w:ilvl w:val="1"/>
          <w:numId w:val="41"/>
        </w:numPr>
        <w:contextualSpacing w:val="0"/>
        <w:rPr>
          <w:noProof/>
          <w:sz w:val="24"/>
        </w:rPr>
      </w:pPr>
      <w:r>
        <w:rPr>
          <w:noProof/>
          <w:sz w:val="24"/>
        </w:rPr>
        <w:t>Revenues from taxes on energy production fell from EUR 21 billion in 2008 to EUR 5 billion in 2018, while taxes on infrastructure doubled to EUR 5 billion.</w:t>
      </w:r>
    </w:p>
    <w:p>
      <w:pPr>
        <w:rPr>
          <w:noProof/>
          <w:sz w:val="24"/>
        </w:rPr>
      </w:pPr>
      <w:r>
        <w:rPr>
          <w:noProof/>
          <w:sz w:val="24"/>
        </w:rPr>
        <w:t>Taxes on energy consumption in G20 countries</w:t>
      </w:r>
    </w:p>
    <w:p>
      <w:pPr>
        <w:pStyle w:val="ListParagraph"/>
        <w:numPr>
          <w:ilvl w:val="1"/>
          <w:numId w:val="42"/>
        </w:numPr>
        <w:contextualSpacing w:val="0"/>
        <w:rPr>
          <w:noProof/>
          <w:sz w:val="24"/>
        </w:rPr>
      </w:pPr>
      <w:r>
        <w:rPr>
          <w:noProof/>
          <w:sz w:val="24"/>
        </w:rPr>
        <w:t>Total tax rates on passenger road transport within 11 G20 countries (including the United Kingdom, but excluding Germany, France and Italy) are, on average, half that in the EU27. The US tax rate is 40% that of the lowest EU MS tax rate (Bulgaria) and a quarter of the total EU27 rate. The rate in Japan is 20% lower than the EU27 total and equivalent to the rates in Austria, Romania, and Latvia;</w:t>
      </w:r>
    </w:p>
    <w:p>
      <w:pPr>
        <w:pStyle w:val="ListParagraph"/>
        <w:numPr>
          <w:ilvl w:val="1"/>
          <w:numId w:val="42"/>
        </w:numPr>
        <w:contextualSpacing w:val="0"/>
        <w:rPr>
          <w:noProof/>
          <w:sz w:val="24"/>
        </w:rPr>
      </w:pPr>
      <w:r>
        <w:rPr>
          <w:noProof/>
          <w:sz w:val="24"/>
        </w:rPr>
        <w:t>Tax rates on energy-intensive industries in Japan are twice that of the EU27 (EUR 12/MWh versus EUR 6/MWh), but tax rates on non-energy-intensive industries are a third lower (EUR 12/MWh versus EUR 18/MWh).</w:t>
      </w:r>
    </w:p>
    <w:p>
      <w:pPr>
        <w:spacing w:after="0"/>
        <w:jc w:val="left"/>
        <w:rPr>
          <w:noProof/>
        </w:rPr>
      </w:pPr>
    </w:p>
    <w:p>
      <w:pPr>
        <w:spacing w:after="0"/>
        <w:rPr>
          <w:noProof/>
          <w:sz w:val="24"/>
          <w:szCs w:val="24"/>
        </w:rPr>
      </w:pPr>
      <w:r>
        <w:rPr>
          <w:noProof/>
          <w:sz w:val="24"/>
          <w:szCs w:val="24"/>
        </w:rPr>
        <w:t>It could be interesting to compare the EU average prices of MWh of electricity, gas, and three main oil fuel types (gasoline, diesel and heating oil) available to the consumer on retail level</w:t>
      </w:r>
      <w:r>
        <w:rPr>
          <w:rStyle w:val="FootnoteReference"/>
          <w:noProof/>
          <w:sz w:val="24"/>
          <w:szCs w:val="24"/>
        </w:rPr>
        <w:footnoteReference w:id="41"/>
      </w:r>
      <w:r>
        <w:rPr>
          <w:noProof/>
          <w:sz w:val="24"/>
          <w:szCs w:val="24"/>
        </w:rPr>
        <w:t xml:space="preserve"> to get a glimpse into the rationale of the consumer choices between different energy carriers in the everyday pursue to satisfy their energy needs. The most expensive is the MWh of electricity compared to gas and fuel, which is discouraging electrification in the household sector. Relatively cheaper gas is providing incentive to heat with gas as opposed to heating oil. Of course, mobility needs are most frequently addressed by transport means fuelled by gasoline and diesel, although gas and electricity (EV) are becoming increasingly used in transport. Across the energy carriers available to households, in MWh terms, gas is the cheapest fuel, followed by oil fuels and electricity</w:t>
      </w:r>
      <w:r>
        <w:rPr>
          <w:rStyle w:val="FootnoteReference"/>
          <w:noProof/>
          <w:sz w:val="24"/>
          <w:szCs w:val="24"/>
        </w:rPr>
        <w:footnoteReference w:id="42"/>
      </w:r>
      <w:r>
        <w:rPr>
          <w:noProof/>
          <w:sz w:val="24"/>
          <w:szCs w:val="24"/>
        </w:rPr>
        <w:t>. This ranking of prices applies both to nominal net prices and price with taxes included – oil fuels have the highest share of taxes (VAT, excise taxes, other indirect taxes) in the retail price compared to electricity and gas, even when we add in network fee for electricity and gas (which is 27 and 23%, respectively).</w:t>
      </w:r>
    </w:p>
    <w:p>
      <w:pPr>
        <w:rPr>
          <w:noProof/>
          <w:sz w:val="24"/>
        </w:rPr>
        <w:sectPr>
          <w:headerReference w:type="even" r:id="rId173"/>
          <w:headerReference w:type="default" r:id="rId174"/>
          <w:footerReference w:type="even" r:id="rId175"/>
          <w:footerReference w:type="default" r:id="rId176"/>
          <w:headerReference w:type="first" r:id="rId177"/>
          <w:footerReference w:type="first" r:id="rId178"/>
          <w:footnotePr>
            <w:numStart w:val="51"/>
          </w:footnotePr>
          <w:pgSz w:w="11906" w:h="16838" w:code="9"/>
          <w:pgMar w:top="1134" w:right="1418" w:bottom="1134" w:left="1418" w:header="709" w:footer="709" w:gutter="0"/>
          <w:cols w:space="720"/>
          <w:docGrid w:linePitch="360"/>
        </w:sectPr>
      </w:pPr>
    </w:p>
    <w:p>
      <w:pPr>
        <w:rPr>
          <w:noProof/>
          <w:sz w:val="24"/>
        </w:rPr>
      </w:pPr>
    </w:p>
    <w:p>
      <w:pPr>
        <w:pStyle w:val="Caption"/>
      </w:pPr>
      <w:bookmarkStart w:id="688" w:name="_Toc52396989"/>
      <w:r>
        <w:t xml:space="preserve">Table </w:t>
      </w:r>
      <w:r>
        <w:fldChar w:fldCharType="begin"/>
      </w:r>
      <w:r>
        <w:instrText xml:space="preserve"> SEQ Table \* ARABIC </w:instrText>
      </w:r>
      <w:r>
        <w:fldChar w:fldCharType="separate"/>
      </w:r>
      <w:r>
        <w:t>30</w:t>
      </w:r>
      <w:r>
        <w:fldChar w:fldCharType="end"/>
      </w:r>
      <w:r>
        <w:t xml:space="preserve"> – Comparison of retail prices and taxes of different energy carriers (2019)</w:t>
      </w:r>
      <w:bookmarkEnd w:id="688"/>
    </w:p>
    <w:p>
      <w:pPr>
        <w:spacing w:after="0"/>
        <w:jc w:val="left"/>
        <w:rPr>
          <w:noProof/>
        </w:rPr>
      </w:pPr>
    </w:p>
    <w:p>
      <w:pPr>
        <w:spacing w:after="0"/>
        <w:jc w:val="center"/>
        <w:rPr>
          <w:noProof/>
          <w:sz w:val="20"/>
        </w:rPr>
      </w:pPr>
      <w:r>
        <w:rPr>
          <w:noProof/>
          <w:lang w:eastAsia="en-GB"/>
        </w:rPr>
        <w:drawing>
          <wp:inline distT="0" distB="0" distL="0" distR="0">
            <wp:extent cx="6718525" cy="1208638"/>
            <wp:effectExtent l="0" t="0" r="6350" b="0"/>
            <wp:docPr id="327164209" name="Picture 327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a:ext>
                      </a:extLst>
                    </a:blip>
                    <a:srcRect/>
                    <a:stretch>
                      <a:fillRect/>
                    </a:stretch>
                  </pic:blipFill>
                  <pic:spPr bwMode="auto">
                    <a:xfrm>
                      <a:off x="0" y="0"/>
                      <a:ext cx="6830818" cy="1228839"/>
                    </a:xfrm>
                    <a:prstGeom prst="rect">
                      <a:avLst/>
                    </a:prstGeom>
                    <a:noFill/>
                    <a:ln>
                      <a:noFill/>
                    </a:ln>
                  </pic:spPr>
                </pic:pic>
              </a:graphicData>
            </a:graphic>
          </wp:inline>
        </w:drawing>
      </w:r>
    </w:p>
    <w:p>
      <w:pPr>
        <w:spacing w:after="0"/>
        <w:jc w:val="center"/>
        <w:rPr>
          <w:noProof/>
          <w:sz w:val="20"/>
        </w:rPr>
        <w:sectPr>
          <w:headerReference w:type="even" r:id="rId180"/>
          <w:headerReference w:type="default" r:id="rId181"/>
          <w:footerReference w:type="even" r:id="rId182"/>
          <w:footerReference w:type="default" r:id="rId183"/>
          <w:headerReference w:type="first" r:id="rId184"/>
          <w:footerReference w:type="first" r:id="rId185"/>
          <w:footnotePr>
            <w:numStart w:val="51"/>
          </w:footnotePr>
          <w:pgSz w:w="16838" w:h="11906" w:orient="landscape" w:code="9"/>
          <w:pgMar w:top="1418" w:right="1134" w:bottom="1418" w:left="1134" w:header="709" w:footer="709" w:gutter="0"/>
          <w:cols w:space="720"/>
          <w:docGrid w:linePitch="360"/>
        </w:sectPr>
      </w:pPr>
      <w:r>
        <w:rPr>
          <w:noProof/>
          <w:sz w:val="20"/>
        </w:rPr>
        <w:t>Source: DG ENER in-house data collection. Eurostat data. DG ENER calculation</w:t>
      </w:r>
    </w:p>
    <w:p>
      <w:pPr>
        <w:spacing w:after="0"/>
        <w:jc w:val="left"/>
        <w:rPr>
          <w:noProof/>
        </w:rPr>
      </w:pPr>
    </w:p>
    <w:p>
      <w:pPr>
        <w:spacing w:after="0"/>
        <w:jc w:val="left"/>
        <w:rPr>
          <w:noProof/>
        </w:rPr>
      </w:pPr>
    </w:p>
    <w:p>
      <w:pPr>
        <w:spacing w:after="0"/>
        <w:jc w:val="left"/>
        <w:rPr>
          <w:noProof/>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themeColor="text1"/>
          <w:sz w:val="72"/>
          <w:szCs w:val="72"/>
        </w:rPr>
      </w:pPr>
      <w:r>
        <w:rPr>
          <w:rFonts w:eastAsia="Times New Roman"/>
          <w:b/>
          <w:bCs/>
          <w:noProof/>
          <w:color w:val="000000" w:themeColor="text1"/>
          <w:sz w:val="72"/>
          <w:szCs w:val="72"/>
        </w:rPr>
        <w:t>PART IV</w:t>
      </w:r>
    </w:p>
    <w:p>
      <w:pPr>
        <w:jc w:val="center"/>
        <w:rPr>
          <w:rFonts w:eastAsia="Times New Roman"/>
          <w:b/>
          <w:bCs/>
          <w:noProof/>
          <w:color w:val="000000"/>
          <w:sz w:val="72"/>
          <w:szCs w:val="72"/>
        </w:rPr>
      </w:pPr>
    </w:p>
    <w:p>
      <w:pPr>
        <w:jc w:val="center"/>
        <w:rPr>
          <w:rFonts w:eastAsia="Times New Roman"/>
          <w:b/>
          <w:bCs/>
          <w:noProof/>
          <w:color w:val="000000" w:themeColor="text1"/>
          <w:sz w:val="72"/>
          <w:szCs w:val="72"/>
        </w:rPr>
      </w:pPr>
      <w:r>
        <w:rPr>
          <w:rFonts w:eastAsia="Times New Roman"/>
          <w:b/>
          <w:bCs/>
          <w:noProof/>
          <w:color w:val="000000" w:themeColor="text1"/>
          <w:sz w:val="72"/>
          <w:szCs w:val="72"/>
        </w:rPr>
        <w:t xml:space="preserve">Prices and Costs </w:t>
      </w:r>
    </w:p>
    <w:p>
      <w:pPr>
        <w:jc w:val="center"/>
        <w:rPr>
          <w:rFonts w:eastAsia="Times New Roman"/>
          <w:b/>
          <w:bCs/>
          <w:noProof/>
          <w:color w:val="000000" w:themeColor="text1"/>
          <w:sz w:val="72"/>
          <w:szCs w:val="72"/>
        </w:rPr>
      </w:pPr>
      <w:r>
        <w:rPr>
          <w:rFonts w:eastAsia="Times New Roman"/>
          <w:b/>
          <w:bCs/>
          <w:noProof/>
          <w:color w:val="000000" w:themeColor="text1"/>
          <w:sz w:val="72"/>
          <w:szCs w:val="72"/>
        </w:rPr>
        <w:t xml:space="preserve">and </w:t>
      </w:r>
    </w:p>
    <w:p>
      <w:pPr>
        <w:jc w:val="center"/>
        <w:rPr>
          <w:rFonts w:eastAsia="Times New Roman"/>
          <w:b/>
          <w:bCs/>
          <w:noProof/>
          <w:color w:val="000000" w:themeColor="text1"/>
          <w:sz w:val="72"/>
          <w:szCs w:val="72"/>
        </w:rPr>
      </w:pPr>
      <w:r>
        <w:rPr>
          <w:rFonts w:eastAsia="Times New Roman"/>
          <w:b/>
          <w:bCs/>
          <w:noProof/>
          <w:color w:val="000000" w:themeColor="text1"/>
          <w:sz w:val="72"/>
          <w:szCs w:val="72"/>
        </w:rPr>
        <w:t>Future Investments</w:t>
      </w:r>
    </w:p>
    <w:p>
      <w:pPr>
        <w:spacing w:after="0"/>
        <w:jc w:val="left"/>
        <w:rPr>
          <w:rFonts w:eastAsia="Times New Roman"/>
          <w:b/>
          <w:bCs/>
          <w:noProof/>
          <w:color w:val="000000"/>
          <w:sz w:val="72"/>
          <w:szCs w:val="72"/>
        </w:rPr>
      </w:pPr>
      <w:r>
        <w:rPr>
          <w:rFonts w:eastAsia="Times New Roman"/>
          <w:b/>
          <w:bCs/>
          <w:noProof/>
          <w:color w:val="000000"/>
          <w:sz w:val="72"/>
          <w:szCs w:val="72"/>
        </w:rPr>
        <w:br w:type="page"/>
      </w:r>
    </w:p>
    <w:p>
      <w:pPr>
        <w:pStyle w:val="Heading1"/>
        <w:numPr>
          <w:ilvl w:val="0"/>
          <w:numId w:val="1"/>
        </w:numPr>
        <w:rPr>
          <w:noProof/>
        </w:rPr>
      </w:pPr>
      <w:bookmarkStart w:id="689" w:name="_Toc524619553"/>
      <w:bookmarkStart w:id="690" w:name="_Toc524961100"/>
      <w:bookmarkStart w:id="691" w:name="_Toc525143061"/>
      <w:bookmarkStart w:id="692" w:name="_Toc525222218"/>
      <w:bookmarkStart w:id="693" w:name="_Toc525222387"/>
      <w:bookmarkStart w:id="694" w:name="_Toc526420783"/>
      <w:bookmarkStart w:id="695" w:name="_Toc526434009"/>
      <w:bookmarkStart w:id="696" w:name="_Toc526435951"/>
      <w:bookmarkStart w:id="697" w:name="_Toc530595283"/>
      <w:bookmarkStart w:id="698" w:name="_Toc50648358"/>
      <w:bookmarkStart w:id="699" w:name="_Toc50654388"/>
      <w:bookmarkStart w:id="700" w:name="_Toc50654943"/>
      <w:bookmarkStart w:id="701" w:name="_Toc50732490"/>
      <w:bookmarkStart w:id="702" w:name="_Toc52396574"/>
      <w:r>
        <w:rPr>
          <w:noProof/>
        </w:rPr>
        <w:t>Realised prices and profitability in the power market</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pPr>
        <w:rPr>
          <w:noProof/>
        </w:rPr>
      </w:pPr>
    </w:p>
    <w:p>
      <w:pPr>
        <w:rPr>
          <w:b/>
          <w:bCs/>
          <w:noProof/>
        </w:rPr>
      </w:pPr>
      <w:r>
        <w:rPr>
          <w:b/>
          <w:bCs/>
          <w:noProof/>
        </w:rPr>
        <w:t>Main Messages</w:t>
      </w:r>
    </w:p>
    <w:p>
      <w:pPr>
        <w:pStyle w:val="ListParagraph"/>
        <w:numPr>
          <w:ilvl w:val="0"/>
          <w:numId w:val="13"/>
        </w:numPr>
        <w:ind w:left="714" w:hanging="357"/>
        <w:contextualSpacing w:val="0"/>
        <w:rPr>
          <w:noProof/>
          <w:sz w:val="24"/>
          <w:szCs w:val="24"/>
        </w:rPr>
      </w:pPr>
      <w:r>
        <w:rPr>
          <w:noProof/>
          <w:sz w:val="24"/>
          <w:szCs w:val="24"/>
        </w:rPr>
        <w:t>Realised electricity prices have fluctuated for all technologies in the time period considered (2012-2018). Revenues obtained on European electricity markets were the highest in 2018.</w:t>
      </w:r>
    </w:p>
    <w:p>
      <w:pPr>
        <w:pStyle w:val="ListParagraph"/>
        <w:numPr>
          <w:ilvl w:val="0"/>
          <w:numId w:val="13"/>
        </w:numPr>
        <w:ind w:left="714" w:hanging="357"/>
        <w:contextualSpacing w:val="0"/>
        <w:rPr>
          <w:noProof/>
          <w:sz w:val="24"/>
          <w:szCs w:val="24"/>
        </w:rPr>
      </w:pPr>
      <w:r>
        <w:rPr>
          <w:noProof/>
          <w:sz w:val="24"/>
          <w:szCs w:val="24"/>
        </w:rPr>
        <w:t>PV generated electricity was selling for a higher price than baseload power in earlier years. This price premium has been almost completely eroded over time. However, the rise in electricity prices between 2016 and 2018 has also increased the relative value of PV generated electricity. Falling prices for PV generators have led to PV reaching small but positive IRRs in some markets</w:t>
      </w:r>
    </w:p>
    <w:p>
      <w:pPr>
        <w:pStyle w:val="ListParagraph"/>
        <w:numPr>
          <w:ilvl w:val="0"/>
          <w:numId w:val="13"/>
        </w:numPr>
        <w:ind w:left="714" w:hanging="357"/>
        <w:contextualSpacing w:val="0"/>
        <w:rPr>
          <w:noProof/>
          <w:sz w:val="24"/>
          <w:szCs w:val="24"/>
        </w:rPr>
      </w:pPr>
      <w:r>
        <w:rPr>
          <w:noProof/>
          <w:sz w:val="24"/>
          <w:szCs w:val="24"/>
        </w:rPr>
        <w:t>Wind power traded at a lower price than baseload power for most of the years and in most of the EU markets considered. The price discount is higher for wind onshore than for wind offshore. Investments in both wind onshore and wind offshore, in general, require support payments for reaching economic viability.</w:t>
      </w:r>
    </w:p>
    <w:p>
      <w:pPr>
        <w:pStyle w:val="ListParagraph"/>
        <w:numPr>
          <w:ilvl w:val="0"/>
          <w:numId w:val="13"/>
        </w:numPr>
        <w:ind w:left="714" w:hanging="357"/>
        <w:contextualSpacing w:val="0"/>
        <w:rPr>
          <w:noProof/>
          <w:sz w:val="24"/>
          <w:szCs w:val="24"/>
        </w:rPr>
      </w:pPr>
      <w:r>
        <w:rPr>
          <w:noProof/>
          <w:sz w:val="24"/>
          <w:szCs w:val="24"/>
        </w:rPr>
        <w:t>Investments in gas-fired power generation and in coal-fired power generation face difficulties, if the plants’ running hours are further eroded, as suggested by the electricity system projections used in the study.</w:t>
      </w:r>
    </w:p>
    <w:p>
      <w:pPr>
        <w:spacing w:after="0"/>
        <w:jc w:val="left"/>
        <w:rPr>
          <w:rFonts w:eastAsia="Times New Roman"/>
          <w:b/>
          <w:bCs/>
          <w:noProof/>
          <w:color w:val="000000"/>
          <w:sz w:val="32"/>
          <w:szCs w:val="32"/>
          <w:lang w:eastAsia="en-GB"/>
        </w:rPr>
      </w:pPr>
      <w:r>
        <w:rPr>
          <w:rFonts w:eastAsia="Times New Roman"/>
          <w:b/>
          <w:bCs/>
          <w:noProof/>
          <w:color w:val="000000"/>
          <w:sz w:val="32"/>
          <w:szCs w:val="32"/>
          <w:lang w:eastAsia="en-GB"/>
        </w:rPr>
        <w:br w:type="page"/>
      </w:r>
    </w:p>
    <w:p>
      <w:pPr>
        <w:pStyle w:val="Heading2"/>
        <w:numPr>
          <w:ilvl w:val="1"/>
          <w:numId w:val="1"/>
        </w:numPr>
        <w:rPr>
          <w:noProof/>
        </w:rPr>
      </w:pPr>
      <w:bookmarkStart w:id="703" w:name="_Toc50648359"/>
      <w:bookmarkStart w:id="704" w:name="_Toc50654389"/>
      <w:bookmarkStart w:id="705" w:name="_Toc50654944"/>
      <w:bookmarkStart w:id="706" w:name="_Toc50732491"/>
      <w:bookmarkStart w:id="707" w:name="_Toc52396575"/>
      <w:bookmarkStart w:id="708" w:name="_Toc524619554"/>
      <w:bookmarkStart w:id="709" w:name="_Toc524961101"/>
      <w:bookmarkStart w:id="710" w:name="_Toc525143062"/>
      <w:bookmarkStart w:id="711" w:name="_Toc525222219"/>
      <w:bookmarkStart w:id="712" w:name="_Toc525222388"/>
      <w:bookmarkStart w:id="713" w:name="_Toc526420784"/>
      <w:bookmarkStart w:id="714" w:name="_Toc526434010"/>
      <w:bookmarkStart w:id="715" w:name="_Toc526435952"/>
      <w:bookmarkStart w:id="716" w:name="_Toc530595284"/>
      <w:r>
        <w:rPr>
          <w:noProof/>
        </w:rPr>
        <w:t>Introduction</w:t>
      </w:r>
      <w:bookmarkEnd w:id="703"/>
      <w:bookmarkEnd w:id="704"/>
      <w:bookmarkEnd w:id="705"/>
      <w:bookmarkEnd w:id="706"/>
      <w:bookmarkEnd w:id="707"/>
      <w:r>
        <w:rPr>
          <w:noProof/>
        </w:rPr>
        <w:t xml:space="preserve"> </w:t>
      </w:r>
    </w:p>
    <w:p>
      <w:pPr>
        <w:rPr>
          <w:noProof/>
        </w:rPr>
      </w:pPr>
    </w:p>
    <w:p>
      <w:pPr>
        <w:rPr>
          <w:noProof/>
          <w:sz w:val="24"/>
          <w:szCs w:val="24"/>
        </w:rPr>
      </w:pPr>
      <w:r>
        <w:rPr>
          <w:noProof/>
          <w:sz w:val="24"/>
          <w:szCs w:val="24"/>
        </w:rPr>
        <w:t>The significant variation of electricity prices within one day and on longer time scales is reflected in the structure of the European generation portfolio. Power stations are technically designed and economically optimised to run a given number of hours per year, during which the margin obtained needs to allow paying back the investment. This plants’ margins will be largely determined by the power prices “realised”</w:t>
      </w:r>
      <w:r>
        <w:rPr>
          <w:rStyle w:val="FootnoteReference"/>
          <w:noProof/>
          <w:sz w:val="24"/>
          <w:szCs w:val="24"/>
        </w:rPr>
        <w:footnoteReference w:id="43"/>
      </w:r>
      <w:r>
        <w:rPr>
          <w:noProof/>
          <w:sz w:val="24"/>
          <w:szCs w:val="24"/>
        </w:rPr>
        <w:t xml:space="preserve"> at the moment of dispatch. The impact on ‘realised’ prices for the various generation technologies of increasing penetration of wind and solar electricity generation requires to be carefully assessed for a number of reasons.</w:t>
      </w:r>
    </w:p>
    <w:p>
      <w:pPr>
        <w:rPr>
          <w:noProof/>
          <w:sz w:val="24"/>
          <w:szCs w:val="24"/>
        </w:rPr>
      </w:pPr>
      <w:r>
        <w:rPr>
          <w:noProof/>
          <w:sz w:val="24"/>
          <w:szCs w:val="24"/>
        </w:rPr>
        <w:t>Firstly, as PV and wind power generation is determined by meteorology and correlated over larger regions, an increasing penetration of these sources might lead to falling electricity prices at the moment of production. This can affect either the generator’s profitability, if remunerated based on electricity market or the costs of the support scheme if the renewable energy resource is benefitting from a guaranteed selling price.</w:t>
      </w:r>
    </w:p>
    <w:p>
      <w:pPr>
        <w:rPr>
          <w:noProof/>
          <w:sz w:val="24"/>
          <w:szCs w:val="24"/>
        </w:rPr>
      </w:pPr>
      <w:r>
        <w:rPr>
          <w:noProof/>
          <w:sz w:val="24"/>
          <w:szCs w:val="24"/>
        </w:rPr>
        <w:t>Secondly, conventional sources of power generation such as gas, coal, nuclear or hydropower dams will be confronted with different hourly price patterns, changing the economically optimal dispatch of these technologies. Conventional power plants may run fewer hours per year and realise lower prices as a result of an increasing penetration of wind and PV generation, eventually losing profitability.</w:t>
      </w:r>
    </w:p>
    <w:p>
      <w:pPr>
        <w:pStyle w:val="Heading2"/>
        <w:numPr>
          <w:ilvl w:val="1"/>
          <w:numId w:val="1"/>
        </w:numPr>
        <w:rPr>
          <w:noProof/>
        </w:rPr>
      </w:pPr>
      <w:bookmarkStart w:id="717" w:name="_Toc50648360"/>
      <w:bookmarkStart w:id="718" w:name="_Toc50654390"/>
      <w:bookmarkStart w:id="719" w:name="_Toc50654945"/>
      <w:bookmarkStart w:id="720" w:name="_Toc50732492"/>
      <w:bookmarkStart w:id="721" w:name="_Toc52396576"/>
      <w:r>
        <w:rPr>
          <w:noProof/>
        </w:rPr>
        <w:t>Methodology</w:t>
      </w:r>
      <w:bookmarkEnd w:id="717"/>
      <w:bookmarkEnd w:id="718"/>
      <w:bookmarkEnd w:id="719"/>
      <w:bookmarkEnd w:id="720"/>
      <w:bookmarkEnd w:id="721"/>
    </w:p>
    <w:p>
      <w:pPr>
        <w:rPr>
          <w:noProof/>
        </w:rPr>
      </w:pPr>
    </w:p>
    <w:p>
      <w:pPr>
        <w:rPr>
          <w:noProof/>
          <w:sz w:val="24"/>
          <w:szCs w:val="24"/>
        </w:rPr>
      </w:pPr>
      <w:r>
        <w:rPr>
          <w:noProof/>
          <w:sz w:val="24"/>
          <w:szCs w:val="24"/>
        </w:rPr>
        <w:t>This report assesses the realised prices and the resulting profitability for wind, PV and conventional electricity generation technologies. It looks at both the time period 2008 -2018 and extrapolates into the future based on projections. The analysis is based on the Trinomics et altri study (2020), in which more details, and results for non-EU regions can be found.</w:t>
      </w:r>
    </w:p>
    <w:p>
      <w:pPr>
        <w:rPr>
          <w:noProof/>
          <w:sz w:val="24"/>
          <w:szCs w:val="24"/>
        </w:rPr>
      </w:pPr>
      <w:r>
        <w:rPr>
          <w:noProof/>
          <w:sz w:val="24"/>
          <w:szCs w:val="24"/>
        </w:rPr>
        <w:t>This study determines realised prices as the annual average of hourly electricity prices weighted over the hourly generation of the respective technology within a given market (generally a country or a price zone within a country). It also collects information on payments through support schemes.</w:t>
      </w:r>
    </w:p>
    <w:p>
      <w:pPr>
        <w:rPr>
          <w:noProof/>
          <w:sz w:val="24"/>
          <w:szCs w:val="24"/>
        </w:rPr>
      </w:pPr>
      <w:r>
        <w:rPr>
          <w:noProof/>
          <w:sz w:val="24"/>
          <w:szCs w:val="24"/>
        </w:rPr>
        <w:t>The primary metric used for measuring the economic viability of an asset is the internal rate of return (IRR), which is defined as the discount rate at which the net present value (NPV) of all cash flows related to the asset equals zero. The internal rate of return needs to exceed an investor’s weighted average costs of capital (WACC) for an investment to become profitable. This study determines the profitability of investments based on market based remuneration and on support schemes.</w:t>
      </w:r>
    </w:p>
    <w:p>
      <w:pPr>
        <w:rPr>
          <w:noProof/>
          <w:sz w:val="24"/>
          <w:szCs w:val="24"/>
        </w:rPr>
      </w:pPr>
      <w:r>
        <w:rPr>
          <w:noProof/>
          <w:sz w:val="24"/>
          <w:szCs w:val="24"/>
        </w:rPr>
        <w:t>Hourly electricity prices and generation profiles for the different technologies were gathered from publically available sources where possible. Given the long lifetime of power generation investments, assumptions need to be made on future developments of electricity prices and plant dispatch. Such time series were obtained with the help of projections, generated with the METIS energy model</w:t>
      </w:r>
      <w:r>
        <w:rPr>
          <w:rStyle w:val="FootnoteReference"/>
          <w:noProof/>
          <w:sz w:val="24"/>
          <w:szCs w:val="24"/>
        </w:rPr>
        <w:footnoteReference w:id="44"/>
      </w:r>
      <w:r>
        <w:rPr>
          <w:noProof/>
          <w:sz w:val="24"/>
          <w:szCs w:val="24"/>
        </w:rPr>
        <w:t>. Those projections are compatible with energy scenarios reaching the EU 2030 targets greenhouse gas neutrality in 2050</w:t>
      </w:r>
      <w:r>
        <w:rPr>
          <w:rStyle w:val="FootnoteReference"/>
          <w:noProof/>
          <w:sz w:val="24"/>
          <w:szCs w:val="24"/>
        </w:rPr>
        <w:footnoteReference w:id="45"/>
      </w:r>
      <w:r>
        <w:rPr>
          <w:noProof/>
          <w:sz w:val="24"/>
          <w:szCs w:val="24"/>
        </w:rPr>
        <w:t xml:space="preserve">. </w:t>
      </w:r>
    </w:p>
    <w:p>
      <w:pPr>
        <w:pStyle w:val="Heading2"/>
        <w:numPr>
          <w:ilvl w:val="1"/>
          <w:numId w:val="1"/>
        </w:numPr>
        <w:rPr>
          <w:noProof/>
        </w:rPr>
      </w:pPr>
      <w:bookmarkStart w:id="722" w:name="_Toc50648361"/>
      <w:bookmarkStart w:id="723" w:name="_Toc50654391"/>
      <w:bookmarkStart w:id="724" w:name="_Toc50654946"/>
      <w:bookmarkStart w:id="725" w:name="_Toc50732493"/>
      <w:bookmarkStart w:id="726" w:name="_Toc52396577"/>
      <w:r>
        <w:rPr>
          <w:noProof/>
        </w:rPr>
        <w:t>Realised prices and business cases of key technologies</w:t>
      </w:r>
      <w:bookmarkEnd w:id="722"/>
      <w:bookmarkEnd w:id="723"/>
      <w:bookmarkEnd w:id="724"/>
      <w:bookmarkEnd w:id="725"/>
      <w:bookmarkEnd w:id="726"/>
    </w:p>
    <w:p>
      <w:pPr>
        <w:pStyle w:val="Heading2"/>
        <w:numPr>
          <w:ilvl w:val="2"/>
          <w:numId w:val="1"/>
        </w:numPr>
        <w:rPr>
          <w:noProof/>
        </w:rPr>
      </w:pPr>
      <w:bookmarkStart w:id="727" w:name="_Toc50648362"/>
      <w:bookmarkStart w:id="728" w:name="_Toc50654392"/>
      <w:bookmarkStart w:id="729" w:name="_Toc50654947"/>
      <w:bookmarkStart w:id="730" w:name="_Toc50732494"/>
      <w:bookmarkStart w:id="731" w:name="_Toc52396578"/>
      <w:r>
        <w:rPr>
          <w:noProof/>
        </w:rPr>
        <w:t>Solar PV</w:t>
      </w:r>
      <w:bookmarkEnd w:id="727"/>
      <w:bookmarkEnd w:id="728"/>
      <w:bookmarkEnd w:id="729"/>
      <w:bookmarkEnd w:id="730"/>
      <w:bookmarkEnd w:id="731"/>
    </w:p>
    <w:p>
      <w:pPr>
        <w:rPr>
          <w:noProof/>
          <w:sz w:val="24"/>
          <w:szCs w:val="24"/>
        </w:rPr>
      </w:pPr>
    </w:p>
    <w:p>
      <w:pPr>
        <w:pStyle w:val="Caption"/>
      </w:pPr>
      <w:bookmarkStart w:id="732" w:name="_Toc52396990"/>
      <w:r>
        <w:t xml:space="preserve">Table </w:t>
      </w:r>
      <w:r>
        <w:fldChar w:fldCharType="begin"/>
      </w:r>
      <w:r>
        <w:instrText xml:space="preserve"> SEQ Table \* ARABIC </w:instrText>
      </w:r>
      <w:r>
        <w:fldChar w:fldCharType="separate"/>
      </w:r>
      <w:r>
        <w:t>31</w:t>
      </w:r>
      <w:r>
        <w:fldChar w:fldCharType="end"/>
      </w:r>
      <w:r>
        <w:t xml:space="preserve"> –Maximum profitability observed for Solar PV</w:t>
      </w:r>
      <w:bookmarkEnd w:id="732"/>
    </w:p>
    <w:tbl>
      <w:tblPr>
        <w:tblStyle w:val="TableGrid"/>
        <w:tblW w:w="0" w:type="auto"/>
        <w:jc w:val="center"/>
        <w:tblLook w:val="04A0" w:firstRow="1" w:lastRow="0" w:firstColumn="1" w:lastColumn="0" w:noHBand="0" w:noVBand="1"/>
      </w:tblPr>
      <w:tblGrid>
        <w:gridCol w:w="938"/>
        <w:gridCol w:w="1506"/>
        <w:gridCol w:w="1396"/>
        <w:gridCol w:w="1445"/>
      </w:tblGrid>
      <w:tr>
        <w:trPr>
          <w:jc w:val="center"/>
        </w:trPr>
        <w:tc>
          <w:tcPr>
            <w:tcW w:w="0" w:type="auto"/>
          </w:tcPr>
          <w:p>
            <w:pPr>
              <w:keepNext/>
              <w:keepLines/>
              <w:rPr>
                <w:noProof/>
              </w:rPr>
            </w:pPr>
            <w:r>
              <w:rPr>
                <w:noProof/>
              </w:rPr>
              <w:t>Country</w:t>
            </w:r>
          </w:p>
        </w:tc>
        <w:tc>
          <w:tcPr>
            <w:tcW w:w="0" w:type="auto"/>
          </w:tcPr>
          <w:p>
            <w:pPr>
              <w:keepNext/>
              <w:keepLines/>
              <w:rPr>
                <w:noProof/>
              </w:rPr>
            </w:pPr>
            <w:r>
              <w:rPr>
                <w:noProof/>
              </w:rPr>
              <w:t>Price</w:t>
            </w:r>
          </w:p>
        </w:tc>
        <w:tc>
          <w:tcPr>
            <w:tcW w:w="0" w:type="auto"/>
          </w:tcPr>
          <w:p>
            <w:pPr>
              <w:keepNext/>
              <w:keepLines/>
              <w:rPr>
                <w:noProof/>
              </w:rPr>
            </w:pPr>
            <w:r>
              <w:rPr>
                <w:noProof/>
              </w:rPr>
              <w:t>IRR (market)</w:t>
            </w:r>
          </w:p>
        </w:tc>
        <w:tc>
          <w:tcPr>
            <w:tcW w:w="0" w:type="auto"/>
          </w:tcPr>
          <w:p>
            <w:pPr>
              <w:keepNext/>
              <w:keepLines/>
              <w:rPr>
                <w:noProof/>
              </w:rPr>
            </w:pPr>
            <w:r>
              <w:rPr>
                <w:noProof/>
              </w:rPr>
              <w:t>IRR (support)</w:t>
            </w:r>
          </w:p>
        </w:tc>
      </w:tr>
      <w:tr>
        <w:trPr>
          <w:jc w:val="center"/>
        </w:trPr>
        <w:tc>
          <w:tcPr>
            <w:tcW w:w="0" w:type="auto"/>
          </w:tcPr>
          <w:p>
            <w:pPr>
              <w:keepNext/>
              <w:keepLines/>
              <w:rPr>
                <w:noProof/>
              </w:rPr>
            </w:pPr>
            <w:r>
              <w:rPr>
                <w:noProof/>
              </w:rPr>
              <w:t>DE</w:t>
            </w:r>
          </w:p>
        </w:tc>
        <w:tc>
          <w:tcPr>
            <w:tcW w:w="0" w:type="auto"/>
          </w:tcPr>
          <w:p>
            <w:pPr>
              <w:keepNext/>
              <w:keepLines/>
              <w:rPr>
                <w:noProof/>
              </w:rPr>
            </w:pPr>
            <w:r>
              <w:rPr>
                <w:noProof/>
              </w:rPr>
              <w:t>44 EUR/MWh</w:t>
            </w:r>
          </w:p>
        </w:tc>
        <w:tc>
          <w:tcPr>
            <w:tcW w:w="0" w:type="auto"/>
          </w:tcPr>
          <w:p>
            <w:pPr>
              <w:keepNext/>
              <w:keepLines/>
              <w:rPr>
                <w:noProof/>
              </w:rPr>
            </w:pPr>
            <w:r>
              <w:rPr>
                <w:noProof/>
              </w:rPr>
              <w:t>-2%</w:t>
            </w:r>
          </w:p>
        </w:tc>
        <w:tc>
          <w:tcPr>
            <w:tcW w:w="0" w:type="auto"/>
          </w:tcPr>
          <w:p>
            <w:pPr>
              <w:keepNext/>
              <w:keepLines/>
              <w:rPr>
                <w:noProof/>
              </w:rPr>
            </w:pPr>
            <w:r>
              <w:rPr>
                <w:noProof/>
              </w:rPr>
              <w:t>6%</w:t>
            </w:r>
          </w:p>
        </w:tc>
      </w:tr>
      <w:tr>
        <w:trPr>
          <w:jc w:val="center"/>
        </w:trPr>
        <w:tc>
          <w:tcPr>
            <w:tcW w:w="0" w:type="auto"/>
          </w:tcPr>
          <w:p>
            <w:pPr>
              <w:keepNext/>
              <w:keepLines/>
              <w:rPr>
                <w:noProof/>
              </w:rPr>
            </w:pPr>
            <w:r>
              <w:rPr>
                <w:noProof/>
              </w:rPr>
              <w:t>ES</w:t>
            </w:r>
          </w:p>
        </w:tc>
        <w:tc>
          <w:tcPr>
            <w:tcW w:w="0" w:type="auto"/>
          </w:tcPr>
          <w:p>
            <w:pPr>
              <w:keepNext/>
              <w:keepLines/>
              <w:rPr>
                <w:noProof/>
              </w:rPr>
            </w:pPr>
            <w:r>
              <w:rPr>
                <w:noProof/>
              </w:rPr>
              <w:t>59 EUR/MWh</w:t>
            </w:r>
          </w:p>
        </w:tc>
        <w:tc>
          <w:tcPr>
            <w:tcW w:w="0" w:type="auto"/>
          </w:tcPr>
          <w:p>
            <w:pPr>
              <w:keepNext/>
              <w:keepLines/>
              <w:rPr>
                <w:noProof/>
              </w:rPr>
            </w:pPr>
            <w:r>
              <w:rPr>
                <w:noProof/>
              </w:rPr>
              <w:t>- 3%</w:t>
            </w:r>
          </w:p>
        </w:tc>
        <w:tc>
          <w:tcPr>
            <w:tcW w:w="0" w:type="auto"/>
          </w:tcPr>
          <w:p>
            <w:pPr>
              <w:keepNext/>
              <w:keepLines/>
              <w:rPr>
                <w:noProof/>
              </w:rPr>
            </w:pPr>
            <w:r>
              <w:rPr>
                <w:noProof/>
              </w:rPr>
              <w:t>7%</w:t>
            </w:r>
          </w:p>
        </w:tc>
      </w:tr>
      <w:tr>
        <w:trPr>
          <w:jc w:val="center"/>
        </w:trPr>
        <w:tc>
          <w:tcPr>
            <w:tcW w:w="0" w:type="auto"/>
          </w:tcPr>
          <w:p>
            <w:pPr>
              <w:keepNext/>
              <w:keepLines/>
              <w:rPr>
                <w:noProof/>
              </w:rPr>
            </w:pPr>
            <w:r>
              <w:rPr>
                <w:noProof/>
              </w:rPr>
              <w:t>FR</w:t>
            </w:r>
          </w:p>
        </w:tc>
        <w:tc>
          <w:tcPr>
            <w:tcW w:w="0" w:type="auto"/>
          </w:tcPr>
          <w:p>
            <w:pPr>
              <w:keepNext/>
              <w:keepLines/>
              <w:rPr>
                <w:noProof/>
              </w:rPr>
            </w:pPr>
            <w:r>
              <w:rPr>
                <w:noProof/>
              </w:rPr>
              <w:t>51 EUR/MWh</w:t>
            </w:r>
          </w:p>
        </w:tc>
        <w:tc>
          <w:tcPr>
            <w:tcW w:w="0" w:type="auto"/>
          </w:tcPr>
          <w:p>
            <w:pPr>
              <w:keepNext/>
              <w:keepLines/>
              <w:rPr>
                <w:noProof/>
              </w:rPr>
            </w:pPr>
            <w:r>
              <w:rPr>
                <w:noProof/>
              </w:rPr>
              <w:t>- 0%</w:t>
            </w:r>
          </w:p>
        </w:tc>
        <w:tc>
          <w:tcPr>
            <w:tcW w:w="0" w:type="auto"/>
          </w:tcPr>
          <w:p>
            <w:pPr>
              <w:keepNext/>
              <w:keepLines/>
              <w:rPr>
                <w:noProof/>
              </w:rPr>
            </w:pPr>
            <w:r>
              <w:rPr>
                <w:noProof/>
              </w:rPr>
              <w:t>6%</w:t>
            </w:r>
          </w:p>
        </w:tc>
      </w:tr>
      <w:tr>
        <w:trPr>
          <w:jc w:val="center"/>
        </w:trPr>
        <w:tc>
          <w:tcPr>
            <w:tcW w:w="0" w:type="auto"/>
          </w:tcPr>
          <w:p>
            <w:pPr>
              <w:keepNext/>
              <w:keepLines/>
              <w:rPr>
                <w:noProof/>
              </w:rPr>
            </w:pPr>
            <w:r>
              <w:rPr>
                <w:noProof/>
              </w:rPr>
              <w:t>IT</w:t>
            </w:r>
          </w:p>
        </w:tc>
        <w:tc>
          <w:tcPr>
            <w:tcW w:w="0" w:type="auto"/>
          </w:tcPr>
          <w:p>
            <w:pPr>
              <w:keepNext/>
              <w:keepLines/>
              <w:rPr>
                <w:noProof/>
              </w:rPr>
            </w:pPr>
            <w:r>
              <w:rPr>
                <w:noProof/>
              </w:rPr>
              <w:t>58 EUR/MWh</w:t>
            </w:r>
          </w:p>
        </w:tc>
        <w:tc>
          <w:tcPr>
            <w:tcW w:w="0" w:type="auto"/>
          </w:tcPr>
          <w:p>
            <w:pPr>
              <w:keepNext/>
              <w:keepLines/>
              <w:rPr>
                <w:noProof/>
              </w:rPr>
            </w:pPr>
            <w:r>
              <w:rPr>
                <w:noProof/>
              </w:rPr>
              <w:t>- 2%</w:t>
            </w:r>
          </w:p>
        </w:tc>
        <w:tc>
          <w:tcPr>
            <w:tcW w:w="0" w:type="auto"/>
          </w:tcPr>
          <w:p>
            <w:pPr>
              <w:keepNext/>
              <w:keepLines/>
              <w:rPr>
                <w:noProof/>
              </w:rPr>
            </w:pPr>
            <w:r>
              <w:rPr>
                <w:noProof/>
              </w:rPr>
              <w:t>10%</w:t>
            </w:r>
          </w:p>
        </w:tc>
      </w:tr>
    </w:tbl>
    <w:p>
      <w:pPr>
        <w:rPr>
          <w:noProof/>
          <w:sz w:val="24"/>
          <w:szCs w:val="24"/>
        </w:rPr>
      </w:pPr>
    </w:p>
    <w:p>
      <w:pPr>
        <w:rPr>
          <w:noProof/>
          <w:sz w:val="24"/>
          <w:szCs w:val="24"/>
        </w:rPr>
      </w:pPr>
      <w:r>
        <w:rPr>
          <w:noProof/>
          <w:sz w:val="24"/>
          <w:szCs w:val="24"/>
        </w:rPr>
        <w:t xml:space="preserve">The realised prices for solar PV generators on the EU’s markets with the largest installed capacities show a significant variability over time and between different regions as can be seen in </w:t>
      </w:r>
      <w:r>
        <w:rPr>
          <w:b/>
          <w:noProof/>
          <w:sz w:val="24"/>
          <w:szCs w:val="24"/>
        </w:rPr>
        <w:fldChar w:fldCharType="begin"/>
      </w:r>
      <w:r>
        <w:rPr>
          <w:b/>
          <w:noProof/>
          <w:sz w:val="24"/>
          <w:szCs w:val="24"/>
        </w:rPr>
        <w:instrText xml:space="preserve"> REF _Ref50451517 \h  \* MERGEFORMAT </w:instrText>
      </w:r>
      <w:r>
        <w:rPr>
          <w:b/>
          <w:noProof/>
          <w:sz w:val="24"/>
          <w:szCs w:val="24"/>
        </w:rPr>
      </w:r>
      <w:r>
        <w:rPr>
          <w:b/>
          <w:noProof/>
          <w:sz w:val="24"/>
          <w:szCs w:val="24"/>
        </w:rPr>
        <w:fldChar w:fldCharType="separate"/>
      </w:r>
      <w:r>
        <w:rPr>
          <w:b/>
          <w:noProof/>
          <w:sz w:val="24"/>
          <w:szCs w:val="24"/>
        </w:rPr>
        <w:t>Figure 179</w:t>
      </w:r>
      <w:r>
        <w:rPr>
          <w:b/>
          <w:noProof/>
          <w:sz w:val="24"/>
          <w:szCs w:val="24"/>
        </w:rPr>
        <w:fldChar w:fldCharType="end"/>
      </w:r>
      <w:r>
        <w:rPr>
          <w:b/>
          <w:noProof/>
          <w:sz w:val="24"/>
          <w:szCs w:val="24"/>
        </w:rPr>
        <w:t>.</w:t>
      </w:r>
      <w:r>
        <w:rPr>
          <w:noProof/>
          <w:sz w:val="24"/>
          <w:szCs w:val="24"/>
        </w:rPr>
        <w:t xml:space="preserve"> Average prices are higher on the Spanish electricity market than in France and Germany throughout the period considered. Germany, which has the highest installed PV capacity in the EU sees systematically the lowest realised prices for this form of energy. The realised prices follow the development of baseload prices shown in </w:t>
      </w:r>
      <w:r>
        <w:rPr>
          <w:b/>
          <w:noProof/>
          <w:sz w:val="24"/>
          <w:szCs w:val="24"/>
        </w:rPr>
        <w:fldChar w:fldCharType="begin"/>
      </w:r>
      <w:r>
        <w:rPr>
          <w:b/>
          <w:noProof/>
          <w:sz w:val="24"/>
          <w:szCs w:val="24"/>
        </w:rPr>
        <w:instrText xml:space="preserve"> REF _Ref518038797 \h  \* MERGEFORMAT </w:instrText>
      </w:r>
      <w:r>
        <w:rPr>
          <w:b/>
          <w:noProof/>
          <w:sz w:val="24"/>
          <w:szCs w:val="24"/>
        </w:rPr>
      </w:r>
      <w:r>
        <w:rPr>
          <w:b/>
          <w:noProof/>
          <w:sz w:val="24"/>
          <w:szCs w:val="24"/>
        </w:rPr>
        <w:fldChar w:fldCharType="separate"/>
      </w:r>
      <w:r>
        <w:rPr>
          <w:b/>
          <w:noProof/>
          <w:sz w:val="24"/>
          <w:szCs w:val="24"/>
        </w:rPr>
        <w:t>Figure 4</w:t>
      </w:r>
      <w:r>
        <w:rPr>
          <w:b/>
          <w:noProof/>
          <w:sz w:val="24"/>
          <w:szCs w:val="24"/>
        </w:rPr>
        <w:fldChar w:fldCharType="end"/>
      </w:r>
      <w:r>
        <w:rPr>
          <w:b/>
          <w:noProof/>
          <w:sz w:val="24"/>
          <w:szCs w:val="24"/>
        </w:rPr>
        <w:t xml:space="preserve"> </w:t>
      </w:r>
      <w:r>
        <w:rPr>
          <w:noProof/>
          <w:sz w:val="24"/>
          <w:szCs w:val="24"/>
        </w:rPr>
        <w:t xml:space="preserve">and discussed in section 1.1 of this report. On all markets, the highest prices were obtained in 2018. </w:t>
      </w:r>
    </w:p>
    <w:p>
      <w:pPr>
        <w:jc w:val="center"/>
        <w:rPr>
          <w:noProof/>
        </w:rPr>
      </w:pPr>
      <w:r>
        <w:rPr>
          <w:noProof/>
          <w:lang w:eastAsia="en-GB"/>
        </w:rPr>
        <w:drawing>
          <wp:inline distT="0" distB="0" distL="0" distR="0">
            <wp:extent cx="4316095" cy="2877820"/>
            <wp:effectExtent l="0" t="0" r="8255" b="0"/>
            <wp:docPr id="1236880868" name="Picture 123688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a:ext>
                      </a:extLst>
                    </a:blip>
                    <a:srcRect/>
                    <a:stretch>
                      <a:fillRect/>
                    </a:stretch>
                  </pic:blipFill>
                  <pic:spPr bwMode="auto">
                    <a:xfrm>
                      <a:off x="0" y="0"/>
                      <a:ext cx="4316095" cy="2877820"/>
                    </a:xfrm>
                    <a:prstGeom prst="rect">
                      <a:avLst/>
                    </a:prstGeom>
                    <a:noFill/>
                  </pic:spPr>
                </pic:pic>
              </a:graphicData>
            </a:graphic>
          </wp:inline>
        </w:drawing>
      </w:r>
    </w:p>
    <w:p>
      <w:pPr>
        <w:pStyle w:val="Caption"/>
      </w:pPr>
      <w:bookmarkStart w:id="733" w:name="_Ref50451517"/>
      <w:bookmarkStart w:id="734" w:name="_Toc50494173"/>
      <w:bookmarkStart w:id="735" w:name="_Toc52396951"/>
      <w:r>
        <w:t xml:space="preserve">Figure </w:t>
      </w:r>
      <w:r>
        <w:fldChar w:fldCharType="begin"/>
      </w:r>
      <w:r>
        <w:instrText xml:space="preserve"> SEQ Figure \* ARABIC </w:instrText>
      </w:r>
      <w:r>
        <w:fldChar w:fldCharType="separate"/>
      </w:r>
      <w:r>
        <w:t>179</w:t>
      </w:r>
      <w:r>
        <w:fldChar w:fldCharType="end"/>
      </w:r>
      <w:bookmarkEnd w:id="733"/>
      <w:r>
        <w:t xml:space="preserve"> - Realised electricity price in EUR/MWh for solar PV</w:t>
      </w:r>
      <w:bookmarkEnd w:id="734"/>
      <w:bookmarkEnd w:id="735"/>
      <w:r>
        <w:t xml:space="preserve"> </w:t>
      </w:r>
    </w:p>
    <w:p>
      <w:pPr>
        <w:pStyle w:val="Sources"/>
        <w:rPr>
          <w:noProof/>
        </w:rPr>
      </w:pPr>
      <w:r>
        <w:rPr>
          <w:noProof/>
        </w:rPr>
        <w:t>Source: Trinomics et al. 2020</w:t>
      </w:r>
    </w:p>
    <w:p>
      <w:pPr>
        <w:rPr>
          <w:noProof/>
          <w:sz w:val="24"/>
          <w:szCs w:val="24"/>
        </w:rPr>
      </w:pPr>
      <w:r>
        <w:rPr>
          <w:noProof/>
          <w:sz w:val="24"/>
          <w:szCs w:val="24"/>
        </w:rPr>
        <w:t xml:space="preserve">The realised electricity price for PV generators as expressed in percentages of the baseload price have been fallen consistently over time (see </w:t>
      </w:r>
      <w:r>
        <w:rPr>
          <w:b/>
          <w:noProof/>
          <w:sz w:val="24"/>
          <w:szCs w:val="24"/>
        </w:rPr>
        <w:fldChar w:fldCharType="begin"/>
      </w:r>
      <w:r>
        <w:rPr>
          <w:b/>
          <w:noProof/>
          <w:sz w:val="24"/>
          <w:szCs w:val="24"/>
        </w:rPr>
        <w:instrText xml:space="preserve"> REF _Ref50491452 \h  \* MERGEFORMAT </w:instrText>
      </w:r>
      <w:r>
        <w:rPr>
          <w:b/>
          <w:noProof/>
          <w:sz w:val="24"/>
          <w:szCs w:val="24"/>
        </w:rPr>
      </w:r>
      <w:r>
        <w:rPr>
          <w:b/>
          <w:noProof/>
          <w:sz w:val="24"/>
          <w:szCs w:val="24"/>
        </w:rPr>
        <w:fldChar w:fldCharType="separate"/>
      </w:r>
      <w:r>
        <w:rPr>
          <w:b/>
          <w:noProof/>
          <w:sz w:val="24"/>
          <w:szCs w:val="24"/>
        </w:rPr>
        <w:t>Figure</w:t>
      </w:r>
      <w:r>
        <w:rPr>
          <w:noProof/>
          <w:sz w:val="24"/>
          <w:szCs w:val="24"/>
        </w:rPr>
        <w:t xml:space="preserve"> </w:t>
      </w:r>
      <w:r>
        <w:rPr>
          <w:b/>
          <w:noProof/>
          <w:sz w:val="24"/>
          <w:szCs w:val="24"/>
        </w:rPr>
        <w:t>180</w:t>
      </w:r>
      <w:r>
        <w:rPr>
          <w:noProof/>
          <w:sz w:val="24"/>
          <w:szCs w:val="24"/>
        </w:rPr>
        <w:fldChar w:fldCharType="end"/>
      </w:r>
      <w:r>
        <w:rPr>
          <w:noProof/>
          <w:sz w:val="24"/>
          <w:szCs w:val="24"/>
        </w:rPr>
        <w:t xml:space="preserve">). Relative prices significantly above 100% have been falling to levels close to baseload remuneration. This trend was interrupted in the years 2017 and 2018 when relative price started rising again. </w:t>
      </w:r>
    </w:p>
    <w:p>
      <w:pPr>
        <w:jc w:val="center"/>
        <w:rPr>
          <w:noProof/>
          <w:lang w:eastAsia="en-GB"/>
        </w:rPr>
      </w:pPr>
    </w:p>
    <w:p>
      <w:pPr>
        <w:pStyle w:val="Caption"/>
      </w:pPr>
      <w:r>
        <w:rPr>
          <w:lang w:eastAsia="en-GB"/>
        </w:rPr>
        <w:drawing>
          <wp:inline distT="0" distB="0" distL="0" distR="0">
            <wp:extent cx="4322445" cy="2883535"/>
            <wp:effectExtent l="0" t="0" r="1905" b="0"/>
            <wp:docPr id="1236880883" name="Picture 123688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4322445" cy="2883535"/>
                    </a:xfrm>
                    <a:prstGeom prst="rect">
                      <a:avLst/>
                    </a:prstGeom>
                    <a:noFill/>
                  </pic:spPr>
                </pic:pic>
              </a:graphicData>
            </a:graphic>
          </wp:inline>
        </w:drawing>
      </w:r>
    </w:p>
    <w:p>
      <w:pPr>
        <w:pStyle w:val="Caption"/>
      </w:pPr>
      <w:bookmarkStart w:id="736" w:name="_Ref50491452"/>
      <w:bookmarkStart w:id="737" w:name="_Toc50494174"/>
      <w:bookmarkStart w:id="738" w:name="_Toc52396952"/>
      <w:r>
        <w:t xml:space="preserve">Figure </w:t>
      </w:r>
      <w:r>
        <w:fldChar w:fldCharType="begin"/>
      </w:r>
      <w:r>
        <w:instrText xml:space="preserve"> SEQ Figure \* ARABIC </w:instrText>
      </w:r>
      <w:r>
        <w:fldChar w:fldCharType="separate"/>
      </w:r>
      <w:r>
        <w:t>180</w:t>
      </w:r>
      <w:r>
        <w:fldChar w:fldCharType="end"/>
      </w:r>
      <w:bookmarkEnd w:id="736"/>
      <w:r>
        <w:t xml:space="preserve"> - Realised electricity price as percentage of baseload price for solar PV</w:t>
      </w:r>
      <w:bookmarkEnd w:id="737"/>
      <w:bookmarkEnd w:id="738"/>
    </w:p>
    <w:p>
      <w:pPr>
        <w:pStyle w:val="Sources"/>
        <w:rPr>
          <w:noProof/>
        </w:rPr>
      </w:pPr>
      <w:r>
        <w:rPr>
          <w:noProof/>
        </w:rPr>
        <w:t>Source: Trinomics et al. 2020</w:t>
      </w:r>
    </w:p>
    <w:p>
      <w:pPr>
        <w:rPr>
          <w:noProof/>
        </w:rPr>
      </w:pPr>
    </w:p>
    <w:p>
      <w:pPr>
        <w:rPr>
          <w:noProof/>
          <w:sz w:val="24"/>
          <w:szCs w:val="24"/>
        </w:rPr>
      </w:pPr>
      <w:r>
        <w:rPr>
          <w:noProof/>
          <w:sz w:val="24"/>
          <w:szCs w:val="24"/>
        </w:rPr>
        <w:t xml:space="preserve">Costs for centralised PV generation have dropped by a factor of three between 2009 and 2018 and now stand below 1 000€/kW for most European countries. Yet, market based remunerations has so far not been sufficient for achieving a break-even of the investment in solar PV generation. If only considering revenues on electricity markets, the internal rate of return (IRR) for projects commissioned in 2018 ranges between -2% (Germany) and 3% (Spain) according to Trinomics et al. (2020). Market revenues are complemented by support intervention, increasingly determined by tenders as the technology is getting more mature. Taking additional revenues into account, the IRR increases to 3 - 4% for Germany and France respectively, given the assumptions on costs and market developments made. </w:t>
      </w:r>
    </w:p>
    <w:p>
      <w:pPr>
        <w:jc w:val="center"/>
        <w:rPr>
          <w:noProof/>
        </w:rPr>
      </w:pPr>
    </w:p>
    <w:p>
      <w:pPr>
        <w:pStyle w:val="Heading2"/>
        <w:numPr>
          <w:ilvl w:val="2"/>
          <w:numId w:val="1"/>
        </w:numPr>
        <w:rPr>
          <w:noProof/>
        </w:rPr>
      </w:pPr>
      <w:bookmarkStart w:id="739" w:name="_Toc50648363"/>
      <w:bookmarkStart w:id="740" w:name="_Toc50654393"/>
      <w:bookmarkStart w:id="741" w:name="_Toc50654948"/>
      <w:bookmarkStart w:id="742" w:name="_Toc50732495"/>
      <w:bookmarkStart w:id="743" w:name="_Toc52396579"/>
      <w:r>
        <w:rPr>
          <w:noProof/>
        </w:rPr>
        <w:t>Wind onshore</w:t>
      </w:r>
      <w:bookmarkEnd w:id="739"/>
      <w:bookmarkEnd w:id="740"/>
      <w:bookmarkEnd w:id="741"/>
      <w:bookmarkEnd w:id="742"/>
      <w:bookmarkEnd w:id="743"/>
    </w:p>
    <w:p>
      <w:pPr>
        <w:rPr>
          <w:noProof/>
        </w:rPr>
      </w:pPr>
    </w:p>
    <w:p>
      <w:pPr>
        <w:pStyle w:val="Caption"/>
      </w:pPr>
      <w:bookmarkStart w:id="744" w:name="_Toc52396991"/>
      <w:r>
        <w:t xml:space="preserve">Table </w:t>
      </w:r>
      <w:r>
        <w:fldChar w:fldCharType="begin"/>
      </w:r>
      <w:r>
        <w:instrText xml:space="preserve"> SEQ Table \* ARABIC </w:instrText>
      </w:r>
      <w:r>
        <w:fldChar w:fldCharType="separate"/>
      </w:r>
      <w:r>
        <w:t>32</w:t>
      </w:r>
      <w:r>
        <w:fldChar w:fldCharType="end"/>
      </w:r>
      <w:r>
        <w:t xml:space="preserve"> – Maximum profitability observed for wind onshore</w:t>
      </w:r>
      <w:bookmarkEnd w:id="744"/>
    </w:p>
    <w:tbl>
      <w:tblPr>
        <w:tblStyle w:val="TableGrid"/>
        <w:tblW w:w="0" w:type="auto"/>
        <w:jc w:val="center"/>
        <w:tblLook w:val="04A0" w:firstRow="1" w:lastRow="0" w:firstColumn="1" w:lastColumn="0" w:noHBand="0" w:noVBand="1"/>
      </w:tblPr>
      <w:tblGrid>
        <w:gridCol w:w="938"/>
        <w:gridCol w:w="1506"/>
        <w:gridCol w:w="1396"/>
        <w:gridCol w:w="1445"/>
      </w:tblGrid>
      <w:tr>
        <w:trPr>
          <w:jc w:val="center"/>
        </w:trPr>
        <w:tc>
          <w:tcPr>
            <w:tcW w:w="0" w:type="auto"/>
          </w:tcPr>
          <w:p>
            <w:pPr>
              <w:keepNext/>
              <w:keepLines/>
              <w:rPr>
                <w:noProof/>
              </w:rPr>
            </w:pPr>
            <w:r>
              <w:rPr>
                <w:noProof/>
              </w:rPr>
              <w:t>Country</w:t>
            </w:r>
          </w:p>
        </w:tc>
        <w:tc>
          <w:tcPr>
            <w:tcW w:w="0" w:type="auto"/>
          </w:tcPr>
          <w:p>
            <w:pPr>
              <w:keepNext/>
              <w:keepLines/>
              <w:rPr>
                <w:noProof/>
              </w:rPr>
            </w:pPr>
            <w:r>
              <w:rPr>
                <w:noProof/>
              </w:rPr>
              <w:t>Price</w:t>
            </w:r>
          </w:p>
        </w:tc>
        <w:tc>
          <w:tcPr>
            <w:tcW w:w="0" w:type="auto"/>
          </w:tcPr>
          <w:p>
            <w:pPr>
              <w:keepNext/>
              <w:keepLines/>
              <w:rPr>
                <w:noProof/>
              </w:rPr>
            </w:pPr>
            <w:r>
              <w:rPr>
                <w:noProof/>
              </w:rPr>
              <w:t>IRR (market)</w:t>
            </w:r>
          </w:p>
        </w:tc>
        <w:tc>
          <w:tcPr>
            <w:tcW w:w="0" w:type="auto"/>
          </w:tcPr>
          <w:p>
            <w:pPr>
              <w:keepNext/>
              <w:keepLines/>
              <w:rPr>
                <w:noProof/>
              </w:rPr>
            </w:pPr>
            <w:r>
              <w:rPr>
                <w:noProof/>
              </w:rPr>
              <w:t>IRR (support)</w:t>
            </w:r>
          </w:p>
        </w:tc>
      </w:tr>
      <w:tr>
        <w:trPr>
          <w:jc w:val="center"/>
        </w:trPr>
        <w:tc>
          <w:tcPr>
            <w:tcW w:w="0" w:type="auto"/>
          </w:tcPr>
          <w:p>
            <w:pPr>
              <w:keepNext/>
              <w:keepLines/>
              <w:rPr>
                <w:noProof/>
              </w:rPr>
            </w:pPr>
            <w:r>
              <w:rPr>
                <w:noProof/>
              </w:rPr>
              <w:t>DE</w:t>
            </w:r>
          </w:p>
        </w:tc>
        <w:tc>
          <w:tcPr>
            <w:tcW w:w="0" w:type="auto"/>
          </w:tcPr>
          <w:p>
            <w:pPr>
              <w:keepNext/>
              <w:keepLines/>
              <w:rPr>
                <w:noProof/>
              </w:rPr>
            </w:pPr>
            <w:r>
              <w:rPr>
                <w:noProof/>
              </w:rPr>
              <w:t>47 EUR/MWh</w:t>
            </w:r>
          </w:p>
        </w:tc>
        <w:tc>
          <w:tcPr>
            <w:tcW w:w="0" w:type="auto"/>
          </w:tcPr>
          <w:p>
            <w:pPr>
              <w:keepNext/>
              <w:keepLines/>
              <w:rPr>
                <w:noProof/>
              </w:rPr>
            </w:pPr>
            <w:r>
              <w:rPr>
                <w:noProof/>
              </w:rPr>
              <w:t>3%</w:t>
            </w:r>
          </w:p>
        </w:tc>
        <w:tc>
          <w:tcPr>
            <w:tcW w:w="0" w:type="auto"/>
          </w:tcPr>
          <w:p>
            <w:pPr>
              <w:keepNext/>
              <w:keepLines/>
              <w:rPr>
                <w:noProof/>
              </w:rPr>
            </w:pPr>
            <w:r>
              <w:rPr>
                <w:noProof/>
              </w:rPr>
              <w:t>4%</w:t>
            </w:r>
          </w:p>
        </w:tc>
      </w:tr>
      <w:tr>
        <w:trPr>
          <w:jc w:val="center"/>
        </w:trPr>
        <w:tc>
          <w:tcPr>
            <w:tcW w:w="0" w:type="auto"/>
          </w:tcPr>
          <w:p>
            <w:pPr>
              <w:keepNext/>
              <w:keepLines/>
              <w:rPr>
                <w:noProof/>
              </w:rPr>
            </w:pPr>
            <w:r>
              <w:rPr>
                <w:noProof/>
              </w:rPr>
              <w:t>ES</w:t>
            </w:r>
          </w:p>
        </w:tc>
        <w:tc>
          <w:tcPr>
            <w:tcW w:w="0" w:type="auto"/>
          </w:tcPr>
          <w:p>
            <w:pPr>
              <w:keepNext/>
              <w:keepLines/>
              <w:rPr>
                <w:noProof/>
              </w:rPr>
            </w:pPr>
            <w:r>
              <w:rPr>
                <w:noProof/>
              </w:rPr>
              <w:t>53 EUR/MWh</w:t>
            </w:r>
          </w:p>
        </w:tc>
        <w:tc>
          <w:tcPr>
            <w:tcW w:w="0" w:type="auto"/>
          </w:tcPr>
          <w:p>
            <w:pPr>
              <w:keepNext/>
              <w:keepLines/>
              <w:rPr>
                <w:noProof/>
              </w:rPr>
            </w:pPr>
            <w:r>
              <w:rPr>
                <w:noProof/>
              </w:rPr>
              <w:t>5%</w:t>
            </w:r>
          </w:p>
        </w:tc>
        <w:tc>
          <w:tcPr>
            <w:tcW w:w="0" w:type="auto"/>
          </w:tcPr>
          <w:p>
            <w:pPr>
              <w:keepNext/>
              <w:keepLines/>
              <w:rPr>
                <w:noProof/>
              </w:rPr>
            </w:pPr>
            <w:r>
              <w:rPr>
                <w:noProof/>
              </w:rPr>
              <w:t>10%</w:t>
            </w:r>
          </w:p>
        </w:tc>
      </w:tr>
      <w:tr>
        <w:trPr>
          <w:jc w:val="center"/>
        </w:trPr>
        <w:tc>
          <w:tcPr>
            <w:tcW w:w="0" w:type="auto"/>
          </w:tcPr>
          <w:p>
            <w:pPr>
              <w:keepNext/>
              <w:keepLines/>
              <w:rPr>
                <w:noProof/>
              </w:rPr>
            </w:pPr>
            <w:r>
              <w:rPr>
                <w:noProof/>
              </w:rPr>
              <w:t>FR</w:t>
            </w:r>
          </w:p>
        </w:tc>
        <w:tc>
          <w:tcPr>
            <w:tcW w:w="0" w:type="auto"/>
          </w:tcPr>
          <w:p>
            <w:pPr>
              <w:keepNext/>
              <w:keepLines/>
              <w:rPr>
                <w:noProof/>
              </w:rPr>
            </w:pPr>
            <w:r>
              <w:rPr>
                <w:noProof/>
              </w:rPr>
              <w:t>48 EUR/MWh</w:t>
            </w:r>
          </w:p>
        </w:tc>
        <w:tc>
          <w:tcPr>
            <w:tcW w:w="0" w:type="auto"/>
          </w:tcPr>
          <w:p>
            <w:pPr>
              <w:keepNext/>
              <w:keepLines/>
              <w:rPr>
                <w:noProof/>
              </w:rPr>
            </w:pPr>
            <w:r>
              <w:rPr>
                <w:noProof/>
              </w:rPr>
              <w:t>4%</w:t>
            </w:r>
          </w:p>
        </w:tc>
        <w:tc>
          <w:tcPr>
            <w:tcW w:w="0" w:type="auto"/>
          </w:tcPr>
          <w:p>
            <w:pPr>
              <w:keepNext/>
              <w:keepLines/>
              <w:rPr>
                <w:noProof/>
              </w:rPr>
            </w:pPr>
            <w:r>
              <w:rPr>
                <w:noProof/>
              </w:rPr>
              <w:t>9%</w:t>
            </w:r>
          </w:p>
        </w:tc>
      </w:tr>
      <w:tr>
        <w:trPr>
          <w:jc w:val="center"/>
        </w:trPr>
        <w:tc>
          <w:tcPr>
            <w:tcW w:w="0" w:type="auto"/>
          </w:tcPr>
          <w:p>
            <w:pPr>
              <w:keepNext/>
              <w:keepLines/>
              <w:rPr>
                <w:noProof/>
              </w:rPr>
            </w:pPr>
            <w:r>
              <w:rPr>
                <w:noProof/>
              </w:rPr>
              <w:t>IT</w:t>
            </w:r>
          </w:p>
        </w:tc>
        <w:tc>
          <w:tcPr>
            <w:tcW w:w="0" w:type="auto"/>
          </w:tcPr>
          <w:p>
            <w:pPr>
              <w:keepNext/>
              <w:keepLines/>
              <w:rPr>
                <w:noProof/>
              </w:rPr>
            </w:pPr>
            <w:r>
              <w:rPr>
                <w:noProof/>
              </w:rPr>
              <w:t>57 EUR/MWh</w:t>
            </w:r>
          </w:p>
        </w:tc>
        <w:tc>
          <w:tcPr>
            <w:tcW w:w="0" w:type="auto"/>
          </w:tcPr>
          <w:p>
            <w:pPr>
              <w:keepNext/>
              <w:keepLines/>
              <w:rPr>
                <w:noProof/>
              </w:rPr>
            </w:pPr>
            <w:r>
              <w:rPr>
                <w:noProof/>
              </w:rPr>
              <w:t>5%</w:t>
            </w:r>
          </w:p>
        </w:tc>
        <w:tc>
          <w:tcPr>
            <w:tcW w:w="0" w:type="auto"/>
          </w:tcPr>
          <w:p>
            <w:pPr>
              <w:keepNext/>
              <w:keepLines/>
              <w:rPr>
                <w:noProof/>
              </w:rPr>
            </w:pPr>
            <w:r>
              <w:rPr>
                <w:noProof/>
              </w:rPr>
              <w:t>18%</w:t>
            </w:r>
          </w:p>
        </w:tc>
      </w:tr>
    </w:tbl>
    <w:p>
      <w:pPr>
        <w:rPr>
          <w:noProof/>
        </w:rPr>
      </w:pPr>
    </w:p>
    <w:p>
      <w:pPr>
        <w:rPr>
          <w:noProof/>
          <w:sz w:val="24"/>
          <w:szCs w:val="24"/>
        </w:rPr>
      </w:pPr>
      <w:r>
        <w:rPr>
          <w:noProof/>
          <w:sz w:val="24"/>
          <w:szCs w:val="24"/>
        </w:rPr>
        <w:t xml:space="preserve">The realised electricity prices for wind onshore show similar characteristics as for the case of solar PV. Realised prices differ both over time and between regions, as can be seen from </w:t>
      </w:r>
      <w:r>
        <w:rPr>
          <w:noProof/>
          <w:sz w:val="24"/>
          <w:szCs w:val="24"/>
        </w:rPr>
        <w:fldChar w:fldCharType="begin"/>
      </w:r>
      <w:r>
        <w:rPr>
          <w:noProof/>
          <w:sz w:val="24"/>
          <w:szCs w:val="24"/>
        </w:rPr>
        <w:instrText xml:space="preserve"> REF _Ref50455930 \h  \* MERGEFORMAT </w:instrText>
      </w:r>
      <w:r>
        <w:rPr>
          <w:noProof/>
          <w:sz w:val="24"/>
          <w:szCs w:val="24"/>
        </w:rPr>
      </w:r>
      <w:r>
        <w:rPr>
          <w:noProof/>
          <w:sz w:val="24"/>
          <w:szCs w:val="24"/>
        </w:rPr>
        <w:fldChar w:fldCharType="separate"/>
      </w:r>
      <w:r>
        <w:rPr>
          <w:b/>
          <w:noProof/>
          <w:sz w:val="24"/>
          <w:szCs w:val="24"/>
        </w:rPr>
        <w:t>Figure 181</w:t>
      </w:r>
      <w:r>
        <w:rPr>
          <w:noProof/>
          <w:sz w:val="24"/>
          <w:szCs w:val="24"/>
        </w:rPr>
        <w:fldChar w:fldCharType="end"/>
      </w:r>
      <w:r>
        <w:rPr>
          <w:noProof/>
          <w:sz w:val="24"/>
          <w:szCs w:val="24"/>
        </w:rPr>
        <w:t>, which shows the realised prices for wind onshore in the EU Member States with the highest installed capacities. As for wholesale electricity prices in general, realised prices for wind onshore electricity showed a strong increase up to 2018. The relative price of wind onshore remains below the baseload price for all regions considered. Values range between 80% (Germany average in 2017) and 99% (France average in 2017) of baseload prices.</w:t>
      </w:r>
    </w:p>
    <w:p>
      <w:pPr>
        <w:jc w:val="center"/>
        <w:rPr>
          <w:noProof/>
        </w:rPr>
      </w:pPr>
      <w:r>
        <w:rPr>
          <w:noProof/>
          <w:lang w:eastAsia="en-GB"/>
        </w:rPr>
        <w:drawing>
          <wp:inline distT="0" distB="0" distL="0" distR="0">
            <wp:extent cx="4322445" cy="2883535"/>
            <wp:effectExtent l="0" t="0" r="1905" b="0"/>
            <wp:docPr id="1236880871" name="Picture 123688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4322445" cy="2883535"/>
                    </a:xfrm>
                    <a:prstGeom prst="rect">
                      <a:avLst/>
                    </a:prstGeom>
                    <a:noFill/>
                  </pic:spPr>
                </pic:pic>
              </a:graphicData>
            </a:graphic>
          </wp:inline>
        </w:drawing>
      </w:r>
    </w:p>
    <w:p>
      <w:pPr>
        <w:pStyle w:val="Caption"/>
      </w:pPr>
      <w:bookmarkStart w:id="745" w:name="_Ref50455930"/>
      <w:bookmarkStart w:id="746" w:name="_Toc50494175"/>
      <w:bookmarkStart w:id="747" w:name="_Toc52396953"/>
      <w:r>
        <w:t xml:space="preserve">Figure </w:t>
      </w:r>
      <w:r>
        <w:fldChar w:fldCharType="begin"/>
      </w:r>
      <w:r>
        <w:instrText xml:space="preserve"> SEQ Figure \* ARABIC </w:instrText>
      </w:r>
      <w:r>
        <w:fldChar w:fldCharType="separate"/>
      </w:r>
      <w:r>
        <w:t>181</w:t>
      </w:r>
      <w:r>
        <w:fldChar w:fldCharType="end"/>
      </w:r>
      <w:bookmarkEnd w:id="745"/>
      <w:r>
        <w:t xml:space="preserve"> – Realised electricity price in EUR/MWh for wind onshore</w:t>
      </w:r>
      <w:bookmarkEnd w:id="746"/>
      <w:bookmarkEnd w:id="747"/>
    </w:p>
    <w:p>
      <w:pPr>
        <w:pStyle w:val="Sources"/>
        <w:rPr>
          <w:noProof/>
        </w:rPr>
      </w:pPr>
      <w:r>
        <w:rPr>
          <w:noProof/>
        </w:rPr>
        <w:t>Source: Trinomics et al. 2020</w:t>
      </w:r>
    </w:p>
    <w:p>
      <w:pPr>
        <w:rPr>
          <w:noProof/>
        </w:rPr>
      </w:pPr>
    </w:p>
    <w:p>
      <w:pPr>
        <w:rPr>
          <w:noProof/>
          <w:sz w:val="24"/>
          <w:szCs w:val="24"/>
        </w:rPr>
      </w:pPr>
      <w:r>
        <w:rPr>
          <w:noProof/>
          <w:sz w:val="24"/>
          <w:szCs w:val="24"/>
        </w:rPr>
        <w:t xml:space="preserve">As shown in </w:t>
      </w:r>
      <w:r>
        <w:rPr>
          <w:b/>
          <w:noProof/>
          <w:sz w:val="24"/>
          <w:szCs w:val="24"/>
        </w:rPr>
        <w:fldChar w:fldCharType="begin"/>
      </w:r>
      <w:r>
        <w:rPr>
          <w:b/>
          <w:noProof/>
          <w:sz w:val="24"/>
          <w:szCs w:val="24"/>
        </w:rPr>
        <w:instrText xml:space="preserve"> REF _Ref50484031 \h  \* MERGEFORMAT </w:instrText>
      </w:r>
      <w:r>
        <w:rPr>
          <w:b/>
          <w:noProof/>
          <w:sz w:val="24"/>
          <w:szCs w:val="24"/>
        </w:rPr>
      </w:r>
      <w:r>
        <w:rPr>
          <w:b/>
          <w:noProof/>
          <w:sz w:val="24"/>
          <w:szCs w:val="24"/>
        </w:rPr>
        <w:fldChar w:fldCharType="separate"/>
      </w:r>
      <w:r>
        <w:rPr>
          <w:b/>
          <w:noProof/>
          <w:sz w:val="24"/>
          <w:szCs w:val="24"/>
        </w:rPr>
        <w:t>Figure 182</w:t>
      </w:r>
      <w:r>
        <w:rPr>
          <w:b/>
          <w:noProof/>
          <w:sz w:val="24"/>
          <w:szCs w:val="24"/>
        </w:rPr>
        <w:fldChar w:fldCharType="end"/>
      </w:r>
      <w:r>
        <w:rPr>
          <w:noProof/>
          <w:sz w:val="24"/>
          <w:szCs w:val="24"/>
        </w:rPr>
        <w:t xml:space="preserve">, costs for wind onshore have shown a decreasing tendency between 2008 and 2018 which has, however slowed down in recent years, showing even some rebound for the case of Spain. Consequently, the internal rate of return for on-shore wind projects remunerated entirely by the electricity market has stayed rather constant over the last years, reaching 3 - 4% in 2018. Higher rates of return could be achieved when support schemes were granted, ranging between 3 - 4% in the case of Germany and 14 – 18% in case of Italy. </w:t>
      </w:r>
    </w:p>
    <w:p>
      <w:pPr>
        <w:pStyle w:val="Caption"/>
        <w:rPr>
          <w:lang w:val="fr-BE"/>
        </w:rPr>
      </w:pPr>
      <w:r>
        <w:rPr>
          <w:lang w:eastAsia="en-GB"/>
        </w:rPr>
        <w:drawing>
          <wp:inline distT="0" distB="0" distL="0" distR="0">
            <wp:extent cx="4554220" cy="2950845"/>
            <wp:effectExtent l="0" t="0" r="0" b="1905"/>
            <wp:docPr id="1236880879" name="Picture 123688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4554220" cy="2950845"/>
                    </a:xfrm>
                    <a:prstGeom prst="rect">
                      <a:avLst/>
                    </a:prstGeom>
                    <a:noFill/>
                  </pic:spPr>
                </pic:pic>
              </a:graphicData>
            </a:graphic>
          </wp:inline>
        </w:drawing>
      </w:r>
    </w:p>
    <w:p>
      <w:pPr>
        <w:pStyle w:val="Caption"/>
      </w:pPr>
      <w:bookmarkStart w:id="748" w:name="_Ref50484031"/>
      <w:bookmarkStart w:id="749" w:name="_Toc50494176"/>
      <w:bookmarkStart w:id="750" w:name="_Toc52396954"/>
      <w:r>
        <w:t xml:space="preserve">Figure </w:t>
      </w:r>
      <w:r>
        <w:fldChar w:fldCharType="begin"/>
      </w:r>
      <w:r>
        <w:instrText xml:space="preserve"> SEQ Figure \* ARABIC </w:instrText>
      </w:r>
      <w:r>
        <w:fldChar w:fldCharType="separate"/>
      </w:r>
      <w:r>
        <w:t>182</w:t>
      </w:r>
      <w:r>
        <w:fldChar w:fldCharType="end"/>
      </w:r>
      <w:bookmarkEnd w:id="748"/>
      <w:r>
        <w:t xml:space="preserve"> - CAPEX for wind onshore in EUR/kW</w:t>
      </w:r>
      <w:bookmarkEnd w:id="749"/>
      <w:bookmarkEnd w:id="750"/>
    </w:p>
    <w:p>
      <w:pPr>
        <w:pStyle w:val="Sources"/>
        <w:rPr>
          <w:noProof/>
          <w:lang w:val="fr-BE"/>
        </w:rPr>
      </w:pPr>
      <w:r>
        <w:rPr>
          <w:noProof/>
          <w:lang w:val="fr-BE"/>
        </w:rPr>
        <w:t>Source: Trinomics et al. 2020</w:t>
      </w:r>
    </w:p>
    <w:p>
      <w:pPr>
        <w:jc w:val="center"/>
        <w:rPr>
          <w:noProof/>
          <w:lang w:val="fr-BE"/>
        </w:rPr>
      </w:pPr>
    </w:p>
    <w:p>
      <w:pPr>
        <w:jc w:val="center"/>
        <w:rPr>
          <w:noProof/>
          <w:lang w:val="fr-BE"/>
        </w:rPr>
      </w:pPr>
    </w:p>
    <w:p>
      <w:pPr>
        <w:jc w:val="center"/>
        <w:rPr>
          <w:noProof/>
          <w:lang w:val="fr-BE"/>
        </w:rPr>
      </w:pPr>
    </w:p>
    <w:p>
      <w:pPr>
        <w:pStyle w:val="Heading2"/>
        <w:numPr>
          <w:ilvl w:val="2"/>
          <w:numId w:val="1"/>
        </w:numPr>
        <w:rPr>
          <w:noProof/>
        </w:rPr>
      </w:pPr>
      <w:bookmarkStart w:id="751" w:name="_Toc50648364"/>
      <w:bookmarkStart w:id="752" w:name="_Toc50654394"/>
      <w:bookmarkStart w:id="753" w:name="_Toc50654949"/>
      <w:bookmarkStart w:id="754" w:name="_Toc50732496"/>
      <w:bookmarkStart w:id="755" w:name="_Toc52396580"/>
      <w:r>
        <w:rPr>
          <w:noProof/>
        </w:rPr>
        <w:t>Wind offshore</w:t>
      </w:r>
      <w:bookmarkEnd w:id="751"/>
      <w:bookmarkEnd w:id="752"/>
      <w:bookmarkEnd w:id="753"/>
      <w:bookmarkEnd w:id="754"/>
      <w:bookmarkEnd w:id="755"/>
    </w:p>
    <w:p>
      <w:pPr>
        <w:rPr>
          <w:noProof/>
          <w:sz w:val="24"/>
          <w:szCs w:val="24"/>
        </w:rPr>
      </w:pPr>
    </w:p>
    <w:p>
      <w:pPr>
        <w:pStyle w:val="Caption"/>
      </w:pPr>
      <w:bookmarkStart w:id="756" w:name="_Toc52396992"/>
      <w:r>
        <w:t xml:space="preserve">Table </w:t>
      </w:r>
      <w:r>
        <w:fldChar w:fldCharType="begin"/>
      </w:r>
      <w:r>
        <w:instrText xml:space="preserve"> SEQ Table \* ARABIC </w:instrText>
      </w:r>
      <w:r>
        <w:fldChar w:fldCharType="separate"/>
      </w:r>
      <w:r>
        <w:t>33</w:t>
      </w:r>
      <w:r>
        <w:fldChar w:fldCharType="end"/>
      </w:r>
      <w:r>
        <w:t xml:space="preserve"> – Maximum profitabvility observed for wind offshore</w:t>
      </w:r>
      <w:bookmarkEnd w:id="756"/>
    </w:p>
    <w:tbl>
      <w:tblPr>
        <w:tblStyle w:val="TableGrid"/>
        <w:tblW w:w="0" w:type="auto"/>
        <w:jc w:val="center"/>
        <w:tblLook w:val="04A0" w:firstRow="1" w:lastRow="0" w:firstColumn="1" w:lastColumn="0" w:noHBand="0" w:noVBand="1"/>
      </w:tblPr>
      <w:tblGrid>
        <w:gridCol w:w="938"/>
        <w:gridCol w:w="1506"/>
        <w:gridCol w:w="1396"/>
        <w:gridCol w:w="1445"/>
      </w:tblGrid>
      <w:tr>
        <w:trPr>
          <w:jc w:val="center"/>
        </w:trPr>
        <w:tc>
          <w:tcPr>
            <w:tcW w:w="0" w:type="auto"/>
          </w:tcPr>
          <w:p>
            <w:pPr>
              <w:keepNext/>
              <w:keepLines/>
              <w:rPr>
                <w:noProof/>
              </w:rPr>
            </w:pPr>
            <w:r>
              <w:rPr>
                <w:noProof/>
              </w:rPr>
              <w:t>Country</w:t>
            </w:r>
          </w:p>
        </w:tc>
        <w:tc>
          <w:tcPr>
            <w:tcW w:w="0" w:type="auto"/>
          </w:tcPr>
          <w:p>
            <w:pPr>
              <w:keepNext/>
              <w:keepLines/>
              <w:rPr>
                <w:noProof/>
              </w:rPr>
            </w:pPr>
            <w:r>
              <w:rPr>
                <w:noProof/>
              </w:rPr>
              <w:t>Price</w:t>
            </w:r>
          </w:p>
        </w:tc>
        <w:tc>
          <w:tcPr>
            <w:tcW w:w="0" w:type="auto"/>
          </w:tcPr>
          <w:p>
            <w:pPr>
              <w:keepNext/>
              <w:keepLines/>
              <w:rPr>
                <w:noProof/>
              </w:rPr>
            </w:pPr>
            <w:r>
              <w:rPr>
                <w:noProof/>
              </w:rPr>
              <w:t>IRR (market)</w:t>
            </w:r>
          </w:p>
        </w:tc>
        <w:tc>
          <w:tcPr>
            <w:tcW w:w="0" w:type="auto"/>
          </w:tcPr>
          <w:p>
            <w:pPr>
              <w:keepNext/>
              <w:keepLines/>
              <w:rPr>
                <w:noProof/>
              </w:rPr>
            </w:pPr>
            <w:r>
              <w:rPr>
                <w:noProof/>
              </w:rPr>
              <w:t>IRR (support)</w:t>
            </w:r>
          </w:p>
        </w:tc>
      </w:tr>
      <w:tr>
        <w:trPr>
          <w:jc w:val="center"/>
        </w:trPr>
        <w:tc>
          <w:tcPr>
            <w:tcW w:w="0" w:type="auto"/>
          </w:tcPr>
          <w:p>
            <w:pPr>
              <w:keepNext/>
              <w:keepLines/>
              <w:rPr>
                <w:noProof/>
              </w:rPr>
            </w:pPr>
            <w:r>
              <w:rPr>
                <w:noProof/>
              </w:rPr>
              <w:t>BE</w:t>
            </w:r>
          </w:p>
        </w:tc>
        <w:tc>
          <w:tcPr>
            <w:tcW w:w="0" w:type="auto"/>
          </w:tcPr>
          <w:p>
            <w:pPr>
              <w:keepNext/>
              <w:keepLines/>
              <w:rPr>
                <w:noProof/>
              </w:rPr>
            </w:pPr>
            <w:r>
              <w:rPr>
                <w:noProof/>
              </w:rPr>
              <w:t>52 EUR/MWh</w:t>
            </w:r>
          </w:p>
        </w:tc>
        <w:tc>
          <w:tcPr>
            <w:tcW w:w="0" w:type="auto"/>
          </w:tcPr>
          <w:p>
            <w:pPr>
              <w:keepNext/>
              <w:keepLines/>
              <w:rPr>
                <w:noProof/>
              </w:rPr>
            </w:pPr>
            <w:r>
              <w:rPr>
                <w:noProof/>
              </w:rPr>
              <w:t>3%</w:t>
            </w:r>
          </w:p>
        </w:tc>
        <w:tc>
          <w:tcPr>
            <w:tcW w:w="0" w:type="auto"/>
          </w:tcPr>
          <w:p>
            <w:pPr>
              <w:keepNext/>
              <w:keepLines/>
              <w:rPr>
                <w:noProof/>
              </w:rPr>
            </w:pPr>
            <w:r>
              <w:rPr>
                <w:noProof/>
              </w:rPr>
              <w:t>11%</w:t>
            </w:r>
          </w:p>
        </w:tc>
      </w:tr>
      <w:tr>
        <w:trPr>
          <w:jc w:val="center"/>
        </w:trPr>
        <w:tc>
          <w:tcPr>
            <w:tcW w:w="0" w:type="auto"/>
          </w:tcPr>
          <w:p>
            <w:pPr>
              <w:keepNext/>
              <w:keepLines/>
              <w:rPr>
                <w:noProof/>
              </w:rPr>
            </w:pPr>
            <w:r>
              <w:rPr>
                <w:noProof/>
              </w:rPr>
              <w:t>DE</w:t>
            </w:r>
          </w:p>
        </w:tc>
        <w:tc>
          <w:tcPr>
            <w:tcW w:w="0" w:type="auto"/>
          </w:tcPr>
          <w:p>
            <w:pPr>
              <w:keepNext/>
              <w:keepLines/>
              <w:rPr>
                <w:noProof/>
              </w:rPr>
            </w:pPr>
            <w:r>
              <w:rPr>
                <w:noProof/>
              </w:rPr>
              <w:t>47 EUR/MWh</w:t>
            </w:r>
          </w:p>
        </w:tc>
        <w:tc>
          <w:tcPr>
            <w:tcW w:w="0" w:type="auto"/>
          </w:tcPr>
          <w:p>
            <w:pPr>
              <w:keepNext/>
              <w:keepLines/>
              <w:rPr>
                <w:noProof/>
              </w:rPr>
            </w:pPr>
            <w:r>
              <w:rPr>
                <w:noProof/>
              </w:rPr>
              <w:t>1%</w:t>
            </w:r>
          </w:p>
        </w:tc>
        <w:tc>
          <w:tcPr>
            <w:tcW w:w="0" w:type="auto"/>
          </w:tcPr>
          <w:p>
            <w:pPr>
              <w:keepNext/>
              <w:keepLines/>
              <w:rPr>
                <w:noProof/>
              </w:rPr>
            </w:pPr>
            <w:r>
              <w:rPr>
                <w:noProof/>
              </w:rPr>
              <w:t>9%</w:t>
            </w:r>
          </w:p>
        </w:tc>
      </w:tr>
      <w:tr>
        <w:trPr>
          <w:jc w:val="center"/>
        </w:trPr>
        <w:tc>
          <w:tcPr>
            <w:tcW w:w="0" w:type="auto"/>
          </w:tcPr>
          <w:p>
            <w:pPr>
              <w:keepNext/>
              <w:keepLines/>
              <w:rPr>
                <w:noProof/>
              </w:rPr>
            </w:pPr>
            <w:r>
              <w:rPr>
                <w:noProof/>
              </w:rPr>
              <w:t>NL</w:t>
            </w:r>
          </w:p>
        </w:tc>
        <w:tc>
          <w:tcPr>
            <w:tcW w:w="0" w:type="auto"/>
          </w:tcPr>
          <w:p>
            <w:pPr>
              <w:keepNext/>
              <w:keepLines/>
              <w:rPr>
                <w:noProof/>
              </w:rPr>
            </w:pPr>
            <w:r>
              <w:rPr>
                <w:noProof/>
              </w:rPr>
              <w:t>50 EUR/MWh</w:t>
            </w:r>
          </w:p>
        </w:tc>
        <w:tc>
          <w:tcPr>
            <w:tcW w:w="0" w:type="auto"/>
          </w:tcPr>
          <w:p>
            <w:pPr>
              <w:keepNext/>
              <w:keepLines/>
              <w:rPr>
                <w:noProof/>
              </w:rPr>
            </w:pPr>
            <w:r>
              <w:rPr>
                <w:noProof/>
              </w:rPr>
              <w:t>5%</w:t>
            </w:r>
          </w:p>
        </w:tc>
        <w:tc>
          <w:tcPr>
            <w:tcW w:w="0" w:type="auto"/>
          </w:tcPr>
          <w:p>
            <w:pPr>
              <w:keepNext/>
              <w:keepLines/>
              <w:rPr>
                <w:noProof/>
              </w:rPr>
            </w:pPr>
            <w:r>
              <w:rPr>
                <w:noProof/>
              </w:rPr>
              <w:t>6%</w:t>
            </w:r>
          </w:p>
        </w:tc>
      </w:tr>
    </w:tbl>
    <w:p>
      <w:pPr>
        <w:rPr>
          <w:noProof/>
          <w:sz w:val="24"/>
          <w:szCs w:val="24"/>
        </w:rPr>
      </w:pPr>
    </w:p>
    <w:p>
      <w:pPr>
        <w:rPr>
          <w:noProof/>
          <w:sz w:val="24"/>
          <w:szCs w:val="24"/>
        </w:rPr>
      </w:pPr>
      <w:r>
        <w:rPr>
          <w:b/>
          <w:noProof/>
          <w:sz w:val="24"/>
          <w:szCs w:val="24"/>
        </w:rPr>
        <w:fldChar w:fldCharType="begin"/>
      </w:r>
      <w:r>
        <w:rPr>
          <w:b/>
          <w:noProof/>
          <w:sz w:val="24"/>
          <w:szCs w:val="24"/>
        </w:rPr>
        <w:instrText xml:space="preserve"> REF _Ref50480784 \h  \* MERGEFORMAT </w:instrText>
      </w:r>
      <w:r>
        <w:rPr>
          <w:b/>
          <w:noProof/>
          <w:sz w:val="24"/>
          <w:szCs w:val="24"/>
        </w:rPr>
      </w:r>
      <w:r>
        <w:rPr>
          <w:b/>
          <w:noProof/>
          <w:sz w:val="24"/>
          <w:szCs w:val="24"/>
        </w:rPr>
        <w:fldChar w:fldCharType="separate"/>
      </w:r>
      <w:r>
        <w:rPr>
          <w:b/>
          <w:noProof/>
          <w:sz w:val="24"/>
          <w:szCs w:val="24"/>
        </w:rPr>
        <w:t>Figure 183</w:t>
      </w:r>
      <w:r>
        <w:rPr>
          <w:b/>
          <w:noProof/>
          <w:sz w:val="24"/>
          <w:szCs w:val="24"/>
        </w:rPr>
        <w:fldChar w:fldCharType="end"/>
      </w:r>
      <w:r>
        <w:rPr>
          <w:noProof/>
          <w:sz w:val="24"/>
          <w:szCs w:val="24"/>
        </w:rPr>
        <w:t xml:space="preserve"> shows the development of realised prices for wind offshore during the period of 2012 and 2018. Wind offshore sells for consistently higher prices then wind on-shore as can be seen on the example of Germany, where the average premium is 2-5 EUR/MWh. Overall, wind offshore trades at a discount (between 1 and 13% during 2015 -2018) to baseload prices. Significant differences can be observed between EU Member States with realised prices in Belgium exceeding those in Denmark by 14 EUR/ MWh in 2018.</w:t>
      </w:r>
    </w:p>
    <w:p>
      <w:pPr>
        <w:rPr>
          <w:noProof/>
          <w:sz w:val="24"/>
          <w:szCs w:val="24"/>
        </w:rPr>
      </w:pPr>
    </w:p>
    <w:p>
      <w:pPr>
        <w:jc w:val="center"/>
        <w:rPr>
          <w:noProof/>
        </w:rPr>
      </w:pPr>
      <w:r>
        <w:rPr>
          <w:noProof/>
          <w:lang w:eastAsia="en-GB"/>
        </w:rPr>
        <w:drawing>
          <wp:inline distT="0" distB="0" distL="0" distR="0">
            <wp:extent cx="4316095" cy="2883535"/>
            <wp:effectExtent l="0" t="0" r="8255" b="0"/>
            <wp:docPr id="1236880874" name="Picture 123688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a:extLst>
                        <a:ext uri="{28A0092B-C50C-407E-A947-70E740481C1C}">
                          <a14:useLocalDpi xmlns:a14="http://schemas.microsoft.com/office/drawing/2010/main"/>
                        </a:ext>
                      </a:extLst>
                    </a:blip>
                    <a:srcRect/>
                    <a:stretch>
                      <a:fillRect/>
                    </a:stretch>
                  </pic:blipFill>
                  <pic:spPr bwMode="auto">
                    <a:xfrm>
                      <a:off x="0" y="0"/>
                      <a:ext cx="4316095" cy="2883535"/>
                    </a:xfrm>
                    <a:prstGeom prst="rect">
                      <a:avLst/>
                    </a:prstGeom>
                    <a:noFill/>
                  </pic:spPr>
                </pic:pic>
              </a:graphicData>
            </a:graphic>
          </wp:inline>
        </w:drawing>
      </w:r>
    </w:p>
    <w:p>
      <w:pPr>
        <w:pStyle w:val="Caption"/>
      </w:pPr>
      <w:bookmarkStart w:id="757" w:name="_Ref50480784"/>
      <w:bookmarkStart w:id="758" w:name="_Toc50494177"/>
      <w:bookmarkStart w:id="759" w:name="_Toc52396955"/>
      <w:r>
        <w:t xml:space="preserve">Figure </w:t>
      </w:r>
      <w:r>
        <w:fldChar w:fldCharType="begin"/>
      </w:r>
      <w:r>
        <w:instrText xml:space="preserve"> SEQ Figure \* ARABIC </w:instrText>
      </w:r>
      <w:r>
        <w:fldChar w:fldCharType="separate"/>
      </w:r>
      <w:r>
        <w:t>183</w:t>
      </w:r>
      <w:r>
        <w:fldChar w:fldCharType="end"/>
      </w:r>
      <w:bookmarkEnd w:id="757"/>
      <w:r>
        <w:t xml:space="preserve"> - Realised electricity price per as percentage of baseload price for wind offshore</w:t>
      </w:r>
      <w:bookmarkEnd w:id="758"/>
      <w:bookmarkEnd w:id="759"/>
    </w:p>
    <w:p>
      <w:pPr>
        <w:pStyle w:val="Sources"/>
        <w:rPr>
          <w:noProof/>
        </w:rPr>
      </w:pPr>
      <w:r>
        <w:rPr>
          <w:noProof/>
        </w:rPr>
        <w:t>Source: Trinomics et al. 2020</w:t>
      </w:r>
    </w:p>
    <w:p>
      <w:pPr>
        <w:rPr>
          <w:noProof/>
        </w:rPr>
      </w:pPr>
    </w:p>
    <w:p>
      <w:pPr>
        <w:rPr>
          <w:noProof/>
          <w:sz w:val="24"/>
          <w:szCs w:val="24"/>
        </w:rPr>
      </w:pPr>
      <w:r>
        <w:rPr>
          <w:noProof/>
          <w:sz w:val="24"/>
          <w:szCs w:val="24"/>
        </w:rPr>
        <w:t xml:space="preserve">There is no easily identifiable trend for costs of wind offshore projects as these depend on location, distance from shore, water depth and other factors (see </w:t>
      </w:r>
      <w:r>
        <w:rPr>
          <w:b/>
          <w:noProof/>
          <w:sz w:val="24"/>
          <w:szCs w:val="24"/>
        </w:rPr>
        <w:fldChar w:fldCharType="begin"/>
      </w:r>
      <w:r>
        <w:rPr>
          <w:b/>
          <w:noProof/>
          <w:sz w:val="24"/>
          <w:szCs w:val="24"/>
        </w:rPr>
        <w:instrText xml:space="preserve"> REF _Ref50492171 \h  \* MERGEFORMAT </w:instrText>
      </w:r>
      <w:r>
        <w:rPr>
          <w:b/>
          <w:noProof/>
          <w:sz w:val="24"/>
          <w:szCs w:val="24"/>
        </w:rPr>
      </w:r>
      <w:r>
        <w:rPr>
          <w:b/>
          <w:noProof/>
          <w:sz w:val="24"/>
          <w:szCs w:val="24"/>
        </w:rPr>
        <w:fldChar w:fldCharType="separate"/>
      </w:r>
      <w:r>
        <w:rPr>
          <w:b/>
          <w:noProof/>
          <w:sz w:val="24"/>
          <w:szCs w:val="24"/>
        </w:rPr>
        <w:t>Figure 184</w:t>
      </w:r>
      <w:r>
        <w:rPr>
          <w:b/>
          <w:noProof/>
          <w:sz w:val="24"/>
          <w:szCs w:val="24"/>
        </w:rPr>
        <w:fldChar w:fldCharType="end"/>
      </w:r>
      <w:r>
        <w:rPr>
          <w:noProof/>
          <w:sz w:val="24"/>
          <w:szCs w:val="24"/>
        </w:rPr>
        <w:t>). The variation observed from one year to another is mainly due to the low number of actual projects, which do not provide a meaningful average. The other factor is the nature of projects: distance from shore, depth of installations, location, etc. Annual averages can be influenced by individual projects.</w:t>
      </w:r>
    </w:p>
    <w:p>
      <w:pPr>
        <w:rPr>
          <w:noProof/>
          <w:sz w:val="24"/>
          <w:szCs w:val="24"/>
        </w:rPr>
      </w:pPr>
      <w:r>
        <w:rPr>
          <w:noProof/>
          <w:sz w:val="24"/>
          <w:szCs w:val="24"/>
        </w:rPr>
        <w:t>Based on a remuneration on electricity markets, IRRs of wind offshore projects during the period of 2008 – 2018 are between -4 and 5%. Based on support remuneration, IRRs of up to 9% could be achieved for projects started in the year 2018 in Belgium or Germany.</w:t>
      </w:r>
    </w:p>
    <w:p>
      <w:pPr>
        <w:rPr>
          <w:noProof/>
          <w:sz w:val="24"/>
          <w:szCs w:val="24"/>
        </w:rPr>
      </w:pPr>
      <w:r>
        <w:rPr>
          <w:noProof/>
          <w:sz w:val="24"/>
          <w:szCs w:val="24"/>
        </w:rPr>
        <w:t>As further elaborated in Trinomics et al. (2020), auction results of renewable energy projects seem to suggest that even offshore wind projects can be realised without subsidies. There are, however, several caveats when interpreting auction results, which may point to a higher cost and subsidy requirement if properly accounted for.</w:t>
      </w:r>
    </w:p>
    <w:p>
      <w:pPr>
        <w:jc w:val="center"/>
        <w:rPr>
          <w:noProof/>
        </w:rPr>
      </w:pPr>
      <w:r>
        <w:rPr>
          <w:noProof/>
          <w:lang w:eastAsia="en-GB"/>
        </w:rPr>
        <w:drawing>
          <wp:inline distT="0" distB="0" distL="0" distR="0">
            <wp:extent cx="4554220" cy="2944495"/>
            <wp:effectExtent l="0" t="0" r="0" b="8255"/>
            <wp:docPr id="1236880889" name="Picture 123688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4554220" cy="2944495"/>
                    </a:xfrm>
                    <a:prstGeom prst="rect">
                      <a:avLst/>
                    </a:prstGeom>
                    <a:noFill/>
                  </pic:spPr>
                </pic:pic>
              </a:graphicData>
            </a:graphic>
          </wp:inline>
        </w:drawing>
      </w:r>
    </w:p>
    <w:p>
      <w:pPr>
        <w:pStyle w:val="Caption"/>
      </w:pPr>
      <w:bookmarkStart w:id="760" w:name="_Ref50492171"/>
      <w:bookmarkStart w:id="761" w:name="_Toc50494178"/>
      <w:bookmarkStart w:id="762" w:name="_Toc52396956"/>
      <w:r>
        <w:t xml:space="preserve">Figure </w:t>
      </w:r>
      <w:r>
        <w:fldChar w:fldCharType="begin"/>
      </w:r>
      <w:r>
        <w:instrText xml:space="preserve"> SEQ Figure \* ARABIC </w:instrText>
      </w:r>
      <w:r>
        <w:fldChar w:fldCharType="separate"/>
      </w:r>
      <w:r>
        <w:t>184</w:t>
      </w:r>
      <w:r>
        <w:fldChar w:fldCharType="end"/>
      </w:r>
      <w:bookmarkEnd w:id="760"/>
      <w:r>
        <w:t xml:space="preserve"> – </w:t>
      </w:r>
      <w:r>
        <w:rPr>
          <w:lang w:val="en-US"/>
        </w:rPr>
        <w:t>CAPEX for wind offshore for selected countries</w:t>
      </w:r>
      <w:bookmarkEnd w:id="761"/>
      <w:bookmarkEnd w:id="762"/>
    </w:p>
    <w:p>
      <w:pPr>
        <w:pStyle w:val="Sources"/>
        <w:rPr>
          <w:noProof/>
        </w:rPr>
      </w:pPr>
      <w:r>
        <w:rPr>
          <w:noProof/>
        </w:rPr>
        <w:t>Source: Trinomics et al. 2020</w:t>
      </w:r>
    </w:p>
    <w:p>
      <w:pPr>
        <w:rPr>
          <w:noProof/>
        </w:rPr>
      </w:pPr>
    </w:p>
    <w:p>
      <w:pPr>
        <w:pStyle w:val="Heading2"/>
        <w:numPr>
          <w:ilvl w:val="2"/>
          <w:numId w:val="1"/>
        </w:numPr>
        <w:rPr>
          <w:noProof/>
        </w:rPr>
      </w:pPr>
      <w:bookmarkStart w:id="763" w:name="_Toc50648365"/>
      <w:bookmarkStart w:id="764" w:name="_Toc50654395"/>
      <w:bookmarkStart w:id="765" w:name="_Toc50654950"/>
      <w:bookmarkStart w:id="766" w:name="_Toc50732497"/>
      <w:bookmarkStart w:id="767" w:name="_Toc52396581"/>
      <w:r>
        <w:rPr>
          <w:noProof/>
        </w:rPr>
        <w:t>Gas fired power generation</w:t>
      </w:r>
      <w:bookmarkEnd w:id="763"/>
      <w:bookmarkEnd w:id="764"/>
      <w:bookmarkEnd w:id="765"/>
      <w:bookmarkEnd w:id="766"/>
      <w:bookmarkEnd w:id="767"/>
    </w:p>
    <w:p>
      <w:pPr>
        <w:rPr>
          <w:noProof/>
        </w:rPr>
      </w:pPr>
    </w:p>
    <w:p>
      <w:pPr>
        <w:rPr>
          <w:noProof/>
          <w:sz w:val="24"/>
          <w:szCs w:val="24"/>
        </w:rPr>
      </w:pPr>
      <w:r>
        <w:rPr>
          <w:noProof/>
          <w:sz w:val="24"/>
          <w:szCs w:val="24"/>
        </w:rPr>
        <w:t xml:space="preserve">As opposed to wind and solar generation, gas-fired power plants realise higher than baseload power prices as they can adapt their output to changes in demand. These generators take the decision to produce electricity based on price signals, seeking to produce when market revenues cover the costs of producing an additional unit of electricity. As can be seen from </w:t>
      </w:r>
      <w:r>
        <w:rPr>
          <w:b/>
          <w:noProof/>
          <w:sz w:val="24"/>
          <w:szCs w:val="24"/>
        </w:rPr>
        <w:fldChar w:fldCharType="begin"/>
      </w:r>
      <w:r>
        <w:rPr>
          <w:b/>
          <w:noProof/>
          <w:sz w:val="24"/>
          <w:szCs w:val="24"/>
        </w:rPr>
        <w:instrText xml:space="preserve"> REF _Ref50493486 \h  \* MERGEFORMAT </w:instrText>
      </w:r>
      <w:r>
        <w:rPr>
          <w:b/>
          <w:noProof/>
          <w:sz w:val="24"/>
          <w:szCs w:val="24"/>
        </w:rPr>
      </w:r>
      <w:r>
        <w:rPr>
          <w:b/>
          <w:noProof/>
          <w:sz w:val="24"/>
          <w:szCs w:val="24"/>
        </w:rPr>
        <w:fldChar w:fldCharType="separate"/>
      </w:r>
      <w:r>
        <w:rPr>
          <w:b/>
          <w:noProof/>
          <w:sz w:val="24"/>
          <w:szCs w:val="24"/>
        </w:rPr>
        <w:t>Figure 185</w:t>
      </w:r>
      <w:r>
        <w:rPr>
          <w:b/>
          <w:noProof/>
          <w:sz w:val="24"/>
          <w:szCs w:val="24"/>
        </w:rPr>
        <w:fldChar w:fldCharType="end"/>
      </w:r>
      <w:r>
        <w:rPr>
          <w:noProof/>
          <w:sz w:val="24"/>
          <w:szCs w:val="24"/>
        </w:rPr>
        <w:t>, realised prices for gas fired power plants are higher and vary less over time than realised prices of meteorologically driven sources. The general increase of electricity wholesale prices in the years 2017 and 2018 can be observed in the case of gas fired generation. Realised prices vary between Member States: annual averaged were between 51 and 68 EUR/MWh in 2018.</w:t>
      </w:r>
    </w:p>
    <w:p>
      <w:pPr>
        <w:rPr>
          <w:noProof/>
        </w:rPr>
      </w:pPr>
    </w:p>
    <w:p>
      <w:pPr>
        <w:jc w:val="center"/>
        <w:rPr>
          <w:noProof/>
        </w:rPr>
      </w:pPr>
      <w:r>
        <w:rPr>
          <w:noProof/>
          <w:lang w:eastAsia="en-GB"/>
        </w:rPr>
        <w:drawing>
          <wp:inline distT="0" distB="0" distL="0" distR="0">
            <wp:extent cx="4322445" cy="2877820"/>
            <wp:effectExtent l="0" t="0" r="1905" b="0"/>
            <wp:docPr id="1236880893" name="Picture 123688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4322445" cy="2877820"/>
                    </a:xfrm>
                    <a:prstGeom prst="rect">
                      <a:avLst/>
                    </a:prstGeom>
                    <a:noFill/>
                  </pic:spPr>
                </pic:pic>
              </a:graphicData>
            </a:graphic>
          </wp:inline>
        </w:drawing>
      </w:r>
    </w:p>
    <w:p>
      <w:pPr>
        <w:pStyle w:val="Caption"/>
      </w:pPr>
      <w:bookmarkStart w:id="768" w:name="_Ref50493486"/>
      <w:bookmarkStart w:id="769" w:name="_Toc50494179"/>
      <w:bookmarkStart w:id="770" w:name="_Ref50546368"/>
      <w:bookmarkStart w:id="771" w:name="_Toc52396957"/>
      <w:r>
        <w:t xml:space="preserve">Figure </w:t>
      </w:r>
      <w:r>
        <w:fldChar w:fldCharType="begin"/>
      </w:r>
      <w:r>
        <w:instrText xml:space="preserve"> SEQ Figure \* ARABIC </w:instrText>
      </w:r>
      <w:r>
        <w:fldChar w:fldCharType="separate"/>
      </w:r>
      <w:r>
        <w:t>185</w:t>
      </w:r>
      <w:r>
        <w:fldChar w:fldCharType="end"/>
      </w:r>
      <w:bookmarkEnd w:id="768"/>
      <w:r>
        <w:t xml:space="preserve"> – </w:t>
      </w:r>
      <w:r>
        <w:rPr>
          <w:lang w:val="en-US"/>
        </w:rPr>
        <w:t>Realised  price for gas-fired power</w:t>
      </w:r>
      <w:bookmarkEnd w:id="769"/>
      <w:bookmarkEnd w:id="770"/>
      <w:bookmarkEnd w:id="771"/>
    </w:p>
    <w:p>
      <w:pPr>
        <w:pStyle w:val="Sources"/>
        <w:rPr>
          <w:noProof/>
        </w:rPr>
      </w:pPr>
      <w:r>
        <w:rPr>
          <w:noProof/>
        </w:rPr>
        <w:t>Source: Trinomics et al. 2020</w:t>
      </w:r>
    </w:p>
    <w:p>
      <w:pPr>
        <w:rPr>
          <w:noProof/>
        </w:rPr>
      </w:pPr>
    </w:p>
    <w:p>
      <w:pPr>
        <w:rPr>
          <w:noProof/>
          <w:sz w:val="24"/>
          <w:szCs w:val="24"/>
        </w:rPr>
      </w:pPr>
      <w:r>
        <w:rPr>
          <w:noProof/>
          <w:sz w:val="24"/>
          <w:szCs w:val="24"/>
        </w:rPr>
        <w:t xml:space="preserve">As a result of their flexibility, gas-fired power plants can provide system services (or ancillary services) such as frequency reserve. These provide additional revenues worth between 5-15% of the sales on electricity markets. In some cases, gas fired power plants receive capacity payments for their availability. Costs of gas fired power stations include the investment, fixed operating costs, fuel cost and costs for emission rights. These increase the number of uncertainties in the determination of profitability as a gas fired power plant built in 2018 with a life-span of 30 years could operate up to 2048 or even beyond. According to the projections used for the economic analysis, gas-fired power plants remain in the European energy mix but load factors will decrease substantially, leading to an erosion of revenues from electricity markets as shown in </w:t>
      </w:r>
      <w:r>
        <w:rPr>
          <w:b/>
          <w:noProof/>
          <w:sz w:val="24"/>
          <w:szCs w:val="24"/>
        </w:rPr>
        <w:fldChar w:fldCharType="begin"/>
      </w:r>
      <w:r>
        <w:rPr>
          <w:b/>
          <w:noProof/>
          <w:sz w:val="24"/>
          <w:szCs w:val="24"/>
        </w:rPr>
        <w:instrText xml:space="preserve"> REF _Ref50656765 \h  \* MERGEFORMAT </w:instrText>
      </w:r>
      <w:r>
        <w:rPr>
          <w:b/>
          <w:noProof/>
          <w:sz w:val="24"/>
          <w:szCs w:val="24"/>
        </w:rPr>
      </w:r>
      <w:r>
        <w:rPr>
          <w:b/>
          <w:noProof/>
          <w:sz w:val="24"/>
          <w:szCs w:val="24"/>
        </w:rPr>
        <w:fldChar w:fldCharType="separate"/>
      </w:r>
      <w:r>
        <w:rPr>
          <w:b/>
          <w:noProof/>
          <w:sz w:val="24"/>
          <w:szCs w:val="24"/>
        </w:rPr>
        <w:t>Figure 186</w:t>
      </w:r>
      <w:r>
        <w:rPr>
          <w:b/>
          <w:noProof/>
          <w:sz w:val="24"/>
          <w:szCs w:val="24"/>
        </w:rPr>
        <w:fldChar w:fldCharType="end"/>
      </w:r>
      <w:r>
        <w:rPr>
          <w:noProof/>
          <w:sz w:val="24"/>
          <w:szCs w:val="24"/>
        </w:rPr>
        <w:t xml:space="preserve">. Costs are, however, pushed upwards by an anticipated increase in the prices for fuel and emissions rights, which are assumed to reach a price of 350 EUR/t in 2050. Based on the projections this results in relatively low and negative IRR rates for gas fired power generation. </w:t>
      </w:r>
    </w:p>
    <w:p>
      <w:pPr>
        <w:jc w:val="center"/>
        <w:rPr>
          <w:noProof/>
        </w:rPr>
      </w:pPr>
    </w:p>
    <w:p>
      <w:pPr>
        <w:keepNext/>
        <w:keepLines/>
        <w:jc w:val="center"/>
        <w:rPr>
          <w:noProof/>
        </w:rPr>
      </w:pPr>
      <w:r>
        <w:rPr>
          <w:noProof/>
          <w:lang w:eastAsia="en-GB"/>
        </w:rPr>
        <w:drawing>
          <wp:inline distT="0" distB="0" distL="0" distR="0">
            <wp:extent cx="4633595" cy="27374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4633595" cy="2737485"/>
                    </a:xfrm>
                    <a:prstGeom prst="rect">
                      <a:avLst/>
                    </a:prstGeom>
                    <a:noFill/>
                  </pic:spPr>
                </pic:pic>
              </a:graphicData>
            </a:graphic>
          </wp:inline>
        </w:drawing>
      </w:r>
    </w:p>
    <w:p>
      <w:pPr>
        <w:pStyle w:val="Caption"/>
      </w:pPr>
      <w:bookmarkStart w:id="772" w:name="_Ref50656765"/>
      <w:bookmarkStart w:id="773" w:name="_Ref50544057"/>
      <w:bookmarkStart w:id="774" w:name="_Toc52396958"/>
      <w:r>
        <w:t xml:space="preserve">Figure </w:t>
      </w:r>
      <w:r>
        <w:fldChar w:fldCharType="begin"/>
      </w:r>
      <w:r>
        <w:instrText xml:space="preserve"> SEQ Figure \* ARABIC </w:instrText>
      </w:r>
      <w:r>
        <w:fldChar w:fldCharType="separate"/>
      </w:r>
      <w:r>
        <w:t>186</w:t>
      </w:r>
      <w:r>
        <w:fldChar w:fldCharType="end"/>
      </w:r>
      <w:bookmarkEnd w:id="772"/>
      <w:r>
        <w:t xml:space="preserve"> – Revenue for gas fired generation by installed MW</w:t>
      </w:r>
      <w:bookmarkEnd w:id="773"/>
      <w:bookmarkEnd w:id="774"/>
    </w:p>
    <w:p>
      <w:pPr>
        <w:jc w:val="left"/>
        <w:rPr>
          <w:noProof/>
          <w:sz w:val="20"/>
          <w:lang w:val="fr-BE"/>
        </w:rPr>
      </w:pPr>
      <w:r>
        <w:rPr>
          <w:noProof/>
          <w:sz w:val="20"/>
          <w:lang w:val="fr-BE"/>
        </w:rPr>
        <w:t>Source: Trinomics et al. 2020</w:t>
      </w:r>
    </w:p>
    <w:p>
      <w:pPr>
        <w:rPr>
          <w:noProof/>
        </w:rPr>
      </w:pPr>
    </w:p>
    <w:p>
      <w:pPr>
        <w:pStyle w:val="Heading2"/>
        <w:numPr>
          <w:ilvl w:val="2"/>
          <w:numId w:val="1"/>
        </w:numPr>
        <w:rPr>
          <w:noProof/>
        </w:rPr>
      </w:pPr>
      <w:bookmarkStart w:id="775" w:name="_Toc50648366"/>
      <w:bookmarkStart w:id="776" w:name="_Toc50654396"/>
      <w:bookmarkStart w:id="777" w:name="_Toc50654951"/>
      <w:bookmarkStart w:id="778" w:name="_Toc50732498"/>
      <w:bookmarkStart w:id="779" w:name="_Toc52396582"/>
      <w:r>
        <w:rPr>
          <w:noProof/>
        </w:rPr>
        <w:t>Coal fired power generation</w:t>
      </w:r>
      <w:bookmarkEnd w:id="775"/>
      <w:bookmarkEnd w:id="776"/>
      <w:bookmarkEnd w:id="777"/>
      <w:bookmarkEnd w:id="778"/>
      <w:bookmarkEnd w:id="779"/>
    </w:p>
    <w:p>
      <w:pPr>
        <w:rPr>
          <w:noProof/>
          <w:sz w:val="24"/>
          <w:szCs w:val="24"/>
        </w:rPr>
      </w:pPr>
    </w:p>
    <w:p>
      <w:pPr>
        <w:rPr>
          <w:noProof/>
          <w:sz w:val="24"/>
          <w:szCs w:val="24"/>
        </w:rPr>
      </w:pPr>
      <w:r>
        <w:rPr>
          <w:noProof/>
          <w:sz w:val="24"/>
          <w:szCs w:val="24"/>
        </w:rPr>
        <w:t xml:space="preserve">Coal fired power plants share technical and economic features of gas fired plants. They are dispatched based on price signals as they can largely adapt their output to demand. Depending on the plant’s vintage, the key flexibility parameters such as minimum load and ramping capability of coal fired power plants might limit the load following capability. Coal fired power plants may also provide ancillary services, which generate additional revenues. The “marginal” costs of producing an additional unit of electricity depends largely on the price of the fuel and of emission rights. During the time period considered, coal fired power plants generally have lower marginal costs than gas fired plants, which leads to lower realised prices as can be seen when comparing </w:t>
      </w:r>
      <w:r>
        <w:rPr>
          <w:b/>
          <w:noProof/>
          <w:sz w:val="24"/>
          <w:szCs w:val="24"/>
        </w:rPr>
        <w:fldChar w:fldCharType="begin"/>
      </w:r>
      <w:r>
        <w:rPr>
          <w:b/>
          <w:noProof/>
          <w:sz w:val="24"/>
          <w:szCs w:val="24"/>
        </w:rPr>
        <w:instrText xml:space="preserve"> REF _Ref50546504 \h  \* MERGEFORMAT </w:instrText>
      </w:r>
      <w:r>
        <w:rPr>
          <w:b/>
          <w:noProof/>
          <w:sz w:val="24"/>
          <w:szCs w:val="24"/>
        </w:rPr>
      </w:r>
      <w:r>
        <w:rPr>
          <w:b/>
          <w:noProof/>
          <w:sz w:val="24"/>
          <w:szCs w:val="24"/>
        </w:rPr>
        <w:fldChar w:fldCharType="separate"/>
      </w:r>
      <w:r>
        <w:rPr>
          <w:b/>
          <w:noProof/>
          <w:sz w:val="24"/>
          <w:szCs w:val="24"/>
        </w:rPr>
        <w:t>Figure 187</w:t>
      </w:r>
      <w:r>
        <w:rPr>
          <w:b/>
          <w:noProof/>
          <w:sz w:val="24"/>
          <w:szCs w:val="24"/>
        </w:rPr>
        <w:fldChar w:fldCharType="end"/>
      </w:r>
      <w:r>
        <w:rPr>
          <w:noProof/>
          <w:sz w:val="24"/>
          <w:szCs w:val="24"/>
        </w:rPr>
        <w:t xml:space="preserve"> with </w:t>
      </w:r>
      <w:r>
        <w:rPr>
          <w:b/>
          <w:noProof/>
          <w:sz w:val="24"/>
          <w:szCs w:val="24"/>
        </w:rPr>
        <w:fldChar w:fldCharType="begin"/>
      </w:r>
      <w:r>
        <w:rPr>
          <w:b/>
          <w:noProof/>
          <w:sz w:val="24"/>
          <w:szCs w:val="24"/>
        </w:rPr>
        <w:instrText xml:space="preserve"> REF _Ref50493486 \h  \* MERGEFORMAT </w:instrText>
      </w:r>
      <w:r>
        <w:rPr>
          <w:b/>
          <w:noProof/>
          <w:sz w:val="24"/>
          <w:szCs w:val="24"/>
        </w:rPr>
      </w:r>
      <w:r>
        <w:rPr>
          <w:b/>
          <w:noProof/>
          <w:sz w:val="24"/>
          <w:szCs w:val="24"/>
        </w:rPr>
        <w:fldChar w:fldCharType="separate"/>
      </w:r>
      <w:r>
        <w:rPr>
          <w:b/>
          <w:noProof/>
          <w:sz w:val="24"/>
          <w:szCs w:val="24"/>
        </w:rPr>
        <w:t>Figure 185</w:t>
      </w:r>
      <w:r>
        <w:rPr>
          <w:b/>
          <w:noProof/>
          <w:sz w:val="24"/>
          <w:szCs w:val="24"/>
        </w:rPr>
        <w:fldChar w:fldCharType="end"/>
      </w:r>
      <w:r>
        <w:rPr>
          <w:noProof/>
          <w:sz w:val="24"/>
          <w:szCs w:val="24"/>
        </w:rPr>
        <w:t xml:space="preserve">. </w:t>
      </w:r>
    </w:p>
    <w:p>
      <w:pPr>
        <w:jc w:val="center"/>
        <w:rPr>
          <w:noProof/>
        </w:rPr>
      </w:pPr>
      <w:r>
        <w:rPr>
          <w:noProof/>
          <w:lang w:eastAsia="en-GB"/>
        </w:rPr>
        <w:drawing>
          <wp:inline distT="0" distB="0" distL="0" distR="0">
            <wp:extent cx="4322445" cy="288353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4322445" cy="2883535"/>
                    </a:xfrm>
                    <a:prstGeom prst="rect">
                      <a:avLst/>
                    </a:prstGeom>
                    <a:noFill/>
                  </pic:spPr>
                </pic:pic>
              </a:graphicData>
            </a:graphic>
          </wp:inline>
        </w:drawing>
      </w:r>
    </w:p>
    <w:p>
      <w:pPr>
        <w:pStyle w:val="Caption"/>
      </w:pPr>
      <w:bookmarkStart w:id="780" w:name="_Ref50546504"/>
      <w:bookmarkStart w:id="781" w:name="_Toc52396959"/>
      <w:r>
        <w:t xml:space="preserve">Figure </w:t>
      </w:r>
      <w:r>
        <w:fldChar w:fldCharType="begin"/>
      </w:r>
      <w:r>
        <w:instrText xml:space="preserve"> SEQ Figure \* ARABIC </w:instrText>
      </w:r>
      <w:r>
        <w:fldChar w:fldCharType="separate"/>
      </w:r>
      <w:r>
        <w:t>187</w:t>
      </w:r>
      <w:r>
        <w:fldChar w:fldCharType="end"/>
      </w:r>
      <w:bookmarkEnd w:id="780"/>
      <w:r>
        <w:t xml:space="preserve"> - Realised  price for coal-fired power</w:t>
      </w:r>
      <w:bookmarkEnd w:id="781"/>
    </w:p>
    <w:p>
      <w:pPr>
        <w:jc w:val="left"/>
        <w:rPr>
          <w:noProof/>
          <w:sz w:val="20"/>
          <w:lang w:val="en-IE"/>
        </w:rPr>
      </w:pPr>
      <w:r>
        <w:rPr>
          <w:noProof/>
          <w:sz w:val="20"/>
          <w:lang w:val="en-IE"/>
        </w:rPr>
        <w:t>Source: Trinomics et al. 2020</w:t>
      </w:r>
    </w:p>
    <w:p>
      <w:pPr>
        <w:rPr>
          <w:noProof/>
        </w:rPr>
      </w:pPr>
    </w:p>
    <w:p>
      <w:pPr>
        <w:rPr>
          <w:noProof/>
          <w:sz w:val="24"/>
          <w:szCs w:val="24"/>
        </w:rPr>
      </w:pPr>
      <w:r>
        <w:rPr>
          <w:noProof/>
          <w:sz w:val="24"/>
          <w:szCs w:val="24"/>
        </w:rPr>
        <w:t>Coal fired power plants are more expensive to build than gas fired plants. In order to become profitable, these will have to run for a higher number of hours per year. Given a plant lifetime of 40 years, units built after 2010 could run well into the 2050s, if profitable. In the absence of carbon capture and storage, the assumed increasing costs of emission allowances drives up the marginal costs of coal fired power, reducing running hours at which producing is profitable and thus possible revenues. In the scenarios considered the revenues will not be sufficient to yield a positive IRR in Europe.</w:t>
      </w:r>
    </w:p>
    <w:p>
      <w:pPr>
        <w:rPr>
          <w:noProof/>
        </w:rPr>
      </w:pPr>
    </w:p>
    <w:p>
      <w:pPr>
        <w:pStyle w:val="Heading2"/>
        <w:numPr>
          <w:ilvl w:val="2"/>
          <w:numId w:val="1"/>
        </w:numPr>
        <w:rPr>
          <w:noProof/>
        </w:rPr>
      </w:pPr>
      <w:bookmarkStart w:id="782" w:name="_Toc50648367"/>
      <w:bookmarkStart w:id="783" w:name="_Toc50654397"/>
      <w:bookmarkStart w:id="784" w:name="_Toc50654952"/>
      <w:bookmarkStart w:id="785" w:name="_Toc50732499"/>
      <w:bookmarkStart w:id="786" w:name="_Toc52396583"/>
      <w:r>
        <w:rPr>
          <w:noProof/>
        </w:rPr>
        <w:t>Nuclear Energy</w:t>
      </w:r>
      <w:bookmarkEnd w:id="782"/>
      <w:bookmarkEnd w:id="783"/>
      <w:bookmarkEnd w:id="784"/>
      <w:bookmarkEnd w:id="785"/>
      <w:bookmarkEnd w:id="786"/>
    </w:p>
    <w:p>
      <w:pPr>
        <w:rPr>
          <w:noProof/>
        </w:rPr>
      </w:pPr>
    </w:p>
    <w:p>
      <w:pPr>
        <w:rPr>
          <w:noProof/>
          <w:sz w:val="24"/>
          <w:szCs w:val="24"/>
        </w:rPr>
      </w:pPr>
      <w:r>
        <w:rPr>
          <w:noProof/>
          <w:sz w:val="24"/>
          <w:szCs w:val="24"/>
        </w:rPr>
        <w:t>The economics of nuclear power plants are mainly driven by their relatively high capital costs but low marginal costs. While nuclear power plants can ramp and produce electricity at part-load, baseload operation remains the natural economic choice, complemented by ancillary services. As a result, the realised prices of nuclear power plants have been very close to baseload electricity prices.</w:t>
      </w:r>
    </w:p>
    <w:p>
      <w:pPr>
        <w:rPr>
          <w:noProof/>
          <w:sz w:val="24"/>
          <w:szCs w:val="24"/>
        </w:rPr>
      </w:pPr>
      <w:r>
        <w:rPr>
          <w:noProof/>
          <w:sz w:val="24"/>
          <w:szCs w:val="24"/>
        </w:rPr>
        <w:t>In future, the increasing penetration of wind and solar power is expected to reduce the running hours to a degree but, due to the absence of carbon emissions and the associated costs, existing nuclear power plants are expected to stay in the money in the projections considered. As no new nuclear power plants went online in Europe during the 2010s, data on possible project costs in Europe remains to be validated.</w:t>
      </w:r>
      <w:bookmarkEnd w:id="708"/>
      <w:bookmarkEnd w:id="709"/>
      <w:bookmarkEnd w:id="710"/>
      <w:bookmarkEnd w:id="711"/>
      <w:bookmarkEnd w:id="712"/>
      <w:bookmarkEnd w:id="713"/>
      <w:bookmarkEnd w:id="714"/>
      <w:bookmarkEnd w:id="715"/>
      <w:bookmarkEnd w:id="716"/>
    </w:p>
    <w:p>
      <w:pPr>
        <w:spacing w:after="0"/>
        <w:jc w:val="left"/>
        <w:rPr>
          <w:noProof/>
          <w:sz w:val="24"/>
          <w:szCs w:val="24"/>
        </w:rPr>
      </w:pPr>
    </w:p>
    <w:sectPr>
      <w:headerReference w:type="even" r:id="rId195"/>
      <w:headerReference w:type="default" r:id="rId196"/>
      <w:footerReference w:type="even" r:id="rId197"/>
      <w:footerReference w:type="default" r:id="rId198"/>
      <w:headerReference w:type="first" r:id="rId199"/>
      <w:footerReference w:type="first" r:id="rId200"/>
      <w:footnotePr>
        <w:numStart w:val="51"/>
      </w:footnotePr>
      <w:pgSz w:w="11906" w:h="16838"/>
      <w:pgMar w:top="1417" w:right="1417" w:bottom="1417" w:left="1417" w:header="708" w:footer="708"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46">
      <wne:acd wne:acdName="acd0"/>
    </wne:keymap>
  </wne:keymaps>
  <wne:toolbars>
    <wne:acdManifest>
      <wne:acdEntry wne:acdName="acd0"/>
    </wne:acdManifest>
  </wne:toolbars>
  <wne:acds>
    <wne:acd wne:argValue="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Aparajita">
    <w:panose1 w:val="020B0604020202020204"/>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382784"/>
      <w:docPartObj>
        <w:docPartGallery w:val="Page Numbers (Bottom of Page)"/>
        <w:docPartUnique/>
      </w:docPartObj>
    </w:sdtPr>
    <w:sdtEndPr>
      <w:rPr>
        <w:noProof/>
      </w:rPr>
    </w:sdtEndPr>
    <w:sdtContent>
      <w:p>
        <w:pPr>
          <w:pStyle w:val="Footer"/>
          <w:ind w:left="0"/>
          <w:jc w:val="center"/>
        </w:pPr>
        <w:r>
          <w:fldChar w:fldCharType="begin"/>
        </w:r>
        <w:r>
          <w:instrText xml:space="preserve"> PAGE   \* MERGEFORMAT </w:instrText>
        </w:r>
        <w:r>
          <w:fldChar w:fldCharType="separate"/>
        </w:r>
        <w:r>
          <w:rPr>
            <w:noProof/>
          </w:rPr>
          <w:t>169</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677791"/>
      <w:docPartObj>
        <w:docPartGallery w:val="Page Numbers (Bottom of Page)"/>
        <w:docPartUnique/>
      </w:docPartObj>
    </w:sdtPr>
    <w:sdtEndPr>
      <w:rPr>
        <w:noProof/>
      </w:rPr>
    </w:sdtEndPr>
    <w:sdtContent>
      <w:p>
        <w:pPr>
          <w:pStyle w:val="Footer"/>
          <w:ind w:left="0"/>
          <w:jc w:val="center"/>
        </w:pPr>
        <w:r>
          <w:fldChar w:fldCharType="begin"/>
        </w:r>
        <w:r>
          <w:instrText xml:space="preserve"> PAGE   \* MERGEFORMAT </w:instrText>
        </w:r>
        <w:r>
          <w:fldChar w:fldCharType="separate"/>
        </w:r>
        <w:r>
          <w:rPr>
            <w:noProof/>
          </w:rPr>
          <w:t>170</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934615"/>
      <w:docPartObj>
        <w:docPartGallery w:val="Page Numbers (Bottom of Page)"/>
        <w:docPartUnique/>
      </w:docPartObj>
    </w:sdtPr>
    <w:sdtEndPr>
      <w:rPr>
        <w:noProof/>
      </w:rPr>
    </w:sdtEndPr>
    <w:sdtContent>
      <w:p>
        <w:pPr>
          <w:pStyle w:val="Footer"/>
          <w:ind w:left="0"/>
          <w:jc w:val="center"/>
        </w:pPr>
        <w:r>
          <w:fldChar w:fldCharType="begin"/>
        </w:r>
        <w:r>
          <w:instrText xml:space="preserve"> PAGE   \* MERGEFORMAT </w:instrText>
        </w:r>
        <w:r>
          <w:fldChar w:fldCharType="separate"/>
        </w:r>
        <w:r>
          <w:rPr>
            <w:noProof/>
          </w:rPr>
          <w:t>171</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412024"/>
      <w:docPartObj>
        <w:docPartGallery w:val="Page Numbers (Bottom of Page)"/>
        <w:docPartUnique/>
      </w:docPartObj>
    </w:sdtPr>
    <w:sdtEndPr>
      <w:rPr>
        <w:noProof/>
      </w:rPr>
    </w:sdtEndPr>
    <w:sdtContent>
      <w:p>
        <w:pPr>
          <w:pStyle w:val="Footer"/>
          <w:ind w:left="0"/>
          <w:jc w:val="center"/>
        </w:pPr>
        <w:r>
          <w:fldChar w:fldCharType="begin"/>
        </w:r>
        <w:r>
          <w:instrText xml:space="preserve"> PAGE   \* MERGEFORMAT </w:instrText>
        </w:r>
        <w:r>
          <w:fldChar w:fldCharType="separate"/>
        </w:r>
        <w:r>
          <w:rPr>
            <w:noProof/>
          </w:rPr>
          <w:t>173</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654910"/>
      <w:docPartObj>
        <w:docPartGallery w:val="Page Numbers (Bottom of Page)"/>
        <w:docPartUnique/>
      </w:docPartObj>
    </w:sdtPr>
    <w:sdtEndPr>
      <w:rPr>
        <w:noProof/>
      </w:rPr>
    </w:sdtEndPr>
    <w:sdtContent>
      <w:p>
        <w:pPr>
          <w:pStyle w:val="Footer"/>
          <w:ind w:left="0"/>
          <w:jc w:val="center"/>
        </w:pPr>
        <w:r>
          <w:fldChar w:fldCharType="begin"/>
        </w:r>
        <w:r>
          <w:instrText xml:space="preserve"> PAGE   \* MERGEFORMAT </w:instrText>
        </w:r>
        <w:r>
          <w:fldChar w:fldCharType="separate"/>
        </w:r>
        <w:r>
          <w:rPr>
            <w:noProof/>
          </w:rPr>
          <w:t>174</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622243"/>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179</w:t>
        </w:r>
        <w: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645255"/>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181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767318"/>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201</w:t>
        </w:r>
        <w: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9636"/>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202</w:t>
        </w:r>
        <w: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875369"/>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204</w:t>
        </w:r>
        <w: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345982"/>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205</w:t>
        </w:r>
        <w: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664114"/>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210</w:t>
        </w:r>
        <w: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35469"/>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211</w:t>
        </w:r>
        <w:r>
          <w:fldChar w:fldCharType="end"/>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674397"/>
      <w:docPartObj>
        <w:docPartGallery w:val="Page Numbers (Bottom of Page)"/>
        <w:docPartUnique/>
      </w:docPartObj>
    </w:sdtPr>
    <w:sdtEndPr>
      <w:rPr>
        <w:noProof/>
      </w:rPr>
    </w:sdtEndPr>
    <w:sdtContent>
      <w:p>
        <w:pPr>
          <w:pStyle w:val="Footer"/>
          <w:ind w:left="0"/>
          <w:jc w:val="center"/>
        </w:pPr>
        <w:r>
          <w:fldChar w:fldCharType="begin"/>
        </w:r>
        <w:r>
          <w:instrText xml:space="preserve"> PAGE   \* MERGEFORMAT </w:instrText>
        </w:r>
        <w:r>
          <w:fldChar w:fldCharType="separate"/>
        </w:r>
        <w:r>
          <w:rPr>
            <w:noProof/>
          </w:rPr>
          <w:t>152</w:t>
        </w:r>
        <w:r>
          <w:rPr>
            <w:noProof/>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188758"/>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216</w:t>
        </w:r>
        <w:r>
          <w:fldChar w:fldCharType="end"/>
        </w:r>
      </w:p>
    </w:sdtContent>
  </w:sdt>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982220"/>
      <w:docPartObj>
        <w:docPartGallery w:val="Page Numbers (Bottom of Page)"/>
        <w:docPartUnique/>
      </w:docPartObj>
    </w:sdtPr>
    <w:sdtEndPr>
      <w:rPr>
        <w:noProof/>
      </w:rPr>
    </w:sdtEndPr>
    <w:sdtContent>
      <w:p>
        <w:pPr>
          <w:pStyle w:val="Footer"/>
          <w:ind w:left="0"/>
          <w:jc w:val="center"/>
        </w:pPr>
        <w:r>
          <w:fldChar w:fldCharType="begin"/>
        </w:r>
        <w:r>
          <w:instrText xml:space="preserve"> PAGE  \* Arabic  \* MERGEFORMAT </w:instrText>
        </w:r>
        <w:r>
          <w:fldChar w:fldCharType="separate"/>
        </w:r>
        <w:r>
          <w:rPr>
            <w:noProof/>
          </w:rPr>
          <w:t>217</w:t>
        </w:r>
        <w: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3650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236</w:t>
        </w:r>
        <w:r>
          <w:rPr>
            <w:noProof/>
          </w:rPr>
          <w:fldChar w:fldCharType="end"/>
        </w:r>
      </w:p>
    </w:sdtContent>
  </w:sdt>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66737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63989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239</w:t>
        </w:r>
        <w:r>
          <w:rPr>
            <w:noProof/>
          </w:rPr>
          <w:fldChar w:fldCharType="end"/>
        </w:r>
      </w:p>
    </w:sdtContent>
  </w:sdt>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3694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252</w:t>
        </w:r>
        <w:r>
          <w:rPr>
            <w:noProof/>
          </w:rPr>
          <w:fldChar w:fldCharType="end"/>
        </w:r>
      </w:p>
    </w:sdtContent>
  </w:sdt>
  <w:p/>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14018"/>
      <w:docPartObj>
        <w:docPartGallery w:val="Page Numbers (Bottom of Page)"/>
        <w:docPartUnique/>
      </w:docPartObj>
    </w:sdtPr>
    <w:sdtEndPr>
      <w:rPr>
        <w:noProof/>
      </w:rPr>
    </w:sdtEndPr>
    <w:sdtContent>
      <w:p>
        <w:pPr>
          <w:pStyle w:val="Footer"/>
          <w:ind w:left="0"/>
          <w:jc w:val="center"/>
        </w:pPr>
        <w:r>
          <w:fldChar w:fldCharType="begin"/>
        </w:r>
        <w:r>
          <w:instrText xml:space="preserve"> PAGE   \* MERGEFORMAT </w:instrText>
        </w:r>
        <w:r>
          <w:fldChar w:fldCharType="separate"/>
        </w:r>
        <w:r>
          <w:rPr>
            <w:noProof/>
          </w:rPr>
          <w:t>168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pPr>
      <w:r>
        <w:rPr>
          <w:rStyle w:val="FootnoteReference"/>
        </w:rPr>
        <w:footnoteRef/>
      </w:r>
      <w:r>
        <w:t xml:space="preserve"> The latest data available is for the current period (2010-2019) was 2017. For the previous period (2008-2017) the latest data available was 2015. </w:t>
      </w:r>
    </w:p>
  </w:footnote>
  <w:footnote w:id="3">
    <w:p>
      <w:pPr>
        <w:pStyle w:val="FootnoteText"/>
      </w:pPr>
      <w:r>
        <w:rPr>
          <w:rStyle w:val="FootnoteReference"/>
        </w:rPr>
        <w:footnoteRef/>
      </w:r>
      <w:r>
        <w:t xml:space="preserve"> Data available across sectors and countries is rather limited </w:t>
      </w:r>
    </w:p>
  </w:footnote>
  <w:footnote w:id="4">
    <w:p>
      <w:pPr>
        <w:pStyle w:val="FootnoteText"/>
        <w:rPr>
          <w:color w:val="000000" w:themeColor="text1"/>
        </w:rPr>
      </w:pPr>
      <w:r>
        <w:rPr>
          <w:rStyle w:val="FootnoteReference"/>
          <w:color w:val="000000" w:themeColor="text1"/>
        </w:rPr>
        <w:footnoteRef/>
      </w:r>
      <w:r>
        <w:rPr>
          <w:color w:val="000000" w:themeColor="text1"/>
        </w:rPr>
        <w:t xml:space="preserve"> World Economic Forum; Global Competitiveness Report 2017-2018. The Global Competitiveness Indicator of the World Economic Forum (WEF) </w:t>
      </w:r>
      <w:hyperlink r:id="rId1" w:history="1">
        <w:r>
          <w:rPr>
            <w:rStyle w:val="Hyperlink"/>
            <w:color w:val="000000" w:themeColor="text1"/>
          </w:rPr>
          <w:t>https://www.weforum.org/reports/the-global-competitiveness-report-2017-2018</w:t>
        </w:r>
      </w:hyperlink>
      <w:r>
        <w:rPr>
          <w:color w:val="000000" w:themeColor="text1"/>
        </w:rPr>
        <w:t xml:space="preserve"> </w:t>
      </w:r>
    </w:p>
  </w:footnote>
  <w:footnote w:id="5">
    <w:p>
      <w:pPr>
        <w:pStyle w:val="FootnoteText"/>
        <w:rPr>
          <w:color w:val="000000" w:themeColor="text1"/>
        </w:rPr>
      </w:pPr>
      <w:r>
        <w:rPr>
          <w:rStyle w:val="FootnoteReference"/>
          <w:color w:val="000000" w:themeColor="text1"/>
        </w:rPr>
        <w:footnoteRef/>
      </w:r>
      <w:r>
        <w:rPr>
          <w:color w:val="000000" w:themeColor="text1"/>
        </w:rPr>
        <w:t xml:space="preserve"> The World Competitiveness Scoreboard of the International Institute for Management Development (IMD), </w:t>
      </w:r>
      <w:hyperlink r:id="rId2" w:history="1">
        <w:r>
          <w:rPr>
            <w:rStyle w:val="Hyperlink"/>
            <w:color w:val="000000" w:themeColor="text1"/>
          </w:rPr>
          <w:t>https://www.imd.org/wcc/world-competitiveness-center-rankings/world-competitiveness-ranking-2018/</w:t>
        </w:r>
      </w:hyperlink>
      <w:r>
        <w:rPr>
          <w:color w:val="000000" w:themeColor="text1"/>
        </w:rPr>
        <w:t xml:space="preserve">  </w:t>
      </w:r>
    </w:p>
  </w:footnote>
  <w:footnote w:id="6">
    <w:p>
      <w:pPr>
        <w:pStyle w:val="FootnoteText"/>
      </w:pPr>
      <w:r>
        <w:rPr>
          <w:rStyle w:val="FootnoteReference"/>
          <w:color w:val="000000" w:themeColor="text1"/>
        </w:rPr>
        <w:footnoteRef/>
      </w:r>
      <w:r>
        <w:rPr>
          <w:color w:val="000000" w:themeColor="text1"/>
        </w:rPr>
        <w:t xml:space="preserve"> Economic Freedom of the World indicator, Fraser institute, </w:t>
      </w:r>
      <w:hyperlink r:id="rId3" w:history="1">
        <w:r>
          <w:rPr>
            <w:rStyle w:val="Hyperlink"/>
            <w:color w:val="000000" w:themeColor="text1"/>
          </w:rPr>
          <w:t>https://www.fraserinstitute.org/studies/economic-freedom</w:t>
        </w:r>
      </w:hyperlink>
      <w:r>
        <w:rPr>
          <w:color w:val="000000" w:themeColor="text1"/>
        </w:rPr>
        <w:t xml:space="preserve">  </w:t>
      </w:r>
    </w:p>
  </w:footnote>
  <w:footnote w:id="7">
    <w:p>
      <w:pPr>
        <w:pStyle w:val="FootnoteText"/>
      </w:pPr>
      <w:r>
        <w:rPr>
          <w:rStyle w:val="FootnoteReference"/>
        </w:rPr>
        <w:footnoteRef/>
      </w:r>
      <w:r>
        <w:t xml:space="preserve"> Industry defined as the combination of Sections B (Mining and quarrying), C (Manufacturing), D (Electricity, gas, steam and air conditioning supply) and E (Water supply, sewerage, waste management and remediation activities) of NACE Rev. 2, the Statistical classification of economic activities. Services defined as the grouping of NACE Rev. 2 sections A (Agriculture, forestry and fishing), G (Wholesale and retail trade; repair of motor vehicles and motorcycles), H (Transportation and storage), I (Accommodation and food service activities), J (Information and communication), K (Financial and insurance activities), L (Real estate activities), M (Professional, scientific and technical activities) and N (Administrative and support service activities).</w:t>
      </w:r>
    </w:p>
  </w:footnote>
  <w:footnote w:id="8">
    <w:p>
      <w:pPr>
        <w:pStyle w:val="FootnoteText"/>
      </w:pPr>
      <w:r>
        <w:rPr>
          <w:rStyle w:val="FootnoteReference"/>
        </w:rPr>
        <w:footnoteRef/>
      </w:r>
      <w:r>
        <w:t xml:space="preserve"> Consortium is made up by Trinomics B.V. in association with Enerdata, Cambridge Econometrics and Ludwig Bölkow systemtechnik.</w:t>
      </w:r>
    </w:p>
  </w:footnote>
  <w:footnote w:id="9">
    <w:p>
      <w:pPr>
        <w:pStyle w:val="FootnoteText"/>
      </w:pPr>
      <w:r>
        <w:rPr>
          <w:rStyle w:val="FootnoteReference"/>
        </w:rPr>
        <w:footnoteRef/>
      </w:r>
      <w:r>
        <w:t xml:space="preserve"> </w:t>
      </w:r>
      <w:hyperlink r:id="rId4" w:history="1">
        <w:r>
          <w:rPr>
            <w:rStyle w:val="Hyperlink"/>
          </w:rPr>
          <w:t>https://ec.europa.eu/jrc/en/publication/production-costs-iron-and-steel-industry-eu-and-third-countries</w:t>
        </w:r>
      </w:hyperlink>
    </w:p>
  </w:footnote>
  <w:footnote w:id="10">
    <w:p>
      <w:pPr>
        <w:rPr>
          <w:sz w:val="20"/>
          <w:szCs w:val="20"/>
        </w:rPr>
      </w:pPr>
      <w:r>
        <w:rPr>
          <w:rStyle w:val="FootnoteReference"/>
          <w:sz w:val="20"/>
          <w:szCs w:val="20"/>
        </w:rPr>
        <w:footnoteRef/>
      </w:r>
      <w:r>
        <w:rPr>
          <w:sz w:val="20"/>
          <w:szCs w:val="20"/>
        </w:rPr>
        <w:t xml:space="preserve"> </w:t>
      </w:r>
      <w:r>
        <w:rPr>
          <w:rFonts w:eastAsia="Times New Roman"/>
          <w:color w:val="333333"/>
          <w:sz w:val="20"/>
          <w:szCs w:val="20"/>
          <w:lang w:eastAsia="en-GB"/>
        </w:rPr>
        <w:t>This is similar to the approach used by in the previous edition of the Energy prices and cots report in which the study on 'Composition and drivers of Energy: case studies in selected Energy-intensive industries' by CEPS and Ecofys (2018) provided case studies of 8 energy-intensive subsectors.</w:t>
      </w:r>
    </w:p>
  </w:footnote>
  <w:footnote w:id="11">
    <w:p>
      <w:pPr>
        <w:pStyle w:val="FootnoteText"/>
      </w:pPr>
      <w:r>
        <w:rPr>
          <w:rStyle w:val="FootnoteReference"/>
        </w:rPr>
        <w:footnoteRef/>
      </w:r>
      <w:r>
        <w:rPr>
          <w:sz w:val="24"/>
          <w:szCs w:val="24"/>
        </w:rPr>
        <w:t xml:space="preserve"> C</w:t>
      </w:r>
      <w:r>
        <w:t>alculated (where possible) by dividing purchases of energy by the total production value of each sector</w:t>
      </w:r>
    </w:p>
  </w:footnote>
  <w:footnote w:id="12">
    <w:p>
      <w:pPr>
        <w:pStyle w:val="FootnoteText"/>
      </w:pPr>
      <w:r>
        <w:rPr>
          <w:rStyle w:val="FootnoteReference"/>
        </w:rPr>
        <w:footnoteRef/>
      </w:r>
      <w:r>
        <w:t xml:space="preserve"> Trade intensity was</w:t>
      </w:r>
      <w:r>
        <w:rPr>
          <w:sz w:val="24"/>
          <w:szCs w:val="24"/>
        </w:rPr>
        <w:t xml:space="preserve"> </w:t>
      </w:r>
      <w:r>
        <w:t>calculated by dividing the sum of imports and exports of a product to and from the EU in total, by the size of the market which is represented by the sum of production value and imports</w:t>
      </w:r>
    </w:p>
  </w:footnote>
  <w:footnote w:id="13">
    <w:p>
      <w:pPr>
        <w:pStyle w:val="FootnoteText"/>
      </w:pPr>
      <w:r>
        <w:rPr>
          <w:rStyle w:val="FootnoteReference"/>
        </w:rPr>
        <w:footnoteRef/>
      </w:r>
      <w:r>
        <w:t xml:space="preserve"> Total purchases of goods and services represents the value of all goods and services purchased during the accounting period for resale or consumption in the production process, excluding capital goods (the consumption of which is registered as consumption of fixed capital). This therefore, includes the costs of materials that enter directly into the goods produced (raw materials, intermediary products, components), non-capitalised small tools and equipment and the value of ancillary materials. Service costs, such as repairs and maintenance, transport and logistics, communication, insurance, legal and accountancy fees, are also included in this total.</w:t>
      </w:r>
    </w:p>
  </w:footnote>
  <w:footnote w:id="14">
    <w:p>
      <w:pPr>
        <w:pStyle w:val="FootnoteText"/>
      </w:pPr>
      <w:r>
        <w:rPr>
          <w:rStyle w:val="FootnoteReference"/>
          <w:sz w:val="16"/>
          <w:szCs w:val="16"/>
        </w:rPr>
        <w:footnoteRef/>
      </w:r>
      <w:r>
        <w:t xml:space="preserve"> Gross operating surplus presented are the result of subtracting personnel costs from value added using Eurostat SBS statistics</w:t>
      </w:r>
    </w:p>
  </w:footnote>
  <w:footnote w:id="15">
    <w:p>
      <w:pPr>
        <w:pStyle w:val="FootnoteText"/>
      </w:pPr>
      <w:r>
        <w:rPr>
          <w:rStyle w:val="FootnoteReference"/>
        </w:rPr>
        <w:footnoteRef/>
      </w:r>
      <w:r>
        <w:t xml:space="preserve"> The energy intensity change includes both change due to energy efficiency of production and change due to price effects</w:t>
      </w:r>
    </w:p>
  </w:footnote>
  <w:footnote w:id="16">
    <w:p>
      <w:pPr>
        <w:pStyle w:val="FootnoteText"/>
      </w:pPr>
      <w:r>
        <w:rPr>
          <w:rStyle w:val="FootnoteReference"/>
        </w:rPr>
        <w:footnoteRef/>
      </w:r>
      <w:r>
        <w:t xml:space="preserve"> The energy intensity change includes both change due to energy efficiency of production and change due to price effects</w:t>
      </w:r>
    </w:p>
  </w:footnote>
  <w:footnote w:id="17">
    <w:p>
      <w:pPr>
        <w:pStyle w:val="FootnoteText"/>
      </w:pPr>
      <w:r>
        <w:rPr>
          <w:rStyle w:val="FootnoteReference"/>
        </w:rPr>
        <w:footnoteRef/>
      </w:r>
      <w:r>
        <w:t xml:space="preserve"> Energy price data was based on the prices from the consumption band from Eurostat relevant for each sector; energy consumption data came from the ODYSEE/MURE database and national data sources; gross output data from the Eurostat SBS. The difference between the estimated purchases of energy and the ‘Purchases of Energy Products’ data from the Eurostat SBS was attributed to a residual term, which captures data discrepancies which include </w:t>
      </w:r>
      <w:r>
        <w:rPr>
          <w:i/>
          <w:iCs/>
        </w:rPr>
        <w:t>inter alia</w:t>
      </w:r>
      <w:r>
        <w:t xml:space="preserve"> the effect of fuel switching over the period (as the decomposition calculations assume fixed fuel shares over 2010-2015).</w:t>
      </w:r>
    </w:p>
    <w:p>
      <w:pPr>
        <w:pStyle w:val="FootnoteText"/>
      </w:pPr>
    </w:p>
  </w:footnote>
  <w:footnote w:id="18">
    <w:p>
      <w:pPr>
        <w:pStyle w:val="FootnoteText"/>
      </w:pPr>
      <w:r>
        <w:rPr>
          <w:rStyle w:val="FootnoteReference"/>
          <w:sz w:val="16"/>
          <w:szCs w:val="16"/>
        </w:rPr>
        <w:footnoteRef/>
      </w:r>
      <w:r>
        <w:t xml:space="preserve"> Allocating industry sectors specified at the NACE 2 level to energy consumption bands specified by gross annual energy consumption is not straightforward; for many industries there is variation in total energy consumption at the plant level, so it is highly likely that different manufacturing plants will face different energy prices, even if they belong to the same industry sector and are located in the same Member State. The decomposition analysis is interested in changes in energy prices (and costs) over time so the mapping from industry sector to consumption band does not have a large bearing on the results in so far as the energy consumption bands usually reflect similar energy price trends over time.</w:t>
      </w:r>
    </w:p>
  </w:footnote>
  <w:footnote w:id="19">
    <w:p>
      <w:pPr>
        <w:pStyle w:val="FootnoteText"/>
      </w:pPr>
      <w:r>
        <w:rPr>
          <w:rStyle w:val="FootnoteReference"/>
        </w:rPr>
        <w:footnoteRef/>
      </w:r>
      <w:r>
        <w:t xml:space="preserve"> Policies such as the carbon price, energy efficiency loans and grants, energy audit or energy management systems and a package of other measures that have been offered to energy-intensive industry sectors can incentivise energy efficient investments and reduce energy cost pressures.</w:t>
      </w:r>
    </w:p>
  </w:footnote>
  <w:footnote w:id="20">
    <w:p>
      <w:pPr>
        <w:pStyle w:val="FootnoteText"/>
      </w:pPr>
      <w:r>
        <w:rPr>
          <w:rStyle w:val="FootnoteReference"/>
        </w:rPr>
        <w:footnoteRef/>
      </w:r>
      <w:r>
        <w:t xml:space="preserve"> From around five countries, where both energy consumption and gross output data is available, and used to proxy trends in energy-intensity at the EU level. In addition the unexplained residual component captures changes in energy intensity due to fuel switching and could also be partly capturing other energy intensity effects. See Table  4-12 of Trinomics et altri study (2020)</w:t>
      </w:r>
    </w:p>
  </w:footnote>
  <w:footnote w:id="21">
    <w:p>
      <w:pPr>
        <w:pStyle w:val="FootnoteText"/>
      </w:pPr>
      <w:r>
        <w:rPr>
          <w:rStyle w:val="FootnoteReference"/>
        </w:rPr>
        <w:footnoteRef/>
      </w:r>
      <w:r>
        <w:t xml:space="preserve"> Structural changes within sectors can be important and difficult to interpret as regards the most energy-intensive sectors that could be part of the aggregated and considerably heterogeneous NACE 2-digit level. There could also be different industrial process, with different energy consumption levels, combined in the same sector. For example, steel production in the EU uses either the Basic Oxygen Furnace (BOF) or Electric Arc Furnace (EAF) process. While both production processes are energy-intensive, the energy requirements are very different. The main energy costs to the BOF process is coking coal, while electricity is the primary energy cost for the EAF process. Changes to the structure of the steel manufacturing sector therefore could substantially affect energy intensity and energy costs</w:t>
      </w:r>
    </w:p>
  </w:footnote>
  <w:footnote w:id="22">
    <w:p>
      <w:pPr>
        <w:pStyle w:val="FootnoteText"/>
      </w:pPr>
      <w:r>
        <w:rPr>
          <w:rStyle w:val="FootnoteReference"/>
        </w:rPr>
        <w:footnoteRef/>
      </w:r>
      <w:r>
        <w:t xml:space="preserve"> </w:t>
      </w:r>
      <w:r>
        <w:rPr>
          <w:i/>
        </w:rPr>
        <w:t>Paper</w:t>
      </w:r>
      <w:r>
        <w:t xml:space="preserve"> is the only exception for which Korea does not show the lowest energy costs shares in production costs in highly energy-intensive industries when compared with the EU, Japan, and the US. For paper, Japan displays the lowest energy costs share, followed by Korea, the EU and the US.</w:t>
      </w:r>
    </w:p>
  </w:footnote>
  <w:footnote w:id="23">
    <w:p>
      <w:pPr>
        <w:pStyle w:val="FootnoteText"/>
      </w:pPr>
      <w:r>
        <w:rPr>
          <w:rStyle w:val="FootnoteReference"/>
        </w:rPr>
        <w:footnoteRef/>
      </w:r>
      <w:r>
        <w:t xml:space="preserve"> Sectorial results had to be aggregated at a regional level to respect confidentiality.</w:t>
      </w:r>
    </w:p>
  </w:footnote>
  <w:footnote w:id="24">
    <w:p>
      <w:pPr>
        <w:pStyle w:val="FootnoteText"/>
      </w:pPr>
      <w:r>
        <w:rPr>
          <w:rStyle w:val="FootnoteReference"/>
        </w:rPr>
        <w:footnoteRef/>
      </w:r>
      <w:r>
        <w:t xml:space="preserve"> CEPS and Ecofys (2018), Composition and Drivers of Energy Prices and Costs: Case Studies in Selected Energy-intensive industries – 2018.</w:t>
      </w:r>
    </w:p>
  </w:footnote>
  <w:footnote w:id="25">
    <w:p>
      <w:pPr>
        <w:pStyle w:val="FootnoteText"/>
      </w:pPr>
      <w:r>
        <w:rPr>
          <w:rStyle w:val="FootnoteReference"/>
        </w:rPr>
        <w:footnoteRef/>
      </w:r>
      <w:r>
        <w:t xml:space="preserve"> COM(2019) 1</w:t>
      </w:r>
    </w:p>
  </w:footnote>
  <w:footnote w:id="26">
    <w:p>
      <w:pPr>
        <w:pStyle w:val="FootnoteText"/>
      </w:pPr>
      <w:r>
        <w:rPr>
          <w:rStyle w:val="FootnoteReference"/>
        </w:rPr>
        <w:footnoteRef/>
      </w:r>
      <w:r>
        <w:t xml:space="preserve"> Statistical data on industry consumption and other indicators becomes available with much important lag than energy price data. For instance, the latest available data in this report on industry indicators goes back to 2017 while energy price data is complete for 2019 and available for some prices for the first months of 2020. </w:t>
      </w:r>
    </w:p>
  </w:footnote>
  <w:footnote w:id="27">
    <w:p>
      <w:pPr>
        <w:pStyle w:val="FootnoteText"/>
      </w:pPr>
      <w:r>
        <w:rPr>
          <w:rStyle w:val="FootnoteReference"/>
        </w:rPr>
        <w:footnoteRef/>
      </w:r>
      <w:r>
        <w:t xml:space="preserve">  This chapter analyses EU-28. </w:t>
      </w:r>
    </w:p>
  </w:footnote>
  <w:footnote w:id="28">
    <w:p>
      <w:pPr>
        <w:pStyle w:val="FootnoteText"/>
      </w:pPr>
      <w:r>
        <w:rPr>
          <w:rStyle w:val="FootnoteReference"/>
        </w:rPr>
        <w:footnoteRef/>
      </w:r>
      <w:r>
        <w:t xml:space="preserve"> Energy-related environmental taxes as defined in "Environmental taxes – A statistical guide" (http://ec.europa.eu/eurostat/documents/3859598/5936129/KS-GQ-13-005-EN.PDF/706eda9f-93a8-44ab-900c-ba8c2557ddb0?version=1.0); this category includes taxes imposed on energy production and on energy products used for both transport and stationary purposes, as well as on greenhouse gases but does not include VAT imposed on energy products</w:t>
      </w:r>
    </w:p>
  </w:footnote>
  <w:footnote w:id="29">
    <w:p>
      <w:pPr>
        <w:pStyle w:val="FootnoteText"/>
      </w:pPr>
      <w:r>
        <w:rPr>
          <w:rStyle w:val="FootnoteReference"/>
        </w:rPr>
        <w:footnoteRef/>
      </w:r>
      <w:r>
        <w:t xml:space="preserve"> Taxation Trends in the European Union (2018);</w:t>
      </w:r>
    </w:p>
    <w:p>
      <w:pPr>
        <w:pStyle w:val="FootnoteText"/>
      </w:pPr>
      <w:r>
        <w:t>https://ec.europa.eu/taxation_customs/sites/taxation/files/taxation_trends_report_2018.pdf</w:t>
      </w:r>
    </w:p>
  </w:footnote>
  <w:footnote w:id="30">
    <w:p>
      <w:pPr>
        <w:pStyle w:val="FootnoteText"/>
        <w:rPr>
          <w:color w:val="000000" w:themeColor="text1"/>
        </w:rPr>
      </w:pPr>
      <w:r>
        <w:rPr>
          <w:rStyle w:val="FootnoteReference"/>
          <w:color w:val="000000" w:themeColor="text1"/>
        </w:rPr>
        <w:footnoteRef/>
      </w:r>
      <w:r>
        <w:rPr>
          <w:color w:val="000000" w:themeColor="text1"/>
        </w:rPr>
        <w:t xml:space="preserve"> </w:t>
      </w:r>
      <w:hyperlink r:id="rId5" w:history="1">
        <w:r>
          <w:rPr>
            <w:rStyle w:val="Hyperlink"/>
            <w:color w:val="000000" w:themeColor="text1"/>
          </w:rPr>
          <w:t>http://eur-lex.europa.eu/LexUriServ/LexUriServ.do?uri=OJ:L:2003:283:0051:0070:EN:PDF</w:t>
        </w:r>
      </w:hyperlink>
      <w:r>
        <w:rPr>
          <w:color w:val="000000" w:themeColor="text1"/>
        </w:rPr>
        <w:t xml:space="preserve">  </w:t>
      </w:r>
    </w:p>
  </w:footnote>
  <w:footnote w:id="31">
    <w:p>
      <w:pPr>
        <w:pStyle w:val="FootnoteText"/>
        <w:rPr>
          <w:color w:val="000000" w:themeColor="text1"/>
        </w:rPr>
      </w:pPr>
      <w:r>
        <w:rPr>
          <w:rStyle w:val="FootnoteReference"/>
          <w:color w:val="000000" w:themeColor="text1"/>
        </w:rPr>
        <w:footnoteRef/>
      </w:r>
      <w:r>
        <w:rPr>
          <w:color w:val="000000" w:themeColor="text1"/>
        </w:rPr>
        <w:t xml:space="preserve"> </w:t>
      </w:r>
      <w:hyperlink r:id="rId6" w:history="1">
        <w:r>
          <w:rPr>
            <w:rStyle w:val="Hyperlink"/>
            <w:color w:val="000000" w:themeColor="text1"/>
          </w:rPr>
          <w:t>https://ec.europa.eu/taxation_customs/sites/taxation/files/resources/documents/taxation/excise_duties/energy_products/rates/excise_duties-part_ii_energy_products_en.pdf</w:t>
        </w:r>
      </w:hyperlink>
      <w:r>
        <w:rPr>
          <w:color w:val="000000" w:themeColor="text1"/>
        </w:rPr>
        <w:t xml:space="preserve"> </w:t>
      </w:r>
    </w:p>
  </w:footnote>
  <w:footnote w:id="32">
    <w:p>
      <w:pPr>
        <w:pStyle w:val="FootnoteText"/>
      </w:pPr>
      <w:r>
        <w:rPr>
          <w:rStyle w:val="FootnoteReference"/>
          <w:color w:val="000000" w:themeColor="text1"/>
        </w:rPr>
        <w:footnoteRef/>
      </w:r>
      <w:r>
        <w:rPr>
          <w:color w:val="000000" w:themeColor="text1"/>
        </w:rPr>
        <w:t xml:space="preserve"> </w:t>
      </w:r>
      <w:hyperlink r:id="rId7" w:history="1">
        <w:r>
          <w:rPr>
            <w:rStyle w:val="Hyperlink"/>
            <w:color w:val="000000" w:themeColor="text1"/>
          </w:rPr>
          <w:t>https://ec.europa.eu/taxation_customs/sites/taxation/files/resources/documents/taxation/excise_duties/energy_products/rates/excise_duties_energy_products_en.pdf</w:t>
        </w:r>
      </w:hyperlink>
      <w:r>
        <w:t xml:space="preserve"> (at the time of writing the report, this document included revenue data for the period 2008-2018)</w:t>
      </w:r>
    </w:p>
  </w:footnote>
  <w:footnote w:id="33">
    <w:p>
      <w:pPr>
        <w:pStyle w:val="FootnoteText"/>
      </w:pPr>
      <w:r>
        <w:rPr>
          <w:rStyle w:val="FootnoteReference"/>
          <w:rFonts w:ascii="EC Square Sans Pro" w:hAnsi="EC Square Sans Pro"/>
        </w:rPr>
        <w:footnoteRef/>
      </w:r>
      <w:r>
        <w:t xml:space="preserve"> https://eur-lex.europa.eu/LexUriServ/LexUriServ.do?uri=OJ:L:2006:347:0001:0118:en:PDF</w:t>
      </w:r>
    </w:p>
  </w:footnote>
  <w:footnote w:id="34">
    <w:p>
      <w:pPr>
        <w:pStyle w:val="FootnoteText"/>
        <w:rPr>
          <w:color w:val="000000" w:themeColor="text1"/>
        </w:rPr>
      </w:pPr>
      <w:r>
        <w:rPr>
          <w:rStyle w:val="FootnoteReference"/>
          <w:rFonts w:ascii="EC Square Sans Pro" w:hAnsi="EC Square Sans Pro"/>
        </w:rPr>
        <w:footnoteRef/>
      </w:r>
      <w:r>
        <w:t xml:space="preserve"> </w:t>
      </w:r>
      <w:hyperlink r:id="rId8" w:history="1">
        <w:r>
          <w:rPr>
            <w:rStyle w:val="Hyperlink"/>
            <w:color w:val="000000" w:themeColor="text1"/>
          </w:rPr>
          <w:t>https://ec.europa.eu/taxation_customs/sites/taxation/files/resources/documents/taxation/vat/how_vat_works/rates/vat_rates_en.pdf</w:t>
        </w:r>
      </w:hyperlink>
    </w:p>
    <w:p>
      <w:pPr>
        <w:pStyle w:val="FootnoteText"/>
      </w:pPr>
      <w:hyperlink r:id="rId9" w:history="1">
        <w:r>
          <w:rPr>
            <w:rStyle w:val="Hyperlink"/>
            <w:color w:val="000000" w:themeColor="text1"/>
          </w:rPr>
          <w:t>https://ec.europa.eu/taxation_customs/sites/taxation/files/resources/documents/taxation/vat/how_vat_works/rates/vat_rates_en.xlsx</w:t>
        </w:r>
      </w:hyperlink>
      <w:r>
        <w:rPr>
          <w:color w:val="000000" w:themeColor="text1"/>
        </w:rPr>
        <w:t xml:space="preserve"> </w:t>
      </w:r>
    </w:p>
  </w:footnote>
  <w:footnote w:id="35">
    <w:p>
      <w:pPr>
        <w:pStyle w:val="FootnoteText"/>
      </w:pPr>
      <w:r>
        <w:rPr>
          <w:rStyle w:val="FootnoteReference"/>
          <w:rFonts w:ascii="EC Square Sans Pro" w:hAnsi="EC Square Sans Pro"/>
        </w:rPr>
        <w:footnoteRef/>
      </w:r>
      <w:r>
        <w:t xml:space="preserve"> https://ec.europa.eu/taxation_customs/sites/taxation/files/com_2016_148_en.pdf</w:t>
      </w:r>
    </w:p>
  </w:footnote>
  <w:footnote w:id="36">
    <w:p>
      <w:pPr>
        <w:pStyle w:val="FootnoteText"/>
      </w:pPr>
      <w:r>
        <w:rPr>
          <w:rStyle w:val="FootnoteReference"/>
          <w:rFonts w:ascii="EC Square Sans Pro" w:hAnsi="EC Square Sans Pro"/>
        </w:rPr>
        <w:footnoteRef/>
      </w:r>
      <w:r>
        <w:t xml:space="preserve"> http://europa.eu/rapid/press-release_IP-18-185_en.htm</w:t>
      </w:r>
    </w:p>
  </w:footnote>
  <w:footnote w:id="37">
    <w:p>
      <w:pPr>
        <w:pStyle w:val="FootnoteText"/>
      </w:pPr>
      <w:r>
        <w:rPr>
          <w:rStyle w:val="FootnoteReference"/>
        </w:rPr>
        <w:footnoteRef/>
      </w:r>
      <w:r>
        <w:t xml:space="preserve"> </w:t>
      </w:r>
      <w:hyperlink r:id="rId10" w:history="1">
        <w:r>
          <w:t>https://ec.europa.eu/energy/en/statistics/weekly-oil-bulletin</w:t>
        </w:r>
      </w:hyperlink>
    </w:p>
  </w:footnote>
  <w:footnote w:id="38">
    <w:p>
      <w:pPr>
        <w:pStyle w:val="FootnoteText"/>
      </w:pPr>
      <w:r>
        <w:rPr>
          <w:rStyle w:val="FootnoteReference"/>
        </w:rPr>
        <w:footnoteRef/>
      </w:r>
      <w:r>
        <w:t xml:space="preserve"> Since consumption is in kt (kilotons), we were using a factor 1135.07 to convert 1 ton of Gasoline into litre of Gasoline and 1129.94 to convert 1 ton of Diesel and Heating oil into litres.</w:t>
      </w:r>
    </w:p>
  </w:footnote>
  <w:footnote w:id="39">
    <w:p>
      <w:pPr>
        <w:pStyle w:val="FootnoteText"/>
      </w:pPr>
      <w:r>
        <w:rPr>
          <w:rStyle w:val="FootnoteReference"/>
        </w:rPr>
        <w:footnoteRef/>
      </w:r>
      <w:r>
        <w:t xml:space="preserve"> Trinomics et.al., (2020), ENER/2018-A4/2018-471, “Final Report: Energy Taxes: Energy costs, taxes and the impact of government interventions on investments”.</w:t>
      </w:r>
    </w:p>
  </w:footnote>
  <w:footnote w:id="40">
    <w:p>
      <w:pPr>
        <w:pStyle w:val="FootnoteText"/>
      </w:pPr>
      <w:r>
        <w:rPr>
          <w:rStyle w:val="FootnoteReference"/>
        </w:rPr>
        <w:footnoteRef/>
      </w:r>
      <w:r>
        <w:t xml:space="preserve"> Some numbers can differ from Eurostat as data gathering methods and methodology is different.</w:t>
      </w:r>
    </w:p>
  </w:footnote>
  <w:footnote w:id="41">
    <w:p>
      <w:pPr>
        <w:pStyle w:val="FootnoteText"/>
      </w:pPr>
      <w:r>
        <w:rPr>
          <w:rStyle w:val="FootnoteReference"/>
        </w:rPr>
        <w:footnoteRef/>
      </w:r>
      <w:r>
        <w:t xml:space="preserve"> Electricity price is retail price for Household DC band from Chapter 1. Gas price is retail price for Household D2 band from Chapter 2. Fuel prices for gasoline, diesel and heating oil are retail prices from Chapter 3.</w:t>
      </w:r>
    </w:p>
  </w:footnote>
  <w:footnote w:id="42">
    <w:p>
      <w:pPr>
        <w:pStyle w:val="FootnoteText"/>
      </w:pPr>
      <w:r>
        <w:rPr>
          <w:rStyle w:val="FootnoteReference"/>
        </w:rPr>
        <w:footnoteRef/>
      </w:r>
      <w:r>
        <w:t xml:space="preserve"> These are by no means perfect substitutes for number of reasons.</w:t>
      </w:r>
    </w:p>
  </w:footnote>
  <w:footnote w:id="43">
    <w:p>
      <w:pPr>
        <w:pStyle w:val="FootnoteText"/>
        <w:rPr>
          <w:sz w:val="16"/>
          <w:szCs w:val="16"/>
        </w:rPr>
      </w:pPr>
      <w:r>
        <w:rPr>
          <w:rStyle w:val="FootnoteReference"/>
        </w:rPr>
        <w:footnoteRef/>
      </w:r>
      <w:r>
        <w:t xml:space="preserve"> </w:t>
      </w:r>
      <w:r>
        <w:rPr>
          <w:sz w:val="16"/>
          <w:szCs w:val="16"/>
        </w:rPr>
        <w:t xml:space="preserve">Annual “captured” or “realised” price means: sum over all hours of the total production level for a technology at every hour </w:t>
      </w:r>
      <w:r>
        <w:rPr>
          <w:i/>
          <w:sz w:val="16"/>
          <w:szCs w:val="16"/>
        </w:rPr>
        <w:t xml:space="preserve">multiplied </w:t>
      </w:r>
      <w:r>
        <w:rPr>
          <w:sz w:val="16"/>
          <w:szCs w:val="16"/>
        </w:rPr>
        <w:t>by</w:t>
      </w:r>
      <w:r>
        <w:rPr>
          <w:i/>
          <w:sz w:val="16"/>
          <w:szCs w:val="16"/>
        </w:rPr>
        <w:t xml:space="preserve"> </w:t>
      </w:r>
      <w:r>
        <w:rPr>
          <w:sz w:val="16"/>
          <w:szCs w:val="16"/>
        </w:rPr>
        <w:t>the</w:t>
      </w:r>
      <w:r>
        <w:rPr>
          <w:i/>
          <w:sz w:val="16"/>
          <w:szCs w:val="16"/>
        </w:rPr>
        <w:t xml:space="preserve"> </w:t>
      </w:r>
      <w:r>
        <w:rPr>
          <w:sz w:val="16"/>
          <w:szCs w:val="16"/>
        </w:rPr>
        <w:t>price at every hour divided by the total annual production for this technology.</w:t>
      </w:r>
    </w:p>
    <w:p>
      <w:pPr>
        <w:rPr>
          <w:rFonts w:eastAsiaTheme="minorEastAsia"/>
          <w:sz w:val="16"/>
          <w:szCs w:val="16"/>
        </w:rPr>
      </w:pPr>
      <m:oMathPara>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c</m:t>
              </m:r>
            </m:sub>
          </m:sSub>
          <m:r>
            <w:rPr>
              <w:rFonts w:ascii="Cambria Math" w:hAnsi="Cambria Math"/>
              <w:sz w:val="16"/>
              <w:szCs w:val="16"/>
            </w:rPr>
            <m:t>=</m:t>
          </m:r>
          <m:f>
            <m:fPr>
              <m:ctrlPr>
                <w:rPr>
                  <w:rFonts w:ascii="Cambria Math" w:hAnsi="Cambria Math"/>
                  <w:i/>
                  <w:sz w:val="16"/>
                  <w:szCs w:val="16"/>
                </w:rPr>
              </m:ctrlPr>
            </m:fPr>
            <m:num>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8760</m:t>
                  </m:r>
                </m:sup>
                <m:e>
                  <m:sSub>
                    <m:sSubPr>
                      <m:ctrlPr>
                        <w:rPr>
                          <w:rFonts w:ascii="Cambria Math" w:hAnsi="Cambria Math"/>
                          <w:i/>
                          <w:sz w:val="16"/>
                          <w:szCs w:val="16"/>
                        </w:rPr>
                      </m:ctrlPr>
                    </m:sSubPr>
                    <m:e>
                      <m:r>
                        <w:rPr>
                          <w:rFonts w:ascii="Cambria Math" w:hAnsi="Cambria Math"/>
                          <w:sz w:val="16"/>
                          <w:szCs w:val="16"/>
                        </w:rPr>
                        <m:t xml:space="preserve"> p</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i</m:t>
                      </m:r>
                    </m:sub>
                  </m:sSub>
                </m:e>
              </m:nary>
            </m:num>
            <m:den>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8760</m:t>
                  </m:r>
                </m:sup>
                <m:e>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i</m:t>
                      </m:r>
                    </m:sub>
                  </m:sSub>
                </m:e>
              </m:nary>
            </m:den>
          </m:f>
        </m:oMath>
      </m:oMathPara>
    </w:p>
    <w:p>
      <w:pPr>
        <w:rPr>
          <w:rFonts w:eastAsiaTheme="minorEastAsia"/>
          <w:sz w:val="16"/>
          <w:szCs w:val="16"/>
        </w:rPr>
      </w:pPr>
      <w:r>
        <w:rPr>
          <w:rFonts w:eastAsiaTheme="minorEastAsia"/>
          <w:sz w:val="16"/>
          <w:szCs w:val="16"/>
        </w:rPr>
        <w:t>With p</w:t>
      </w:r>
      <w:r>
        <w:rPr>
          <w:rFonts w:eastAsiaTheme="minorEastAsia"/>
          <w:sz w:val="16"/>
          <w:szCs w:val="16"/>
          <w:vertAlign w:val="subscript"/>
        </w:rPr>
        <w:t>c</w:t>
      </w:r>
      <w:r>
        <w:rPr>
          <w:rFonts w:eastAsiaTheme="minorEastAsia"/>
          <w:sz w:val="16"/>
          <w:szCs w:val="16"/>
        </w:rPr>
        <w:t xml:space="preserve"> = annual captured electricity price; p</w:t>
      </w:r>
      <w:r>
        <w:rPr>
          <w:rFonts w:eastAsiaTheme="minorEastAsia"/>
          <w:sz w:val="16"/>
          <w:szCs w:val="16"/>
          <w:vertAlign w:val="subscript"/>
        </w:rPr>
        <w:t>i</w:t>
      </w:r>
      <w:r>
        <w:rPr>
          <w:rFonts w:eastAsiaTheme="minorEastAsia"/>
          <w:sz w:val="16"/>
          <w:szCs w:val="16"/>
        </w:rPr>
        <w:t xml:space="preserve"> = electricity price for hour i; q</w:t>
      </w:r>
      <w:r>
        <w:rPr>
          <w:rFonts w:eastAsiaTheme="minorEastAsia"/>
          <w:sz w:val="16"/>
          <w:szCs w:val="16"/>
          <w:vertAlign w:val="subscript"/>
        </w:rPr>
        <w:t>i</w:t>
      </w:r>
      <w:r>
        <w:rPr>
          <w:rFonts w:eastAsiaTheme="minorEastAsia"/>
          <w:sz w:val="16"/>
          <w:szCs w:val="16"/>
        </w:rPr>
        <w:t xml:space="preserve"> = electricity produced during hour i</w:t>
      </w:r>
    </w:p>
    <w:p>
      <w:pPr>
        <w:pStyle w:val="FootnoteText"/>
      </w:pPr>
    </w:p>
  </w:footnote>
  <w:footnote w:id="44">
    <w:p>
      <w:pPr>
        <w:pStyle w:val="FootnoteText"/>
        <w:jc w:val="left"/>
      </w:pPr>
      <w:r>
        <w:rPr>
          <w:rStyle w:val="FootnoteReference"/>
        </w:rPr>
        <w:footnoteRef/>
      </w:r>
      <w:r>
        <w:t xml:space="preserve"> </w:t>
      </w:r>
      <w:r>
        <w:rPr>
          <w:color w:val="000000" w:themeColor="text1"/>
        </w:rPr>
        <w:t xml:space="preserve">More information on the METIS model can be found here: </w:t>
      </w:r>
      <w:hyperlink r:id="rId11" w:history="1">
        <w:r>
          <w:rPr>
            <w:rStyle w:val="Hyperlink"/>
            <w:color w:val="000000" w:themeColor="text1"/>
          </w:rPr>
          <w:t>https://ec.europa.eu/energy/data-analysis/energy-modelling/metis_en</w:t>
        </w:r>
      </w:hyperlink>
      <w:r>
        <w:rPr>
          <w:color w:val="000000" w:themeColor="text1"/>
        </w:rPr>
        <w:t xml:space="preserve"> </w:t>
      </w:r>
    </w:p>
  </w:footnote>
  <w:footnote w:id="45">
    <w:p>
      <w:pPr>
        <w:pStyle w:val="FootnoteText"/>
      </w:pPr>
      <w:r>
        <w:rPr>
          <w:rStyle w:val="FootnoteReference"/>
        </w:rPr>
        <w:footnoteRef/>
      </w:r>
      <w:r>
        <w:t xml:space="preserve"> See the in-depth analysis in support of COM(2018) 77, A Clean Planet for all - A European long-term strategic vision for a prosperous, modern, competitive and climate neutral economy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A6516"/>
    <w:lvl w:ilvl="0">
      <w:start w:val="1"/>
      <w:numFmt w:val="bullet"/>
      <w:pStyle w:val="ListBullet3"/>
      <w:lvlText w:val=""/>
      <w:lvlJc w:val="left"/>
      <w:pPr>
        <w:tabs>
          <w:tab w:val="num" w:pos="926"/>
        </w:tabs>
        <w:ind w:left="926" w:hanging="360"/>
      </w:pPr>
      <w:rPr>
        <w:rFonts w:ascii="Symbol" w:hAnsi="Symbol" w:hint="default"/>
        <w:b/>
        <w:i w:val="0"/>
        <w:sz w:val="16"/>
      </w:rPr>
    </w:lvl>
  </w:abstractNum>
  <w:abstractNum w:abstractNumId="1">
    <w:nsid w:val="02FE6FAB"/>
    <w:multiLevelType w:val="hybridMultilevel"/>
    <w:tmpl w:val="7890CA2E"/>
    <w:lvl w:ilvl="0" w:tplc="888E4874">
      <w:start w:val="1"/>
      <w:numFmt w:val="bullet"/>
      <w:lvlText w:val=""/>
      <w:lvlJc w:val="left"/>
      <w:pPr>
        <w:ind w:left="720" w:hanging="360"/>
      </w:pPr>
      <w:rPr>
        <w:rFonts w:ascii="Symbol" w:hAnsi="Symbol" w:hint="default"/>
      </w:rPr>
    </w:lvl>
    <w:lvl w:ilvl="1" w:tplc="888E487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064DF"/>
    <w:multiLevelType w:val="multilevel"/>
    <w:tmpl w:val="C9E8547C"/>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09507E"/>
    <w:multiLevelType w:val="hybridMultilevel"/>
    <w:tmpl w:val="3A703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FC0A59"/>
    <w:multiLevelType w:val="hybridMultilevel"/>
    <w:tmpl w:val="E8ACA1F6"/>
    <w:lvl w:ilvl="0" w:tplc="9FCA70A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135B24"/>
    <w:multiLevelType w:val="multilevel"/>
    <w:tmpl w:val="97B0BFBA"/>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A252BBE"/>
    <w:multiLevelType w:val="hybridMultilevel"/>
    <w:tmpl w:val="B2CA76B6"/>
    <w:lvl w:ilvl="0" w:tplc="888E48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8">
    <w:nsid w:val="1C552A61"/>
    <w:multiLevelType w:val="hybridMultilevel"/>
    <w:tmpl w:val="DEF04E8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C5361E"/>
    <w:multiLevelType w:val="hybridMultilevel"/>
    <w:tmpl w:val="B13A8D8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564F30"/>
    <w:multiLevelType w:val="hybridMultilevel"/>
    <w:tmpl w:val="76D41698"/>
    <w:lvl w:ilvl="0" w:tplc="BC74659C">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7C0989"/>
    <w:multiLevelType w:val="multilevel"/>
    <w:tmpl w:val="C9C63D04"/>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747AE2"/>
    <w:multiLevelType w:val="hybridMultilevel"/>
    <w:tmpl w:val="1CDEBFD4"/>
    <w:lvl w:ilvl="0" w:tplc="888E487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2DC5152E"/>
    <w:multiLevelType w:val="hybridMultilevel"/>
    <w:tmpl w:val="97286ACE"/>
    <w:lvl w:ilvl="0" w:tplc="888E48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A275D9"/>
    <w:multiLevelType w:val="hybridMultilevel"/>
    <w:tmpl w:val="C23E3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DF77CAF"/>
    <w:multiLevelType w:val="hybridMultilevel"/>
    <w:tmpl w:val="6D921080"/>
    <w:lvl w:ilvl="0" w:tplc="BC74659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43B54263"/>
    <w:multiLevelType w:val="multilevel"/>
    <w:tmpl w:val="43BC16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7AC56F3"/>
    <w:multiLevelType w:val="multilevel"/>
    <w:tmpl w:val="C9C63D04"/>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nsid w:val="52FF3A2F"/>
    <w:multiLevelType w:val="hybridMultilevel"/>
    <w:tmpl w:val="BC5ED60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A008F9"/>
    <w:multiLevelType w:val="hybridMultilevel"/>
    <w:tmpl w:val="4808F1FC"/>
    <w:lvl w:ilvl="0" w:tplc="59822C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7F4738B"/>
    <w:multiLevelType w:val="hybridMultilevel"/>
    <w:tmpl w:val="7308705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D81A3A"/>
    <w:multiLevelType w:val="hybridMultilevel"/>
    <w:tmpl w:val="BFEE8FBC"/>
    <w:lvl w:ilvl="0" w:tplc="888E4874">
      <w:start w:val="1"/>
      <w:numFmt w:val="bullet"/>
      <w:lvlText w:val=""/>
      <w:lvlJc w:val="left"/>
      <w:pPr>
        <w:ind w:left="7164" w:hanging="360"/>
      </w:pPr>
      <w:rPr>
        <w:rFonts w:ascii="Symbol" w:hAnsi="Symbol" w:hint="default"/>
      </w:rPr>
    </w:lvl>
    <w:lvl w:ilvl="1" w:tplc="08090003" w:tentative="1">
      <w:start w:val="1"/>
      <w:numFmt w:val="bullet"/>
      <w:lvlText w:val="o"/>
      <w:lvlJc w:val="left"/>
      <w:pPr>
        <w:ind w:left="7884" w:hanging="360"/>
      </w:pPr>
      <w:rPr>
        <w:rFonts w:ascii="Courier New" w:hAnsi="Courier New" w:cs="Courier New" w:hint="default"/>
      </w:rPr>
    </w:lvl>
    <w:lvl w:ilvl="2" w:tplc="08090005" w:tentative="1">
      <w:start w:val="1"/>
      <w:numFmt w:val="bullet"/>
      <w:lvlText w:val=""/>
      <w:lvlJc w:val="left"/>
      <w:pPr>
        <w:ind w:left="8604" w:hanging="360"/>
      </w:pPr>
      <w:rPr>
        <w:rFonts w:ascii="Wingdings" w:hAnsi="Wingdings" w:hint="default"/>
      </w:rPr>
    </w:lvl>
    <w:lvl w:ilvl="3" w:tplc="08090001" w:tentative="1">
      <w:start w:val="1"/>
      <w:numFmt w:val="bullet"/>
      <w:lvlText w:val=""/>
      <w:lvlJc w:val="left"/>
      <w:pPr>
        <w:ind w:left="9324" w:hanging="360"/>
      </w:pPr>
      <w:rPr>
        <w:rFonts w:ascii="Symbol" w:hAnsi="Symbol" w:hint="default"/>
      </w:rPr>
    </w:lvl>
    <w:lvl w:ilvl="4" w:tplc="08090003" w:tentative="1">
      <w:start w:val="1"/>
      <w:numFmt w:val="bullet"/>
      <w:lvlText w:val="o"/>
      <w:lvlJc w:val="left"/>
      <w:pPr>
        <w:ind w:left="10044" w:hanging="360"/>
      </w:pPr>
      <w:rPr>
        <w:rFonts w:ascii="Courier New" w:hAnsi="Courier New" w:cs="Courier New" w:hint="default"/>
      </w:rPr>
    </w:lvl>
    <w:lvl w:ilvl="5" w:tplc="08090005" w:tentative="1">
      <w:start w:val="1"/>
      <w:numFmt w:val="bullet"/>
      <w:lvlText w:val=""/>
      <w:lvlJc w:val="left"/>
      <w:pPr>
        <w:ind w:left="10764" w:hanging="360"/>
      </w:pPr>
      <w:rPr>
        <w:rFonts w:ascii="Wingdings" w:hAnsi="Wingdings" w:hint="default"/>
      </w:rPr>
    </w:lvl>
    <w:lvl w:ilvl="6" w:tplc="08090001" w:tentative="1">
      <w:start w:val="1"/>
      <w:numFmt w:val="bullet"/>
      <w:lvlText w:val=""/>
      <w:lvlJc w:val="left"/>
      <w:pPr>
        <w:ind w:left="11484" w:hanging="360"/>
      </w:pPr>
      <w:rPr>
        <w:rFonts w:ascii="Symbol" w:hAnsi="Symbol" w:hint="default"/>
      </w:rPr>
    </w:lvl>
    <w:lvl w:ilvl="7" w:tplc="08090003" w:tentative="1">
      <w:start w:val="1"/>
      <w:numFmt w:val="bullet"/>
      <w:lvlText w:val="o"/>
      <w:lvlJc w:val="left"/>
      <w:pPr>
        <w:ind w:left="12204" w:hanging="360"/>
      </w:pPr>
      <w:rPr>
        <w:rFonts w:ascii="Courier New" w:hAnsi="Courier New" w:cs="Courier New" w:hint="default"/>
      </w:rPr>
    </w:lvl>
    <w:lvl w:ilvl="8" w:tplc="08090005" w:tentative="1">
      <w:start w:val="1"/>
      <w:numFmt w:val="bullet"/>
      <w:lvlText w:val=""/>
      <w:lvlJc w:val="left"/>
      <w:pPr>
        <w:ind w:left="12924" w:hanging="360"/>
      </w:pPr>
      <w:rPr>
        <w:rFonts w:ascii="Wingdings" w:hAnsi="Wingdings" w:hint="default"/>
      </w:rPr>
    </w:lvl>
  </w:abstractNum>
  <w:abstractNum w:abstractNumId="28">
    <w:nsid w:val="5BC00F0C"/>
    <w:multiLevelType w:val="hybridMultilevel"/>
    <w:tmpl w:val="07C8F40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26346D"/>
    <w:multiLevelType w:val="multilevel"/>
    <w:tmpl w:val="F934F8FE"/>
    <w:styleLink w:val="Style2"/>
    <w:lvl w:ilvl="0">
      <w:start w:val="1"/>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nsid w:val="5FD5448E"/>
    <w:multiLevelType w:val="hybridMultilevel"/>
    <w:tmpl w:val="4DD8C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0F9799C"/>
    <w:multiLevelType w:val="hybridMultilevel"/>
    <w:tmpl w:val="7020EDC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0F5259"/>
    <w:multiLevelType w:val="hybridMultilevel"/>
    <w:tmpl w:val="E9F870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D30285"/>
    <w:multiLevelType w:val="hybridMultilevel"/>
    <w:tmpl w:val="8BEC817A"/>
    <w:lvl w:ilvl="0" w:tplc="888E4874">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34">
    <w:nsid w:val="679B039E"/>
    <w:multiLevelType w:val="hybridMultilevel"/>
    <w:tmpl w:val="C38ECD2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501932"/>
    <w:multiLevelType w:val="multilevel"/>
    <w:tmpl w:val="AEFC9EA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6D923E5F"/>
    <w:multiLevelType w:val="multilevel"/>
    <w:tmpl w:val="083E9392"/>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F7779A8"/>
    <w:multiLevelType w:val="hybridMultilevel"/>
    <w:tmpl w:val="0358BA4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D74490"/>
    <w:multiLevelType w:val="hybridMultilevel"/>
    <w:tmpl w:val="F600E92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42F6D1A"/>
    <w:multiLevelType w:val="multilevel"/>
    <w:tmpl w:val="AC42CB9C"/>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46642BC"/>
    <w:multiLevelType w:val="multilevel"/>
    <w:tmpl w:val="B59E17D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77A07542"/>
    <w:multiLevelType w:val="hybridMultilevel"/>
    <w:tmpl w:val="7024A8A0"/>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E97CFF"/>
    <w:multiLevelType w:val="multilevel"/>
    <w:tmpl w:val="41B641A0"/>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78CC7014"/>
    <w:multiLevelType w:val="multilevel"/>
    <w:tmpl w:val="14566EFA"/>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B9C559C"/>
    <w:multiLevelType w:val="hybridMultilevel"/>
    <w:tmpl w:val="45EAB6B2"/>
    <w:lvl w:ilvl="0" w:tplc="08090001">
      <w:start w:val="1"/>
      <w:numFmt w:val="bullet"/>
      <w:lvlText w:val=""/>
      <w:lvlJc w:val="left"/>
      <w:pPr>
        <w:ind w:left="720" w:hanging="360"/>
      </w:pPr>
      <w:rPr>
        <w:rFonts w:ascii="Symbol" w:hAnsi="Symbol" w:hint="default"/>
      </w:rPr>
    </w:lvl>
    <w:lvl w:ilvl="1" w:tplc="57408858">
      <w:numFmt w:val="bullet"/>
      <w:lvlText w:val="•"/>
      <w:lvlJc w:val="left"/>
      <w:pPr>
        <w:ind w:left="1800" w:hanging="72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CD3F8F"/>
    <w:multiLevelType w:val="hybridMultilevel"/>
    <w:tmpl w:val="378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8"/>
  </w:num>
  <w:num w:numId="5">
    <w:abstractNumId w:val="24"/>
  </w:num>
  <w:num w:numId="6">
    <w:abstractNumId w:val="45"/>
  </w:num>
  <w:num w:numId="7">
    <w:abstractNumId w:val="22"/>
  </w:num>
  <w:num w:numId="8">
    <w:abstractNumId w:val="15"/>
  </w:num>
  <w:num w:numId="9">
    <w:abstractNumId w:val="26"/>
  </w:num>
  <w:num w:numId="10">
    <w:abstractNumId w:val="14"/>
  </w:num>
  <w:num w:numId="11">
    <w:abstractNumId w:val="31"/>
  </w:num>
  <w:num w:numId="12">
    <w:abstractNumId w:val="38"/>
  </w:num>
  <w:num w:numId="13">
    <w:abstractNumId w:val="41"/>
  </w:num>
  <w:num w:numId="14">
    <w:abstractNumId w:val="18"/>
  </w:num>
  <w:num w:numId="15">
    <w:abstractNumId w:val="32"/>
  </w:num>
  <w:num w:numId="16">
    <w:abstractNumId w:val="44"/>
  </w:num>
  <w:num w:numId="17">
    <w:abstractNumId w:val="17"/>
  </w:num>
  <w:num w:numId="18">
    <w:abstractNumId w:val="29"/>
  </w:num>
  <w:num w:numId="19">
    <w:abstractNumId w:val="7"/>
  </w:num>
  <w:num w:numId="20">
    <w:abstractNumId w:val="23"/>
  </w:num>
  <w:num w:numId="21">
    <w:abstractNumId w:val="13"/>
  </w:num>
  <w:num w:numId="22">
    <w:abstractNumId w:val="9"/>
  </w:num>
  <w:num w:numId="23">
    <w:abstractNumId w:val="28"/>
  </w:num>
  <w:num w:numId="24">
    <w:abstractNumId w:val="27"/>
  </w:num>
  <w:num w:numId="25">
    <w:abstractNumId w:val="19"/>
  </w:num>
  <w:num w:numId="26">
    <w:abstractNumId w:val="20"/>
  </w:num>
  <w:num w:numId="27">
    <w:abstractNumId w:val="40"/>
  </w:num>
  <w:num w:numId="28">
    <w:abstractNumId w:val="42"/>
  </w:num>
  <w:num w:numId="29">
    <w:abstractNumId w:val="39"/>
  </w:num>
  <w:num w:numId="30">
    <w:abstractNumId w:val="21"/>
  </w:num>
  <w:num w:numId="31">
    <w:abstractNumId w:val="12"/>
  </w:num>
  <w:num w:numId="32">
    <w:abstractNumId w:val="11"/>
  </w:num>
  <w:num w:numId="33">
    <w:abstractNumId w:val="1"/>
  </w:num>
  <w:num w:numId="34">
    <w:abstractNumId w:val="33"/>
  </w:num>
  <w:num w:numId="35">
    <w:abstractNumId w:val="37"/>
  </w:num>
  <w:num w:numId="36">
    <w:abstractNumId w:val="25"/>
  </w:num>
  <w:num w:numId="37">
    <w:abstractNumId w:val="30"/>
  </w:num>
  <w:num w:numId="38">
    <w:abstractNumId w:val="16"/>
  </w:num>
  <w:num w:numId="39">
    <w:abstractNumId w:val="35"/>
  </w:num>
  <w:num w:numId="40">
    <w:abstractNumId w:val="36"/>
  </w:num>
  <w:num w:numId="41">
    <w:abstractNumId w:val="43"/>
  </w:num>
  <w:num w:numId="42">
    <w:abstractNumId w:val="6"/>
  </w:num>
  <w:num w:numId="43">
    <w:abstractNumId w:val="5"/>
  </w:num>
  <w:num w:numId="44">
    <w:abstractNumId w:val="34"/>
  </w:num>
  <w:num w:numId="45">
    <w:abstractNumId w:val="4"/>
  </w:num>
  <w:num w:numId="46">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a-DK" w:vendorID="64" w:dllVersion="131078" w:nlCheck="1" w:checkStyle="0"/>
  <w:activeWritingStyle w:appName="MSWord" w:lang="en-IE" w:vendorID="64" w:dllVersion="131078" w:nlCheck="1" w:checkStyle="1"/>
  <w:revisionView w:markup="0"/>
  <w:defaultTabStop w:val="720"/>
  <w:hyphenationZone w:val="425"/>
  <w:characterSpacingControl w:val="doNotCompress"/>
  <w:hdrShapeDefaults>
    <o:shapedefaults v:ext="edit" spidmax="40961"/>
  </w:hdrShapeDefaults>
  <w:footnotePr>
    <w:numStart w:val="51"/>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724B62A-B298-4DF1-8882-860DA05C3B8E"/>
    <w:docVar w:name="LW_COVERPAGE_TYPE" w:val="1"/>
    <w:docVar w:name="LW_CROSSREFERENCE" w:val="{COM(2020) 951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4"/>
    <w:docVar w:name="LW_PART_NBR_TOTAL" w:val="6"/>
    <w:docVar w:name="LW_REF.INST.NEW" w:val="SWD"/>
    <w:docVar w:name="LW_REF.INST.NEW_ADOPTED" w:val="final"/>
    <w:docVar w:name="LW_REF.INST.NEW_TEXT" w:val="(2020) 9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qFormat/>
    <w:pPr>
      <w:keepNext/>
      <w:keepLines/>
      <w:spacing w:before="480" w:after="0"/>
      <w:ind w:left="432" w:hanging="432"/>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nhideWhenUsed/>
    <w:qFormat/>
    <w:pPr>
      <w:keepNext/>
      <w:keepLines/>
      <w:spacing w:before="200" w:after="0"/>
      <w:ind w:left="720" w:hanging="720"/>
      <w:outlineLvl w:val="2"/>
    </w:pPr>
    <w:rPr>
      <w:rFonts w:eastAsia="Times New Roman"/>
      <w:b/>
      <w:bCs/>
      <w:color w:val="000000"/>
      <w:sz w:val="32"/>
      <w:szCs w:val="32"/>
    </w:rPr>
  </w:style>
  <w:style w:type="paragraph" w:styleId="Heading4">
    <w:name w:val="heading 4"/>
    <w:basedOn w:val="Normal"/>
    <w:next w:val="Normal"/>
    <w:link w:val="Heading4Char"/>
    <w:unhideWhenUsed/>
    <w:qFormat/>
    <w:pPr>
      <w:keepNext/>
      <w:keepLines/>
      <w:spacing w:before="200" w:after="0"/>
      <w:ind w:left="2880" w:hanging="360"/>
      <w:outlineLvl w:val="3"/>
    </w:pPr>
    <w:rPr>
      <w:rFonts w:eastAsia="Times New Roman"/>
      <w:b/>
      <w:bCs/>
      <w:iCs/>
      <w:color w:val="000000"/>
      <w:sz w:val="32"/>
      <w:szCs w:val="32"/>
    </w:rPr>
  </w:style>
  <w:style w:type="paragraph" w:styleId="Heading5">
    <w:name w:val="heading 5"/>
    <w:basedOn w:val="Heading3"/>
    <w:next w:val="Normal"/>
    <w:link w:val="Heading5Char"/>
    <w:qFormat/>
    <w:pPr>
      <w:keepLines w:val="0"/>
      <w:tabs>
        <w:tab w:val="left" w:pos="1134"/>
      </w:tabs>
      <w:spacing w:before="283" w:after="283" w:line="283" w:lineRule="exact"/>
      <w:ind w:left="3600" w:hanging="360"/>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ind w:left="4320" w:hanging="180"/>
      <w:outlineLvl w:val="5"/>
    </w:pPr>
    <w:rPr>
      <w:rFonts w:ascii="Verdana" w:eastAsia="Times New Roman" w:hAnsi="Verdana"/>
      <w:b/>
      <w:lang w:eastAsia="de-DE"/>
    </w:rPr>
  </w:style>
  <w:style w:type="paragraph" w:styleId="Heading7">
    <w:name w:val="heading 7"/>
    <w:basedOn w:val="Normal"/>
    <w:next w:val="Normal"/>
    <w:link w:val="Heading7Char"/>
    <w:qFormat/>
    <w:pPr>
      <w:tabs>
        <w:tab w:val="left" w:pos="1701"/>
      </w:tabs>
      <w:spacing w:after="283" w:line="283" w:lineRule="atLeast"/>
      <w:ind w:left="5040" w:hanging="360"/>
      <w:outlineLvl w:val="6"/>
    </w:pPr>
    <w:rPr>
      <w:rFonts w:ascii="Verdana" w:eastAsia="Times New Roman" w:hAnsi="Verdana"/>
      <w:b/>
      <w:sz w:val="18"/>
      <w:szCs w:val="24"/>
      <w:lang w:val="de-DE" w:eastAsia="de-DE"/>
    </w:rPr>
  </w:style>
  <w:style w:type="paragraph" w:styleId="Heading8">
    <w:name w:val="heading 8"/>
    <w:basedOn w:val="Normal"/>
    <w:next w:val="Normal"/>
    <w:link w:val="Heading8Char"/>
    <w:qFormat/>
    <w:pPr>
      <w:tabs>
        <w:tab w:val="left" w:pos="2268"/>
      </w:tabs>
      <w:spacing w:after="283" w:line="283" w:lineRule="atLeast"/>
      <w:ind w:left="5760" w:hanging="360"/>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qFormat/>
    <w:pPr>
      <w:tabs>
        <w:tab w:val="left" w:pos="2551"/>
      </w:tabs>
      <w:spacing w:after="283" w:line="283" w:lineRule="atLeast"/>
      <w:ind w:left="6480" w:hanging="180"/>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rPr>
      <w:rFonts w:ascii="Times New Roman" w:eastAsia="Times New Roman" w:hAnsi="Times New Roman"/>
      <w:b/>
      <w:bCs/>
      <w:color w:val="000000"/>
      <w:sz w:val="32"/>
      <w:szCs w:val="32"/>
      <w:lang w:eastAsia="en-US"/>
    </w:rPr>
  </w:style>
  <w:style w:type="character" w:customStyle="1" w:styleId="Heading4Char">
    <w:name w:val="Heading 4 Char"/>
    <w:link w:val="Heading4"/>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link w:val="SUPERSCharCharCharCharCharCharCharChar"/>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ind w:right="-142"/>
      <w:jc w:val="center"/>
    </w:pPr>
    <w:rPr>
      <w:b/>
      <w:bCs/>
      <w:noProof/>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sz w:val="22"/>
      <w:szCs w:val="22"/>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link w:val="NoSpacingChar"/>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17"/>
      </w:numPr>
    </w:pPr>
  </w:style>
  <w:style w:type="numbering" w:customStyle="1" w:styleId="Style2">
    <w:name w:val="Style2"/>
    <w:uiPriority w:val="99"/>
    <w:pPr>
      <w:numPr>
        <w:numId w:val="18"/>
      </w:numPr>
    </w:pPr>
  </w:style>
  <w:style w:type="paragraph" w:customStyle="1" w:styleId="broodtekst">
    <w:name w:val="broodtekst"/>
    <w:basedOn w:val="Normal"/>
    <w:link w:val="broodtekstChar"/>
    <w:uiPriority w:val="99"/>
    <w:pPr>
      <w:keepNext/>
      <w:spacing w:after="0"/>
      <w:ind w:left="360" w:hanging="36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spacing w:line="280" w:lineRule="atLeast"/>
      <w:ind w:left="0" w:firstLine="0"/>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pPr>
      <w:numPr>
        <w:numId w:val="25"/>
      </w:numPr>
    </w:pPr>
  </w:style>
  <w:style w:type="paragraph" w:customStyle="1" w:styleId="ZFlag">
    <w:name w:val="Z_Flag"/>
    <w:basedOn w:val="Normal"/>
    <w:next w:val="Normal"/>
    <w:uiPriority w:val="99"/>
    <w:semiHidden/>
    <w:pPr>
      <w:widowControl w:val="0"/>
      <w:spacing w:after="0"/>
      <w:ind w:right="85"/>
    </w:pPr>
    <w:rPr>
      <w:rFonts w:ascii="Arial" w:eastAsia="Times New Roman" w:hAnsi="Arial"/>
      <w:sz w:val="24"/>
      <w:szCs w:val="20"/>
      <w:lang w:eastAsia="en-GB"/>
    </w:rPr>
  </w:style>
  <w:style w:type="paragraph" w:customStyle="1" w:styleId="ZCom">
    <w:name w:val="Z_Com"/>
    <w:basedOn w:val="Normal"/>
    <w:next w:val="Normal"/>
    <w:uiPriority w:val="99"/>
    <w:semiHidden/>
    <w:pPr>
      <w:widowControl w:val="0"/>
      <w:spacing w:before="90" w:after="0"/>
      <w:ind w:right="85"/>
    </w:pPr>
    <w:rPr>
      <w:rFonts w:ascii="Arial" w:eastAsia="Times New Roman" w:hAnsi="Arial"/>
      <w:sz w:val="24"/>
      <w:szCs w:val="20"/>
      <w:lang w:eastAsia="en-GB"/>
    </w:rPr>
  </w:style>
  <w:style w:type="paragraph" w:customStyle="1" w:styleId="ZDGName">
    <w:name w:val="Z_DGName"/>
    <w:basedOn w:val="Normal"/>
    <w:uiPriority w:val="99"/>
    <w:semiHidden/>
    <w:pPr>
      <w:widowControl w:val="0"/>
      <w:spacing w:after="0"/>
      <w:ind w:right="85"/>
      <w:jc w:val="left"/>
    </w:pPr>
    <w:rPr>
      <w:rFonts w:ascii="Arial" w:eastAsia="Times New Roman" w:hAnsi="Arial"/>
      <w:sz w:val="16"/>
      <w:szCs w:val="20"/>
      <w:lang w:eastAsia="en-GB"/>
    </w:rPr>
  </w:style>
  <w:style w:type="table" w:customStyle="1" w:styleId="TableLetterhead">
    <w:name w:val="Table Letterhead"/>
    <w:basedOn w:val="TableNormal"/>
    <w:uiPriority w:val="99"/>
    <w:rPr>
      <w:rFonts w:ascii="Times New Roman" w:eastAsia="Times New Roman" w:hAnsi="Times New Roman"/>
      <w:sz w:val="24"/>
    </w:rPr>
    <w:tblPr>
      <w:tblCellMar>
        <w:left w:w="0" w:type="dxa"/>
        <w:bottom w:w="340" w:type="dxa"/>
        <w:right w:w="0" w:type="dxa"/>
      </w:tblCellMar>
    </w:tblPr>
  </w:style>
  <w:style w:type="paragraph" w:styleId="Date">
    <w:name w:val="Date"/>
    <w:basedOn w:val="Normal"/>
    <w:next w:val="References"/>
    <w:link w:val="DateChar"/>
    <w:pPr>
      <w:spacing w:after="0"/>
      <w:ind w:left="5102" w:right="-567"/>
      <w:jc w:val="left"/>
    </w:pPr>
    <w:rPr>
      <w:rFonts w:eastAsia="Times New Roman"/>
      <w:sz w:val="24"/>
      <w:szCs w:val="20"/>
      <w:lang w:eastAsia="en-GB"/>
    </w:rPr>
  </w:style>
  <w:style w:type="character" w:customStyle="1" w:styleId="DateChar">
    <w:name w:val="Date Char"/>
    <w:basedOn w:val="DefaultParagraphFont"/>
    <w:link w:val="Date"/>
    <w:rPr>
      <w:rFonts w:ascii="Times New Roman" w:eastAsia="Times New Roman" w:hAnsi="Times New Roman"/>
      <w:sz w:val="24"/>
    </w:rPr>
  </w:style>
  <w:style w:type="paragraph" w:customStyle="1" w:styleId="References">
    <w:name w:val="References"/>
    <w:basedOn w:val="Normal"/>
    <w:next w:val="Normal"/>
    <w:pPr>
      <w:spacing w:after="240"/>
      <w:ind w:left="5102"/>
      <w:jc w:val="left"/>
    </w:pPr>
    <w:rPr>
      <w:rFonts w:eastAsia="Times New Roman"/>
      <w:sz w:val="20"/>
      <w:szCs w:val="20"/>
      <w:lang w:eastAsia="en-GB"/>
    </w:rPr>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ecurityMarking">
    <w:name w:val="SecurityMarking"/>
    <w:basedOn w:val="Normal"/>
    <w:pPr>
      <w:spacing w:after="0" w:line="276" w:lineRule="auto"/>
      <w:ind w:left="5103"/>
      <w:jc w:val="left"/>
    </w:pPr>
    <w:rPr>
      <w:rFonts w:eastAsiaTheme="minorHAnsi"/>
      <w:sz w:val="28"/>
    </w:rPr>
  </w:style>
  <w:style w:type="paragraph" w:customStyle="1" w:styleId="DateMarking">
    <w:name w:val="DateMarking"/>
    <w:basedOn w:val="Normal"/>
    <w:pPr>
      <w:spacing w:after="0" w:line="276" w:lineRule="auto"/>
      <w:ind w:left="5103"/>
      <w:jc w:val="left"/>
    </w:pPr>
    <w:rPr>
      <w:rFonts w:eastAsiaTheme="minorHAnsi"/>
      <w:i/>
      <w:sz w:val="28"/>
    </w:rPr>
  </w:style>
  <w:style w:type="paragraph" w:customStyle="1" w:styleId="ReleasableTo">
    <w:name w:val="ReleasableTo"/>
    <w:basedOn w:val="Normal"/>
    <w:pPr>
      <w:spacing w:after="0" w:line="276" w:lineRule="auto"/>
      <w:ind w:left="5103"/>
      <w:jc w:val="left"/>
    </w:pPr>
    <w:rPr>
      <w:rFonts w:eastAsiaTheme="minorHAnsi"/>
      <w:i/>
      <w:sz w:val="28"/>
    </w:rPr>
  </w:style>
  <w:style w:type="paragraph" w:customStyle="1" w:styleId="HeaderSensitivityRight">
    <w:name w:val="Header Sensitivity Right"/>
    <w:basedOn w:val="Normal"/>
    <w:pPr>
      <w:jc w:val="right"/>
    </w:pPr>
    <w:rPr>
      <w:sz w:val="2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rFonts w:ascii="Calibri" w:hAnsi="Calibri"/>
      <w:sz w:val="20"/>
      <w:szCs w:val="20"/>
      <w:vertAlign w:val="superscript"/>
      <w:lang w:eastAsia="en-GB"/>
    </w:rPr>
  </w:style>
  <w:style w:type="table" w:customStyle="1" w:styleId="Table161">
    <w:name w:val="Table 16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parajita" w:hAnsi="Aparajita"/>
        <w:b/>
        <w:color w:val="FFFFFF"/>
        <w:sz w:val="16"/>
      </w:rPr>
      <w:tblPr/>
      <w:tcPr>
        <w:shd w:val="clear" w:color="auto" w:fill="005962"/>
      </w:tcPr>
    </w:tblStylePr>
    <w:tblStylePr w:type="firstCol">
      <w:pPr>
        <w:wordWrap/>
        <w:jc w:val="left"/>
        <w:outlineLvl w:val="9"/>
      </w:pPr>
    </w:tblStylePr>
  </w:style>
  <w:style w:type="table" w:customStyle="1" w:styleId="GridTable5DarkAccent3">
    <w:name w:val="Grid Table 5 Dark Accent 3"/>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NoSpacingChar">
    <w:name w:val="No Spacing Char"/>
    <w:basedOn w:val="DefaultParagraphFont"/>
    <w:link w:val="NoSpacing"/>
    <w:uiPriority w:val="1"/>
    <w:rPr>
      <w:rFonts w:ascii="Trebuchet MS" w:eastAsiaTheme="minorHAnsi" w:hAnsi="Trebuchet MS" w:cstheme="minorBidi"/>
      <w:sz w:val="18"/>
      <w:szCs w:val="22"/>
      <w:lang w:eastAsia="en-US"/>
    </w:rPr>
  </w:style>
  <w:style w:type="paragraph" w:styleId="Index1">
    <w:name w:val="index 1"/>
    <w:basedOn w:val="Normal"/>
    <w:next w:val="Normal"/>
    <w:autoRedefine/>
    <w:uiPriority w:val="99"/>
    <w:unhideWhenUsed/>
    <w:pPr>
      <w:spacing w:after="0"/>
      <w:ind w:left="240" w:hanging="240"/>
      <w:jc w:val="left"/>
    </w:pPr>
    <w:rPr>
      <w:rFonts w:asciiTheme="minorHAnsi" w:eastAsia="Times New Roman" w:hAnsiTheme="minorHAnsi" w:cstheme="minorHAnsi"/>
      <w:sz w:val="18"/>
      <w:szCs w:val="18"/>
      <w:lang w:eastAsia="en-GB"/>
    </w:rPr>
  </w:style>
  <w:style w:type="paragraph" w:styleId="Index2">
    <w:name w:val="index 2"/>
    <w:basedOn w:val="Normal"/>
    <w:next w:val="Normal"/>
    <w:autoRedefine/>
    <w:uiPriority w:val="99"/>
    <w:unhideWhenUsed/>
    <w:pPr>
      <w:spacing w:after="0"/>
      <w:ind w:left="480" w:hanging="240"/>
      <w:jc w:val="left"/>
    </w:pPr>
    <w:rPr>
      <w:rFonts w:asciiTheme="minorHAnsi" w:eastAsia="Times New Roman" w:hAnsiTheme="minorHAnsi" w:cstheme="minorHAnsi"/>
      <w:sz w:val="18"/>
      <w:szCs w:val="18"/>
      <w:lang w:eastAsia="en-GB"/>
    </w:rPr>
  </w:style>
  <w:style w:type="paragraph" w:styleId="Index3">
    <w:name w:val="index 3"/>
    <w:basedOn w:val="Normal"/>
    <w:next w:val="Normal"/>
    <w:autoRedefine/>
    <w:uiPriority w:val="99"/>
    <w:unhideWhenUsed/>
    <w:pPr>
      <w:spacing w:after="0"/>
      <w:ind w:left="720" w:hanging="240"/>
      <w:jc w:val="left"/>
    </w:pPr>
    <w:rPr>
      <w:rFonts w:asciiTheme="minorHAnsi" w:eastAsia="Times New Roman" w:hAnsiTheme="minorHAnsi" w:cstheme="minorHAnsi"/>
      <w:sz w:val="18"/>
      <w:szCs w:val="18"/>
      <w:lang w:eastAsia="en-GB"/>
    </w:rPr>
  </w:style>
  <w:style w:type="paragraph" w:styleId="Index4">
    <w:name w:val="index 4"/>
    <w:basedOn w:val="Normal"/>
    <w:next w:val="Normal"/>
    <w:autoRedefine/>
    <w:uiPriority w:val="99"/>
    <w:unhideWhenUsed/>
    <w:pPr>
      <w:spacing w:after="0"/>
      <w:ind w:left="960" w:hanging="240"/>
      <w:jc w:val="left"/>
    </w:pPr>
    <w:rPr>
      <w:rFonts w:asciiTheme="minorHAnsi" w:eastAsia="Times New Roman" w:hAnsiTheme="minorHAnsi" w:cstheme="minorHAnsi"/>
      <w:sz w:val="18"/>
      <w:szCs w:val="18"/>
      <w:lang w:eastAsia="en-GB"/>
    </w:rPr>
  </w:style>
  <w:style w:type="paragraph" w:styleId="Index5">
    <w:name w:val="index 5"/>
    <w:basedOn w:val="Normal"/>
    <w:next w:val="Normal"/>
    <w:autoRedefine/>
    <w:uiPriority w:val="99"/>
    <w:unhideWhenUsed/>
    <w:pPr>
      <w:spacing w:after="0"/>
      <w:ind w:left="1200" w:hanging="240"/>
      <w:jc w:val="left"/>
    </w:pPr>
    <w:rPr>
      <w:rFonts w:asciiTheme="minorHAnsi" w:eastAsia="Times New Roman" w:hAnsiTheme="minorHAnsi" w:cstheme="minorHAnsi"/>
      <w:sz w:val="18"/>
      <w:szCs w:val="18"/>
      <w:lang w:eastAsia="en-GB"/>
    </w:rPr>
  </w:style>
  <w:style w:type="paragraph" w:styleId="Index6">
    <w:name w:val="index 6"/>
    <w:basedOn w:val="Normal"/>
    <w:next w:val="Normal"/>
    <w:autoRedefine/>
    <w:uiPriority w:val="99"/>
    <w:unhideWhenUsed/>
    <w:pPr>
      <w:spacing w:after="0"/>
      <w:ind w:left="1440" w:hanging="240"/>
      <w:jc w:val="left"/>
    </w:pPr>
    <w:rPr>
      <w:rFonts w:asciiTheme="minorHAnsi" w:eastAsia="Times New Roman" w:hAnsiTheme="minorHAnsi" w:cstheme="minorHAnsi"/>
      <w:sz w:val="18"/>
      <w:szCs w:val="18"/>
      <w:lang w:eastAsia="en-GB"/>
    </w:rPr>
  </w:style>
  <w:style w:type="paragraph" w:styleId="Index7">
    <w:name w:val="index 7"/>
    <w:basedOn w:val="Normal"/>
    <w:next w:val="Normal"/>
    <w:autoRedefine/>
    <w:uiPriority w:val="99"/>
    <w:unhideWhenUsed/>
    <w:pPr>
      <w:spacing w:after="0"/>
      <w:ind w:left="1680" w:hanging="240"/>
      <w:jc w:val="left"/>
    </w:pPr>
    <w:rPr>
      <w:rFonts w:asciiTheme="minorHAnsi" w:eastAsia="Times New Roman" w:hAnsiTheme="minorHAnsi" w:cstheme="minorHAnsi"/>
      <w:sz w:val="18"/>
      <w:szCs w:val="18"/>
      <w:lang w:eastAsia="en-GB"/>
    </w:rPr>
  </w:style>
  <w:style w:type="paragraph" w:styleId="Index8">
    <w:name w:val="index 8"/>
    <w:basedOn w:val="Normal"/>
    <w:next w:val="Normal"/>
    <w:autoRedefine/>
    <w:uiPriority w:val="99"/>
    <w:unhideWhenUsed/>
    <w:pPr>
      <w:spacing w:after="0"/>
      <w:ind w:left="1920" w:hanging="240"/>
      <w:jc w:val="left"/>
    </w:pPr>
    <w:rPr>
      <w:rFonts w:asciiTheme="minorHAnsi" w:eastAsia="Times New Roman" w:hAnsiTheme="minorHAnsi" w:cstheme="minorHAnsi"/>
      <w:sz w:val="18"/>
      <w:szCs w:val="18"/>
      <w:lang w:eastAsia="en-GB"/>
    </w:rPr>
  </w:style>
  <w:style w:type="paragraph" w:styleId="Index9">
    <w:name w:val="index 9"/>
    <w:basedOn w:val="Normal"/>
    <w:next w:val="Normal"/>
    <w:autoRedefine/>
    <w:uiPriority w:val="99"/>
    <w:unhideWhenUsed/>
    <w:pPr>
      <w:spacing w:after="0"/>
      <w:ind w:left="2160" w:hanging="240"/>
      <w:jc w:val="left"/>
    </w:pPr>
    <w:rPr>
      <w:rFonts w:asciiTheme="minorHAnsi" w:eastAsia="Times New Roman" w:hAnsiTheme="minorHAnsi" w:cstheme="minorHAnsi"/>
      <w:sz w:val="18"/>
      <w:szCs w:val="18"/>
      <w:lang w:eastAsia="en-GB"/>
    </w:rPr>
  </w:style>
  <w:style w:type="paragraph" w:styleId="IndexHeading">
    <w:name w:val="index heading"/>
    <w:basedOn w:val="Normal"/>
    <w:next w:val="Index1"/>
    <w:uiPriority w:val="99"/>
    <w:unhideWhenUsed/>
    <w:pPr>
      <w:spacing w:before="240"/>
      <w:jc w:val="center"/>
    </w:pPr>
    <w:rPr>
      <w:rFonts w:asciiTheme="minorHAnsi" w:eastAsia="Times New Roman" w:hAnsiTheme="minorHAnsi" w:cstheme="minorHAnsi"/>
      <w:b/>
      <w:bCs/>
      <w:sz w:val="26"/>
      <w:szCs w:val="26"/>
      <w:lang w:eastAsia="en-GB"/>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qFormat/>
    <w:pPr>
      <w:keepNext/>
      <w:keepLines/>
      <w:spacing w:before="480" w:after="0"/>
      <w:ind w:left="432" w:hanging="432"/>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nhideWhenUsed/>
    <w:qFormat/>
    <w:pPr>
      <w:keepNext/>
      <w:keepLines/>
      <w:spacing w:before="200" w:after="0"/>
      <w:ind w:left="720" w:hanging="720"/>
      <w:outlineLvl w:val="2"/>
    </w:pPr>
    <w:rPr>
      <w:rFonts w:eastAsia="Times New Roman"/>
      <w:b/>
      <w:bCs/>
      <w:color w:val="000000"/>
      <w:sz w:val="32"/>
      <w:szCs w:val="32"/>
    </w:rPr>
  </w:style>
  <w:style w:type="paragraph" w:styleId="Heading4">
    <w:name w:val="heading 4"/>
    <w:basedOn w:val="Normal"/>
    <w:next w:val="Normal"/>
    <w:link w:val="Heading4Char"/>
    <w:unhideWhenUsed/>
    <w:qFormat/>
    <w:pPr>
      <w:keepNext/>
      <w:keepLines/>
      <w:spacing w:before="200" w:after="0"/>
      <w:ind w:left="2880" w:hanging="360"/>
      <w:outlineLvl w:val="3"/>
    </w:pPr>
    <w:rPr>
      <w:rFonts w:eastAsia="Times New Roman"/>
      <w:b/>
      <w:bCs/>
      <w:iCs/>
      <w:color w:val="000000"/>
      <w:sz w:val="32"/>
      <w:szCs w:val="32"/>
    </w:rPr>
  </w:style>
  <w:style w:type="paragraph" w:styleId="Heading5">
    <w:name w:val="heading 5"/>
    <w:basedOn w:val="Heading3"/>
    <w:next w:val="Normal"/>
    <w:link w:val="Heading5Char"/>
    <w:qFormat/>
    <w:pPr>
      <w:keepLines w:val="0"/>
      <w:tabs>
        <w:tab w:val="left" w:pos="1134"/>
      </w:tabs>
      <w:spacing w:before="283" w:after="283" w:line="283" w:lineRule="exact"/>
      <w:ind w:left="3600" w:hanging="360"/>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ind w:left="4320" w:hanging="180"/>
      <w:outlineLvl w:val="5"/>
    </w:pPr>
    <w:rPr>
      <w:rFonts w:ascii="Verdana" w:eastAsia="Times New Roman" w:hAnsi="Verdana"/>
      <w:b/>
      <w:lang w:eastAsia="de-DE"/>
    </w:rPr>
  </w:style>
  <w:style w:type="paragraph" w:styleId="Heading7">
    <w:name w:val="heading 7"/>
    <w:basedOn w:val="Normal"/>
    <w:next w:val="Normal"/>
    <w:link w:val="Heading7Char"/>
    <w:qFormat/>
    <w:pPr>
      <w:tabs>
        <w:tab w:val="left" w:pos="1701"/>
      </w:tabs>
      <w:spacing w:after="283" w:line="283" w:lineRule="atLeast"/>
      <w:ind w:left="5040" w:hanging="360"/>
      <w:outlineLvl w:val="6"/>
    </w:pPr>
    <w:rPr>
      <w:rFonts w:ascii="Verdana" w:eastAsia="Times New Roman" w:hAnsi="Verdana"/>
      <w:b/>
      <w:sz w:val="18"/>
      <w:szCs w:val="24"/>
      <w:lang w:val="de-DE" w:eastAsia="de-DE"/>
    </w:rPr>
  </w:style>
  <w:style w:type="paragraph" w:styleId="Heading8">
    <w:name w:val="heading 8"/>
    <w:basedOn w:val="Normal"/>
    <w:next w:val="Normal"/>
    <w:link w:val="Heading8Char"/>
    <w:qFormat/>
    <w:pPr>
      <w:tabs>
        <w:tab w:val="left" w:pos="2268"/>
      </w:tabs>
      <w:spacing w:after="283" w:line="283" w:lineRule="atLeast"/>
      <w:ind w:left="5760" w:hanging="360"/>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qFormat/>
    <w:pPr>
      <w:tabs>
        <w:tab w:val="left" w:pos="2551"/>
      </w:tabs>
      <w:spacing w:after="283" w:line="283" w:lineRule="atLeast"/>
      <w:ind w:left="6480" w:hanging="180"/>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rPr>
      <w:rFonts w:ascii="Times New Roman" w:eastAsia="Times New Roman" w:hAnsi="Times New Roman"/>
      <w:b/>
      <w:bCs/>
      <w:color w:val="000000"/>
      <w:sz w:val="32"/>
      <w:szCs w:val="32"/>
      <w:lang w:eastAsia="en-US"/>
    </w:rPr>
  </w:style>
  <w:style w:type="character" w:customStyle="1" w:styleId="Heading4Char">
    <w:name w:val="Heading 4 Char"/>
    <w:link w:val="Heading4"/>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link w:val="SUPERSCharCharCharCharCharCharCharChar"/>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ind w:right="-142"/>
      <w:jc w:val="center"/>
    </w:pPr>
    <w:rPr>
      <w:b/>
      <w:bCs/>
      <w:noProof/>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sz w:val="22"/>
      <w:szCs w:val="22"/>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link w:val="NoSpacingChar"/>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17"/>
      </w:numPr>
    </w:pPr>
  </w:style>
  <w:style w:type="numbering" w:customStyle="1" w:styleId="Style2">
    <w:name w:val="Style2"/>
    <w:uiPriority w:val="99"/>
    <w:pPr>
      <w:numPr>
        <w:numId w:val="18"/>
      </w:numPr>
    </w:pPr>
  </w:style>
  <w:style w:type="paragraph" w:customStyle="1" w:styleId="broodtekst">
    <w:name w:val="broodtekst"/>
    <w:basedOn w:val="Normal"/>
    <w:link w:val="broodtekstChar"/>
    <w:uiPriority w:val="99"/>
    <w:pPr>
      <w:keepNext/>
      <w:spacing w:after="0"/>
      <w:ind w:left="360" w:hanging="36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spacing w:line="280" w:lineRule="atLeast"/>
      <w:ind w:left="0" w:firstLine="0"/>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pPr>
      <w:numPr>
        <w:numId w:val="25"/>
      </w:numPr>
    </w:pPr>
  </w:style>
  <w:style w:type="paragraph" w:customStyle="1" w:styleId="ZFlag">
    <w:name w:val="Z_Flag"/>
    <w:basedOn w:val="Normal"/>
    <w:next w:val="Normal"/>
    <w:uiPriority w:val="99"/>
    <w:semiHidden/>
    <w:pPr>
      <w:widowControl w:val="0"/>
      <w:spacing w:after="0"/>
      <w:ind w:right="85"/>
    </w:pPr>
    <w:rPr>
      <w:rFonts w:ascii="Arial" w:eastAsia="Times New Roman" w:hAnsi="Arial"/>
      <w:sz w:val="24"/>
      <w:szCs w:val="20"/>
      <w:lang w:eastAsia="en-GB"/>
    </w:rPr>
  </w:style>
  <w:style w:type="paragraph" w:customStyle="1" w:styleId="ZCom">
    <w:name w:val="Z_Com"/>
    <w:basedOn w:val="Normal"/>
    <w:next w:val="Normal"/>
    <w:uiPriority w:val="99"/>
    <w:semiHidden/>
    <w:pPr>
      <w:widowControl w:val="0"/>
      <w:spacing w:before="90" w:after="0"/>
      <w:ind w:right="85"/>
    </w:pPr>
    <w:rPr>
      <w:rFonts w:ascii="Arial" w:eastAsia="Times New Roman" w:hAnsi="Arial"/>
      <w:sz w:val="24"/>
      <w:szCs w:val="20"/>
      <w:lang w:eastAsia="en-GB"/>
    </w:rPr>
  </w:style>
  <w:style w:type="paragraph" w:customStyle="1" w:styleId="ZDGName">
    <w:name w:val="Z_DGName"/>
    <w:basedOn w:val="Normal"/>
    <w:uiPriority w:val="99"/>
    <w:semiHidden/>
    <w:pPr>
      <w:widowControl w:val="0"/>
      <w:spacing w:after="0"/>
      <w:ind w:right="85"/>
      <w:jc w:val="left"/>
    </w:pPr>
    <w:rPr>
      <w:rFonts w:ascii="Arial" w:eastAsia="Times New Roman" w:hAnsi="Arial"/>
      <w:sz w:val="16"/>
      <w:szCs w:val="20"/>
      <w:lang w:eastAsia="en-GB"/>
    </w:rPr>
  </w:style>
  <w:style w:type="table" w:customStyle="1" w:styleId="TableLetterhead">
    <w:name w:val="Table Letterhead"/>
    <w:basedOn w:val="TableNormal"/>
    <w:uiPriority w:val="99"/>
    <w:rPr>
      <w:rFonts w:ascii="Times New Roman" w:eastAsia="Times New Roman" w:hAnsi="Times New Roman"/>
      <w:sz w:val="24"/>
    </w:rPr>
    <w:tblPr>
      <w:tblCellMar>
        <w:left w:w="0" w:type="dxa"/>
        <w:bottom w:w="340" w:type="dxa"/>
        <w:right w:w="0" w:type="dxa"/>
      </w:tblCellMar>
    </w:tblPr>
  </w:style>
  <w:style w:type="paragraph" w:styleId="Date">
    <w:name w:val="Date"/>
    <w:basedOn w:val="Normal"/>
    <w:next w:val="References"/>
    <w:link w:val="DateChar"/>
    <w:pPr>
      <w:spacing w:after="0"/>
      <w:ind w:left="5102" w:right="-567"/>
      <w:jc w:val="left"/>
    </w:pPr>
    <w:rPr>
      <w:rFonts w:eastAsia="Times New Roman"/>
      <w:sz w:val="24"/>
      <w:szCs w:val="20"/>
      <w:lang w:eastAsia="en-GB"/>
    </w:rPr>
  </w:style>
  <w:style w:type="character" w:customStyle="1" w:styleId="DateChar">
    <w:name w:val="Date Char"/>
    <w:basedOn w:val="DefaultParagraphFont"/>
    <w:link w:val="Date"/>
    <w:rPr>
      <w:rFonts w:ascii="Times New Roman" w:eastAsia="Times New Roman" w:hAnsi="Times New Roman"/>
      <w:sz w:val="24"/>
    </w:rPr>
  </w:style>
  <w:style w:type="paragraph" w:customStyle="1" w:styleId="References">
    <w:name w:val="References"/>
    <w:basedOn w:val="Normal"/>
    <w:next w:val="Normal"/>
    <w:pPr>
      <w:spacing w:after="240"/>
      <w:ind w:left="5102"/>
      <w:jc w:val="left"/>
    </w:pPr>
    <w:rPr>
      <w:rFonts w:eastAsia="Times New Roman"/>
      <w:sz w:val="20"/>
      <w:szCs w:val="20"/>
      <w:lang w:eastAsia="en-GB"/>
    </w:rPr>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ecurityMarking">
    <w:name w:val="SecurityMarking"/>
    <w:basedOn w:val="Normal"/>
    <w:pPr>
      <w:spacing w:after="0" w:line="276" w:lineRule="auto"/>
      <w:ind w:left="5103"/>
      <w:jc w:val="left"/>
    </w:pPr>
    <w:rPr>
      <w:rFonts w:eastAsiaTheme="minorHAnsi"/>
      <w:sz w:val="28"/>
    </w:rPr>
  </w:style>
  <w:style w:type="paragraph" w:customStyle="1" w:styleId="DateMarking">
    <w:name w:val="DateMarking"/>
    <w:basedOn w:val="Normal"/>
    <w:pPr>
      <w:spacing w:after="0" w:line="276" w:lineRule="auto"/>
      <w:ind w:left="5103"/>
      <w:jc w:val="left"/>
    </w:pPr>
    <w:rPr>
      <w:rFonts w:eastAsiaTheme="minorHAnsi"/>
      <w:i/>
      <w:sz w:val="28"/>
    </w:rPr>
  </w:style>
  <w:style w:type="paragraph" w:customStyle="1" w:styleId="ReleasableTo">
    <w:name w:val="ReleasableTo"/>
    <w:basedOn w:val="Normal"/>
    <w:pPr>
      <w:spacing w:after="0" w:line="276" w:lineRule="auto"/>
      <w:ind w:left="5103"/>
      <w:jc w:val="left"/>
    </w:pPr>
    <w:rPr>
      <w:rFonts w:eastAsiaTheme="minorHAnsi"/>
      <w:i/>
      <w:sz w:val="28"/>
    </w:rPr>
  </w:style>
  <w:style w:type="paragraph" w:customStyle="1" w:styleId="HeaderSensitivityRight">
    <w:name w:val="Header Sensitivity Right"/>
    <w:basedOn w:val="Normal"/>
    <w:pPr>
      <w:jc w:val="right"/>
    </w:pPr>
    <w:rPr>
      <w:sz w:val="2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rFonts w:ascii="Calibri" w:hAnsi="Calibri"/>
      <w:sz w:val="20"/>
      <w:szCs w:val="20"/>
      <w:vertAlign w:val="superscript"/>
      <w:lang w:eastAsia="en-GB"/>
    </w:rPr>
  </w:style>
  <w:style w:type="table" w:customStyle="1" w:styleId="Table161">
    <w:name w:val="Table 16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parajita" w:hAnsi="Aparajita"/>
        <w:b/>
        <w:color w:val="FFFFFF"/>
        <w:sz w:val="16"/>
      </w:rPr>
      <w:tblPr/>
      <w:tcPr>
        <w:shd w:val="clear" w:color="auto" w:fill="005962"/>
      </w:tcPr>
    </w:tblStylePr>
    <w:tblStylePr w:type="firstCol">
      <w:pPr>
        <w:wordWrap/>
        <w:jc w:val="left"/>
        <w:outlineLvl w:val="9"/>
      </w:pPr>
    </w:tblStylePr>
  </w:style>
  <w:style w:type="table" w:customStyle="1" w:styleId="GridTable5DarkAccent3">
    <w:name w:val="Grid Table 5 Dark Accent 3"/>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NoSpacingChar">
    <w:name w:val="No Spacing Char"/>
    <w:basedOn w:val="DefaultParagraphFont"/>
    <w:link w:val="NoSpacing"/>
    <w:uiPriority w:val="1"/>
    <w:rPr>
      <w:rFonts w:ascii="Trebuchet MS" w:eastAsiaTheme="minorHAnsi" w:hAnsi="Trebuchet MS" w:cstheme="minorBidi"/>
      <w:sz w:val="18"/>
      <w:szCs w:val="22"/>
      <w:lang w:eastAsia="en-US"/>
    </w:rPr>
  </w:style>
  <w:style w:type="paragraph" w:styleId="Index1">
    <w:name w:val="index 1"/>
    <w:basedOn w:val="Normal"/>
    <w:next w:val="Normal"/>
    <w:autoRedefine/>
    <w:uiPriority w:val="99"/>
    <w:unhideWhenUsed/>
    <w:pPr>
      <w:spacing w:after="0"/>
      <w:ind w:left="240" w:hanging="240"/>
      <w:jc w:val="left"/>
    </w:pPr>
    <w:rPr>
      <w:rFonts w:asciiTheme="minorHAnsi" w:eastAsia="Times New Roman" w:hAnsiTheme="minorHAnsi" w:cstheme="minorHAnsi"/>
      <w:sz w:val="18"/>
      <w:szCs w:val="18"/>
      <w:lang w:eastAsia="en-GB"/>
    </w:rPr>
  </w:style>
  <w:style w:type="paragraph" w:styleId="Index2">
    <w:name w:val="index 2"/>
    <w:basedOn w:val="Normal"/>
    <w:next w:val="Normal"/>
    <w:autoRedefine/>
    <w:uiPriority w:val="99"/>
    <w:unhideWhenUsed/>
    <w:pPr>
      <w:spacing w:after="0"/>
      <w:ind w:left="480" w:hanging="240"/>
      <w:jc w:val="left"/>
    </w:pPr>
    <w:rPr>
      <w:rFonts w:asciiTheme="minorHAnsi" w:eastAsia="Times New Roman" w:hAnsiTheme="minorHAnsi" w:cstheme="minorHAnsi"/>
      <w:sz w:val="18"/>
      <w:szCs w:val="18"/>
      <w:lang w:eastAsia="en-GB"/>
    </w:rPr>
  </w:style>
  <w:style w:type="paragraph" w:styleId="Index3">
    <w:name w:val="index 3"/>
    <w:basedOn w:val="Normal"/>
    <w:next w:val="Normal"/>
    <w:autoRedefine/>
    <w:uiPriority w:val="99"/>
    <w:unhideWhenUsed/>
    <w:pPr>
      <w:spacing w:after="0"/>
      <w:ind w:left="720" w:hanging="240"/>
      <w:jc w:val="left"/>
    </w:pPr>
    <w:rPr>
      <w:rFonts w:asciiTheme="minorHAnsi" w:eastAsia="Times New Roman" w:hAnsiTheme="minorHAnsi" w:cstheme="minorHAnsi"/>
      <w:sz w:val="18"/>
      <w:szCs w:val="18"/>
      <w:lang w:eastAsia="en-GB"/>
    </w:rPr>
  </w:style>
  <w:style w:type="paragraph" w:styleId="Index4">
    <w:name w:val="index 4"/>
    <w:basedOn w:val="Normal"/>
    <w:next w:val="Normal"/>
    <w:autoRedefine/>
    <w:uiPriority w:val="99"/>
    <w:unhideWhenUsed/>
    <w:pPr>
      <w:spacing w:after="0"/>
      <w:ind w:left="960" w:hanging="240"/>
      <w:jc w:val="left"/>
    </w:pPr>
    <w:rPr>
      <w:rFonts w:asciiTheme="minorHAnsi" w:eastAsia="Times New Roman" w:hAnsiTheme="minorHAnsi" w:cstheme="minorHAnsi"/>
      <w:sz w:val="18"/>
      <w:szCs w:val="18"/>
      <w:lang w:eastAsia="en-GB"/>
    </w:rPr>
  </w:style>
  <w:style w:type="paragraph" w:styleId="Index5">
    <w:name w:val="index 5"/>
    <w:basedOn w:val="Normal"/>
    <w:next w:val="Normal"/>
    <w:autoRedefine/>
    <w:uiPriority w:val="99"/>
    <w:unhideWhenUsed/>
    <w:pPr>
      <w:spacing w:after="0"/>
      <w:ind w:left="1200" w:hanging="240"/>
      <w:jc w:val="left"/>
    </w:pPr>
    <w:rPr>
      <w:rFonts w:asciiTheme="minorHAnsi" w:eastAsia="Times New Roman" w:hAnsiTheme="minorHAnsi" w:cstheme="minorHAnsi"/>
      <w:sz w:val="18"/>
      <w:szCs w:val="18"/>
      <w:lang w:eastAsia="en-GB"/>
    </w:rPr>
  </w:style>
  <w:style w:type="paragraph" w:styleId="Index6">
    <w:name w:val="index 6"/>
    <w:basedOn w:val="Normal"/>
    <w:next w:val="Normal"/>
    <w:autoRedefine/>
    <w:uiPriority w:val="99"/>
    <w:unhideWhenUsed/>
    <w:pPr>
      <w:spacing w:after="0"/>
      <w:ind w:left="1440" w:hanging="240"/>
      <w:jc w:val="left"/>
    </w:pPr>
    <w:rPr>
      <w:rFonts w:asciiTheme="minorHAnsi" w:eastAsia="Times New Roman" w:hAnsiTheme="minorHAnsi" w:cstheme="minorHAnsi"/>
      <w:sz w:val="18"/>
      <w:szCs w:val="18"/>
      <w:lang w:eastAsia="en-GB"/>
    </w:rPr>
  </w:style>
  <w:style w:type="paragraph" w:styleId="Index7">
    <w:name w:val="index 7"/>
    <w:basedOn w:val="Normal"/>
    <w:next w:val="Normal"/>
    <w:autoRedefine/>
    <w:uiPriority w:val="99"/>
    <w:unhideWhenUsed/>
    <w:pPr>
      <w:spacing w:after="0"/>
      <w:ind w:left="1680" w:hanging="240"/>
      <w:jc w:val="left"/>
    </w:pPr>
    <w:rPr>
      <w:rFonts w:asciiTheme="minorHAnsi" w:eastAsia="Times New Roman" w:hAnsiTheme="minorHAnsi" w:cstheme="minorHAnsi"/>
      <w:sz w:val="18"/>
      <w:szCs w:val="18"/>
      <w:lang w:eastAsia="en-GB"/>
    </w:rPr>
  </w:style>
  <w:style w:type="paragraph" w:styleId="Index8">
    <w:name w:val="index 8"/>
    <w:basedOn w:val="Normal"/>
    <w:next w:val="Normal"/>
    <w:autoRedefine/>
    <w:uiPriority w:val="99"/>
    <w:unhideWhenUsed/>
    <w:pPr>
      <w:spacing w:after="0"/>
      <w:ind w:left="1920" w:hanging="240"/>
      <w:jc w:val="left"/>
    </w:pPr>
    <w:rPr>
      <w:rFonts w:asciiTheme="minorHAnsi" w:eastAsia="Times New Roman" w:hAnsiTheme="minorHAnsi" w:cstheme="minorHAnsi"/>
      <w:sz w:val="18"/>
      <w:szCs w:val="18"/>
      <w:lang w:eastAsia="en-GB"/>
    </w:rPr>
  </w:style>
  <w:style w:type="paragraph" w:styleId="Index9">
    <w:name w:val="index 9"/>
    <w:basedOn w:val="Normal"/>
    <w:next w:val="Normal"/>
    <w:autoRedefine/>
    <w:uiPriority w:val="99"/>
    <w:unhideWhenUsed/>
    <w:pPr>
      <w:spacing w:after="0"/>
      <w:ind w:left="2160" w:hanging="240"/>
      <w:jc w:val="left"/>
    </w:pPr>
    <w:rPr>
      <w:rFonts w:asciiTheme="minorHAnsi" w:eastAsia="Times New Roman" w:hAnsiTheme="minorHAnsi" w:cstheme="minorHAnsi"/>
      <w:sz w:val="18"/>
      <w:szCs w:val="18"/>
      <w:lang w:eastAsia="en-GB"/>
    </w:rPr>
  </w:style>
  <w:style w:type="paragraph" w:styleId="IndexHeading">
    <w:name w:val="index heading"/>
    <w:basedOn w:val="Normal"/>
    <w:next w:val="Index1"/>
    <w:uiPriority w:val="99"/>
    <w:unhideWhenUsed/>
    <w:pPr>
      <w:spacing w:before="240"/>
      <w:jc w:val="center"/>
    </w:pPr>
    <w:rPr>
      <w:rFonts w:asciiTheme="minorHAnsi" w:eastAsia="Times New Roman" w:hAnsiTheme="minorHAnsi" w:cstheme="minorHAnsi"/>
      <w:b/>
      <w:bCs/>
      <w:sz w:val="26"/>
      <w:szCs w:val="26"/>
      <w:lang w:eastAsia="en-GB"/>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978">
      <w:bodyDiv w:val="1"/>
      <w:marLeft w:val="0"/>
      <w:marRight w:val="0"/>
      <w:marTop w:val="0"/>
      <w:marBottom w:val="0"/>
      <w:divBdr>
        <w:top w:val="none" w:sz="0" w:space="0" w:color="auto"/>
        <w:left w:val="none" w:sz="0" w:space="0" w:color="auto"/>
        <w:bottom w:val="none" w:sz="0" w:space="0" w:color="auto"/>
        <w:right w:val="none" w:sz="0" w:space="0" w:color="auto"/>
      </w:divBdr>
    </w:div>
    <w:div w:id="10112377">
      <w:bodyDiv w:val="1"/>
      <w:marLeft w:val="0"/>
      <w:marRight w:val="0"/>
      <w:marTop w:val="0"/>
      <w:marBottom w:val="0"/>
      <w:divBdr>
        <w:top w:val="none" w:sz="0" w:space="0" w:color="auto"/>
        <w:left w:val="none" w:sz="0" w:space="0" w:color="auto"/>
        <w:bottom w:val="none" w:sz="0" w:space="0" w:color="auto"/>
        <w:right w:val="none" w:sz="0" w:space="0" w:color="auto"/>
      </w:divBdr>
    </w:div>
    <w:div w:id="26413483">
      <w:bodyDiv w:val="1"/>
      <w:marLeft w:val="0"/>
      <w:marRight w:val="0"/>
      <w:marTop w:val="0"/>
      <w:marBottom w:val="0"/>
      <w:divBdr>
        <w:top w:val="none" w:sz="0" w:space="0" w:color="auto"/>
        <w:left w:val="none" w:sz="0" w:space="0" w:color="auto"/>
        <w:bottom w:val="none" w:sz="0" w:space="0" w:color="auto"/>
        <w:right w:val="none" w:sz="0" w:space="0" w:color="auto"/>
      </w:divBdr>
    </w:div>
    <w:div w:id="49884965">
      <w:bodyDiv w:val="1"/>
      <w:marLeft w:val="0"/>
      <w:marRight w:val="0"/>
      <w:marTop w:val="0"/>
      <w:marBottom w:val="0"/>
      <w:divBdr>
        <w:top w:val="none" w:sz="0" w:space="0" w:color="auto"/>
        <w:left w:val="none" w:sz="0" w:space="0" w:color="auto"/>
        <w:bottom w:val="none" w:sz="0" w:space="0" w:color="auto"/>
        <w:right w:val="none" w:sz="0" w:space="0" w:color="auto"/>
      </w:divBdr>
    </w:div>
    <w:div w:id="66000208">
      <w:bodyDiv w:val="1"/>
      <w:marLeft w:val="0"/>
      <w:marRight w:val="0"/>
      <w:marTop w:val="0"/>
      <w:marBottom w:val="0"/>
      <w:divBdr>
        <w:top w:val="none" w:sz="0" w:space="0" w:color="auto"/>
        <w:left w:val="none" w:sz="0" w:space="0" w:color="auto"/>
        <w:bottom w:val="none" w:sz="0" w:space="0" w:color="auto"/>
        <w:right w:val="none" w:sz="0" w:space="0" w:color="auto"/>
      </w:divBdr>
    </w:div>
    <w:div w:id="79715177">
      <w:bodyDiv w:val="1"/>
      <w:marLeft w:val="0"/>
      <w:marRight w:val="0"/>
      <w:marTop w:val="0"/>
      <w:marBottom w:val="0"/>
      <w:divBdr>
        <w:top w:val="none" w:sz="0" w:space="0" w:color="auto"/>
        <w:left w:val="none" w:sz="0" w:space="0" w:color="auto"/>
        <w:bottom w:val="none" w:sz="0" w:space="0" w:color="auto"/>
        <w:right w:val="none" w:sz="0" w:space="0" w:color="auto"/>
      </w:divBdr>
    </w:div>
    <w:div w:id="102656993">
      <w:bodyDiv w:val="1"/>
      <w:marLeft w:val="0"/>
      <w:marRight w:val="0"/>
      <w:marTop w:val="0"/>
      <w:marBottom w:val="0"/>
      <w:divBdr>
        <w:top w:val="none" w:sz="0" w:space="0" w:color="auto"/>
        <w:left w:val="none" w:sz="0" w:space="0" w:color="auto"/>
        <w:bottom w:val="none" w:sz="0" w:space="0" w:color="auto"/>
        <w:right w:val="none" w:sz="0" w:space="0" w:color="auto"/>
      </w:divBdr>
    </w:div>
    <w:div w:id="116071148">
      <w:bodyDiv w:val="1"/>
      <w:marLeft w:val="0"/>
      <w:marRight w:val="0"/>
      <w:marTop w:val="0"/>
      <w:marBottom w:val="0"/>
      <w:divBdr>
        <w:top w:val="none" w:sz="0" w:space="0" w:color="auto"/>
        <w:left w:val="none" w:sz="0" w:space="0" w:color="auto"/>
        <w:bottom w:val="none" w:sz="0" w:space="0" w:color="auto"/>
        <w:right w:val="none" w:sz="0" w:space="0" w:color="auto"/>
      </w:divBdr>
    </w:div>
    <w:div w:id="138496029">
      <w:bodyDiv w:val="1"/>
      <w:marLeft w:val="0"/>
      <w:marRight w:val="0"/>
      <w:marTop w:val="0"/>
      <w:marBottom w:val="0"/>
      <w:divBdr>
        <w:top w:val="none" w:sz="0" w:space="0" w:color="auto"/>
        <w:left w:val="none" w:sz="0" w:space="0" w:color="auto"/>
        <w:bottom w:val="none" w:sz="0" w:space="0" w:color="auto"/>
        <w:right w:val="none" w:sz="0" w:space="0" w:color="auto"/>
      </w:divBdr>
    </w:div>
    <w:div w:id="153879176">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72305630">
      <w:bodyDiv w:val="1"/>
      <w:marLeft w:val="0"/>
      <w:marRight w:val="0"/>
      <w:marTop w:val="0"/>
      <w:marBottom w:val="0"/>
      <w:divBdr>
        <w:top w:val="none" w:sz="0" w:space="0" w:color="auto"/>
        <w:left w:val="none" w:sz="0" w:space="0" w:color="auto"/>
        <w:bottom w:val="none" w:sz="0" w:space="0" w:color="auto"/>
        <w:right w:val="none" w:sz="0" w:space="0" w:color="auto"/>
      </w:divBdr>
    </w:div>
    <w:div w:id="180895216">
      <w:bodyDiv w:val="1"/>
      <w:marLeft w:val="0"/>
      <w:marRight w:val="0"/>
      <w:marTop w:val="0"/>
      <w:marBottom w:val="0"/>
      <w:divBdr>
        <w:top w:val="none" w:sz="0" w:space="0" w:color="auto"/>
        <w:left w:val="none" w:sz="0" w:space="0" w:color="auto"/>
        <w:bottom w:val="none" w:sz="0" w:space="0" w:color="auto"/>
        <w:right w:val="none" w:sz="0" w:space="0" w:color="auto"/>
      </w:divBdr>
    </w:div>
    <w:div w:id="182518696">
      <w:bodyDiv w:val="1"/>
      <w:marLeft w:val="0"/>
      <w:marRight w:val="0"/>
      <w:marTop w:val="0"/>
      <w:marBottom w:val="0"/>
      <w:divBdr>
        <w:top w:val="none" w:sz="0" w:space="0" w:color="auto"/>
        <w:left w:val="none" w:sz="0" w:space="0" w:color="auto"/>
        <w:bottom w:val="none" w:sz="0" w:space="0" w:color="auto"/>
        <w:right w:val="none" w:sz="0" w:space="0" w:color="auto"/>
      </w:divBdr>
    </w:div>
    <w:div w:id="209611282">
      <w:bodyDiv w:val="1"/>
      <w:marLeft w:val="0"/>
      <w:marRight w:val="0"/>
      <w:marTop w:val="0"/>
      <w:marBottom w:val="0"/>
      <w:divBdr>
        <w:top w:val="none" w:sz="0" w:space="0" w:color="auto"/>
        <w:left w:val="none" w:sz="0" w:space="0" w:color="auto"/>
        <w:bottom w:val="none" w:sz="0" w:space="0" w:color="auto"/>
        <w:right w:val="none" w:sz="0" w:space="0" w:color="auto"/>
      </w:divBdr>
    </w:div>
    <w:div w:id="227737614">
      <w:bodyDiv w:val="1"/>
      <w:marLeft w:val="0"/>
      <w:marRight w:val="0"/>
      <w:marTop w:val="0"/>
      <w:marBottom w:val="0"/>
      <w:divBdr>
        <w:top w:val="none" w:sz="0" w:space="0" w:color="auto"/>
        <w:left w:val="none" w:sz="0" w:space="0" w:color="auto"/>
        <w:bottom w:val="none" w:sz="0" w:space="0" w:color="auto"/>
        <w:right w:val="none" w:sz="0" w:space="0" w:color="auto"/>
      </w:divBdr>
    </w:div>
    <w:div w:id="231165206">
      <w:bodyDiv w:val="1"/>
      <w:marLeft w:val="0"/>
      <w:marRight w:val="0"/>
      <w:marTop w:val="0"/>
      <w:marBottom w:val="0"/>
      <w:divBdr>
        <w:top w:val="none" w:sz="0" w:space="0" w:color="auto"/>
        <w:left w:val="none" w:sz="0" w:space="0" w:color="auto"/>
        <w:bottom w:val="none" w:sz="0" w:space="0" w:color="auto"/>
        <w:right w:val="none" w:sz="0" w:space="0" w:color="auto"/>
      </w:divBdr>
    </w:div>
    <w:div w:id="259921959">
      <w:bodyDiv w:val="1"/>
      <w:marLeft w:val="0"/>
      <w:marRight w:val="0"/>
      <w:marTop w:val="0"/>
      <w:marBottom w:val="0"/>
      <w:divBdr>
        <w:top w:val="none" w:sz="0" w:space="0" w:color="auto"/>
        <w:left w:val="none" w:sz="0" w:space="0" w:color="auto"/>
        <w:bottom w:val="none" w:sz="0" w:space="0" w:color="auto"/>
        <w:right w:val="none" w:sz="0" w:space="0" w:color="auto"/>
      </w:divBdr>
    </w:div>
    <w:div w:id="266887327">
      <w:bodyDiv w:val="1"/>
      <w:marLeft w:val="0"/>
      <w:marRight w:val="0"/>
      <w:marTop w:val="0"/>
      <w:marBottom w:val="0"/>
      <w:divBdr>
        <w:top w:val="none" w:sz="0" w:space="0" w:color="auto"/>
        <w:left w:val="none" w:sz="0" w:space="0" w:color="auto"/>
        <w:bottom w:val="none" w:sz="0" w:space="0" w:color="auto"/>
        <w:right w:val="none" w:sz="0" w:space="0" w:color="auto"/>
      </w:divBdr>
    </w:div>
    <w:div w:id="272251418">
      <w:bodyDiv w:val="1"/>
      <w:marLeft w:val="0"/>
      <w:marRight w:val="0"/>
      <w:marTop w:val="0"/>
      <w:marBottom w:val="0"/>
      <w:divBdr>
        <w:top w:val="none" w:sz="0" w:space="0" w:color="auto"/>
        <w:left w:val="none" w:sz="0" w:space="0" w:color="auto"/>
        <w:bottom w:val="none" w:sz="0" w:space="0" w:color="auto"/>
        <w:right w:val="none" w:sz="0" w:space="0" w:color="auto"/>
      </w:divBdr>
    </w:div>
    <w:div w:id="281421543">
      <w:bodyDiv w:val="1"/>
      <w:marLeft w:val="0"/>
      <w:marRight w:val="0"/>
      <w:marTop w:val="0"/>
      <w:marBottom w:val="0"/>
      <w:divBdr>
        <w:top w:val="none" w:sz="0" w:space="0" w:color="auto"/>
        <w:left w:val="none" w:sz="0" w:space="0" w:color="auto"/>
        <w:bottom w:val="none" w:sz="0" w:space="0" w:color="auto"/>
        <w:right w:val="none" w:sz="0" w:space="0" w:color="auto"/>
      </w:divBdr>
    </w:div>
    <w:div w:id="290131836">
      <w:bodyDiv w:val="1"/>
      <w:marLeft w:val="0"/>
      <w:marRight w:val="0"/>
      <w:marTop w:val="0"/>
      <w:marBottom w:val="0"/>
      <w:divBdr>
        <w:top w:val="none" w:sz="0" w:space="0" w:color="auto"/>
        <w:left w:val="none" w:sz="0" w:space="0" w:color="auto"/>
        <w:bottom w:val="none" w:sz="0" w:space="0" w:color="auto"/>
        <w:right w:val="none" w:sz="0" w:space="0" w:color="auto"/>
      </w:divBdr>
    </w:div>
    <w:div w:id="340933859">
      <w:bodyDiv w:val="1"/>
      <w:marLeft w:val="0"/>
      <w:marRight w:val="0"/>
      <w:marTop w:val="0"/>
      <w:marBottom w:val="0"/>
      <w:divBdr>
        <w:top w:val="none" w:sz="0" w:space="0" w:color="auto"/>
        <w:left w:val="none" w:sz="0" w:space="0" w:color="auto"/>
        <w:bottom w:val="none" w:sz="0" w:space="0" w:color="auto"/>
        <w:right w:val="none" w:sz="0" w:space="0" w:color="auto"/>
      </w:divBdr>
    </w:div>
    <w:div w:id="353771103">
      <w:bodyDiv w:val="1"/>
      <w:marLeft w:val="0"/>
      <w:marRight w:val="0"/>
      <w:marTop w:val="0"/>
      <w:marBottom w:val="0"/>
      <w:divBdr>
        <w:top w:val="none" w:sz="0" w:space="0" w:color="auto"/>
        <w:left w:val="none" w:sz="0" w:space="0" w:color="auto"/>
        <w:bottom w:val="none" w:sz="0" w:space="0" w:color="auto"/>
        <w:right w:val="none" w:sz="0" w:space="0" w:color="auto"/>
      </w:divBdr>
    </w:div>
    <w:div w:id="358314084">
      <w:bodyDiv w:val="1"/>
      <w:marLeft w:val="0"/>
      <w:marRight w:val="0"/>
      <w:marTop w:val="0"/>
      <w:marBottom w:val="0"/>
      <w:divBdr>
        <w:top w:val="none" w:sz="0" w:space="0" w:color="auto"/>
        <w:left w:val="none" w:sz="0" w:space="0" w:color="auto"/>
        <w:bottom w:val="none" w:sz="0" w:space="0" w:color="auto"/>
        <w:right w:val="none" w:sz="0" w:space="0" w:color="auto"/>
      </w:divBdr>
    </w:div>
    <w:div w:id="367222173">
      <w:bodyDiv w:val="1"/>
      <w:marLeft w:val="0"/>
      <w:marRight w:val="0"/>
      <w:marTop w:val="0"/>
      <w:marBottom w:val="0"/>
      <w:divBdr>
        <w:top w:val="none" w:sz="0" w:space="0" w:color="auto"/>
        <w:left w:val="none" w:sz="0" w:space="0" w:color="auto"/>
        <w:bottom w:val="none" w:sz="0" w:space="0" w:color="auto"/>
        <w:right w:val="none" w:sz="0" w:space="0" w:color="auto"/>
      </w:divBdr>
    </w:div>
    <w:div w:id="413472222">
      <w:bodyDiv w:val="1"/>
      <w:marLeft w:val="0"/>
      <w:marRight w:val="0"/>
      <w:marTop w:val="0"/>
      <w:marBottom w:val="0"/>
      <w:divBdr>
        <w:top w:val="none" w:sz="0" w:space="0" w:color="auto"/>
        <w:left w:val="none" w:sz="0" w:space="0" w:color="auto"/>
        <w:bottom w:val="none" w:sz="0" w:space="0" w:color="auto"/>
        <w:right w:val="none" w:sz="0" w:space="0" w:color="auto"/>
      </w:divBdr>
    </w:div>
    <w:div w:id="431826512">
      <w:bodyDiv w:val="1"/>
      <w:marLeft w:val="0"/>
      <w:marRight w:val="0"/>
      <w:marTop w:val="0"/>
      <w:marBottom w:val="0"/>
      <w:divBdr>
        <w:top w:val="none" w:sz="0" w:space="0" w:color="auto"/>
        <w:left w:val="none" w:sz="0" w:space="0" w:color="auto"/>
        <w:bottom w:val="none" w:sz="0" w:space="0" w:color="auto"/>
        <w:right w:val="none" w:sz="0" w:space="0" w:color="auto"/>
      </w:divBdr>
    </w:div>
    <w:div w:id="438645381">
      <w:bodyDiv w:val="1"/>
      <w:marLeft w:val="0"/>
      <w:marRight w:val="0"/>
      <w:marTop w:val="0"/>
      <w:marBottom w:val="0"/>
      <w:divBdr>
        <w:top w:val="none" w:sz="0" w:space="0" w:color="auto"/>
        <w:left w:val="none" w:sz="0" w:space="0" w:color="auto"/>
        <w:bottom w:val="none" w:sz="0" w:space="0" w:color="auto"/>
        <w:right w:val="none" w:sz="0" w:space="0" w:color="auto"/>
      </w:divBdr>
    </w:div>
    <w:div w:id="476383265">
      <w:bodyDiv w:val="1"/>
      <w:marLeft w:val="0"/>
      <w:marRight w:val="0"/>
      <w:marTop w:val="0"/>
      <w:marBottom w:val="0"/>
      <w:divBdr>
        <w:top w:val="none" w:sz="0" w:space="0" w:color="auto"/>
        <w:left w:val="none" w:sz="0" w:space="0" w:color="auto"/>
        <w:bottom w:val="none" w:sz="0" w:space="0" w:color="auto"/>
        <w:right w:val="none" w:sz="0" w:space="0" w:color="auto"/>
      </w:divBdr>
    </w:div>
    <w:div w:id="486015631">
      <w:bodyDiv w:val="1"/>
      <w:marLeft w:val="0"/>
      <w:marRight w:val="0"/>
      <w:marTop w:val="0"/>
      <w:marBottom w:val="0"/>
      <w:divBdr>
        <w:top w:val="none" w:sz="0" w:space="0" w:color="auto"/>
        <w:left w:val="none" w:sz="0" w:space="0" w:color="auto"/>
        <w:bottom w:val="none" w:sz="0" w:space="0" w:color="auto"/>
        <w:right w:val="none" w:sz="0" w:space="0" w:color="auto"/>
      </w:divBdr>
    </w:div>
    <w:div w:id="489251873">
      <w:bodyDiv w:val="1"/>
      <w:marLeft w:val="0"/>
      <w:marRight w:val="0"/>
      <w:marTop w:val="0"/>
      <w:marBottom w:val="0"/>
      <w:divBdr>
        <w:top w:val="none" w:sz="0" w:space="0" w:color="auto"/>
        <w:left w:val="none" w:sz="0" w:space="0" w:color="auto"/>
        <w:bottom w:val="none" w:sz="0" w:space="0" w:color="auto"/>
        <w:right w:val="none" w:sz="0" w:space="0" w:color="auto"/>
      </w:divBdr>
    </w:div>
    <w:div w:id="514347334">
      <w:bodyDiv w:val="1"/>
      <w:marLeft w:val="0"/>
      <w:marRight w:val="0"/>
      <w:marTop w:val="0"/>
      <w:marBottom w:val="0"/>
      <w:divBdr>
        <w:top w:val="none" w:sz="0" w:space="0" w:color="auto"/>
        <w:left w:val="none" w:sz="0" w:space="0" w:color="auto"/>
        <w:bottom w:val="none" w:sz="0" w:space="0" w:color="auto"/>
        <w:right w:val="none" w:sz="0" w:space="0" w:color="auto"/>
      </w:divBdr>
    </w:div>
    <w:div w:id="515926961">
      <w:bodyDiv w:val="1"/>
      <w:marLeft w:val="0"/>
      <w:marRight w:val="0"/>
      <w:marTop w:val="0"/>
      <w:marBottom w:val="0"/>
      <w:divBdr>
        <w:top w:val="none" w:sz="0" w:space="0" w:color="auto"/>
        <w:left w:val="none" w:sz="0" w:space="0" w:color="auto"/>
        <w:bottom w:val="none" w:sz="0" w:space="0" w:color="auto"/>
        <w:right w:val="none" w:sz="0" w:space="0" w:color="auto"/>
      </w:divBdr>
    </w:div>
    <w:div w:id="522984785">
      <w:bodyDiv w:val="1"/>
      <w:marLeft w:val="0"/>
      <w:marRight w:val="0"/>
      <w:marTop w:val="0"/>
      <w:marBottom w:val="0"/>
      <w:divBdr>
        <w:top w:val="none" w:sz="0" w:space="0" w:color="auto"/>
        <w:left w:val="none" w:sz="0" w:space="0" w:color="auto"/>
        <w:bottom w:val="none" w:sz="0" w:space="0" w:color="auto"/>
        <w:right w:val="none" w:sz="0" w:space="0" w:color="auto"/>
      </w:divBdr>
    </w:div>
    <w:div w:id="531573526">
      <w:bodyDiv w:val="1"/>
      <w:marLeft w:val="0"/>
      <w:marRight w:val="0"/>
      <w:marTop w:val="0"/>
      <w:marBottom w:val="0"/>
      <w:divBdr>
        <w:top w:val="none" w:sz="0" w:space="0" w:color="auto"/>
        <w:left w:val="none" w:sz="0" w:space="0" w:color="auto"/>
        <w:bottom w:val="none" w:sz="0" w:space="0" w:color="auto"/>
        <w:right w:val="none" w:sz="0" w:space="0" w:color="auto"/>
      </w:divBdr>
    </w:div>
    <w:div w:id="532227924">
      <w:bodyDiv w:val="1"/>
      <w:marLeft w:val="0"/>
      <w:marRight w:val="0"/>
      <w:marTop w:val="0"/>
      <w:marBottom w:val="0"/>
      <w:divBdr>
        <w:top w:val="none" w:sz="0" w:space="0" w:color="auto"/>
        <w:left w:val="none" w:sz="0" w:space="0" w:color="auto"/>
        <w:bottom w:val="none" w:sz="0" w:space="0" w:color="auto"/>
        <w:right w:val="none" w:sz="0" w:space="0" w:color="auto"/>
      </w:divBdr>
    </w:div>
    <w:div w:id="557013463">
      <w:bodyDiv w:val="1"/>
      <w:marLeft w:val="0"/>
      <w:marRight w:val="0"/>
      <w:marTop w:val="0"/>
      <w:marBottom w:val="0"/>
      <w:divBdr>
        <w:top w:val="none" w:sz="0" w:space="0" w:color="auto"/>
        <w:left w:val="none" w:sz="0" w:space="0" w:color="auto"/>
        <w:bottom w:val="none" w:sz="0" w:space="0" w:color="auto"/>
        <w:right w:val="none" w:sz="0" w:space="0" w:color="auto"/>
      </w:divBdr>
    </w:div>
    <w:div w:id="591201583">
      <w:bodyDiv w:val="1"/>
      <w:marLeft w:val="0"/>
      <w:marRight w:val="0"/>
      <w:marTop w:val="0"/>
      <w:marBottom w:val="0"/>
      <w:divBdr>
        <w:top w:val="none" w:sz="0" w:space="0" w:color="auto"/>
        <w:left w:val="none" w:sz="0" w:space="0" w:color="auto"/>
        <w:bottom w:val="none" w:sz="0" w:space="0" w:color="auto"/>
        <w:right w:val="none" w:sz="0" w:space="0" w:color="auto"/>
      </w:divBdr>
    </w:div>
    <w:div w:id="629552205">
      <w:bodyDiv w:val="1"/>
      <w:marLeft w:val="0"/>
      <w:marRight w:val="0"/>
      <w:marTop w:val="0"/>
      <w:marBottom w:val="0"/>
      <w:divBdr>
        <w:top w:val="none" w:sz="0" w:space="0" w:color="auto"/>
        <w:left w:val="none" w:sz="0" w:space="0" w:color="auto"/>
        <w:bottom w:val="none" w:sz="0" w:space="0" w:color="auto"/>
        <w:right w:val="none" w:sz="0" w:space="0" w:color="auto"/>
      </w:divBdr>
    </w:div>
    <w:div w:id="631642151">
      <w:bodyDiv w:val="1"/>
      <w:marLeft w:val="0"/>
      <w:marRight w:val="0"/>
      <w:marTop w:val="0"/>
      <w:marBottom w:val="0"/>
      <w:divBdr>
        <w:top w:val="none" w:sz="0" w:space="0" w:color="auto"/>
        <w:left w:val="none" w:sz="0" w:space="0" w:color="auto"/>
        <w:bottom w:val="none" w:sz="0" w:space="0" w:color="auto"/>
        <w:right w:val="none" w:sz="0" w:space="0" w:color="auto"/>
      </w:divBdr>
    </w:div>
    <w:div w:id="640042113">
      <w:bodyDiv w:val="1"/>
      <w:marLeft w:val="0"/>
      <w:marRight w:val="0"/>
      <w:marTop w:val="0"/>
      <w:marBottom w:val="0"/>
      <w:divBdr>
        <w:top w:val="none" w:sz="0" w:space="0" w:color="auto"/>
        <w:left w:val="none" w:sz="0" w:space="0" w:color="auto"/>
        <w:bottom w:val="none" w:sz="0" w:space="0" w:color="auto"/>
        <w:right w:val="none" w:sz="0" w:space="0" w:color="auto"/>
      </w:divBdr>
    </w:div>
    <w:div w:id="672488761">
      <w:bodyDiv w:val="1"/>
      <w:marLeft w:val="0"/>
      <w:marRight w:val="0"/>
      <w:marTop w:val="0"/>
      <w:marBottom w:val="0"/>
      <w:divBdr>
        <w:top w:val="none" w:sz="0" w:space="0" w:color="auto"/>
        <w:left w:val="none" w:sz="0" w:space="0" w:color="auto"/>
        <w:bottom w:val="none" w:sz="0" w:space="0" w:color="auto"/>
        <w:right w:val="none" w:sz="0" w:space="0" w:color="auto"/>
      </w:divBdr>
    </w:div>
    <w:div w:id="688264649">
      <w:bodyDiv w:val="1"/>
      <w:marLeft w:val="0"/>
      <w:marRight w:val="0"/>
      <w:marTop w:val="0"/>
      <w:marBottom w:val="0"/>
      <w:divBdr>
        <w:top w:val="none" w:sz="0" w:space="0" w:color="auto"/>
        <w:left w:val="none" w:sz="0" w:space="0" w:color="auto"/>
        <w:bottom w:val="none" w:sz="0" w:space="0" w:color="auto"/>
        <w:right w:val="none" w:sz="0" w:space="0" w:color="auto"/>
      </w:divBdr>
    </w:div>
    <w:div w:id="692149604">
      <w:bodyDiv w:val="1"/>
      <w:marLeft w:val="0"/>
      <w:marRight w:val="0"/>
      <w:marTop w:val="0"/>
      <w:marBottom w:val="0"/>
      <w:divBdr>
        <w:top w:val="none" w:sz="0" w:space="0" w:color="auto"/>
        <w:left w:val="none" w:sz="0" w:space="0" w:color="auto"/>
        <w:bottom w:val="none" w:sz="0" w:space="0" w:color="auto"/>
        <w:right w:val="none" w:sz="0" w:space="0" w:color="auto"/>
      </w:divBdr>
    </w:div>
    <w:div w:id="708183410">
      <w:bodyDiv w:val="1"/>
      <w:marLeft w:val="0"/>
      <w:marRight w:val="0"/>
      <w:marTop w:val="0"/>
      <w:marBottom w:val="0"/>
      <w:divBdr>
        <w:top w:val="none" w:sz="0" w:space="0" w:color="auto"/>
        <w:left w:val="none" w:sz="0" w:space="0" w:color="auto"/>
        <w:bottom w:val="none" w:sz="0" w:space="0" w:color="auto"/>
        <w:right w:val="none" w:sz="0" w:space="0" w:color="auto"/>
      </w:divBdr>
    </w:div>
    <w:div w:id="712071890">
      <w:bodyDiv w:val="1"/>
      <w:marLeft w:val="0"/>
      <w:marRight w:val="0"/>
      <w:marTop w:val="0"/>
      <w:marBottom w:val="0"/>
      <w:divBdr>
        <w:top w:val="none" w:sz="0" w:space="0" w:color="auto"/>
        <w:left w:val="none" w:sz="0" w:space="0" w:color="auto"/>
        <w:bottom w:val="none" w:sz="0" w:space="0" w:color="auto"/>
        <w:right w:val="none" w:sz="0" w:space="0" w:color="auto"/>
      </w:divBdr>
    </w:div>
    <w:div w:id="739791503">
      <w:bodyDiv w:val="1"/>
      <w:marLeft w:val="0"/>
      <w:marRight w:val="0"/>
      <w:marTop w:val="0"/>
      <w:marBottom w:val="0"/>
      <w:divBdr>
        <w:top w:val="none" w:sz="0" w:space="0" w:color="auto"/>
        <w:left w:val="none" w:sz="0" w:space="0" w:color="auto"/>
        <w:bottom w:val="none" w:sz="0" w:space="0" w:color="auto"/>
        <w:right w:val="none" w:sz="0" w:space="0" w:color="auto"/>
      </w:divBdr>
    </w:div>
    <w:div w:id="748504751">
      <w:bodyDiv w:val="1"/>
      <w:marLeft w:val="0"/>
      <w:marRight w:val="0"/>
      <w:marTop w:val="0"/>
      <w:marBottom w:val="0"/>
      <w:divBdr>
        <w:top w:val="none" w:sz="0" w:space="0" w:color="auto"/>
        <w:left w:val="none" w:sz="0" w:space="0" w:color="auto"/>
        <w:bottom w:val="none" w:sz="0" w:space="0" w:color="auto"/>
        <w:right w:val="none" w:sz="0" w:space="0" w:color="auto"/>
      </w:divBdr>
    </w:div>
    <w:div w:id="799998932">
      <w:bodyDiv w:val="1"/>
      <w:marLeft w:val="0"/>
      <w:marRight w:val="0"/>
      <w:marTop w:val="0"/>
      <w:marBottom w:val="0"/>
      <w:divBdr>
        <w:top w:val="none" w:sz="0" w:space="0" w:color="auto"/>
        <w:left w:val="none" w:sz="0" w:space="0" w:color="auto"/>
        <w:bottom w:val="none" w:sz="0" w:space="0" w:color="auto"/>
        <w:right w:val="none" w:sz="0" w:space="0" w:color="auto"/>
      </w:divBdr>
    </w:div>
    <w:div w:id="801269721">
      <w:bodyDiv w:val="1"/>
      <w:marLeft w:val="0"/>
      <w:marRight w:val="0"/>
      <w:marTop w:val="0"/>
      <w:marBottom w:val="0"/>
      <w:divBdr>
        <w:top w:val="none" w:sz="0" w:space="0" w:color="auto"/>
        <w:left w:val="none" w:sz="0" w:space="0" w:color="auto"/>
        <w:bottom w:val="none" w:sz="0" w:space="0" w:color="auto"/>
        <w:right w:val="none" w:sz="0" w:space="0" w:color="auto"/>
      </w:divBdr>
    </w:div>
    <w:div w:id="813988407">
      <w:bodyDiv w:val="1"/>
      <w:marLeft w:val="0"/>
      <w:marRight w:val="0"/>
      <w:marTop w:val="0"/>
      <w:marBottom w:val="0"/>
      <w:divBdr>
        <w:top w:val="none" w:sz="0" w:space="0" w:color="auto"/>
        <w:left w:val="none" w:sz="0" w:space="0" w:color="auto"/>
        <w:bottom w:val="none" w:sz="0" w:space="0" w:color="auto"/>
        <w:right w:val="none" w:sz="0" w:space="0" w:color="auto"/>
      </w:divBdr>
    </w:div>
    <w:div w:id="842092846">
      <w:bodyDiv w:val="1"/>
      <w:marLeft w:val="0"/>
      <w:marRight w:val="0"/>
      <w:marTop w:val="0"/>
      <w:marBottom w:val="0"/>
      <w:divBdr>
        <w:top w:val="none" w:sz="0" w:space="0" w:color="auto"/>
        <w:left w:val="none" w:sz="0" w:space="0" w:color="auto"/>
        <w:bottom w:val="none" w:sz="0" w:space="0" w:color="auto"/>
        <w:right w:val="none" w:sz="0" w:space="0" w:color="auto"/>
      </w:divBdr>
    </w:div>
    <w:div w:id="885336358">
      <w:bodyDiv w:val="1"/>
      <w:marLeft w:val="0"/>
      <w:marRight w:val="0"/>
      <w:marTop w:val="0"/>
      <w:marBottom w:val="0"/>
      <w:divBdr>
        <w:top w:val="none" w:sz="0" w:space="0" w:color="auto"/>
        <w:left w:val="none" w:sz="0" w:space="0" w:color="auto"/>
        <w:bottom w:val="none" w:sz="0" w:space="0" w:color="auto"/>
        <w:right w:val="none" w:sz="0" w:space="0" w:color="auto"/>
      </w:divBdr>
    </w:div>
    <w:div w:id="888298459">
      <w:bodyDiv w:val="1"/>
      <w:marLeft w:val="0"/>
      <w:marRight w:val="0"/>
      <w:marTop w:val="0"/>
      <w:marBottom w:val="0"/>
      <w:divBdr>
        <w:top w:val="none" w:sz="0" w:space="0" w:color="auto"/>
        <w:left w:val="none" w:sz="0" w:space="0" w:color="auto"/>
        <w:bottom w:val="none" w:sz="0" w:space="0" w:color="auto"/>
        <w:right w:val="none" w:sz="0" w:space="0" w:color="auto"/>
      </w:divBdr>
      <w:divsChild>
        <w:div w:id="2133010609">
          <w:marLeft w:val="0"/>
          <w:marRight w:val="0"/>
          <w:marTop w:val="0"/>
          <w:marBottom w:val="0"/>
          <w:divBdr>
            <w:top w:val="none" w:sz="0" w:space="0" w:color="auto"/>
            <w:left w:val="none" w:sz="0" w:space="0" w:color="auto"/>
            <w:bottom w:val="none" w:sz="0" w:space="0" w:color="auto"/>
            <w:right w:val="none" w:sz="0" w:space="0" w:color="auto"/>
          </w:divBdr>
          <w:divsChild>
            <w:div w:id="919364708">
              <w:marLeft w:val="0"/>
              <w:marRight w:val="0"/>
              <w:marTop w:val="0"/>
              <w:marBottom w:val="0"/>
              <w:divBdr>
                <w:top w:val="none" w:sz="0" w:space="0" w:color="auto"/>
                <w:left w:val="none" w:sz="0" w:space="0" w:color="auto"/>
                <w:bottom w:val="none" w:sz="0" w:space="0" w:color="auto"/>
                <w:right w:val="none" w:sz="0" w:space="0" w:color="auto"/>
              </w:divBdr>
              <w:divsChild>
                <w:div w:id="199247785">
                  <w:marLeft w:val="0"/>
                  <w:marRight w:val="0"/>
                  <w:marTop w:val="150"/>
                  <w:marBottom w:val="0"/>
                  <w:divBdr>
                    <w:top w:val="none" w:sz="0" w:space="0" w:color="auto"/>
                    <w:left w:val="none" w:sz="0" w:space="0" w:color="auto"/>
                    <w:bottom w:val="none" w:sz="0" w:space="0" w:color="auto"/>
                    <w:right w:val="none" w:sz="0" w:space="0" w:color="auto"/>
                  </w:divBdr>
                  <w:divsChild>
                    <w:div w:id="676349234">
                      <w:marLeft w:val="0"/>
                      <w:marRight w:val="0"/>
                      <w:marTop w:val="0"/>
                      <w:marBottom w:val="0"/>
                      <w:divBdr>
                        <w:top w:val="none" w:sz="0" w:space="0" w:color="auto"/>
                        <w:left w:val="none" w:sz="0" w:space="0" w:color="auto"/>
                        <w:bottom w:val="none" w:sz="0" w:space="0" w:color="auto"/>
                        <w:right w:val="none" w:sz="0" w:space="0" w:color="auto"/>
                      </w:divBdr>
                      <w:divsChild>
                        <w:div w:id="140316904">
                          <w:marLeft w:val="0"/>
                          <w:marRight w:val="0"/>
                          <w:marTop w:val="0"/>
                          <w:marBottom w:val="0"/>
                          <w:divBdr>
                            <w:top w:val="none" w:sz="0" w:space="0" w:color="auto"/>
                            <w:left w:val="none" w:sz="0" w:space="0" w:color="auto"/>
                            <w:bottom w:val="none" w:sz="0" w:space="0" w:color="auto"/>
                            <w:right w:val="none" w:sz="0" w:space="0" w:color="auto"/>
                          </w:divBdr>
                        </w:div>
                      </w:divsChild>
                    </w:div>
                    <w:div w:id="701059459">
                      <w:marLeft w:val="0"/>
                      <w:marRight w:val="0"/>
                      <w:marTop w:val="0"/>
                      <w:marBottom w:val="0"/>
                      <w:divBdr>
                        <w:top w:val="none" w:sz="0" w:space="0" w:color="auto"/>
                        <w:left w:val="none" w:sz="0" w:space="0" w:color="auto"/>
                        <w:bottom w:val="none" w:sz="0" w:space="0" w:color="auto"/>
                        <w:right w:val="none" w:sz="0" w:space="0" w:color="auto"/>
                      </w:divBdr>
                      <w:divsChild>
                        <w:div w:id="665203703">
                          <w:marLeft w:val="0"/>
                          <w:marRight w:val="0"/>
                          <w:marTop w:val="0"/>
                          <w:marBottom w:val="375"/>
                          <w:divBdr>
                            <w:top w:val="none" w:sz="0" w:space="0" w:color="auto"/>
                            <w:left w:val="none" w:sz="0" w:space="0" w:color="auto"/>
                            <w:bottom w:val="none" w:sz="0" w:space="0" w:color="auto"/>
                            <w:right w:val="none" w:sz="0" w:space="0" w:color="auto"/>
                          </w:divBdr>
                        </w:div>
                      </w:divsChild>
                    </w:div>
                    <w:div w:id="1874002070">
                      <w:marLeft w:val="0"/>
                      <w:marRight w:val="0"/>
                      <w:marTop w:val="0"/>
                      <w:marBottom w:val="0"/>
                      <w:divBdr>
                        <w:top w:val="none" w:sz="0" w:space="0" w:color="auto"/>
                        <w:left w:val="none" w:sz="0" w:space="0" w:color="auto"/>
                        <w:bottom w:val="none" w:sz="0" w:space="0" w:color="auto"/>
                        <w:right w:val="none" w:sz="0" w:space="0" w:color="auto"/>
                      </w:divBdr>
                      <w:divsChild>
                        <w:div w:id="1996489060">
                          <w:marLeft w:val="150"/>
                          <w:marRight w:val="150"/>
                          <w:marTop w:val="0"/>
                          <w:marBottom w:val="0"/>
                          <w:divBdr>
                            <w:top w:val="none" w:sz="0" w:space="0" w:color="auto"/>
                            <w:left w:val="none" w:sz="0" w:space="0" w:color="auto"/>
                            <w:bottom w:val="none" w:sz="0" w:space="0" w:color="auto"/>
                            <w:right w:val="none" w:sz="0" w:space="0" w:color="auto"/>
                          </w:divBdr>
                          <w:divsChild>
                            <w:div w:id="520970990">
                              <w:marLeft w:val="0"/>
                              <w:marRight w:val="0"/>
                              <w:marTop w:val="0"/>
                              <w:marBottom w:val="0"/>
                              <w:divBdr>
                                <w:top w:val="none" w:sz="0" w:space="0" w:color="auto"/>
                                <w:left w:val="none" w:sz="0" w:space="0" w:color="auto"/>
                                <w:bottom w:val="none" w:sz="0" w:space="0" w:color="auto"/>
                                <w:right w:val="none" w:sz="0" w:space="0" w:color="auto"/>
                              </w:divBdr>
                              <w:divsChild>
                                <w:div w:id="96097707">
                                  <w:marLeft w:val="0"/>
                                  <w:marRight w:val="0"/>
                                  <w:marTop w:val="0"/>
                                  <w:marBottom w:val="750"/>
                                  <w:divBdr>
                                    <w:top w:val="none" w:sz="0" w:space="0" w:color="auto"/>
                                    <w:left w:val="none" w:sz="0" w:space="0" w:color="auto"/>
                                    <w:bottom w:val="none" w:sz="0" w:space="0" w:color="auto"/>
                                    <w:right w:val="none" w:sz="0" w:space="0" w:color="auto"/>
                                  </w:divBdr>
                                  <w:divsChild>
                                    <w:div w:id="1031222259">
                                      <w:marLeft w:val="0"/>
                                      <w:marRight w:val="0"/>
                                      <w:marTop w:val="0"/>
                                      <w:marBottom w:val="0"/>
                                      <w:divBdr>
                                        <w:top w:val="none" w:sz="0" w:space="0" w:color="auto"/>
                                        <w:left w:val="none" w:sz="0" w:space="0" w:color="auto"/>
                                        <w:bottom w:val="none" w:sz="0" w:space="0" w:color="auto"/>
                                        <w:right w:val="none" w:sz="0" w:space="0" w:color="auto"/>
                                      </w:divBdr>
                                      <w:divsChild>
                                        <w:div w:id="745762310">
                                          <w:marLeft w:val="0"/>
                                          <w:marRight w:val="0"/>
                                          <w:marTop w:val="0"/>
                                          <w:marBottom w:val="0"/>
                                          <w:divBdr>
                                            <w:top w:val="none" w:sz="0" w:space="0" w:color="auto"/>
                                            <w:left w:val="none" w:sz="0" w:space="0" w:color="auto"/>
                                            <w:bottom w:val="none" w:sz="0" w:space="0" w:color="auto"/>
                                            <w:right w:val="none" w:sz="0" w:space="0" w:color="auto"/>
                                          </w:divBdr>
                                        </w:div>
                                        <w:div w:id="2015565293">
                                          <w:marLeft w:val="0"/>
                                          <w:marRight w:val="0"/>
                                          <w:marTop w:val="0"/>
                                          <w:marBottom w:val="0"/>
                                          <w:divBdr>
                                            <w:top w:val="none" w:sz="0" w:space="0" w:color="auto"/>
                                            <w:left w:val="none" w:sz="0" w:space="0" w:color="auto"/>
                                            <w:bottom w:val="none" w:sz="0" w:space="0" w:color="auto"/>
                                            <w:right w:val="none" w:sz="0" w:space="0" w:color="auto"/>
                                          </w:divBdr>
                                        </w:div>
                                      </w:divsChild>
                                    </w:div>
                                    <w:div w:id="1768310203">
                                      <w:marLeft w:val="0"/>
                                      <w:marRight w:val="0"/>
                                      <w:marTop w:val="0"/>
                                      <w:marBottom w:val="0"/>
                                      <w:divBdr>
                                        <w:top w:val="none" w:sz="0" w:space="0" w:color="auto"/>
                                        <w:left w:val="none" w:sz="0" w:space="0" w:color="auto"/>
                                        <w:bottom w:val="none" w:sz="0" w:space="0" w:color="auto"/>
                                        <w:right w:val="none" w:sz="0" w:space="0" w:color="auto"/>
                                      </w:divBdr>
                                      <w:divsChild>
                                        <w:div w:id="1354763374">
                                          <w:marLeft w:val="0"/>
                                          <w:marRight w:val="0"/>
                                          <w:marTop w:val="0"/>
                                          <w:marBottom w:val="0"/>
                                          <w:divBdr>
                                            <w:top w:val="none" w:sz="0" w:space="0" w:color="auto"/>
                                            <w:left w:val="none" w:sz="0" w:space="0" w:color="auto"/>
                                            <w:bottom w:val="none" w:sz="0" w:space="0" w:color="auto"/>
                                            <w:right w:val="none" w:sz="0" w:space="0" w:color="auto"/>
                                          </w:divBdr>
                                          <w:divsChild>
                                            <w:div w:id="684402960">
                                              <w:marLeft w:val="0"/>
                                              <w:marRight w:val="0"/>
                                              <w:marTop w:val="0"/>
                                              <w:marBottom w:val="0"/>
                                              <w:divBdr>
                                                <w:top w:val="none" w:sz="0" w:space="0" w:color="auto"/>
                                                <w:left w:val="none" w:sz="0" w:space="0" w:color="auto"/>
                                                <w:bottom w:val="none" w:sz="0" w:space="0" w:color="auto"/>
                                                <w:right w:val="none" w:sz="0" w:space="0" w:color="auto"/>
                                              </w:divBdr>
                                              <w:divsChild>
                                                <w:div w:id="4838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4223">
                                      <w:marLeft w:val="0"/>
                                      <w:marRight w:val="0"/>
                                      <w:marTop w:val="0"/>
                                      <w:marBottom w:val="0"/>
                                      <w:divBdr>
                                        <w:top w:val="none" w:sz="0" w:space="0" w:color="auto"/>
                                        <w:left w:val="none" w:sz="0" w:space="0" w:color="auto"/>
                                        <w:bottom w:val="none" w:sz="0" w:space="0" w:color="auto"/>
                                        <w:right w:val="none" w:sz="0" w:space="0" w:color="auto"/>
                                      </w:divBdr>
                                      <w:divsChild>
                                        <w:div w:id="36392557">
                                          <w:marLeft w:val="0"/>
                                          <w:marRight w:val="0"/>
                                          <w:marTop w:val="0"/>
                                          <w:marBottom w:val="0"/>
                                          <w:divBdr>
                                            <w:top w:val="none" w:sz="0" w:space="0" w:color="auto"/>
                                            <w:left w:val="none" w:sz="0" w:space="0" w:color="auto"/>
                                            <w:bottom w:val="none" w:sz="0" w:space="0" w:color="auto"/>
                                            <w:right w:val="none" w:sz="0" w:space="0" w:color="auto"/>
                                          </w:divBdr>
                                          <w:divsChild>
                                            <w:div w:id="1275594212">
                                              <w:marLeft w:val="0"/>
                                              <w:marRight w:val="0"/>
                                              <w:marTop w:val="0"/>
                                              <w:marBottom w:val="0"/>
                                              <w:divBdr>
                                                <w:top w:val="none" w:sz="0" w:space="0" w:color="auto"/>
                                                <w:left w:val="none" w:sz="0" w:space="0" w:color="auto"/>
                                                <w:bottom w:val="none" w:sz="0" w:space="0" w:color="auto"/>
                                                <w:right w:val="none" w:sz="0" w:space="0" w:color="auto"/>
                                              </w:divBdr>
                                              <w:divsChild>
                                                <w:div w:id="1326669185">
                                                  <w:marLeft w:val="0"/>
                                                  <w:marRight w:val="0"/>
                                                  <w:marTop w:val="0"/>
                                                  <w:marBottom w:val="300"/>
                                                  <w:divBdr>
                                                    <w:top w:val="none" w:sz="0" w:space="0" w:color="auto"/>
                                                    <w:left w:val="none" w:sz="0" w:space="0" w:color="auto"/>
                                                    <w:bottom w:val="none" w:sz="0" w:space="0" w:color="auto"/>
                                                    <w:right w:val="none" w:sz="0" w:space="0" w:color="auto"/>
                                                  </w:divBdr>
                                                  <w:divsChild>
                                                    <w:div w:id="1126200056">
                                                      <w:marLeft w:val="0"/>
                                                      <w:marRight w:val="0"/>
                                                      <w:marTop w:val="0"/>
                                                      <w:marBottom w:val="0"/>
                                                      <w:divBdr>
                                                        <w:top w:val="none" w:sz="0" w:space="0" w:color="auto"/>
                                                        <w:left w:val="none" w:sz="0" w:space="0" w:color="auto"/>
                                                        <w:bottom w:val="none" w:sz="0" w:space="0" w:color="auto"/>
                                                        <w:right w:val="none" w:sz="0" w:space="0" w:color="auto"/>
                                                      </w:divBdr>
                                                      <w:divsChild>
                                                        <w:div w:id="945502734">
                                                          <w:marLeft w:val="0"/>
                                                          <w:marRight w:val="0"/>
                                                          <w:marTop w:val="0"/>
                                                          <w:marBottom w:val="0"/>
                                                          <w:divBdr>
                                                            <w:top w:val="none" w:sz="0" w:space="0" w:color="auto"/>
                                                            <w:left w:val="none" w:sz="0" w:space="0" w:color="auto"/>
                                                            <w:bottom w:val="none" w:sz="0" w:space="0" w:color="auto"/>
                                                            <w:right w:val="none" w:sz="0" w:space="0" w:color="auto"/>
                                                          </w:divBdr>
                                                          <w:divsChild>
                                                            <w:div w:id="411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017380">
                                      <w:marLeft w:val="0"/>
                                      <w:marRight w:val="0"/>
                                      <w:marTop w:val="0"/>
                                      <w:marBottom w:val="0"/>
                                      <w:divBdr>
                                        <w:top w:val="none" w:sz="0" w:space="0" w:color="auto"/>
                                        <w:left w:val="none" w:sz="0" w:space="0" w:color="auto"/>
                                        <w:bottom w:val="none" w:sz="0" w:space="0" w:color="auto"/>
                                        <w:right w:val="none" w:sz="0" w:space="0" w:color="auto"/>
                                      </w:divBdr>
                                      <w:divsChild>
                                        <w:div w:id="1699742703">
                                          <w:marLeft w:val="0"/>
                                          <w:marRight w:val="0"/>
                                          <w:marTop w:val="0"/>
                                          <w:marBottom w:val="0"/>
                                          <w:divBdr>
                                            <w:top w:val="none" w:sz="0" w:space="0" w:color="auto"/>
                                            <w:left w:val="none" w:sz="0" w:space="0" w:color="auto"/>
                                            <w:bottom w:val="none" w:sz="0" w:space="0" w:color="auto"/>
                                            <w:right w:val="none" w:sz="0" w:space="0" w:color="auto"/>
                                          </w:divBdr>
                                          <w:divsChild>
                                            <w:div w:id="302002614">
                                              <w:marLeft w:val="0"/>
                                              <w:marRight w:val="0"/>
                                              <w:marTop w:val="0"/>
                                              <w:marBottom w:val="0"/>
                                              <w:divBdr>
                                                <w:top w:val="none" w:sz="0" w:space="0" w:color="auto"/>
                                                <w:left w:val="none" w:sz="0" w:space="0" w:color="auto"/>
                                                <w:bottom w:val="none" w:sz="0" w:space="0" w:color="auto"/>
                                                <w:right w:val="none" w:sz="0" w:space="0" w:color="auto"/>
                                              </w:divBdr>
                                              <w:divsChild>
                                                <w:div w:id="96609588">
                                                  <w:marLeft w:val="0"/>
                                                  <w:marRight w:val="0"/>
                                                  <w:marTop w:val="0"/>
                                                  <w:marBottom w:val="0"/>
                                                  <w:divBdr>
                                                    <w:top w:val="none" w:sz="0" w:space="0" w:color="auto"/>
                                                    <w:left w:val="none" w:sz="0" w:space="0" w:color="auto"/>
                                                    <w:bottom w:val="none" w:sz="0" w:space="0" w:color="auto"/>
                                                    <w:right w:val="none" w:sz="0" w:space="0" w:color="auto"/>
                                                  </w:divBdr>
                                                </w:div>
                                                <w:div w:id="1290089172">
                                                  <w:marLeft w:val="0"/>
                                                  <w:marRight w:val="0"/>
                                                  <w:marTop w:val="0"/>
                                                  <w:marBottom w:val="0"/>
                                                  <w:divBdr>
                                                    <w:top w:val="none" w:sz="0" w:space="0" w:color="auto"/>
                                                    <w:left w:val="none" w:sz="0" w:space="0" w:color="auto"/>
                                                    <w:bottom w:val="none" w:sz="0" w:space="0" w:color="auto"/>
                                                    <w:right w:val="none" w:sz="0" w:space="0" w:color="auto"/>
                                                  </w:divBdr>
                                                </w:div>
                                              </w:divsChild>
                                            </w:div>
                                            <w:div w:id="1088961826">
                                              <w:marLeft w:val="0"/>
                                              <w:marRight w:val="0"/>
                                              <w:marTop w:val="0"/>
                                              <w:marBottom w:val="0"/>
                                              <w:divBdr>
                                                <w:top w:val="none" w:sz="0" w:space="0" w:color="auto"/>
                                                <w:left w:val="none" w:sz="0" w:space="0" w:color="auto"/>
                                                <w:bottom w:val="none" w:sz="0" w:space="0" w:color="auto"/>
                                                <w:right w:val="none" w:sz="0" w:space="0" w:color="auto"/>
                                              </w:divBdr>
                                              <w:divsChild>
                                                <w:div w:id="1845514644">
                                                  <w:marLeft w:val="0"/>
                                                  <w:marRight w:val="0"/>
                                                  <w:marTop w:val="0"/>
                                                  <w:marBottom w:val="0"/>
                                                  <w:divBdr>
                                                    <w:top w:val="none" w:sz="0" w:space="0" w:color="auto"/>
                                                    <w:left w:val="none" w:sz="0" w:space="0" w:color="auto"/>
                                                    <w:bottom w:val="none" w:sz="0" w:space="0" w:color="auto"/>
                                                    <w:right w:val="none" w:sz="0" w:space="0" w:color="auto"/>
                                                  </w:divBdr>
                                                </w:div>
                                                <w:div w:id="1296066656">
                                                  <w:marLeft w:val="0"/>
                                                  <w:marRight w:val="0"/>
                                                  <w:marTop w:val="0"/>
                                                  <w:marBottom w:val="0"/>
                                                  <w:divBdr>
                                                    <w:top w:val="none" w:sz="0" w:space="0" w:color="auto"/>
                                                    <w:left w:val="none" w:sz="0" w:space="0" w:color="auto"/>
                                                    <w:bottom w:val="none" w:sz="0" w:space="0" w:color="auto"/>
                                                    <w:right w:val="none" w:sz="0" w:space="0" w:color="auto"/>
                                                  </w:divBdr>
                                                </w:div>
                                              </w:divsChild>
                                            </w:div>
                                            <w:div w:id="319962750">
                                              <w:marLeft w:val="0"/>
                                              <w:marRight w:val="0"/>
                                              <w:marTop w:val="0"/>
                                              <w:marBottom w:val="0"/>
                                              <w:divBdr>
                                                <w:top w:val="none" w:sz="0" w:space="0" w:color="auto"/>
                                                <w:left w:val="none" w:sz="0" w:space="0" w:color="auto"/>
                                                <w:bottom w:val="none" w:sz="0" w:space="0" w:color="auto"/>
                                                <w:right w:val="none" w:sz="0" w:space="0" w:color="auto"/>
                                              </w:divBdr>
                                              <w:divsChild>
                                                <w:div w:id="2049648840">
                                                  <w:marLeft w:val="0"/>
                                                  <w:marRight w:val="0"/>
                                                  <w:marTop w:val="0"/>
                                                  <w:marBottom w:val="0"/>
                                                  <w:divBdr>
                                                    <w:top w:val="none" w:sz="0" w:space="0" w:color="auto"/>
                                                    <w:left w:val="none" w:sz="0" w:space="0" w:color="auto"/>
                                                    <w:bottom w:val="none" w:sz="0" w:space="0" w:color="auto"/>
                                                    <w:right w:val="none" w:sz="0" w:space="0" w:color="auto"/>
                                                  </w:divBdr>
                                                  <w:divsChild>
                                                    <w:div w:id="562103089">
                                                      <w:marLeft w:val="0"/>
                                                      <w:marRight w:val="0"/>
                                                      <w:marTop w:val="0"/>
                                                      <w:marBottom w:val="0"/>
                                                      <w:divBdr>
                                                        <w:top w:val="none" w:sz="0" w:space="0" w:color="auto"/>
                                                        <w:left w:val="none" w:sz="0" w:space="0" w:color="auto"/>
                                                        <w:bottom w:val="none" w:sz="0" w:space="0" w:color="auto"/>
                                                        <w:right w:val="none" w:sz="0" w:space="0" w:color="auto"/>
                                                      </w:divBdr>
                                                      <w:divsChild>
                                                        <w:div w:id="1533149949">
                                                          <w:marLeft w:val="0"/>
                                                          <w:marRight w:val="0"/>
                                                          <w:marTop w:val="0"/>
                                                          <w:marBottom w:val="0"/>
                                                          <w:divBdr>
                                                            <w:top w:val="none" w:sz="0" w:space="0" w:color="auto"/>
                                                            <w:left w:val="none" w:sz="0" w:space="0" w:color="auto"/>
                                                            <w:bottom w:val="none" w:sz="0" w:space="0" w:color="auto"/>
                                                            <w:right w:val="none" w:sz="0" w:space="0" w:color="auto"/>
                                                          </w:divBdr>
                                                          <w:divsChild>
                                                            <w:div w:id="918948736">
                                                              <w:marLeft w:val="0"/>
                                                              <w:marRight w:val="0"/>
                                                              <w:marTop w:val="0"/>
                                                              <w:marBottom w:val="0"/>
                                                              <w:divBdr>
                                                                <w:top w:val="none" w:sz="0" w:space="0" w:color="auto"/>
                                                                <w:left w:val="none" w:sz="0" w:space="0" w:color="auto"/>
                                                                <w:bottom w:val="none" w:sz="0" w:space="0" w:color="auto"/>
                                                                <w:right w:val="none" w:sz="0" w:space="0" w:color="auto"/>
                                                              </w:divBdr>
                                                            </w:div>
                                                            <w:div w:id="263001118">
                                                              <w:marLeft w:val="0"/>
                                                              <w:marRight w:val="0"/>
                                                              <w:marTop w:val="100"/>
                                                              <w:marBottom w:val="100"/>
                                                              <w:divBdr>
                                                                <w:top w:val="none" w:sz="0" w:space="0" w:color="auto"/>
                                                                <w:left w:val="none" w:sz="0" w:space="0" w:color="auto"/>
                                                                <w:bottom w:val="none" w:sz="0" w:space="0" w:color="auto"/>
                                                                <w:right w:val="none" w:sz="0" w:space="0" w:color="auto"/>
                                                              </w:divBdr>
                                                              <w:divsChild>
                                                                <w:div w:id="1774396142">
                                                                  <w:marLeft w:val="0"/>
                                                                  <w:marRight w:val="0"/>
                                                                  <w:marTop w:val="0"/>
                                                                  <w:marBottom w:val="0"/>
                                                                  <w:divBdr>
                                                                    <w:top w:val="none" w:sz="0" w:space="0" w:color="auto"/>
                                                                    <w:left w:val="none" w:sz="0" w:space="0" w:color="auto"/>
                                                                    <w:bottom w:val="none" w:sz="0" w:space="0" w:color="auto"/>
                                                                    <w:right w:val="none" w:sz="0" w:space="0" w:color="auto"/>
                                                                  </w:divBdr>
                                                                  <w:divsChild>
                                                                    <w:div w:id="783842125">
                                                                      <w:marLeft w:val="0"/>
                                                                      <w:marRight w:val="0"/>
                                                                      <w:marTop w:val="120"/>
                                                                      <w:marBottom w:val="0"/>
                                                                      <w:divBdr>
                                                                        <w:top w:val="none" w:sz="0" w:space="0" w:color="auto"/>
                                                                        <w:left w:val="none" w:sz="0" w:space="0" w:color="auto"/>
                                                                        <w:bottom w:val="none" w:sz="0" w:space="0" w:color="auto"/>
                                                                        <w:right w:val="none" w:sz="0" w:space="0" w:color="auto"/>
                                                                      </w:divBdr>
                                                                    </w:div>
                                                                  </w:divsChild>
                                                                </w:div>
                                                                <w:div w:id="1236280983">
                                                                  <w:marLeft w:val="0"/>
                                                                  <w:marRight w:val="0"/>
                                                                  <w:marTop w:val="0"/>
                                                                  <w:marBottom w:val="0"/>
                                                                  <w:divBdr>
                                                                    <w:top w:val="none" w:sz="0" w:space="0" w:color="auto"/>
                                                                    <w:left w:val="none" w:sz="0" w:space="0" w:color="auto"/>
                                                                    <w:bottom w:val="none" w:sz="0" w:space="0" w:color="auto"/>
                                                                    <w:right w:val="none" w:sz="0" w:space="0" w:color="auto"/>
                                                                  </w:divBdr>
                                                                  <w:divsChild>
                                                                    <w:div w:id="398525025">
                                                                      <w:marLeft w:val="0"/>
                                                                      <w:marRight w:val="0"/>
                                                                      <w:marTop w:val="0"/>
                                                                      <w:marBottom w:val="0"/>
                                                                      <w:divBdr>
                                                                        <w:top w:val="none" w:sz="0" w:space="0" w:color="auto"/>
                                                                        <w:left w:val="none" w:sz="0" w:space="0" w:color="auto"/>
                                                                        <w:bottom w:val="none" w:sz="0" w:space="0" w:color="auto"/>
                                                                        <w:right w:val="none" w:sz="0" w:space="0" w:color="auto"/>
                                                                      </w:divBdr>
                                                                      <w:divsChild>
                                                                        <w:div w:id="832345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275574">
                                              <w:marLeft w:val="0"/>
                                              <w:marRight w:val="0"/>
                                              <w:marTop w:val="0"/>
                                              <w:marBottom w:val="0"/>
                                              <w:divBdr>
                                                <w:top w:val="none" w:sz="0" w:space="0" w:color="auto"/>
                                                <w:left w:val="none" w:sz="0" w:space="0" w:color="auto"/>
                                                <w:bottom w:val="none" w:sz="0" w:space="0" w:color="auto"/>
                                                <w:right w:val="none" w:sz="0" w:space="0" w:color="auto"/>
                                              </w:divBdr>
                                              <w:divsChild>
                                                <w:div w:id="1386949023">
                                                  <w:marLeft w:val="0"/>
                                                  <w:marRight w:val="0"/>
                                                  <w:marTop w:val="0"/>
                                                  <w:marBottom w:val="0"/>
                                                  <w:divBdr>
                                                    <w:top w:val="none" w:sz="0" w:space="0" w:color="auto"/>
                                                    <w:left w:val="none" w:sz="0" w:space="0" w:color="auto"/>
                                                    <w:bottom w:val="none" w:sz="0" w:space="0" w:color="auto"/>
                                                    <w:right w:val="none" w:sz="0" w:space="0" w:color="auto"/>
                                                  </w:divBdr>
                                                  <w:divsChild>
                                                    <w:div w:id="479616699">
                                                      <w:marLeft w:val="0"/>
                                                      <w:marRight w:val="0"/>
                                                      <w:marTop w:val="0"/>
                                                      <w:marBottom w:val="0"/>
                                                      <w:divBdr>
                                                        <w:top w:val="none" w:sz="0" w:space="0" w:color="auto"/>
                                                        <w:left w:val="none" w:sz="0" w:space="0" w:color="auto"/>
                                                        <w:bottom w:val="none" w:sz="0" w:space="0" w:color="auto"/>
                                                        <w:right w:val="none" w:sz="0" w:space="0" w:color="auto"/>
                                                      </w:divBdr>
                                                      <w:divsChild>
                                                        <w:div w:id="1874729104">
                                                          <w:marLeft w:val="0"/>
                                                          <w:marRight w:val="0"/>
                                                          <w:marTop w:val="0"/>
                                                          <w:marBottom w:val="0"/>
                                                          <w:divBdr>
                                                            <w:top w:val="none" w:sz="0" w:space="0" w:color="auto"/>
                                                            <w:left w:val="none" w:sz="0" w:space="0" w:color="auto"/>
                                                            <w:bottom w:val="none" w:sz="0" w:space="0" w:color="auto"/>
                                                            <w:right w:val="none" w:sz="0" w:space="0" w:color="auto"/>
                                                          </w:divBdr>
                                                          <w:divsChild>
                                                            <w:div w:id="268121278">
                                                              <w:marLeft w:val="300"/>
                                                              <w:marRight w:val="300"/>
                                                              <w:marTop w:val="300"/>
                                                              <w:marBottom w:val="300"/>
                                                              <w:divBdr>
                                                                <w:top w:val="none" w:sz="0" w:space="0" w:color="auto"/>
                                                                <w:left w:val="none" w:sz="0" w:space="0" w:color="auto"/>
                                                                <w:bottom w:val="none" w:sz="0" w:space="0" w:color="auto"/>
                                                                <w:right w:val="none" w:sz="0" w:space="0" w:color="auto"/>
                                                              </w:divBdr>
                                                            </w:div>
                                                          </w:divsChild>
                                                        </w:div>
                                                        <w:div w:id="1864324015">
                                                          <w:marLeft w:val="0"/>
                                                          <w:marRight w:val="0"/>
                                                          <w:marTop w:val="0"/>
                                                          <w:marBottom w:val="0"/>
                                                          <w:divBdr>
                                                            <w:top w:val="none" w:sz="0" w:space="0" w:color="auto"/>
                                                            <w:left w:val="none" w:sz="0" w:space="0" w:color="auto"/>
                                                            <w:bottom w:val="none" w:sz="0" w:space="0" w:color="auto"/>
                                                            <w:right w:val="none" w:sz="0" w:space="0" w:color="auto"/>
                                                          </w:divBdr>
                                                          <w:divsChild>
                                                            <w:div w:id="1370106685">
                                                              <w:marLeft w:val="0"/>
                                                              <w:marRight w:val="0"/>
                                                              <w:marTop w:val="0"/>
                                                              <w:marBottom w:val="0"/>
                                                              <w:divBdr>
                                                                <w:top w:val="none" w:sz="0" w:space="0" w:color="auto"/>
                                                                <w:left w:val="none" w:sz="0" w:space="0" w:color="auto"/>
                                                                <w:bottom w:val="none" w:sz="0" w:space="0" w:color="auto"/>
                                                                <w:right w:val="none" w:sz="0" w:space="0" w:color="auto"/>
                                                              </w:divBdr>
                                                            </w:div>
                                                            <w:div w:id="1357193201">
                                                              <w:marLeft w:val="0"/>
                                                              <w:marRight w:val="0"/>
                                                              <w:marTop w:val="0"/>
                                                              <w:marBottom w:val="0"/>
                                                              <w:divBdr>
                                                                <w:top w:val="none" w:sz="0" w:space="0" w:color="auto"/>
                                                                <w:left w:val="none" w:sz="0" w:space="0" w:color="auto"/>
                                                                <w:bottom w:val="none" w:sz="0" w:space="0" w:color="auto"/>
                                                                <w:right w:val="none" w:sz="0" w:space="0" w:color="auto"/>
                                                              </w:divBdr>
                                                            </w:div>
                                                          </w:divsChild>
                                                        </w:div>
                                                        <w:div w:id="1099374334">
                                                          <w:marLeft w:val="0"/>
                                                          <w:marRight w:val="0"/>
                                                          <w:marTop w:val="0"/>
                                                          <w:marBottom w:val="0"/>
                                                          <w:divBdr>
                                                            <w:top w:val="none" w:sz="0" w:space="0" w:color="auto"/>
                                                            <w:left w:val="none" w:sz="0" w:space="0" w:color="auto"/>
                                                            <w:bottom w:val="none" w:sz="0" w:space="0" w:color="auto"/>
                                                            <w:right w:val="none" w:sz="0" w:space="0" w:color="auto"/>
                                                          </w:divBdr>
                                                          <w:divsChild>
                                                            <w:div w:id="2004310718">
                                                              <w:marLeft w:val="0"/>
                                                              <w:marRight w:val="0"/>
                                                              <w:marTop w:val="0"/>
                                                              <w:marBottom w:val="0"/>
                                                              <w:divBdr>
                                                                <w:top w:val="none" w:sz="0" w:space="0" w:color="auto"/>
                                                                <w:left w:val="none" w:sz="0" w:space="0" w:color="auto"/>
                                                                <w:bottom w:val="none" w:sz="0" w:space="0" w:color="auto"/>
                                                                <w:right w:val="none" w:sz="0" w:space="0" w:color="auto"/>
                                                              </w:divBdr>
                                                              <w:divsChild>
                                                                <w:div w:id="19271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2632">
                                                          <w:marLeft w:val="0"/>
                                                          <w:marRight w:val="0"/>
                                                          <w:marTop w:val="0"/>
                                                          <w:marBottom w:val="0"/>
                                                          <w:divBdr>
                                                            <w:top w:val="none" w:sz="0" w:space="0" w:color="auto"/>
                                                            <w:left w:val="none" w:sz="0" w:space="0" w:color="auto"/>
                                                            <w:bottom w:val="none" w:sz="0" w:space="0" w:color="auto"/>
                                                            <w:right w:val="none" w:sz="0" w:space="0" w:color="auto"/>
                                                          </w:divBdr>
                                                          <w:divsChild>
                                                            <w:div w:id="95223879">
                                                              <w:marLeft w:val="0"/>
                                                              <w:marRight w:val="0"/>
                                                              <w:marTop w:val="0"/>
                                                              <w:marBottom w:val="150"/>
                                                              <w:divBdr>
                                                                <w:top w:val="none" w:sz="0" w:space="0" w:color="auto"/>
                                                                <w:left w:val="none" w:sz="0" w:space="0" w:color="auto"/>
                                                                <w:bottom w:val="none" w:sz="0" w:space="0" w:color="auto"/>
                                                                <w:right w:val="none" w:sz="0" w:space="0" w:color="auto"/>
                                                              </w:divBdr>
                                                            </w:div>
                                                          </w:divsChild>
                                                        </w:div>
                                                        <w:div w:id="1081297439">
                                                          <w:marLeft w:val="0"/>
                                                          <w:marRight w:val="0"/>
                                                          <w:marTop w:val="0"/>
                                                          <w:marBottom w:val="0"/>
                                                          <w:divBdr>
                                                            <w:top w:val="none" w:sz="0" w:space="0" w:color="auto"/>
                                                            <w:left w:val="none" w:sz="0" w:space="0" w:color="auto"/>
                                                            <w:bottom w:val="none" w:sz="0" w:space="0" w:color="auto"/>
                                                            <w:right w:val="none" w:sz="0" w:space="0" w:color="auto"/>
                                                          </w:divBdr>
                                                          <w:divsChild>
                                                            <w:div w:id="303507003">
                                                              <w:marLeft w:val="0"/>
                                                              <w:marRight w:val="0"/>
                                                              <w:marTop w:val="0"/>
                                                              <w:marBottom w:val="0"/>
                                                              <w:divBdr>
                                                                <w:top w:val="none" w:sz="0" w:space="0" w:color="auto"/>
                                                                <w:left w:val="none" w:sz="0" w:space="0" w:color="auto"/>
                                                                <w:bottom w:val="none" w:sz="0" w:space="0" w:color="auto"/>
                                                                <w:right w:val="none" w:sz="0" w:space="0" w:color="auto"/>
                                                              </w:divBdr>
                                                              <w:divsChild>
                                                                <w:div w:id="911739091">
                                                                  <w:marLeft w:val="0"/>
                                                                  <w:marRight w:val="0"/>
                                                                  <w:marTop w:val="0"/>
                                                                  <w:marBottom w:val="0"/>
                                                                  <w:divBdr>
                                                                    <w:top w:val="none" w:sz="0" w:space="0" w:color="auto"/>
                                                                    <w:left w:val="none" w:sz="0" w:space="0" w:color="auto"/>
                                                                    <w:bottom w:val="none" w:sz="0" w:space="0" w:color="auto"/>
                                                                    <w:right w:val="none" w:sz="0" w:space="0" w:color="auto"/>
                                                                  </w:divBdr>
                                                                  <w:divsChild>
                                                                    <w:div w:id="2112623007">
                                                                      <w:marLeft w:val="0"/>
                                                                      <w:marRight w:val="0"/>
                                                                      <w:marTop w:val="0"/>
                                                                      <w:marBottom w:val="0"/>
                                                                      <w:divBdr>
                                                                        <w:top w:val="none" w:sz="0" w:space="0" w:color="auto"/>
                                                                        <w:left w:val="none" w:sz="0" w:space="0" w:color="auto"/>
                                                                        <w:bottom w:val="none" w:sz="0" w:space="0" w:color="auto"/>
                                                                        <w:right w:val="none" w:sz="0" w:space="0" w:color="auto"/>
                                                                      </w:divBdr>
                                                                    </w:div>
                                                                    <w:div w:id="357312757">
                                                                      <w:marLeft w:val="0"/>
                                                                      <w:marRight w:val="0"/>
                                                                      <w:marTop w:val="0"/>
                                                                      <w:marBottom w:val="0"/>
                                                                      <w:divBdr>
                                                                        <w:top w:val="none" w:sz="0" w:space="0" w:color="auto"/>
                                                                        <w:left w:val="none" w:sz="0" w:space="0" w:color="auto"/>
                                                                        <w:bottom w:val="none" w:sz="0" w:space="0" w:color="auto"/>
                                                                        <w:right w:val="none" w:sz="0" w:space="0" w:color="auto"/>
                                                                      </w:divBdr>
                                                                    </w:div>
                                                                    <w:div w:id="161042898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1622571741">
                                                          <w:marLeft w:val="0"/>
                                                          <w:marRight w:val="0"/>
                                                          <w:marTop w:val="0"/>
                                                          <w:marBottom w:val="0"/>
                                                          <w:divBdr>
                                                            <w:top w:val="none" w:sz="0" w:space="0" w:color="auto"/>
                                                            <w:left w:val="none" w:sz="0" w:space="0" w:color="auto"/>
                                                            <w:bottom w:val="none" w:sz="0" w:space="0" w:color="auto"/>
                                                            <w:right w:val="none" w:sz="0" w:space="0" w:color="auto"/>
                                                          </w:divBdr>
                                                          <w:divsChild>
                                                            <w:div w:id="924343355">
                                                              <w:marLeft w:val="0"/>
                                                              <w:marRight w:val="0"/>
                                                              <w:marTop w:val="0"/>
                                                              <w:marBottom w:val="0"/>
                                                              <w:divBdr>
                                                                <w:top w:val="none" w:sz="0" w:space="0" w:color="auto"/>
                                                                <w:left w:val="none" w:sz="0" w:space="0" w:color="auto"/>
                                                                <w:bottom w:val="none" w:sz="0" w:space="0" w:color="auto"/>
                                                                <w:right w:val="none" w:sz="0" w:space="0" w:color="auto"/>
                                                              </w:divBdr>
                                                              <w:divsChild>
                                                                <w:div w:id="4721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414154">
                                              <w:marLeft w:val="0"/>
                                              <w:marRight w:val="0"/>
                                              <w:marTop w:val="0"/>
                                              <w:marBottom w:val="0"/>
                                              <w:divBdr>
                                                <w:top w:val="none" w:sz="0" w:space="0" w:color="auto"/>
                                                <w:left w:val="none" w:sz="0" w:space="0" w:color="auto"/>
                                                <w:bottom w:val="none" w:sz="0" w:space="0" w:color="auto"/>
                                                <w:right w:val="none" w:sz="0" w:space="0" w:color="auto"/>
                                              </w:divBdr>
                                              <w:divsChild>
                                                <w:div w:id="376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095279">
      <w:bodyDiv w:val="1"/>
      <w:marLeft w:val="0"/>
      <w:marRight w:val="0"/>
      <w:marTop w:val="0"/>
      <w:marBottom w:val="0"/>
      <w:divBdr>
        <w:top w:val="none" w:sz="0" w:space="0" w:color="auto"/>
        <w:left w:val="none" w:sz="0" w:space="0" w:color="auto"/>
        <w:bottom w:val="none" w:sz="0" w:space="0" w:color="auto"/>
        <w:right w:val="none" w:sz="0" w:space="0" w:color="auto"/>
      </w:divBdr>
    </w:div>
    <w:div w:id="930161593">
      <w:bodyDiv w:val="1"/>
      <w:marLeft w:val="0"/>
      <w:marRight w:val="0"/>
      <w:marTop w:val="0"/>
      <w:marBottom w:val="0"/>
      <w:divBdr>
        <w:top w:val="none" w:sz="0" w:space="0" w:color="auto"/>
        <w:left w:val="none" w:sz="0" w:space="0" w:color="auto"/>
        <w:bottom w:val="none" w:sz="0" w:space="0" w:color="auto"/>
        <w:right w:val="none" w:sz="0" w:space="0" w:color="auto"/>
      </w:divBdr>
    </w:div>
    <w:div w:id="936909787">
      <w:bodyDiv w:val="1"/>
      <w:marLeft w:val="0"/>
      <w:marRight w:val="0"/>
      <w:marTop w:val="0"/>
      <w:marBottom w:val="0"/>
      <w:divBdr>
        <w:top w:val="none" w:sz="0" w:space="0" w:color="auto"/>
        <w:left w:val="none" w:sz="0" w:space="0" w:color="auto"/>
        <w:bottom w:val="none" w:sz="0" w:space="0" w:color="auto"/>
        <w:right w:val="none" w:sz="0" w:space="0" w:color="auto"/>
      </w:divBdr>
    </w:div>
    <w:div w:id="971864029">
      <w:bodyDiv w:val="1"/>
      <w:marLeft w:val="0"/>
      <w:marRight w:val="0"/>
      <w:marTop w:val="0"/>
      <w:marBottom w:val="0"/>
      <w:divBdr>
        <w:top w:val="none" w:sz="0" w:space="0" w:color="auto"/>
        <w:left w:val="none" w:sz="0" w:space="0" w:color="auto"/>
        <w:bottom w:val="none" w:sz="0" w:space="0" w:color="auto"/>
        <w:right w:val="none" w:sz="0" w:space="0" w:color="auto"/>
      </w:divBdr>
    </w:div>
    <w:div w:id="973410121">
      <w:bodyDiv w:val="1"/>
      <w:marLeft w:val="0"/>
      <w:marRight w:val="0"/>
      <w:marTop w:val="0"/>
      <w:marBottom w:val="0"/>
      <w:divBdr>
        <w:top w:val="none" w:sz="0" w:space="0" w:color="auto"/>
        <w:left w:val="none" w:sz="0" w:space="0" w:color="auto"/>
        <w:bottom w:val="none" w:sz="0" w:space="0" w:color="auto"/>
        <w:right w:val="none" w:sz="0" w:space="0" w:color="auto"/>
      </w:divBdr>
    </w:div>
    <w:div w:id="990478126">
      <w:bodyDiv w:val="1"/>
      <w:marLeft w:val="0"/>
      <w:marRight w:val="0"/>
      <w:marTop w:val="0"/>
      <w:marBottom w:val="0"/>
      <w:divBdr>
        <w:top w:val="none" w:sz="0" w:space="0" w:color="auto"/>
        <w:left w:val="none" w:sz="0" w:space="0" w:color="auto"/>
        <w:bottom w:val="none" w:sz="0" w:space="0" w:color="auto"/>
        <w:right w:val="none" w:sz="0" w:space="0" w:color="auto"/>
      </w:divBdr>
    </w:div>
    <w:div w:id="1018702610">
      <w:bodyDiv w:val="1"/>
      <w:marLeft w:val="0"/>
      <w:marRight w:val="0"/>
      <w:marTop w:val="0"/>
      <w:marBottom w:val="0"/>
      <w:divBdr>
        <w:top w:val="none" w:sz="0" w:space="0" w:color="auto"/>
        <w:left w:val="none" w:sz="0" w:space="0" w:color="auto"/>
        <w:bottom w:val="none" w:sz="0" w:space="0" w:color="auto"/>
        <w:right w:val="none" w:sz="0" w:space="0" w:color="auto"/>
      </w:divBdr>
    </w:div>
    <w:div w:id="1036924415">
      <w:bodyDiv w:val="1"/>
      <w:marLeft w:val="0"/>
      <w:marRight w:val="0"/>
      <w:marTop w:val="0"/>
      <w:marBottom w:val="0"/>
      <w:divBdr>
        <w:top w:val="none" w:sz="0" w:space="0" w:color="auto"/>
        <w:left w:val="none" w:sz="0" w:space="0" w:color="auto"/>
        <w:bottom w:val="none" w:sz="0" w:space="0" w:color="auto"/>
        <w:right w:val="none" w:sz="0" w:space="0" w:color="auto"/>
      </w:divBdr>
    </w:div>
    <w:div w:id="1047490248">
      <w:bodyDiv w:val="1"/>
      <w:marLeft w:val="0"/>
      <w:marRight w:val="0"/>
      <w:marTop w:val="0"/>
      <w:marBottom w:val="0"/>
      <w:divBdr>
        <w:top w:val="none" w:sz="0" w:space="0" w:color="auto"/>
        <w:left w:val="none" w:sz="0" w:space="0" w:color="auto"/>
        <w:bottom w:val="none" w:sz="0" w:space="0" w:color="auto"/>
        <w:right w:val="none" w:sz="0" w:space="0" w:color="auto"/>
      </w:divBdr>
    </w:div>
    <w:div w:id="1094470003">
      <w:bodyDiv w:val="1"/>
      <w:marLeft w:val="0"/>
      <w:marRight w:val="0"/>
      <w:marTop w:val="0"/>
      <w:marBottom w:val="0"/>
      <w:divBdr>
        <w:top w:val="none" w:sz="0" w:space="0" w:color="auto"/>
        <w:left w:val="none" w:sz="0" w:space="0" w:color="auto"/>
        <w:bottom w:val="none" w:sz="0" w:space="0" w:color="auto"/>
        <w:right w:val="none" w:sz="0" w:space="0" w:color="auto"/>
      </w:divBdr>
    </w:div>
    <w:div w:id="1109163131">
      <w:bodyDiv w:val="1"/>
      <w:marLeft w:val="0"/>
      <w:marRight w:val="0"/>
      <w:marTop w:val="0"/>
      <w:marBottom w:val="0"/>
      <w:divBdr>
        <w:top w:val="none" w:sz="0" w:space="0" w:color="auto"/>
        <w:left w:val="none" w:sz="0" w:space="0" w:color="auto"/>
        <w:bottom w:val="none" w:sz="0" w:space="0" w:color="auto"/>
        <w:right w:val="none" w:sz="0" w:space="0" w:color="auto"/>
      </w:divBdr>
    </w:div>
    <w:div w:id="1110273367">
      <w:bodyDiv w:val="1"/>
      <w:marLeft w:val="0"/>
      <w:marRight w:val="0"/>
      <w:marTop w:val="0"/>
      <w:marBottom w:val="0"/>
      <w:divBdr>
        <w:top w:val="none" w:sz="0" w:space="0" w:color="auto"/>
        <w:left w:val="none" w:sz="0" w:space="0" w:color="auto"/>
        <w:bottom w:val="none" w:sz="0" w:space="0" w:color="auto"/>
        <w:right w:val="none" w:sz="0" w:space="0" w:color="auto"/>
      </w:divBdr>
    </w:div>
    <w:div w:id="1113595892">
      <w:bodyDiv w:val="1"/>
      <w:marLeft w:val="0"/>
      <w:marRight w:val="0"/>
      <w:marTop w:val="0"/>
      <w:marBottom w:val="0"/>
      <w:divBdr>
        <w:top w:val="none" w:sz="0" w:space="0" w:color="auto"/>
        <w:left w:val="none" w:sz="0" w:space="0" w:color="auto"/>
        <w:bottom w:val="none" w:sz="0" w:space="0" w:color="auto"/>
        <w:right w:val="none" w:sz="0" w:space="0" w:color="auto"/>
      </w:divBdr>
    </w:div>
    <w:div w:id="1131745524">
      <w:bodyDiv w:val="1"/>
      <w:marLeft w:val="0"/>
      <w:marRight w:val="0"/>
      <w:marTop w:val="0"/>
      <w:marBottom w:val="0"/>
      <w:divBdr>
        <w:top w:val="none" w:sz="0" w:space="0" w:color="auto"/>
        <w:left w:val="none" w:sz="0" w:space="0" w:color="auto"/>
        <w:bottom w:val="none" w:sz="0" w:space="0" w:color="auto"/>
        <w:right w:val="none" w:sz="0" w:space="0" w:color="auto"/>
      </w:divBdr>
    </w:div>
    <w:div w:id="1134637720">
      <w:bodyDiv w:val="1"/>
      <w:marLeft w:val="0"/>
      <w:marRight w:val="0"/>
      <w:marTop w:val="0"/>
      <w:marBottom w:val="0"/>
      <w:divBdr>
        <w:top w:val="none" w:sz="0" w:space="0" w:color="auto"/>
        <w:left w:val="none" w:sz="0" w:space="0" w:color="auto"/>
        <w:bottom w:val="none" w:sz="0" w:space="0" w:color="auto"/>
        <w:right w:val="none" w:sz="0" w:space="0" w:color="auto"/>
      </w:divBdr>
    </w:div>
    <w:div w:id="1143042667">
      <w:bodyDiv w:val="1"/>
      <w:marLeft w:val="0"/>
      <w:marRight w:val="0"/>
      <w:marTop w:val="0"/>
      <w:marBottom w:val="0"/>
      <w:divBdr>
        <w:top w:val="none" w:sz="0" w:space="0" w:color="auto"/>
        <w:left w:val="none" w:sz="0" w:space="0" w:color="auto"/>
        <w:bottom w:val="none" w:sz="0" w:space="0" w:color="auto"/>
        <w:right w:val="none" w:sz="0" w:space="0" w:color="auto"/>
      </w:divBdr>
    </w:div>
    <w:div w:id="1155491449">
      <w:bodyDiv w:val="1"/>
      <w:marLeft w:val="0"/>
      <w:marRight w:val="0"/>
      <w:marTop w:val="0"/>
      <w:marBottom w:val="0"/>
      <w:divBdr>
        <w:top w:val="none" w:sz="0" w:space="0" w:color="auto"/>
        <w:left w:val="none" w:sz="0" w:space="0" w:color="auto"/>
        <w:bottom w:val="none" w:sz="0" w:space="0" w:color="auto"/>
        <w:right w:val="none" w:sz="0" w:space="0" w:color="auto"/>
      </w:divBdr>
    </w:div>
    <w:div w:id="1157574256">
      <w:bodyDiv w:val="1"/>
      <w:marLeft w:val="0"/>
      <w:marRight w:val="0"/>
      <w:marTop w:val="0"/>
      <w:marBottom w:val="0"/>
      <w:divBdr>
        <w:top w:val="none" w:sz="0" w:space="0" w:color="auto"/>
        <w:left w:val="none" w:sz="0" w:space="0" w:color="auto"/>
        <w:bottom w:val="none" w:sz="0" w:space="0" w:color="auto"/>
        <w:right w:val="none" w:sz="0" w:space="0" w:color="auto"/>
      </w:divBdr>
    </w:div>
    <w:div w:id="1165514122">
      <w:bodyDiv w:val="1"/>
      <w:marLeft w:val="0"/>
      <w:marRight w:val="0"/>
      <w:marTop w:val="0"/>
      <w:marBottom w:val="0"/>
      <w:divBdr>
        <w:top w:val="none" w:sz="0" w:space="0" w:color="auto"/>
        <w:left w:val="none" w:sz="0" w:space="0" w:color="auto"/>
        <w:bottom w:val="none" w:sz="0" w:space="0" w:color="auto"/>
        <w:right w:val="none" w:sz="0" w:space="0" w:color="auto"/>
      </w:divBdr>
    </w:div>
    <w:div w:id="1191333490">
      <w:bodyDiv w:val="1"/>
      <w:marLeft w:val="0"/>
      <w:marRight w:val="0"/>
      <w:marTop w:val="0"/>
      <w:marBottom w:val="0"/>
      <w:divBdr>
        <w:top w:val="none" w:sz="0" w:space="0" w:color="auto"/>
        <w:left w:val="none" w:sz="0" w:space="0" w:color="auto"/>
        <w:bottom w:val="none" w:sz="0" w:space="0" w:color="auto"/>
        <w:right w:val="none" w:sz="0" w:space="0" w:color="auto"/>
      </w:divBdr>
    </w:div>
    <w:div w:id="1192495520">
      <w:bodyDiv w:val="1"/>
      <w:marLeft w:val="0"/>
      <w:marRight w:val="0"/>
      <w:marTop w:val="0"/>
      <w:marBottom w:val="0"/>
      <w:divBdr>
        <w:top w:val="none" w:sz="0" w:space="0" w:color="auto"/>
        <w:left w:val="none" w:sz="0" w:space="0" w:color="auto"/>
        <w:bottom w:val="none" w:sz="0" w:space="0" w:color="auto"/>
        <w:right w:val="none" w:sz="0" w:space="0" w:color="auto"/>
      </w:divBdr>
    </w:div>
    <w:div w:id="1217814063">
      <w:bodyDiv w:val="1"/>
      <w:marLeft w:val="0"/>
      <w:marRight w:val="0"/>
      <w:marTop w:val="0"/>
      <w:marBottom w:val="0"/>
      <w:divBdr>
        <w:top w:val="none" w:sz="0" w:space="0" w:color="auto"/>
        <w:left w:val="none" w:sz="0" w:space="0" w:color="auto"/>
        <w:bottom w:val="none" w:sz="0" w:space="0" w:color="auto"/>
        <w:right w:val="none" w:sz="0" w:space="0" w:color="auto"/>
      </w:divBdr>
    </w:div>
    <w:div w:id="1224220263">
      <w:bodyDiv w:val="1"/>
      <w:marLeft w:val="0"/>
      <w:marRight w:val="0"/>
      <w:marTop w:val="0"/>
      <w:marBottom w:val="0"/>
      <w:divBdr>
        <w:top w:val="none" w:sz="0" w:space="0" w:color="auto"/>
        <w:left w:val="none" w:sz="0" w:space="0" w:color="auto"/>
        <w:bottom w:val="none" w:sz="0" w:space="0" w:color="auto"/>
        <w:right w:val="none" w:sz="0" w:space="0" w:color="auto"/>
      </w:divBdr>
    </w:div>
    <w:div w:id="1224868635">
      <w:bodyDiv w:val="1"/>
      <w:marLeft w:val="0"/>
      <w:marRight w:val="0"/>
      <w:marTop w:val="0"/>
      <w:marBottom w:val="0"/>
      <w:divBdr>
        <w:top w:val="none" w:sz="0" w:space="0" w:color="auto"/>
        <w:left w:val="none" w:sz="0" w:space="0" w:color="auto"/>
        <w:bottom w:val="none" w:sz="0" w:space="0" w:color="auto"/>
        <w:right w:val="none" w:sz="0" w:space="0" w:color="auto"/>
      </w:divBdr>
    </w:div>
    <w:div w:id="1249003542">
      <w:bodyDiv w:val="1"/>
      <w:marLeft w:val="0"/>
      <w:marRight w:val="0"/>
      <w:marTop w:val="0"/>
      <w:marBottom w:val="0"/>
      <w:divBdr>
        <w:top w:val="none" w:sz="0" w:space="0" w:color="auto"/>
        <w:left w:val="none" w:sz="0" w:space="0" w:color="auto"/>
        <w:bottom w:val="none" w:sz="0" w:space="0" w:color="auto"/>
        <w:right w:val="none" w:sz="0" w:space="0" w:color="auto"/>
      </w:divBdr>
    </w:div>
    <w:div w:id="1272205486">
      <w:bodyDiv w:val="1"/>
      <w:marLeft w:val="0"/>
      <w:marRight w:val="0"/>
      <w:marTop w:val="0"/>
      <w:marBottom w:val="0"/>
      <w:divBdr>
        <w:top w:val="none" w:sz="0" w:space="0" w:color="auto"/>
        <w:left w:val="none" w:sz="0" w:space="0" w:color="auto"/>
        <w:bottom w:val="none" w:sz="0" w:space="0" w:color="auto"/>
        <w:right w:val="none" w:sz="0" w:space="0" w:color="auto"/>
      </w:divBdr>
    </w:div>
    <w:div w:id="1306550524">
      <w:bodyDiv w:val="1"/>
      <w:marLeft w:val="0"/>
      <w:marRight w:val="0"/>
      <w:marTop w:val="0"/>
      <w:marBottom w:val="0"/>
      <w:divBdr>
        <w:top w:val="none" w:sz="0" w:space="0" w:color="auto"/>
        <w:left w:val="none" w:sz="0" w:space="0" w:color="auto"/>
        <w:bottom w:val="none" w:sz="0" w:space="0" w:color="auto"/>
        <w:right w:val="none" w:sz="0" w:space="0" w:color="auto"/>
      </w:divBdr>
    </w:div>
    <w:div w:id="1324623217">
      <w:bodyDiv w:val="1"/>
      <w:marLeft w:val="0"/>
      <w:marRight w:val="0"/>
      <w:marTop w:val="0"/>
      <w:marBottom w:val="0"/>
      <w:divBdr>
        <w:top w:val="none" w:sz="0" w:space="0" w:color="auto"/>
        <w:left w:val="none" w:sz="0" w:space="0" w:color="auto"/>
        <w:bottom w:val="none" w:sz="0" w:space="0" w:color="auto"/>
        <w:right w:val="none" w:sz="0" w:space="0" w:color="auto"/>
      </w:divBdr>
    </w:div>
    <w:div w:id="1391462525">
      <w:bodyDiv w:val="1"/>
      <w:marLeft w:val="0"/>
      <w:marRight w:val="0"/>
      <w:marTop w:val="0"/>
      <w:marBottom w:val="0"/>
      <w:divBdr>
        <w:top w:val="none" w:sz="0" w:space="0" w:color="auto"/>
        <w:left w:val="none" w:sz="0" w:space="0" w:color="auto"/>
        <w:bottom w:val="none" w:sz="0" w:space="0" w:color="auto"/>
        <w:right w:val="none" w:sz="0" w:space="0" w:color="auto"/>
      </w:divBdr>
    </w:div>
    <w:div w:id="1408915763">
      <w:bodyDiv w:val="1"/>
      <w:marLeft w:val="0"/>
      <w:marRight w:val="0"/>
      <w:marTop w:val="0"/>
      <w:marBottom w:val="0"/>
      <w:divBdr>
        <w:top w:val="none" w:sz="0" w:space="0" w:color="auto"/>
        <w:left w:val="none" w:sz="0" w:space="0" w:color="auto"/>
        <w:bottom w:val="none" w:sz="0" w:space="0" w:color="auto"/>
        <w:right w:val="none" w:sz="0" w:space="0" w:color="auto"/>
      </w:divBdr>
    </w:div>
    <w:div w:id="1419017180">
      <w:bodyDiv w:val="1"/>
      <w:marLeft w:val="0"/>
      <w:marRight w:val="0"/>
      <w:marTop w:val="0"/>
      <w:marBottom w:val="0"/>
      <w:divBdr>
        <w:top w:val="none" w:sz="0" w:space="0" w:color="auto"/>
        <w:left w:val="none" w:sz="0" w:space="0" w:color="auto"/>
        <w:bottom w:val="none" w:sz="0" w:space="0" w:color="auto"/>
        <w:right w:val="none" w:sz="0" w:space="0" w:color="auto"/>
      </w:divBdr>
    </w:div>
    <w:div w:id="1433744851">
      <w:bodyDiv w:val="1"/>
      <w:marLeft w:val="0"/>
      <w:marRight w:val="0"/>
      <w:marTop w:val="0"/>
      <w:marBottom w:val="0"/>
      <w:divBdr>
        <w:top w:val="none" w:sz="0" w:space="0" w:color="auto"/>
        <w:left w:val="none" w:sz="0" w:space="0" w:color="auto"/>
        <w:bottom w:val="none" w:sz="0" w:space="0" w:color="auto"/>
        <w:right w:val="none" w:sz="0" w:space="0" w:color="auto"/>
      </w:divBdr>
    </w:div>
    <w:div w:id="1434326636">
      <w:bodyDiv w:val="1"/>
      <w:marLeft w:val="0"/>
      <w:marRight w:val="0"/>
      <w:marTop w:val="0"/>
      <w:marBottom w:val="0"/>
      <w:divBdr>
        <w:top w:val="none" w:sz="0" w:space="0" w:color="auto"/>
        <w:left w:val="none" w:sz="0" w:space="0" w:color="auto"/>
        <w:bottom w:val="none" w:sz="0" w:space="0" w:color="auto"/>
        <w:right w:val="none" w:sz="0" w:space="0" w:color="auto"/>
      </w:divBdr>
    </w:div>
    <w:div w:id="1437747359">
      <w:bodyDiv w:val="1"/>
      <w:marLeft w:val="0"/>
      <w:marRight w:val="0"/>
      <w:marTop w:val="0"/>
      <w:marBottom w:val="0"/>
      <w:divBdr>
        <w:top w:val="none" w:sz="0" w:space="0" w:color="auto"/>
        <w:left w:val="none" w:sz="0" w:space="0" w:color="auto"/>
        <w:bottom w:val="none" w:sz="0" w:space="0" w:color="auto"/>
        <w:right w:val="none" w:sz="0" w:space="0" w:color="auto"/>
      </w:divBdr>
    </w:div>
    <w:div w:id="1477604991">
      <w:bodyDiv w:val="1"/>
      <w:marLeft w:val="0"/>
      <w:marRight w:val="0"/>
      <w:marTop w:val="0"/>
      <w:marBottom w:val="0"/>
      <w:divBdr>
        <w:top w:val="none" w:sz="0" w:space="0" w:color="auto"/>
        <w:left w:val="none" w:sz="0" w:space="0" w:color="auto"/>
        <w:bottom w:val="none" w:sz="0" w:space="0" w:color="auto"/>
        <w:right w:val="none" w:sz="0" w:space="0" w:color="auto"/>
      </w:divBdr>
    </w:div>
    <w:div w:id="1480341708">
      <w:bodyDiv w:val="1"/>
      <w:marLeft w:val="0"/>
      <w:marRight w:val="0"/>
      <w:marTop w:val="0"/>
      <w:marBottom w:val="0"/>
      <w:divBdr>
        <w:top w:val="none" w:sz="0" w:space="0" w:color="auto"/>
        <w:left w:val="none" w:sz="0" w:space="0" w:color="auto"/>
        <w:bottom w:val="none" w:sz="0" w:space="0" w:color="auto"/>
        <w:right w:val="none" w:sz="0" w:space="0" w:color="auto"/>
      </w:divBdr>
    </w:div>
    <w:div w:id="1489638689">
      <w:bodyDiv w:val="1"/>
      <w:marLeft w:val="0"/>
      <w:marRight w:val="0"/>
      <w:marTop w:val="0"/>
      <w:marBottom w:val="0"/>
      <w:divBdr>
        <w:top w:val="none" w:sz="0" w:space="0" w:color="auto"/>
        <w:left w:val="none" w:sz="0" w:space="0" w:color="auto"/>
        <w:bottom w:val="none" w:sz="0" w:space="0" w:color="auto"/>
        <w:right w:val="none" w:sz="0" w:space="0" w:color="auto"/>
      </w:divBdr>
    </w:div>
    <w:div w:id="1500151760">
      <w:bodyDiv w:val="1"/>
      <w:marLeft w:val="0"/>
      <w:marRight w:val="0"/>
      <w:marTop w:val="0"/>
      <w:marBottom w:val="0"/>
      <w:divBdr>
        <w:top w:val="none" w:sz="0" w:space="0" w:color="auto"/>
        <w:left w:val="none" w:sz="0" w:space="0" w:color="auto"/>
        <w:bottom w:val="none" w:sz="0" w:space="0" w:color="auto"/>
        <w:right w:val="none" w:sz="0" w:space="0" w:color="auto"/>
      </w:divBdr>
    </w:div>
    <w:div w:id="1536384032">
      <w:bodyDiv w:val="1"/>
      <w:marLeft w:val="0"/>
      <w:marRight w:val="0"/>
      <w:marTop w:val="0"/>
      <w:marBottom w:val="0"/>
      <w:divBdr>
        <w:top w:val="none" w:sz="0" w:space="0" w:color="auto"/>
        <w:left w:val="none" w:sz="0" w:space="0" w:color="auto"/>
        <w:bottom w:val="none" w:sz="0" w:space="0" w:color="auto"/>
        <w:right w:val="none" w:sz="0" w:space="0" w:color="auto"/>
      </w:divBdr>
    </w:div>
    <w:div w:id="1537081977">
      <w:bodyDiv w:val="1"/>
      <w:marLeft w:val="0"/>
      <w:marRight w:val="0"/>
      <w:marTop w:val="0"/>
      <w:marBottom w:val="0"/>
      <w:divBdr>
        <w:top w:val="none" w:sz="0" w:space="0" w:color="auto"/>
        <w:left w:val="none" w:sz="0" w:space="0" w:color="auto"/>
        <w:bottom w:val="none" w:sz="0" w:space="0" w:color="auto"/>
        <w:right w:val="none" w:sz="0" w:space="0" w:color="auto"/>
      </w:divBdr>
    </w:div>
    <w:div w:id="1539197670">
      <w:bodyDiv w:val="1"/>
      <w:marLeft w:val="0"/>
      <w:marRight w:val="0"/>
      <w:marTop w:val="0"/>
      <w:marBottom w:val="0"/>
      <w:divBdr>
        <w:top w:val="none" w:sz="0" w:space="0" w:color="auto"/>
        <w:left w:val="none" w:sz="0" w:space="0" w:color="auto"/>
        <w:bottom w:val="none" w:sz="0" w:space="0" w:color="auto"/>
        <w:right w:val="none" w:sz="0" w:space="0" w:color="auto"/>
      </w:divBdr>
    </w:div>
    <w:div w:id="1652101350">
      <w:bodyDiv w:val="1"/>
      <w:marLeft w:val="0"/>
      <w:marRight w:val="0"/>
      <w:marTop w:val="0"/>
      <w:marBottom w:val="0"/>
      <w:divBdr>
        <w:top w:val="none" w:sz="0" w:space="0" w:color="auto"/>
        <w:left w:val="none" w:sz="0" w:space="0" w:color="auto"/>
        <w:bottom w:val="none" w:sz="0" w:space="0" w:color="auto"/>
        <w:right w:val="none" w:sz="0" w:space="0" w:color="auto"/>
      </w:divBdr>
    </w:div>
    <w:div w:id="1693069707">
      <w:bodyDiv w:val="1"/>
      <w:marLeft w:val="0"/>
      <w:marRight w:val="0"/>
      <w:marTop w:val="0"/>
      <w:marBottom w:val="0"/>
      <w:divBdr>
        <w:top w:val="none" w:sz="0" w:space="0" w:color="auto"/>
        <w:left w:val="none" w:sz="0" w:space="0" w:color="auto"/>
        <w:bottom w:val="none" w:sz="0" w:space="0" w:color="auto"/>
        <w:right w:val="none" w:sz="0" w:space="0" w:color="auto"/>
      </w:divBdr>
    </w:div>
    <w:div w:id="1709723897">
      <w:bodyDiv w:val="1"/>
      <w:marLeft w:val="0"/>
      <w:marRight w:val="0"/>
      <w:marTop w:val="0"/>
      <w:marBottom w:val="0"/>
      <w:divBdr>
        <w:top w:val="none" w:sz="0" w:space="0" w:color="auto"/>
        <w:left w:val="none" w:sz="0" w:space="0" w:color="auto"/>
        <w:bottom w:val="none" w:sz="0" w:space="0" w:color="auto"/>
        <w:right w:val="none" w:sz="0" w:space="0" w:color="auto"/>
      </w:divBdr>
    </w:div>
    <w:div w:id="1721511194">
      <w:bodyDiv w:val="1"/>
      <w:marLeft w:val="0"/>
      <w:marRight w:val="0"/>
      <w:marTop w:val="0"/>
      <w:marBottom w:val="0"/>
      <w:divBdr>
        <w:top w:val="none" w:sz="0" w:space="0" w:color="auto"/>
        <w:left w:val="none" w:sz="0" w:space="0" w:color="auto"/>
        <w:bottom w:val="none" w:sz="0" w:space="0" w:color="auto"/>
        <w:right w:val="none" w:sz="0" w:space="0" w:color="auto"/>
      </w:divBdr>
    </w:div>
    <w:div w:id="1731685088">
      <w:bodyDiv w:val="1"/>
      <w:marLeft w:val="0"/>
      <w:marRight w:val="0"/>
      <w:marTop w:val="0"/>
      <w:marBottom w:val="0"/>
      <w:divBdr>
        <w:top w:val="none" w:sz="0" w:space="0" w:color="auto"/>
        <w:left w:val="none" w:sz="0" w:space="0" w:color="auto"/>
        <w:bottom w:val="none" w:sz="0" w:space="0" w:color="auto"/>
        <w:right w:val="none" w:sz="0" w:space="0" w:color="auto"/>
      </w:divBdr>
    </w:div>
    <w:div w:id="1765951550">
      <w:bodyDiv w:val="1"/>
      <w:marLeft w:val="0"/>
      <w:marRight w:val="0"/>
      <w:marTop w:val="0"/>
      <w:marBottom w:val="0"/>
      <w:divBdr>
        <w:top w:val="none" w:sz="0" w:space="0" w:color="auto"/>
        <w:left w:val="none" w:sz="0" w:space="0" w:color="auto"/>
        <w:bottom w:val="none" w:sz="0" w:space="0" w:color="auto"/>
        <w:right w:val="none" w:sz="0" w:space="0" w:color="auto"/>
      </w:divBdr>
    </w:div>
    <w:div w:id="1825899833">
      <w:bodyDiv w:val="1"/>
      <w:marLeft w:val="0"/>
      <w:marRight w:val="0"/>
      <w:marTop w:val="0"/>
      <w:marBottom w:val="0"/>
      <w:divBdr>
        <w:top w:val="none" w:sz="0" w:space="0" w:color="auto"/>
        <w:left w:val="none" w:sz="0" w:space="0" w:color="auto"/>
        <w:bottom w:val="none" w:sz="0" w:space="0" w:color="auto"/>
        <w:right w:val="none" w:sz="0" w:space="0" w:color="auto"/>
      </w:divBdr>
    </w:div>
    <w:div w:id="1873571905">
      <w:bodyDiv w:val="1"/>
      <w:marLeft w:val="0"/>
      <w:marRight w:val="0"/>
      <w:marTop w:val="0"/>
      <w:marBottom w:val="0"/>
      <w:divBdr>
        <w:top w:val="none" w:sz="0" w:space="0" w:color="auto"/>
        <w:left w:val="none" w:sz="0" w:space="0" w:color="auto"/>
        <w:bottom w:val="none" w:sz="0" w:space="0" w:color="auto"/>
        <w:right w:val="none" w:sz="0" w:space="0" w:color="auto"/>
      </w:divBdr>
    </w:div>
    <w:div w:id="1898122285">
      <w:bodyDiv w:val="1"/>
      <w:marLeft w:val="0"/>
      <w:marRight w:val="0"/>
      <w:marTop w:val="0"/>
      <w:marBottom w:val="0"/>
      <w:divBdr>
        <w:top w:val="none" w:sz="0" w:space="0" w:color="auto"/>
        <w:left w:val="none" w:sz="0" w:space="0" w:color="auto"/>
        <w:bottom w:val="none" w:sz="0" w:space="0" w:color="auto"/>
        <w:right w:val="none" w:sz="0" w:space="0" w:color="auto"/>
      </w:divBdr>
    </w:div>
    <w:div w:id="1931547129">
      <w:bodyDiv w:val="1"/>
      <w:marLeft w:val="0"/>
      <w:marRight w:val="0"/>
      <w:marTop w:val="0"/>
      <w:marBottom w:val="0"/>
      <w:divBdr>
        <w:top w:val="none" w:sz="0" w:space="0" w:color="auto"/>
        <w:left w:val="none" w:sz="0" w:space="0" w:color="auto"/>
        <w:bottom w:val="none" w:sz="0" w:space="0" w:color="auto"/>
        <w:right w:val="none" w:sz="0" w:space="0" w:color="auto"/>
      </w:divBdr>
    </w:div>
    <w:div w:id="1945839532">
      <w:bodyDiv w:val="1"/>
      <w:marLeft w:val="0"/>
      <w:marRight w:val="0"/>
      <w:marTop w:val="0"/>
      <w:marBottom w:val="0"/>
      <w:divBdr>
        <w:top w:val="none" w:sz="0" w:space="0" w:color="auto"/>
        <w:left w:val="none" w:sz="0" w:space="0" w:color="auto"/>
        <w:bottom w:val="none" w:sz="0" w:space="0" w:color="auto"/>
        <w:right w:val="none" w:sz="0" w:space="0" w:color="auto"/>
      </w:divBdr>
    </w:div>
    <w:div w:id="1965425521">
      <w:bodyDiv w:val="1"/>
      <w:marLeft w:val="0"/>
      <w:marRight w:val="0"/>
      <w:marTop w:val="0"/>
      <w:marBottom w:val="0"/>
      <w:divBdr>
        <w:top w:val="none" w:sz="0" w:space="0" w:color="auto"/>
        <w:left w:val="none" w:sz="0" w:space="0" w:color="auto"/>
        <w:bottom w:val="none" w:sz="0" w:space="0" w:color="auto"/>
        <w:right w:val="none" w:sz="0" w:space="0" w:color="auto"/>
      </w:divBdr>
    </w:div>
    <w:div w:id="1977224410">
      <w:bodyDiv w:val="1"/>
      <w:marLeft w:val="0"/>
      <w:marRight w:val="0"/>
      <w:marTop w:val="0"/>
      <w:marBottom w:val="0"/>
      <w:divBdr>
        <w:top w:val="none" w:sz="0" w:space="0" w:color="auto"/>
        <w:left w:val="none" w:sz="0" w:space="0" w:color="auto"/>
        <w:bottom w:val="none" w:sz="0" w:space="0" w:color="auto"/>
        <w:right w:val="none" w:sz="0" w:space="0" w:color="auto"/>
      </w:divBdr>
    </w:div>
    <w:div w:id="1986860433">
      <w:bodyDiv w:val="1"/>
      <w:marLeft w:val="0"/>
      <w:marRight w:val="0"/>
      <w:marTop w:val="0"/>
      <w:marBottom w:val="0"/>
      <w:divBdr>
        <w:top w:val="none" w:sz="0" w:space="0" w:color="auto"/>
        <w:left w:val="none" w:sz="0" w:space="0" w:color="auto"/>
        <w:bottom w:val="none" w:sz="0" w:space="0" w:color="auto"/>
        <w:right w:val="none" w:sz="0" w:space="0" w:color="auto"/>
      </w:divBdr>
    </w:div>
    <w:div w:id="2000304084">
      <w:bodyDiv w:val="1"/>
      <w:marLeft w:val="0"/>
      <w:marRight w:val="0"/>
      <w:marTop w:val="0"/>
      <w:marBottom w:val="0"/>
      <w:divBdr>
        <w:top w:val="none" w:sz="0" w:space="0" w:color="auto"/>
        <w:left w:val="none" w:sz="0" w:space="0" w:color="auto"/>
        <w:bottom w:val="none" w:sz="0" w:space="0" w:color="auto"/>
        <w:right w:val="none" w:sz="0" w:space="0" w:color="auto"/>
      </w:divBdr>
    </w:div>
    <w:div w:id="2053918841">
      <w:bodyDiv w:val="1"/>
      <w:marLeft w:val="0"/>
      <w:marRight w:val="0"/>
      <w:marTop w:val="0"/>
      <w:marBottom w:val="0"/>
      <w:divBdr>
        <w:top w:val="none" w:sz="0" w:space="0" w:color="auto"/>
        <w:left w:val="none" w:sz="0" w:space="0" w:color="auto"/>
        <w:bottom w:val="none" w:sz="0" w:space="0" w:color="auto"/>
        <w:right w:val="none" w:sz="0" w:space="0" w:color="auto"/>
      </w:divBdr>
    </w:div>
    <w:div w:id="2068451752">
      <w:bodyDiv w:val="1"/>
      <w:marLeft w:val="0"/>
      <w:marRight w:val="0"/>
      <w:marTop w:val="0"/>
      <w:marBottom w:val="0"/>
      <w:divBdr>
        <w:top w:val="none" w:sz="0" w:space="0" w:color="auto"/>
        <w:left w:val="none" w:sz="0" w:space="0" w:color="auto"/>
        <w:bottom w:val="none" w:sz="0" w:space="0" w:color="auto"/>
        <w:right w:val="none" w:sz="0" w:space="0" w:color="auto"/>
      </w:divBdr>
    </w:div>
    <w:div w:id="2083134147">
      <w:bodyDiv w:val="1"/>
      <w:marLeft w:val="0"/>
      <w:marRight w:val="0"/>
      <w:marTop w:val="0"/>
      <w:marBottom w:val="0"/>
      <w:divBdr>
        <w:top w:val="none" w:sz="0" w:space="0" w:color="auto"/>
        <w:left w:val="none" w:sz="0" w:space="0" w:color="auto"/>
        <w:bottom w:val="none" w:sz="0" w:space="0" w:color="auto"/>
        <w:right w:val="none" w:sz="0" w:space="0" w:color="auto"/>
      </w:divBdr>
    </w:div>
    <w:div w:id="2103380666">
      <w:bodyDiv w:val="1"/>
      <w:marLeft w:val="0"/>
      <w:marRight w:val="0"/>
      <w:marTop w:val="0"/>
      <w:marBottom w:val="0"/>
      <w:divBdr>
        <w:top w:val="none" w:sz="0" w:space="0" w:color="auto"/>
        <w:left w:val="none" w:sz="0" w:space="0" w:color="auto"/>
        <w:bottom w:val="none" w:sz="0" w:space="0" w:color="auto"/>
        <w:right w:val="none" w:sz="0" w:space="0" w:color="auto"/>
      </w:divBdr>
    </w:div>
    <w:div w:id="2111732827">
      <w:bodyDiv w:val="1"/>
      <w:marLeft w:val="0"/>
      <w:marRight w:val="0"/>
      <w:marTop w:val="0"/>
      <w:marBottom w:val="0"/>
      <w:divBdr>
        <w:top w:val="none" w:sz="0" w:space="0" w:color="auto"/>
        <w:left w:val="none" w:sz="0" w:space="0" w:color="auto"/>
        <w:bottom w:val="none" w:sz="0" w:space="0" w:color="auto"/>
        <w:right w:val="none" w:sz="0" w:space="0" w:color="auto"/>
      </w:divBdr>
    </w:div>
    <w:div w:id="2113940116">
      <w:bodyDiv w:val="1"/>
      <w:marLeft w:val="0"/>
      <w:marRight w:val="0"/>
      <w:marTop w:val="0"/>
      <w:marBottom w:val="0"/>
      <w:divBdr>
        <w:top w:val="none" w:sz="0" w:space="0" w:color="auto"/>
        <w:left w:val="none" w:sz="0" w:space="0" w:color="auto"/>
        <w:bottom w:val="none" w:sz="0" w:space="0" w:color="auto"/>
        <w:right w:val="none" w:sz="0" w:space="0" w:color="auto"/>
      </w:divBdr>
    </w:div>
    <w:div w:id="2131045360">
      <w:bodyDiv w:val="1"/>
      <w:marLeft w:val="0"/>
      <w:marRight w:val="0"/>
      <w:marTop w:val="0"/>
      <w:marBottom w:val="0"/>
      <w:divBdr>
        <w:top w:val="none" w:sz="0" w:space="0" w:color="auto"/>
        <w:left w:val="none" w:sz="0" w:space="0" w:color="auto"/>
        <w:bottom w:val="none" w:sz="0" w:space="0" w:color="auto"/>
        <w:right w:val="none" w:sz="0" w:space="0" w:color="auto"/>
      </w:divBdr>
    </w:div>
    <w:div w:id="2132816096">
      <w:bodyDiv w:val="1"/>
      <w:marLeft w:val="0"/>
      <w:marRight w:val="0"/>
      <w:marTop w:val="0"/>
      <w:marBottom w:val="0"/>
      <w:divBdr>
        <w:top w:val="none" w:sz="0" w:space="0" w:color="auto"/>
        <w:left w:val="none" w:sz="0" w:space="0" w:color="auto"/>
        <w:bottom w:val="none" w:sz="0" w:space="0" w:color="auto"/>
        <w:right w:val="none" w:sz="0" w:space="0" w:color="auto"/>
      </w:divBdr>
    </w:div>
    <w:div w:id="2134666472">
      <w:bodyDiv w:val="1"/>
      <w:marLeft w:val="0"/>
      <w:marRight w:val="0"/>
      <w:marTop w:val="0"/>
      <w:marBottom w:val="0"/>
      <w:divBdr>
        <w:top w:val="none" w:sz="0" w:space="0" w:color="auto"/>
        <w:left w:val="none" w:sz="0" w:space="0" w:color="auto"/>
        <w:bottom w:val="none" w:sz="0" w:space="0" w:color="auto"/>
        <w:right w:val="none" w:sz="0" w:space="0" w:color="auto"/>
      </w:divBdr>
    </w:div>
    <w:div w:id="2146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21" Type="http://schemas.openxmlformats.org/officeDocument/2006/relationships/image" Target="media/image3.png"/><Relationship Id="rId42" Type="http://schemas.openxmlformats.org/officeDocument/2006/relationships/image" Target="media/image6.png"/><Relationship Id="rId63" Type="http://schemas.openxmlformats.org/officeDocument/2006/relationships/footer" Target="footer22.xml"/><Relationship Id="rId84" Type="http://schemas.openxmlformats.org/officeDocument/2006/relationships/footer" Target="footer30.xml"/><Relationship Id="rId138" Type="http://schemas.openxmlformats.org/officeDocument/2006/relationships/header" Target="header50.xml"/><Relationship Id="rId159" Type="http://schemas.openxmlformats.org/officeDocument/2006/relationships/image" Target="media/image37.png"/><Relationship Id="rId170" Type="http://schemas.openxmlformats.org/officeDocument/2006/relationships/footer" Target="footer56.xml"/><Relationship Id="rId191" Type="http://schemas.openxmlformats.org/officeDocument/2006/relationships/image" Target="media/image51.png"/><Relationship Id="rId196" Type="http://schemas.openxmlformats.org/officeDocument/2006/relationships/header" Target="header65.xml"/><Relationship Id="rId200" Type="http://schemas.openxmlformats.org/officeDocument/2006/relationships/footer" Target="footer66.xml"/><Relationship Id="rId16" Type="http://schemas.openxmlformats.org/officeDocument/2006/relationships/footer" Target="footer1.xml"/><Relationship Id="rId107" Type="http://schemas.openxmlformats.org/officeDocument/2006/relationships/header" Target="header39.xml"/><Relationship Id="rId11" Type="http://schemas.openxmlformats.org/officeDocument/2006/relationships/footnotes" Target="footnotes.xml"/><Relationship Id="rId32" Type="http://schemas.openxmlformats.org/officeDocument/2006/relationships/footer" Target="footer8.xml"/><Relationship Id="rId37" Type="http://schemas.openxmlformats.org/officeDocument/2006/relationships/header" Target="header11.xm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footer" Target="footer26.xml"/><Relationship Id="rId79" Type="http://schemas.openxmlformats.org/officeDocument/2006/relationships/header" Target="header28.xml"/><Relationship Id="rId102" Type="http://schemas.openxmlformats.org/officeDocument/2006/relationships/footer" Target="footer36.xml"/><Relationship Id="rId123" Type="http://schemas.openxmlformats.org/officeDocument/2006/relationships/footer" Target="footer44.xml"/><Relationship Id="rId128" Type="http://schemas.openxmlformats.org/officeDocument/2006/relationships/footer" Target="footer46.xml"/><Relationship Id="rId144" Type="http://schemas.openxmlformats.org/officeDocument/2006/relationships/header" Target="header53.xml"/><Relationship Id="rId149" Type="http://schemas.openxmlformats.org/officeDocument/2006/relationships/image" Target="media/image27.png"/><Relationship Id="rId5" Type="http://schemas.openxmlformats.org/officeDocument/2006/relationships/customXml" Target="../customXml/item4.xml"/><Relationship Id="rId90" Type="http://schemas.openxmlformats.org/officeDocument/2006/relationships/header" Target="header31.xml"/><Relationship Id="rId95" Type="http://schemas.openxmlformats.org/officeDocument/2006/relationships/footer" Target="footer33.xml"/><Relationship Id="rId160" Type="http://schemas.openxmlformats.org/officeDocument/2006/relationships/image" Target="media/image38.png"/><Relationship Id="rId165" Type="http://schemas.openxmlformats.org/officeDocument/2006/relationships/image" Target="media/image43.emf"/><Relationship Id="rId181" Type="http://schemas.openxmlformats.org/officeDocument/2006/relationships/header" Target="header62.xml"/><Relationship Id="rId186" Type="http://schemas.openxmlformats.org/officeDocument/2006/relationships/image" Target="media/image46.png"/><Relationship Id="rId22" Type="http://schemas.openxmlformats.org/officeDocument/2006/relationships/image" Target="media/image4.png"/><Relationship Id="rId27" Type="http://schemas.openxmlformats.org/officeDocument/2006/relationships/header" Target="header6.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footer" Target="footer23.xml"/><Relationship Id="rId69" Type="http://schemas.openxmlformats.org/officeDocument/2006/relationships/image" Target="media/image9.emf"/><Relationship Id="rId113" Type="http://schemas.openxmlformats.org/officeDocument/2006/relationships/footer" Target="footer40.xml"/><Relationship Id="rId118" Type="http://schemas.openxmlformats.org/officeDocument/2006/relationships/image" Target="media/image20.png"/><Relationship Id="rId134" Type="http://schemas.openxmlformats.org/officeDocument/2006/relationships/image" Target="media/image24.emf"/><Relationship Id="rId139" Type="http://schemas.openxmlformats.org/officeDocument/2006/relationships/footer" Target="footer49.xml"/><Relationship Id="rId80" Type="http://schemas.openxmlformats.org/officeDocument/2006/relationships/header" Target="header29.xml"/><Relationship Id="rId85" Type="http://schemas.openxmlformats.org/officeDocument/2006/relationships/image" Target="media/image13.emf"/><Relationship Id="rId150" Type="http://schemas.openxmlformats.org/officeDocument/2006/relationships/image" Target="media/image28.emf"/><Relationship Id="rId155" Type="http://schemas.openxmlformats.org/officeDocument/2006/relationships/image" Target="media/image33.png"/><Relationship Id="rId171" Type="http://schemas.openxmlformats.org/officeDocument/2006/relationships/header" Target="header57.xml"/><Relationship Id="rId176" Type="http://schemas.openxmlformats.org/officeDocument/2006/relationships/footer" Target="footer59.xml"/><Relationship Id="rId192" Type="http://schemas.openxmlformats.org/officeDocument/2006/relationships/image" Target="media/image52.png"/><Relationship Id="rId197" Type="http://schemas.openxmlformats.org/officeDocument/2006/relationships/footer" Target="footer64.xml"/><Relationship Id="rId201"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eader" Target="header9.xml"/><Relationship Id="rId38" Type="http://schemas.openxmlformats.org/officeDocument/2006/relationships/footer" Target="footer10.xml"/><Relationship Id="rId59" Type="http://schemas.openxmlformats.org/officeDocument/2006/relationships/header" Target="header21.xml"/><Relationship Id="rId103" Type="http://schemas.openxmlformats.org/officeDocument/2006/relationships/header" Target="header37.xml"/><Relationship Id="rId108" Type="http://schemas.openxmlformats.org/officeDocument/2006/relationships/footer" Target="footer39.xml"/><Relationship Id="rId124" Type="http://schemas.openxmlformats.org/officeDocument/2006/relationships/header" Target="header45.xml"/><Relationship Id="rId129" Type="http://schemas.openxmlformats.org/officeDocument/2006/relationships/footer" Target="footer47.xml"/><Relationship Id="rId54" Type="http://schemas.openxmlformats.org/officeDocument/2006/relationships/footer" Target="footer18.xml"/><Relationship Id="rId70" Type="http://schemas.openxmlformats.org/officeDocument/2006/relationships/image" Target="media/image10.emf"/><Relationship Id="rId75" Type="http://schemas.openxmlformats.org/officeDocument/2006/relationships/header" Target="header27.xml"/><Relationship Id="rId91" Type="http://schemas.openxmlformats.org/officeDocument/2006/relationships/header" Target="header32.xml"/><Relationship Id="rId96" Type="http://schemas.openxmlformats.org/officeDocument/2006/relationships/image" Target="media/image18.png"/><Relationship Id="rId140" Type="http://schemas.openxmlformats.org/officeDocument/2006/relationships/footer" Target="footer50.xml"/><Relationship Id="rId145" Type="http://schemas.openxmlformats.org/officeDocument/2006/relationships/footer" Target="footer52.xml"/><Relationship Id="rId161" Type="http://schemas.openxmlformats.org/officeDocument/2006/relationships/image" Target="media/image39.png"/><Relationship Id="rId166" Type="http://schemas.openxmlformats.org/officeDocument/2006/relationships/image" Target="media/image44.png"/><Relationship Id="rId182" Type="http://schemas.openxmlformats.org/officeDocument/2006/relationships/footer" Target="footer61.xml"/><Relationship Id="rId187" Type="http://schemas.openxmlformats.org/officeDocument/2006/relationships/image" Target="media/image47.png"/><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header" Target="header4.xml"/><Relationship Id="rId28" Type="http://schemas.openxmlformats.org/officeDocument/2006/relationships/footer" Target="footer6.xml"/><Relationship Id="rId49" Type="http://schemas.openxmlformats.org/officeDocument/2006/relationships/header" Target="header16.xml"/><Relationship Id="rId114" Type="http://schemas.openxmlformats.org/officeDocument/2006/relationships/footer" Target="footer41.xml"/><Relationship Id="rId119" Type="http://schemas.openxmlformats.org/officeDocument/2006/relationships/image" Target="media/image21.png"/><Relationship Id="rId44" Type="http://schemas.openxmlformats.org/officeDocument/2006/relationships/header" Target="header14.xml"/><Relationship Id="rId60" Type="http://schemas.openxmlformats.org/officeDocument/2006/relationships/footer" Target="footer21.xml"/><Relationship Id="rId65" Type="http://schemas.openxmlformats.org/officeDocument/2006/relationships/header" Target="header24.xml"/><Relationship Id="rId81" Type="http://schemas.openxmlformats.org/officeDocument/2006/relationships/footer" Target="footer28.xml"/><Relationship Id="rId86" Type="http://schemas.openxmlformats.org/officeDocument/2006/relationships/image" Target="media/image14.jpg"/><Relationship Id="rId130" Type="http://schemas.openxmlformats.org/officeDocument/2006/relationships/header" Target="header48.xml"/><Relationship Id="rId135" Type="http://schemas.openxmlformats.org/officeDocument/2006/relationships/image" Target="media/image25.png"/><Relationship Id="rId151" Type="http://schemas.openxmlformats.org/officeDocument/2006/relationships/image" Target="media/image29.emf"/><Relationship Id="rId156" Type="http://schemas.openxmlformats.org/officeDocument/2006/relationships/image" Target="media/image34.png"/><Relationship Id="rId177" Type="http://schemas.openxmlformats.org/officeDocument/2006/relationships/header" Target="header60.xml"/><Relationship Id="rId198" Type="http://schemas.openxmlformats.org/officeDocument/2006/relationships/footer" Target="footer65.xml"/><Relationship Id="rId172" Type="http://schemas.openxmlformats.org/officeDocument/2006/relationships/footer" Target="footer57.xml"/><Relationship Id="rId193" Type="http://schemas.openxmlformats.org/officeDocument/2006/relationships/image" Target="media/image53.png"/><Relationship Id="rId202"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footer" Target="footer11.xml"/><Relationship Id="rId109" Type="http://schemas.openxmlformats.org/officeDocument/2006/relationships/chart" Target="charts/chart1.xml"/><Relationship Id="rId34" Type="http://schemas.openxmlformats.org/officeDocument/2006/relationships/footer" Target="footer9.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footer" Target="footer27.xml"/><Relationship Id="rId97" Type="http://schemas.openxmlformats.org/officeDocument/2006/relationships/header" Target="header34.xml"/><Relationship Id="rId104" Type="http://schemas.openxmlformats.org/officeDocument/2006/relationships/header" Target="header38.xml"/><Relationship Id="rId120" Type="http://schemas.openxmlformats.org/officeDocument/2006/relationships/header" Target="header43.xml"/><Relationship Id="rId125" Type="http://schemas.openxmlformats.org/officeDocument/2006/relationships/footer" Target="footer45.xml"/><Relationship Id="rId141" Type="http://schemas.openxmlformats.org/officeDocument/2006/relationships/header" Target="header51.xml"/><Relationship Id="rId146" Type="http://schemas.openxmlformats.org/officeDocument/2006/relationships/footer" Target="footer53.xml"/><Relationship Id="rId167" Type="http://schemas.openxmlformats.org/officeDocument/2006/relationships/header" Target="header55.xml"/><Relationship Id="rId188" Type="http://schemas.openxmlformats.org/officeDocument/2006/relationships/image" Target="media/image48.png"/><Relationship Id="rId7" Type="http://schemas.openxmlformats.org/officeDocument/2006/relationships/styles" Target="styles.xml"/><Relationship Id="rId71" Type="http://schemas.openxmlformats.org/officeDocument/2006/relationships/header" Target="header25.xml"/><Relationship Id="rId92" Type="http://schemas.openxmlformats.org/officeDocument/2006/relationships/footer" Target="footer31.xml"/><Relationship Id="rId162" Type="http://schemas.openxmlformats.org/officeDocument/2006/relationships/image" Target="media/image40.png"/><Relationship Id="rId183" Type="http://schemas.openxmlformats.org/officeDocument/2006/relationships/footer" Target="footer62.xml"/><Relationship Id="rId2" Type="http://schemas.openxmlformats.org/officeDocument/2006/relationships/customXml" Target="../customXml/item1.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eader" Target="header12.xml"/><Relationship Id="rId45" Type="http://schemas.openxmlformats.org/officeDocument/2006/relationships/footer" Target="footer13.xml"/><Relationship Id="rId66" Type="http://schemas.openxmlformats.org/officeDocument/2006/relationships/footer" Target="footer24.xml"/><Relationship Id="rId87" Type="http://schemas.openxmlformats.org/officeDocument/2006/relationships/image" Target="media/image15.png"/><Relationship Id="rId110" Type="http://schemas.openxmlformats.org/officeDocument/2006/relationships/chart" Target="charts/chart2.xml"/><Relationship Id="rId115" Type="http://schemas.openxmlformats.org/officeDocument/2006/relationships/header" Target="header42.xml"/><Relationship Id="rId131" Type="http://schemas.openxmlformats.org/officeDocument/2006/relationships/footer" Target="footer48.xml"/><Relationship Id="rId136" Type="http://schemas.openxmlformats.org/officeDocument/2006/relationships/image" Target="media/image26.png"/><Relationship Id="rId157" Type="http://schemas.openxmlformats.org/officeDocument/2006/relationships/image" Target="media/image35.png"/><Relationship Id="rId178" Type="http://schemas.openxmlformats.org/officeDocument/2006/relationships/footer" Target="footer60.xml"/><Relationship Id="rId61" Type="http://schemas.openxmlformats.org/officeDocument/2006/relationships/header" Target="header22.xml"/><Relationship Id="rId82" Type="http://schemas.openxmlformats.org/officeDocument/2006/relationships/footer" Target="footer29.xml"/><Relationship Id="rId152" Type="http://schemas.openxmlformats.org/officeDocument/2006/relationships/image" Target="media/image30.png"/><Relationship Id="rId173" Type="http://schemas.openxmlformats.org/officeDocument/2006/relationships/header" Target="header58.xml"/><Relationship Id="rId194" Type="http://schemas.openxmlformats.org/officeDocument/2006/relationships/image" Target="media/image54.png"/><Relationship Id="rId199" Type="http://schemas.openxmlformats.org/officeDocument/2006/relationships/header" Target="header66.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8.xml"/><Relationship Id="rId35" Type="http://schemas.openxmlformats.org/officeDocument/2006/relationships/image" Target="media/image5.png"/><Relationship Id="rId56" Type="http://schemas.openxmlformats.org/officeDocument/2006/relationships/header" Target="header20.xml"/><Relationship Id="rId77" Type="http://schemas.openxmlformats.org/officeDocument/2006/relationships/image" Target="media/image11.png"/><Relationship Id="rId100" Type="http://schemas.openxmlformats.org/officeDocument/2006/relationships/footer" Target="footer35.xml"/><Relationship Id="rId105" Type="http://schemas.openxmlformats.org/officeDocument/2006/relationships/footer" Target="footer37.xml"/><Relationship Id="rId126" Type="http://schemas.openxmlformats.org/officeDocument/2006/relationships/header" Target="header46.xml"/><Relationship Id="rId147" Type="http://schemas.openxmlformats.org/officeDocument/2006/relationships/header" Target="header54.xml"/><Relationship Id="rId168" Type="http://schemas.openxmlformats.org/officeDocument/2006/relationships/header" Target="header56.xml"/><Relationship Id="rId8" Type="http://schemas.microsoft.com/office/2007/relationships/stylesWithEffects" Target="stylesWithEffects.xml"/><Relationship Id="rId51" Type="http://schemas.openxmlformats.org/officeDocument/2006/relationships/footer" Target="footer16.xml"/><Relationship Id="rId72" Type="http://schemas.openxmlformats.org/officeDocument/2006/relationships/header" Target="header26.xml"/><Relationship Id="rId93" Type="http://schemas.openxmlformats.org/officeDocument/2006/relationships/footer" Target="footer32.xml"/><Relationship Id="rId98" Type="http://schemas.openxmlformats.org/officeDocument/2006/relationships/header" Target="header35.xml"/><Relationship Id="rId121" Type="http://schemas.openxmlformats.org/officeDocument/2006/relationships/header" Target="header44.xml"/><Relationship Id="rId142" Type="http://schemas.openxmlformats.org/officeDocument/2006/relationships/footer" Target="footer51.xml"/><Relationship Id="rId163" Type="http://schemas.openxmlformats.org/officeDocument/2006/relationships/image" Target="media/image41.png"/><Relationship Id="rId184" Type="http://schemas.openxmlformats.org/officeDocument/2006/relationships/header" Target="header63.xml"/><Relationship Id="rId189" Type="http://schemas.openxmlformats.org/officeDocument/2006/relationships/image" Target="media/image49.png"/><Relationship Id="rId3" Type="http://schemas.openxmlformats.org/officeDocument/2006/relationships/customXml" Target="../customXml/item2.xml"/><Relationship Id="rId25" Type="http://schemas.openxmlformats.org/officeDocument/2006/relationships/footer" Target="footer4.xml"/><Relationship Id="rId46" Type="http://schemas.openxmlformats.org/officeDocument/2006/relationships/footer" Target="footer14.xml"/><Relationship Id="rId67" Type="http://schemas.openxmlformats.org/officeDocument/2006/relationships/image" Target="media/image7.png"/><Relationship Id="rId116" Type="http://schemas.openxmlformats.org/officeDocument/2006/relationships/footer" Target="footer42.xml"/><Relationship Id="rId137" Type="http://schemas.openxmlformats.org/officeDocument/2006/relationships/header" Target="header49.xml"/><Relationship Id="rId158" Type="http://schemas.openxmlformats.org/officeDocument/2006/relationships/image" Target="media/image36.png"/><Relationship Id="rId20" Type="http://schemas.openxmlformats.org/officeDocument/2006/relationships/image" Target="media/image2.png"/><Relationship Id="rId41" Type="http://schemas.openxmlformats.org/officeDocument/2006/relationships/footer" Target="footer12.xml"/><Relationship Id="rId62" Type="http://schemas.openxmlformats.org/officeDocument/2006/relationships/header" Target="header23.xml"/><Relationship Id="rId83" Type="http://schemas.openxmlformats.org/officeDocument/2006/relationships/header" Target="header30.xml"/><Relationship Id="rId88" Type="http://schemas.openxmlformats.org/officeDocument/2006/relationships/image" Target="media/image16.jpg"/><Relationship Id="rId111" Type="http://schemas.openxmlformats.org/officeDocument/2006/relationships/header" Target="header40.xml"/><Relationship Id="rId132" Type="http://schemas.openxmlformats.org/officeDocument/2006/relationships/image" Target="media/image22.png"/><Relationship Id="rId153" Type="http://schemas.openxmlformats.org/officeDocument/2006/relationships/image" Target="media/image31.png"/><Relationship Id="rId174" Type="http://schemas.openxmlformats.org/officeDocument/2006/relationships/header" Target="header59.xml"/><Relationship Id="rId179" Type="http://schemas.openxmlformats.org/officeDocument/2006/relationships/image" Target="media/image45.emf"/><Relationship Id="rId195" Type="http://schemas.openxmlformats.org/officeDocument/2006/relationships/header" Target="header64.xml"/><Relationship Id="rId190" Type="http://schemas.openxmlformats.org/officeDocument/2006/relationships/image" Target="media/image50.png"/><Relationship Id="rId15" Type="http://schemas.openxmlformats.org/officeDocument/2006/relationships/header" Target="header2.xml"/><Relationship Id="rId36" Type="http://schemas.openxmlformats.org/officeDocument/2006/relationships/header" Target="header10.xml"/><Relationship Id="rId57" Type="http://schemas.openxmlformats.org/officeDocument/2006/relationships/footer" Target="footer19.xml"/><Relationship Id="rId106" Type="http://schemas.openxmlformats.org/officeDocument/2006/relationships/footer" Target="footer38.xml"/><Relationship Id="rId127" Type="http://schemas.openxmlformats.org/officeDocument/2006/relationships/header" Target="header47.xml"/><Relationship Id="rId10" Type="http://schemas.openxmlformats.org/officeDocument/2006/relationships/webSettings" Target="webSettings.xml"/><Relationship Id="rId31" Type="http://schemas.openxmlformats.org/officeDocument/2006/relationships/footer" Target="footer7.xml"/><Relationship Id="rId52" Type="http://schemas.openxmlformats.org/officeDocument/2006/relationships/footer" Target="footer17.xml"/><Relationship Id="rId73" Type="http://schemas.openxmlformats.org/officeDocument/2006/relationships/footer" Target="footer25.xml"/><Relationship Id="rId78" Type="http://schemas.openxmlformats.org/officeDocument/2006/relationships/image" Target="media/image12.png"/><Relationship Id="rId94" Type="http://schemas.openxmlformats.org/officeDocument/2006/relationships/header" Target="header33.xml"/><Relationship Id="rId99" Type="http://schemas.openxmlformats.org/officeDocument/2006/relationships/footer" Target="footer34.xml"/><Relationship Id="rId101" Type="http://schemas.openxmlformats.org/officeDocument/2006/relationships/header" Target="header36.xml"/><Relationship Id="rId122" Type="http://schemas.openxmlformats.org/officeDocument/2006/relationships/footer" Target="footer43.xml"/><Relationship Id="rId143" Type="http://schemas.openxmlformats.org/officeDocument/2006/relationships/header" Target="header52.xml"/><Relationship Id="rId148" Type="http://schemas.openxmlformats.org/officeDocument/2006/relationships/footer" Target="footer54.xml"/><Relationship Id="rId164" Type="http://schemas.openxmlformats.org/officeDocument/2006/relationships/image" Target="media/image42.png"/><Relationship Id="rId169" Type="http://schemas.openxmlformats.org/officeDocument/2006/relationships/footer" Target="footer55.xml"/><Relationship Id="rId185" Type="http://schemas.openxmlformats.org/officeDocument/2006/relationships/footer" Target="footer63.xml"/><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header" Target="header61.xml"/><Relationship Id="rId26" Type="http://schemas.openxmlformats.org/officeDocument/2006/relationships/footer" Target="footer5.xml"/><Relationship Id="rId47" Type="http://schemas.openxmlformats.org/officeDocument/2006/relationships/header" Target="header15.xml"/><Relationship Id="rId68" Type="http://schemas.openxmlformats.org/officeDocument/2006/relationships/image" Target="media/image8.png"/><Relationship Id="rId89" Type="http://schemas.openxmlformats.org/officeDocument/2006/relationships/image" Target="media/image17.png"/><Relationship Id="rId112" Type="http://schemas.openxmlformats.org/officeDocument/2006/relationships/header" Target="header41.xml"/><Relationship Id="rId133" Type="http://schemas.openxmlformats.org/officeDocument/2006/relationships/image" Target="media/image23.emf"/><Relationship Id="rId154" Type="http://schemas.openxmlformats.org/officeDocument/2006/relationships/image" Target="media/image32.png"/><Relationship Id="rId175" Type="http://schemas.openxmlformats.org/officeDocument/2006/relationships/footer" Target="footer58.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taxation_customs/sites/taxation/files/resources/documents/taxation/vat/how_vat_works/rates/vat_rates_en.pdf" TargetMode="External"/><Relationship Id="rId3" Type="http://schemas.openxmlformats.org/officeDocument/2006/relationships/hyperlink" Target="https://www.fraserinstitute.org/studies/economic-freedom" TargetMode="External"/><Relationship Id="rId7" Type="http://schemas.openxmlformats.org/officeDocument/2006/relationships/hyperlink" Target="https://ec.europa.eu/taxation_customs/sites/taxation/files/resources/documents/taxation/excise_duties/energy_products/rates/excise_duties_energy_products_en.pdf" TargetMode="External"/><Relationship Id="rId2" Type="http://schemas.openxmlformats.org/officeDocument/2006/relationships/hyperlink" Target="https://www.imd.org/wcc/world-competitiveness-center-rankings/world-competitiveness-ranking-2018/" TargetMode="External"/><Relationship Id="rId1" Type="http://schemas.openxmlformats.org/officeDocument/2006/relationships/hyperlink" Target="https://www.weforum.org/reports/the-global-competitiveness-report-2017-2018" TargetMode="External"/><Relationship Id="rId6" Type="http://schemas.openxmlformats.org/officeDocument/2006/relationships/hyperlink" Target="https://ec.europa.eu/taxation_customs/sites/taxation/files/resources/documents/taxation/excise_duties/energy_products/rates/excise_duties-part_ii_energy_products_en.pdf" TargetMode="External"/><Relationship Id="rId11" Type="http://schemas.openxmlformats.org/officeDocument/2006/relationships/hyperlink" Target="https://ec.europa.eu/energy/data-analysis/energy-modelling/metis_en" TargetMode="External"/><Relationship Id="rId5" Type="http://schemas.openxmlformats.org/officeDocument/2006/relationships/hyperlink" Target="http://eur-lex.europa.eu/LexUriServ/LexUriServ.do?uri=OJ:L:2003:283:0051:0070:EN:PDF" TargetMode="External"/><Relationship Id="rId10" Type="http://schemas.openxmlformats.org/officeDocument/2006/relationships/hyperlink" Target="https://ec.europa.eu/energy/en/statistics/weekly-oil-bulletin" TargetMode="External"/><Relationship Id="rId4" Type="http://schemas.openxmlformats.org/officeDocument/2006/relationships/hyperlink" Target="https://ec.europa.eu/jrc/en/publication/production-costs-iron-and-steel-industry-eu-and-third-countries" TargetMode="External"/><Relationship Id="rId9" Type="http://schemas.openxmlformats.org/officeDocument/2006/relationships/hyperlink" Target="https://ec.europa.eu/taxation_customs/sites/taxation/files/resources/documents/taxation/vat/how_vat_works/rates/vat_rates_en.xlsx"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https://trinomics.sharepoint.com/Ong/TEC5016EU%20ENER%20-%20Study%20on%20energy%20prices%20and%20costs%20II/Implementation/Task%202/TEC5016EU%20ENER%20-%20Industrial%20energy%20costs%20-%20Draft%20final%20version%20-%20August%202020.xlsb"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https://trinomics.sharepoint.com/Ong/TEC5016EU%20ENER%20-%20Study%20on%20energy%20prices%20and%20costs%20II/Implementation/Task%202/TEC5016EU%20ENER%20-%20Industrial%20energy%20costs%20-%20Draft%20final%20version%20-%20August%20202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ResultsC!$AA$574</c:f>
              <c:strCache>
                <c:ptCount val="1"/>
                <c:pt idx="0">
                  <c:v>EU27 average</c:v>
                </c:pt>
              </c:strCache>
            </c:strRef>
          </c:tx>
          <c:spPr>
            <a:solidFill>
              <a:schemeClr val="accent2"/>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ResultsC!$AA$575:$AA$604</c:f>
              <c:numCache>
                <c:formatCode>0.00</c:formatCode>
                <c:ptCount val="6"/>
                <c:pt idx="0">
                  <c:v>2.433616704989443</c:v>
                </c:pt>
                <c:pt idx="1">
                  <c:v>1.9289505424187872</c:v>
                </c:pt>
                <c:pt idx="2">
                  <c:v>0.94037195024099007</c:v>
                </c:pt>
                <c:pt idx="3">
                  <c:v>0.26694793766949276</c:v>
                </c:pt>
                <c:pt idx="4">
                  <c:v>2.2752795602877836</c:v>
                </c:pt>
                <c:pt idx="5">
                  <c:v>0.64489243003610586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45F9-48C8-9FF8-693024AD6963}"/>
            </c:ext>
          </c:extLst>
        </c:ser>
        <c:ser>
          <c:idx val="1"/>
          <c:order val="1"/>
          <c:tx>
            <c:strRef>
              <c:f>ResultsC!$AB$574</c:f>
              <c:strCache>
                <c:ptCount val="1"/>
                <c:pt idx="0">
                  <c:v>Switzerland</c:v>
                </c:pt>
              </c:strCache>
            </c:strRef>
          </c:tx>
          <c:spPr>
            <a:solidFill>
              <a:schemeClr val="accent4"/>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ResultsC!$AB$575:$AB$604</c:f>
              <c:numCache>
                <c:formatCode>0.00</c:formatCode>
                <c:ptCount val="6"/>
                <c:pt idx="0">
                  <c:v>#N/A</c:v>
                </c:pt>
                <c:pt idx="1">
                  <c:v>0.13613270857842336</c:v>
                </c:pt>
                <c:pt idx="2">
                  <c:v>#N/A</c:v>
                </c:pt>
                <c:pt idx="3">
                  <c:v>#N/A</c:v>
                </c:pt>
                <c:pt idx="4">
                  <c:v>1.3593210166855154</c:v>
                </c:pt>
                <c:pt idx="5">
                  <c:v>0.14332156388327147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45F9-48C8-9FF8-693024AD6963}"/>
            </c:ext>
          </c:extLst>
        </c:ser>
        <c:ser>
          <c:idx val="2"/>
          <c:order val="2"/>
          <c:tx>
            <c:strRef>
              <c:f>ResultsC!$AC$574</c:f>
              <c:strCache>
                <c:ptCount val="1"/>
                <c:pt idx="0">
                  <c:v>Norway</c:v>
                </c:pt>
              </c:strCache>
            </c:strRef>
          </c:tx>
          <c:spPr>
            <a:solidFill>
              <a:schemeClr val="accent6"/>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ResultsC!$AC$575:$AC$604</c:f>
              <c:numCache>
                <c:formatCode>0.00</c:formatCode>
                <c:ptCount val="6"/>
                <c:pt idx="0">
                  <c:v>#N/A</c:v>
                </c:pt>
                <c:pt idx="1">
                  <c:v>0.66254112504134388</c:v>
                </c:pt>
                <c:pt idx="2">
                  <c:v>#N/A</c:v>
                </c:pt>
                <c:pt idx="3">
                  <c:v>#N/A</c:v>
                </c:pt>
                <c:pt idx="4">
                  <c:v>2.6927563196884385</c:v>
                </c:pt>
                <c:pt idx="5">
                  <c:v>1.5678671980982837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45F9-48C8-9FF8-693024AD6963}"/>
            </c:ext>
          </c:extLst>
        </c:ser>
        <c:ser>
          <c:idx val="5"/>
          <c:order val="3"/>
          <c:tx>
            <c:strRef>
              <c:f>ResultsC!$AF$574</c:f>
              <c:strCache>
                <c:ptCount val="1"/>
                <c:pt idx="0">
                  <c:v>Brazil</c:v>
                </c:pt>
              </c:strCache>
            </c:strRef>
          </c:tx>
          <c:spPr>
            <a:solidFill>
              <a:schemeClr val="accent6">
                <a:lumMod val="60000"/>
              </a:schemeClr>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ResultsC!$AF$575:$AF$604</c:f>
              <c:numCache>
                <c:formatCode>0.00</c:formatCode>
                <c:ptCount val="6"/>
                <c:pt idx="0">
                  <c:v>2.6778381632504478E-6</c:v>
                </c:pt>
                <c:pt idx="1">
                  <c:v>0.13496938142506323</c:v>
                </c:pt>
                <c:pt idx="2">
                  <c:v>0.57940824884847353</c:v>
                </c:pt>
                <c:pt idx="3">
                  <c:v>0.91306185679527041</c:v>
                </c:pt>
                <c:pt idx="4">
                  <c:v>#N/A</c:v>
                </c:pt>
                <c:pt idx="5">
                  <c:v>1.179595297803274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45F9-48C8-9FF8-693024AD6963}"/>
            </c:ext>
          </c:extLst>
        </c:ser>
        <c:ser>
          <c:idx val="6"/>
          <c:order val="4"/>
          <c:tx>
            <c:strRef>
              <c:f>ResultsC!$AG$574</c:f>
              <c:strCache>
                <c:ptCount val="1"/>
                <c:pt idx="0">
                  <c:v>Canada</c:v>
                </c:pt>
              </c:strCache>
            </c:strRef>
          </c:tx>
          <c:spPr>
            <a:solidFill>
              <a:schemeClr val="accent2">
                <a:lumMod val="80000"/>
                <a:lumOff val="20000"/>
              </a:schemeClr>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ResultsC!$AG$575:$AG$604</c:f>
              <c:numCache>
                <c:formatCode>0.00</c:formatCode>
                <c:ptCount val="6"/>
                <c:pt idx="0">
                  <c:v>#N/A</c:v>
                </c:pt>
                <c:pt idx="1">
                  <c:v>1.4367030700596635</c:v>
                </c:pt>
                <c:pt idx="2">
                  <c:v>#N/A</c:v>
                </c:pt>
                <c:pt idx="3">
                  <c:v>0.62227385850276251</c:v>
                </c:pt>
                <c:pt idx="4">
                  <c:v>#N/A</c:v>
                </c:pt>
                <c:pt idx="5">
                  <c:v>#N/A</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45F9-48C8-9FF8-693024AD6963}"/>
            </c:ext>
          </c:extLst>
        </c:ser>
        <c:ser>
          <c:idx val="7"/>
          <c:order val="5"/>
          <c:tx>
            <c:strRef>
              <c:f>ResultsC!$AH$574</c:f>
              <c:strCache>
                <c:ptCount val="1"/>
                <c:pt idx="0">
                  <c:v>China</c:v>
                </c:pt>
              </c:strCache>
            </c:strRef>
          </c:tx>
          <c:spPr>
            <a:solidFill>
              <a:schemeClr val="accent4">
                <a:lumMod val="80000"/>
                <a:lumOff val="20000"/>
              </a:schemeClr>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ResultsC!$AH$575:$AH$604</c:f>
              <c:numCache>
                <c:formatCode>0.00</c:formatCode>
                <c:ptCount val="6"/>
                <c:pt idx="0">
                  <c:v>#N/A</c:v>
                </c:pt>
                <c:pt idx="1">
                  <c:v>0.44273040259093727</c:v>
                </c:pt>
                <c:pt idx="2">
                  <c:v>1.5689740470020497</c:v>
                </c:pt>
                <c:pt idx="3">
                  <c:v>1.6751722921479406</c:v>
                </c:pt>
                <c:pt idx="4">
                  <c:v>#N/A</c:v>
                </c:pt>
                <c:pt idx="5">
                  <c:v>#N/A</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45F9-48C8-9FF8-693024AD6963}"/>
            </c:ext>
          </c:extLst>
        </c:ser>
        <c:ser>
          <c:idx val="10"/>
          <c:order val="6"/>
          <c:tx>
            <c:strRef>
              <c:f>ResultsC!$AK$574</c:f>
              <c:strCache>
                <c:ptCount val="1"/>
                <c:pt idx="0">
                  <c:v>Japan</c:v>
                </c:pt>
              </c:strCache>
            </c:strRef>
          </c:tx>
          <c:spPr>
            <a:solidFill>
              <a:schemeClr val="accent4">
                <a:lumMod val="80000"/>
              </a:schemeClr>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ResultsC!$AK$575:$AK$604</c:f>
              <c:numCache>
                <c:formatCode>0.00</c:formatCode>
                <c:ptCount val="6"/>
                <c:pt idx="0">
                  <c:v>1.1375324340782815</c:v>
                </c:pt>
                <c:pt idx="1">
                  <c:v>0.27493102129483943</c:v>
                </c:pt>
                <c:pt idx="2">
                  <c:v>1.0502380745618614</c:v>
                </c:pt>
                <c:pt idx="3">
                  <c:v>0.45860255325291177</c:v>
                </c:pt>
                <c:pt idx="4">
                  <c:v>0.89876185401097552</c:v>
                </c:pt>
                <c:pt idx="5">
                  <c:v>0.24510141531302948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45F9-48C8-9FF8-693024AD6963}"/>
            </c:ext>
          </c:extLst>
        </c:ser>
        <c:ser>
          <c:idx val="11"/>
          <c:order val="7"/>
          <c:tx>
            <c:strRef>
              <c:f>ResultsC!$AL$574</c:f>
              <c:strCache>
                <c:ptCount val="1"/>
                <c:pt idx="0">
                  <c:v>Korea</c:v>
                </c:pt>
              </c:strCache>
            </c:strRef>
          </c:tx>
          <c:spPr>
            <a:solidFill>
              <a:schemeClr val="accent6">
                <a:lumMod val="80000"/>
              </a:schemeClr>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ResultsC!$AL$575:$AL$604</c:f>
              <c:numCache>
                <c:formatCode>0.00</c:formatCode>
                <c:ptCount val="6"/>
                <c:pt idx="0">
                  <c:v>1.0306510341948132</c:v>
                </c:pt>
                <c:pt idx="1">
                  <c:v>1.0469065266748816</c:v>
                </c:pt>
                <c:pt idx="2">
                  <c:v>0.85218513603973101</c:v>
                </c:pt>
                <c:pt idx="3">
                  <c:v>0.92569513121922886</c:v>
                </c:pt>
                <c:pt idx="4">
                  <c:v>#N/A</c:v>
                </c:pt>
                <c:pt idx="5">
                  <c:v>0.25839922462323511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45F9-48C8-9FF8-693024AD6963}"/>
            </c:ext>
          </c:extLst>
        </c:ser>
        <c:ser>
          <c:idx val="12"/>
          <c:order val="8"/>
          <c:tx>
            <c:strRef>
              <c:f>ResultsC!$AM$574</c:f>
              <c:strCache>
                <c:ptCount val="1"/>
                <c:pt idx="0">
                  <c:v>Mexico</c:v>
                </c:pt>
              </c:strCache>
            </c:strRef>
          </c:tx>
          <c:spPr>
            <a:solidFill>
              <a:schemeClr val="accent2">
                <a:lumMod val="60000"/>
                <a:lumOff val="40000"/>
              </a:schemeClr>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ResultsC!$AM$575:$AM$604</c:f>
              <c:numCache>
                <c:formatCode>0.00</c:formatCode>
                <c:ptCount val="6"/>
                <c:pt idx="0">
                  <c:v>#N/A</c:v>
                </c:pt>
                <c:pt idx="1">
                  <c:v>1.6839587884649205</c:v>
                </c:pt>
                <c:pt idx="2">
                  <c:v>0.57527342905644663</c:v>
                </c:pt>
                <c:pt idx="3">
                  <c:v>1.7445770614056511</c:v>
                </c:pt>
                <c:pt idx="4">
                  <c:v>#N/A</c:v>
                </c:pt>
                <c:pt idx="5">
                  <c:v>4.7839594376584464E-2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45F9-48C8-9FF8-693024AD6963}"/>
            </c:ext>
          </c:extLst>
        </c:ser>
        <c:ser>
          <c:idx val="16"/>
          <c:order val="9"/>
          <c:tx>
            <c:strRef>
              <c:f>ResultsC!$AQ$574</c:f>
              <c:strCache>
                <c:ptCount val="1"/>
                <c:pt idx="0">
                  <c:v>United States</c:v>
                </c:pt>
              </c:strCache>
            </c:strRef>
          </c:tx>
          <c:spPr>
            <a:solidFill>
              <a:schemeClr val="accent4">
                <a:lumMod val="50000"/>
              </a:schemeClr>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ResultsC!$AQ$575:$AQ$604</c:f>
              <c:numCache>
                <c:formatCode>0.00</c:formatCode>
                <c:ptCount val="6"/>
                <c:pt idx="0">
                  <c:v>#N/A</c:v>
                </c:pt>
                <c:pt idx="1">
                  <c:v>0.99451458625433919</c:v>
                </c:pt>
                <c:pt idx="2">
                  <c:v>0.77565051809727892</c:v>
                </c:pt>
                <c:pt idx="3">
                  <c:v>0.59039813532173413</c:v>
                </c:pt>
                <c:pt idx="4">
                  <c:v>#N/A</c:v>
                </c:pt>
                <c:pt idx="5">
                  <c:v>#N/A</c:v>
                </c:pt>
              </c:numCache>
              <c:extLst xmlns:c16r2="http://schemas.microsoft.com/office/drawing/2015/06/chart"/>
            </c:numRef>
          </c:val>
          <c:extLst xmlns:c16r2="http://schemas.microsoft.com/office/drawing/2015/06/chart">
            <c:ext xmlns:c16="http://schemas.microsoft.com/office/drawing/2014/chart" uri="{C3380CC4-5D6E-409C-BE32-E72D297353CC}">
              <c16:uniqueId val="{00000009-45F9-48C8-9FF8-693024AD6963}"/>
            </c:ext>
          </c:extLst>
        </c:ser>
        <c:ser>
          <c:idx val="17"/>
          <c:order val="10"/>
          <c:tx>
            <c:strRef>
              <c:f>ResultsC!$AS$574</c:f>
              <c:strCache>
                <c:ptCount val="1"/>
                <c:pt idx="0">
                  <c:v>Russia</c:v>
                </c:pt>
              </c:strCache>
            </c:strRef>
          </c:tx>
          <c:spPr>
            <a:solidFill>
              <a:schemeClr val="accent6">
                <a:lumMod val="50000"/>
              </a:schemeClr>
            </a:solidFill>
            <a:ln>
              <a:noFill/>
            </a:ln>
            <a:effectLst/>
          </c:spPr>
          <c:invertIfNegative val="0"/>
          <c:cat>
            <c:strRef>
              <c:f>ResultsC!$Z$575:$Z$604</c:f>
              <c:strCache>
                <c:ptCount val="6"/>
                <c:pt idx="0">
                  <c:v>C171 - Pulp and paper</c:v>
                </c:pt>
                <c:pt idx="1">
                  <c:v>C192 - Refineries</c:v>
                </c:pt>
                <c:pt idx="2">
                  <c:v>C201 - Basic chemicals</c:v>
                </c:pt>
                <c:pt idx="3">
                  <c:v>C239 - Abrasive products</c:v>
                </c:pt>
                <c:pt idx="4">
                  <c:v>C241 - Iron and steel</c:v>
                </c:pt>
                <c:pt idx="5">
                  <c:v>C244 - Non-ferrous metals</c:v>
                </c:pt>
              </c:strCache>
              <c:extLst xmlns:c16r2="http://schemas.microsoft.com/office/drawing/2015/06/chart"/>
            </c:strRef>
          </c:cat>
          <c:val>
            <c:numRef>
              <c:f>ResultsC!$AS$575:$AS$604</c:f>
              <c:numCache>
                <c:formatCode>0.00</c:formatCode>
                <c:ptCount val="6"/>
                <c:pt idx="0">
                  <c:v>#N/A</c:v>
                </c:pt>
                <c:pt idx="1">
                  <c:v>#N/A</c:v>
                </c:pt>
                <c:pt idx="2">
                  <c:v>4.4177148233767012</c:v>
                </c:pt>
                <c:pt idx="3">
                  <c:v>2.9875287101205998</c:v>
                </c:pt>
                <c:pt idx="4">
                  <c:v>#N/A</c:v>
                </c:pt>
                <c:pt idx="5">
                  <c:v>#N/A</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45F9-48C8-9FF8-693024AD6963}"/>
            </c:ext>
          </c:extLst>
        </c:ser>
        <c:dLbls>
          <c:showLegendKey val="0"/>
          <c:showVal val="0"/>
          <c:showCatName val="0"/>
          <c:showSerName val="0"/>
          <c:showPercent val="0"/>
          <c:showBubbleSize val="0"/>
        </c:dLbls>
        <c:gapWidth val="75"/>
        <c:overlap val="-25"/>
        <c:axId val="101311616"/>
        <c:axId val="101313152"/>
        <c:extLst xmlns:c16r2="http://schemas.microsoft.com/office/drawing/2015/06/chart">
          <c:ext xmlns:c15="http://schemas.microsoft.com/office/drawing/2012/chart" uri="{02D57815-91ED-43cb-92C2-25804820EDAC}">
            <c15:filteredBarSeries>
              <c15:ser>
                <c:idx val="3"/>
                <c:order val="3"/>
                <c:tx>
                  <c:strRef>
                    <c:extLst>
                      <c:ext uri="{02D57815-91ED-43cb-92C2-25804820EDAC}">
                        <c15:formulaRef>
                          <c15:sqref>ResultsC!$AD$574</c15:sqref>
                        </c15:formulaRef>
                      </c:ext>
                    </c:extLst>
                    <c:strCache>
                      <c:ptCount val="1"/>
                      <c:pt idx="0">
                        <c:v>Argentina</c:v>
                      </c:pt>
                    </c:strCache>
                  </c:strRef>
                </c:tx>
                <c:spPr>
                  <a:solidFill>
                    <a:schemeClr val="accent2">
                      <a:lumMod val="60000"/>
                    </a:schemeClr>
                  </a:solidFill>
                  <a:ln>
                    <a:noFill/>
                  </a:ln>
                  <a:effectLst/>
                </c:spPr>
                <c:invertIfNegative val="0"/>
                <c:cat>
                  <c:strRef>
                    <c:extLst>
                      <c:ext uri="{02D57815-91ED-43cb-92C2-25804820EDAC}">
                        <c15:formulaRef>
                          <c15:sqref>ResultsC!$Z$575:$Z$604</c15:sqref>
                        </c15:formulaRef>
                      </c:ext>
                    </c:extLst>
                    <c:strCache>
                      <c:ptCount val="6"/>
                      <c:pt idx="0">
                        <c:v>C171 - Pulp and paper</c:v>
                      </c:pt>
                      <c:pt idx="1">
                        <c:v>C192 - Refineries</c:v>
                      </c:pt>
                      <c:pt idx="2">
                        <c:v>C201 - Basic chemicals</c:v>
                      </c:pt>
                      <c:pt idx="3">
                        <c:v>C239 - Abrasive products</c:v>
                      </c:pt>
                      <c:pt idx="4">
                        <c:v>C241 - Iron and steel</c:v>
                      </c:pt>
                      <c:pt idx="5">
                        <c:v>C244 - Non-ferrous metals</c:v>
                      </c:pt>
                    </c:strCache>
                  </c:strRef>
                </c:cat>
                <c:val>
                  <c:numRef>
                    <c:extLst>
                      <c:ext uri="{02D57815-91ED-43cb-92C2-25804820EDAC}">
                        <c15:formulaRef>
                          <c15:sqref>ResultsC!$AD$575:$AD$604</c15:sqref>
                        </c15:formulaRef>
                      </c:ext>
                    </c:extLst>
                    <c:numCache>
                      <c:formatCode>0.00</c:formatCode>
                      <c:ptCount val="6"/>
                      <c:pt idx="0">
                        <c:v>#N/A</c:v>
                      </c:pt>
                      <c:pt idx="1">
                        <c:v>#N/A</c:v>
                      </c:pt>
                      <c:pt idx="2">
                        <c:v>0.53417976352922703</c:v>
                      </c:pt>
                      <c:pt idx="3">
                        <c:v>1.3677236533396382</c:v>
                      </c:pt>
                      <c:pt idx="4">
                        <c:v>#N/A</c:v>
                      </c:pt>
                      <c:pt idx="5">
                        <c:v>#N/A</c:v>
                      </c:pt>
                    </c:numCache>
                  </c:numRef>
                </c:val>
                <c:extLst>
                  <c:ext xmlns:c16="http://schemas.microsoft.com/office/drawing/2014/chart" uri="{C3380CC4-5D6E-409C-BE32-E72D297353CC}">
                    <c16:uniqueId val="{0000000B-45F9-48C8-9FF8-693024AD696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ResultsC!$AE$574</c15:sqref>
                        </c15:formulaRef>
                      </c:ext>
                    </c:extLst>
                    <c:strCache>
                      <c:ptCount val="1"/>
                      <c:pt idx="0">
                        <c:v>Australia</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6"/>
                      <c:pt idx="0">
                        <c:v>C171 - Pulp and paper</c:v>
                      </c:pt>
                      <c:pt idx="1">
                        <c:v>C192 - Refineries</c:v>
                      </c:pt>
                      <c:pt idx="2">
                        <c:v>C201 - Basic chemicals</c:v>
                      </c:pt>
                      <c:pt idx="3">
                        <c:v>C239 - Abrasive products</c:v>
                      </c:pt>
                      <c:pt idx="4">
                        <c:v>C241 - Iron and steel</c:v>
                      </c:pt>
                      <c:pt idx="5">
                        <c:v>C244 - Non-ferrous metals</c:v>
                      </c:pt>
                    </c:strCache>
                  </c:strRef>
                </c:cat>
                <c:val>
                  <c:numRef>
                    <c:extLst xmlns:c15="http://schemas.microsoft.com/office/drawing/2012/chart">
                      <c:ext xmlns:c15="http://schemas.microsoft.com/office/drawing/2012/chart" uri="{02D57815-91ED-43cb-92C2-25804820EDAC}">
                        <c15:formulaRef>
                          <c15:sqref>ResultsC!$AE$575:$AE$604</c15:sqref>
                        </c15:formulaRef>
                      </c:ext>
                    </c:extLst>
                    <c:numCache>
                      <c:formatCode>0.00</c:formatCode>
                      <c:ptCount val="6"/>
                      <c:pt idx="0">
                        <c:v>#N/A</c:v>
                      </c:pt>
                      <c:pt idx="1">
                        <c:v>0.74802604851532406</c:v>
                      </c:pt>
                      <c:pt idx="2">
                        <c:v>2.3871840250865226</c:v>
                      </c:pt>
                      <c:pt idx="3">
                        <c:v>0.69592854550883698</c:v>
                      </c:pt>
                      <c:pt idx="4">
                        <c:v>#N/A</c:v>
                      </c:pt>
                      <c:pt idx="5">
                        <c:v>#N/A</c:v>
                      </c:pt>
                    </c:numCache>
                  </c:numRef>
                </c:val>
                <c:extLst xmlns:c15="http://schemas.microsoft.com/office/drawing/2012/chart">
                  <c:ext xmlns:c16="http://schemas.microsoft.com/office/drawing/2014/chart" uri="{C3380CC4-5D6E-409C-BE32-E72D297353CC}">
                    <c16:uniqueId val="{0000000C-45F9-48C8-9FF8-693024AD6963}"/>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ResultsC!$AI$574</c15:sqref>
                        </c15:formulaRef>
                      </c:ext>
                    </c:extLst>
                    <c:strCache>
                      <c:ptCount val="1"/>
                      <c:pt idx="0">
                        <c:v>India</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6"/>
                      <c:pt idx="0">
                        <c:v>C171 - Pulp and paper</c:v>
                      </c:pt>
                      <c:pt idx="1">
                        <c:v>C192 - Refineries</c:v>
                      </c:pt>
                      <c:pt idx="2">
                        <c:v>C201 - Basic chemicals</c:v>
                      </c:pt>
                      <c:pt idx="3">
                        <c:v>C239 - Abrasive products</c:v>
                      </c:pt>
                      <c:pt idx="4">
                        <c:v>C241 - Iron and steel</c:v>
                      </c:pt>
                      <c:pt idx="5">
                        <c:v>C244 - Non-ferrous metals</c:v>
                      </c:pt>
                    </c:strCache>
                  </c:strRef>
                </c:cat>
                <c:val>
                  <c:numRef>
                    <c:extLst xmlns:c15="http://schemas.microsoft.com/office/drawing/2012/chart">
                      <c:ext xmlns:c15="http://schemas.microsoft.com/office/drawing/2012/chart" uri="{02D57815-91ED-43cb-92C2-25804820EDAC}">
                        <c15:formulaRef>
                          <c15:sqref>ResultsC!$AI$575:$AI$604</c15:sqref>
                        </c15:formulaRef>
                      </c:ext>
                    </c:extLst>
                    <c:numCache>
                      <c:formatCode>0.00</c:formatCode>
                      <c:ptCount val="6"/>
                      <c:pt idx="0">
                        <c:v>#N/A</c:v>
                      </c:pt>
                      <c:pt idx="1">
                        <c:v>#N/A</c:v>
                      </c:pt>
                      <c:pt idx="2">
                        <c:v>1.1405152649382266</c:v>
                      </c:pt>
                      <c:pt idx="3">
                        <c:v>3.1134131777326863</c:v>
                      </c:pt>
                      <c:pt idx="4">
                        <c:v>#N/A</c:v>
                      </c:pt>
                      <c:pt idx="5">
                        <c:v>#N/A</c:v>
                      </c:pt>
                    </c:numCache>
                  </c:numRef>
                </c:val>
                <c:extLst xmlns:c15="http://schemas.microsoft.com/office/drawing/2012/chart">
                  <c:ext xmlns:c16="http://schemas.microsoft.com/office/drawing/2014/chart" uri="{C3380CC4-5D6E-409C-BE32-E72D297353CC}">
                    <c16:uniqueId val="{0000000D-45F9-48C8-9FF8-693024AD6963}"/>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ResultsC!$AJ$574</c15:sqref>
                        </c15:formulaRef>
                      </c:ext>
                    </c:extLst>
                    <c:strCache>
                      <c:ptCount val="1"/>
                      <c:pt idx="0">
                        <c:v>Indonesia</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6"/>
                      <c:pt idx="0">
                        <c:v>C171 - Pulp and paper</c:v>
                      </c:pt>
                      <c:pt idx="1">
                        <c:v>C192 - Refineries</c:v>
                      </c:pt>
                      <c:pt idx="2">
                        <c:v>C201 - Basic chemicals</c:v>
                      </c:pt>
                      <c:pt idx="3">
                        <c:v>C239 - Abrasive products</c:v>
                      </c:pt>
                      <c:pt idx="4">
                        <c:v>C241 - Iron and steel</c:v>
                      </c:pt>
                      <c:pt idx="5">
                        <c:v>C244 - Non-ferrous metals</c:v>
                      </c:pt>
                    </c:strCache>
                  </c:strRef>
                </c:cat>
                <c:val>
                  <c:numRef>
                    <c:extLst xmlns:c15="http://schemas.microsoft.com/office/drawing/2012/chart">
                      <c:ext xmlns:c15="http://schemas.microsoft.com/office/drawing/2012/chart" uri="{02D57815-91ED-43cb-92C2-25804820EDAC}">
                        <c15:formulaRef>
                          <c15:sqref>ResultsC!$AJ$575:$AJ$604</c15:sqref>
                        </c15:formulaRef>
                      </c:ext>
                    </c:extLst>
                    <c:numCache>
                      <c:formatCode>0.00</c:formatCode>
                      <c:ptCount val="6"/>
                      <c:pt idx="0">
                        <c:v>#N/A</c:v>
                      </c:pt>
                      <c:pt idx="1">
                        <c:v>#N/A</c:v>
                      </c:pt>
                      <c:pt idx="2">
                        <c:v>0.37579231177930972</c:v>
                      </c:pt>
                      <c:pt idx="3">
                        <c:v>1.1985753060353668</c:v>
                      </c:pt>
                      <c:pt idx="4">
                        <c:v>#N/A</c:v>
                      </c:pt>
                      <c:pt idx="5">
                        <c:v>#N/A</c:v>
                      </c:pt>
                    </c:numCache>
                  </c:numRef>
                </c:val>
                <c:extLst xmlns:c15="http://schemas.microsoft.com/office/drawing/2012/chart">
                  <c:ext xmlns:c16="http://schemas.microsoft.com/office/drawing/2014/chart" uri="{C3380CC4-5D6E-409C-BE32-E72D297353CC}">
                    <c16:uniqueId val="{0000000E-45F9-48C8-9FF8-693024AD6963}"/>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ResultsC!$AN$574</c15:sqref>
                        </c15:formulaRef>
                      </c:ext>
                    </c:extLst>
                    <c:strCache>
                      <c:ptCount val="1"/>
                      <c:pt idx="0">
                        <c:v>Saudi Arabia</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6"/>
                      <c:pt idx="0">
                        <c:v>C171 - Pulp and paper</c:v>
                      </c:pt>
                      <c:pt idx="1">
                        <c:v>C192 - Refineries</c:v>
                      </c:pt>
                      <c:pt idx="2">
                        <c:v>C201 - Basic chemicals</c:v>
                      </c:pt>
                      <c:pt idx="3">
                        <c:v>C239 - Abrasive products</c:v>
                      </c:pt>
                      <c:pt idx="4">
                        <c:v>C241 - Iron and steel</c:v>
                      </c:pt>
                      <c:pt idx="5">
                        <c:v>C244 - Non-ferrous metals</c:v>
                      </c:pt>
                    </c:strCache>
                  </c:strRef>
                </c:cat>
                <c:val>
                  <c:numRef>
                    <c:extLst xmlns:c15="http://schemas.microsoft.com/office/drawing/2012/chart">
                      <c:ext xmlns:c15="http://schemas.microsoft.com/office/drawing/2012/chart" uri="{02D57815-91ED-43cb-92C2-25804820EDAC}">
                        <c15:formulaRef>
                          <c15:sqref>ResultsC!$AN$575:$AN$604</c15:sqref>
                        </c15:formulaRef>
                      </c:ext>
                    </c:extLst>
                    <c:numCache>
                      <c:formatCode>0.00</c:formatCode>
                      <c:ptCount val="6"/>
                      <c:pt idx="0">
                        <c:v>#N/A</c:v>
                      </c:pt>
                      <c:pt idx="1">
                        <c:v>0.4051058299243479</c:v>
                      </c:pt>
                      <c:pt idx="2">
                        <c:v>7.4462930302643254E-2</c:v>
                      </c:pt>
                      <c:pt idx="3">
                        <c:v>1.5582229649344371E-2</c:v>
                      </c:pt>
                      <c:pt idx="4">
                        <c:v>#N/A</c:v>
                      </c:pt>
                      <c:pt idx="5">
                        <c:v>#N/A</c:v>
                      </c:pt>
                    </c:numCache>
                  </c:numRef>
                </c:val>
                <c:extLst xmlns:c15="http://schemas.microsoft.com/office/drawing/2012/chart">
                  <c:ext xmlns:c16="http://schemas.microsoft.com/office/drawing/2014/chart" uri="{C3380CC4-5D6E-409C-BE32-E72D297353CC}">
                    <c16:uniqueId val="{0000000F-45F9-48C8-9FF8-693024AD6963}"/>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ResultsC!$AO$574</c15:sqref>
                        </c15:formulaRef>
                      </c:ext>
                    </c:extLst>
                    <c:strCache>
                      <c:ptCount val="1"/>
                      <c:pt idx="0">
                        <c:v>South Africa</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6"/>
                      <c:pt idx="0">
                        <c:v>C171 - Pulp and paper</c:v>
                      </c:pt>
                      <c:pt idx="1">
                        <c:v>C192 - Refineries</c:v>
                      </c:pt>
                      <c:pt idx="2">
                        <c:v>C201 - Basic chemicals</c:v>
                      </c:pt>
                      <c:pt idx="3">
                        <c:v>C239 - Abrasive products</c:v>
                      </c:pt>
                      <c:pt idx="4">
                        <c:v>C241 - Iron and steel</c:v>
                      </c:pt>
                      <c:pt idx="5">
                        <c:v>C244 - Non-ferrous metals</c:v>
                      </c:pt>
                    </c:strCache>
                  </c:strRef>
                </c:cat>
                <c:val>
                  <c:numRef>
                    <c:extLst xmlns:c15="http://schemas.microsoft.com/office/drawing/2012/chart">
                      <c:ext xmlns:c15="http://schemas.microsoft.com/office/drawing/2012/chart" uri="{02D57815-91ED-43cb-92C2-25804820EDAC}">
                        <c15:formulaRef>
                          <c15:sqref>ResultsC!$AO$575:$AO$604</c15:sqref>
                        </c15:formulaRef>
                      </c:ext>
                    </c:extLst>
                    <c:numCache>
                      <c:formatCode>0.00</c:formatCode>
                      <c:ptCount val="6"/>
                      <c:pt idx="0">
                        <c:v>#N/A</c:v>
                      </c:pt>
                      <c:pt idx="1">
                        <c:v>#N/A</c:v>
                      </c:pt>
                      <c:pt idx="2">
                        <c:v>1.0990188064971285</c:v>
                      </c:pt>
                      <c:pt idx="3">
                        <c:v>1.1832267676536812</c:v>
                      </c:pt>
                      <c:pt idx="4">
                        <c:v>#N/A</c:v>
                      </c:pt>
                      <c:pt idx="5">
                        <c:v>#N/A</c:v>
                      </c:pt>
                    </c:numCache>
                  </c:numRef>
                </c:val>
                <c:extLst xmlns:c15="http://schemas.microsoft.com/office/drawing/2012/chart">
                  <c:ext xmlns:c16="http://schemas.microsoft.com/office/drawing/2014/chart" uri="{C3380CC4-5D6E-409C-BE32-E72D297353CC}">
                    <c16:uniqueId val="{00000010-45F9-48C8-9FF8-693024AD6963}"/>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ResultsC!$AP$574</c15:sqref>
                        </c15:formulaRef>
                      </c:ext>
                    </c:extLst>
                    <c:strCache>
                      <c:ptCount val="1"/>
                      <c:pt idx="0">
                        <c:v>Turkey</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6"/>
                      <c:pt idx="0">
                        <c:v>C171 - Pulp and paper</c:v>
                      </c:pt>
                      <c:pt idx="1">
                        <c:v>C192 - Refineries</c:v>
                      </c:pt>
                      <c:pt idx="2">
                        <c:v>C201 - Basic chemicals</c:v>
                      </c:pt>
                      <c:pt idx="3">
                        <c:v>C239 - Abrasive products</c:v>
                      </c:pt>
                      <c:pt idx="4">
                        <c:v>C241 - Iron and steel</c:v>
                      </c:pt>
                      <c:pt idx="5">
                        <c:v>C244 - Non-ferrous metals</c:v>
                      </c:pt>
                    </c:strCache>
                  </c:strRef>
                </c:cat>
                <c:val>
                  <c:numRef>
                    <c:extLst xmlns:c15="http://schemas.microsoft.com/office/drawing/2012/chart">
                      <c:ext xmlns:c15="http://schemas.microsoft.com/office/drawing/2012/chart" uri="{02D57815-91ED-43cb-92C2-25804820EDAC}">
                        <c15:formulaRef>
                          <c15:sqref>ResultsC!$AP$575:$AP$604</c15:sqref>
                        </c15:formulaRef>
                      </c:ext>
                    </c:extLst>
                    <c:numCache>
                      <c:formatCode>0.00</c:formatCode>
                      <c:ptCount val="6"/>
                      <c:pt idx="0">
                        <c:v>#N/A</c:v>
                      </c:pt>
                      <c:pt idx="1">
                        <c:v>2.7388398248971755</c:v>
                      </c:pt>
                      <c:pt idx="2">
                        <c:v>#N/A</c:v>
                      </c:pt>
                      <c:pt idx="3">
                        <c:v>#N/A</c:v>
                      </c:pt>
                      <c:pt idx="4">
                        <c:v>#N/A</c:v>
                      </c:pt>
                      <c:pt idx="5">
                        <c:v>#N/A</c:v>
                      </c:pt>
                    </c:numCache>
                  </c:numRef>
                </c:val>
                <c:extLst xmlns:c15="http://schemas.microsoft.com/office/drawing/2012/chart">
                  <c:ext xmlns:c16="http://schemas.microsoft.com/office/drawing/2014/chart" uri="{C3380CC4-5D6E-409C-BE32-E72D297353CC}">
                    <c16:uniqueId val="{00000011-45F9-48C8-9FF8-693024AD6963}"/>
                  </c:ext>
                </c:extLst>
              </c15:ser>
            </c15:filteredBarSeries>
          </c:ext>
        </c:extLst>
      </c:barChart>
      <c:catAx>
        <c:axId val="1013116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mn-cs"/>
              </a:defRPr>
            </a:pPr>
            <a:endParaRPr lang="en-US"/>
          </a:p>
        </c:txPr>
        <c:crossAx val="101313152"/>
        <c:crosses val="autoZero"/>
        <c:auto val="1"/>
        <c:lblAlgn val="ctr"/>
        <c:lblOffset val="100"/>
        <c:noMultiLvlLbl val="0"/>
      </c:catAx>
      <c:valAx>
        <c:axId val="101313152"/>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mn-cs"/>
                  </a:defRPr>
                </a:pPr>
                <a:r>
                  <a:rPr lang="en-GB"/>
                  <a:t>TOE</a:t>
                </a:r>
                <a:r>
                  <a:rPr lang="en-GB" baseline="0"/>
                  <a:t> energy consumption per thousand EUR VA</a:t>
                </a:r>
                <a:endParaRPr lang="en-GB"/>
              </a:p>
            </c:rich>
          </c:tx>
          <c:overlay val="0"/>
          <c:spPr>
            <a:noFill/>
            <a:ln>
              <a:noFill/>
            </a:ln>
            <a:effectLst/>
          </c:sp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mn-cs"/>
              </a:defRPr>
            </a:pPr>
            <a:endParaRPr lang="en-US"/>
          </a:p>
        </c:txPr>
        <c:crossAx val="101311616"/>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800">
          <a:solidFill>
            <a:sysClr val="windowText" lastClr="000000"/>
          </a:solidFill>
          <a:latin typeface="Trebuchet MS" panose="020B0603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ResultsC!$AA$574</c:f>
              <c:strCache>
                <c:ptCount val="1"/>
                <c:pt idx="0">
                  <c:v>EU27 average</c:v>
                </c:pt>
              </c:strCache>
            </c:strRef>
          </c:tx>
          <c:spPr>
            <a:solidFill>
              <a:schemeClr val="accent2"/>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ResultsC!$AA$575:$AA$604</c:f>
              <c:numCache>
                <c:formatCode>0.00</c:formatCode>
                <c:ptCount val="8"/>
                <c:pt idx="0">
                  <c:v>7.6972255362013214E-2</c:v>
                </c:pt>
                <c:pt idx="1">
                  <c:v>4.3217535889795947E-2</c:v>
                </c:pt>
                <c:pt idx="2">
                  <c:v>0.45050018702035888</c:v>
                </c:pt>
                <c:pt idx="3">
                  <c:v>4.6156406205122388E-2</c:v>
                </c:pt>
                <c:pt idx="4">
                  <c:v>2.4630875203050219E-2</c:v>
                </c:pt>
                <c:pt idx="5">
                  <c:v>2.8995216188511298E-2</c:v>
                </c:pt>
                <c:pt idx="6">
                  <c:v>2.5560067350475897E-2</c:v>
                </c:pt>
                <c:pt idx="7">
                  <c:v>4.1389942910468484E-2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EE54-44E7-9604-D5BD8E378CD8}"/>
            </c:ext>
          </c:extLst>
        </c:ser>
        <c:ser>
          <c:idx val="1"/>
          <c:order val="1"/>
          <c:tx>
            <c:strRef>
              <c:f>ResultsC!$AB$574</c:f>
              <c:strCache>
                <c:ptCount val="1"/>
                <c:pt idx="0">
                  <c:v>Switzerland</c:v>
                </c:pt>
              </c:strCache>
            </c:strRef>
          </c:tx>
          <c:spPr>
            <a:solidFill>
              <a:schemeClr val="accent4"/>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ResultsC!$AB$575:$AB$604</c:f>
              <c:numCache>
                <c:formatCode>0.00</c:formatCode>
                <c:ptCount val="8"/>
                <c:pt idx="0">
                  <c:v>#N/A</c:v>
                </c:pt>
                <c:pt idx="1">
                  <c:v>#N/A</c:v>
                </c:pt>
                <c:pt idx="2">
                  <c:v>#N/A</c:v>
                </c:pt>
                <c:pt idx="3">
                  <c:v>#N/A</c:v>
                </c:pt>
                <c:pt idx="4">
                  <c:v>#N/A</c:v>
                </c:pt>
                <c:pt idx="5">
                  <c:v>#N/A</c:v>
                </c:pt>
                <c:pt idx="6">
                  <c:v>#N/A</c:v>
                </c:pt>
                <c:pt idx="7">
                  <c:v>#N/A</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EE54-44E7-9604-D5BD8E378CD8}"/>
            </c:ext>
          </c:extLst>
        </c:ser>
        <c:ser>
          <c:idx val="2"/>
          <c:order val="2"/>
          <c:tx>
            <c:strRef>
              <c:f>ResultsC!$AC$574</c:f>
              <c:strCache>
                <c:ptCount val="1"/>
                <c:pt idx="0">
                  <c:v>Norway</c:v>
                </c:pt>
              </c:strCache>
            </c:strRef>
          </c:tx>
          <c:spPr>
            <a:solidFill>
              <a:schemeClr val="accent6"/>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ResultsC!$AC$575:$AC$604</c:f>
              <c:numCache>
                <c:formatCode>0.00</c:formatCode>
                <c:ptCount val="8"/>
                <c:pt idx="0">
                  <c:v>#N/A</c:v>
                </c:pt>
                <c:pt idx="1">
                  <c:v>#N/A</c:v>
                </c:pt>
                <c:pt idx="2">
                  <c:v>0.17903808046030215</c:v>
                </c:pt>
                <c:pt idx="3">
                  <c:v>2.965595810951888E-2</c:v>
                </c:pt>
                <c:pt idx="4">
                  <c:v>#N/A</c:v>
                </c:pt>
                <c:pt idx="5">
                  <c:v>#N/A</c:v>
                </c:pt>
                <c:pt idx="6">
                  <c:v>1.3873849364014958E-2</c:v>
                </c:pt>
                <c:pt idx="7">
                  <c:v>#N/A</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EE54-44E7-9604-D5BD8E378CD8}"/>
            </c:ext>
          </c:extLst>
        </c:ser>
        <c:ser>
          <c:idx val="5"/>
          <c:order val="3"/>
          <c:tx>
            <c:strRef>
              <c:f>ResultsC!$AF$574</c:f>
              <c:strCache>
                <c:ptCount val="1"/>
                <c:pt idx="0">
                  <c:v>Brazil</c:v>
                </c:pt>
              </c:strCache>
            </c:strRef>
          </c:tx>
          <c:spPr>
            <a:solidFill>
              <a:schemeClr val="accent6">
                <a:lumMod val="60000"/>
              </a:schemeClr>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ResultsC!$AF$575:$AF$604</c:f>
              <c:numCache>
                <c:formatCode>0.00</c:formatCode>
                <c:ptCount val="8"/>
                <c:pt idx="0">
                  <c:v>#N/A</c:v>
                </c:pt>
                <c:pt idx="1">
                  <c:v>#N/A</c:v>
                </c:pt>
                <c:pt idx="2">
                  <c:v>#N/A</c:v>
                </c:pt>
                <c:pt idx="3">
                  <c:v>#N/A</c:v>
                </c:pt>
                <c:pt idx="4">
                  <c:v>#N/A</c:v>
                </c:pt>
                <c:pt idx="5">
                  <c:v>#N/A</c:v>
                </c:pt>
                <c:pt idx="6">
                  <c:v>#N/A</c:v>
                </c:pt>
                <c:pt idx="7">
                  <c:v>#N/A</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EE54-44E7-9604-D5BD8E378CD8}"/>
            </c:ext>
          </c:extLst>
        </c:ser>
        <c:ser>
          <c:idx val="6"/>
          <c:order val="4"/>
          <c:tx>
            <c:strRef>
              <c:f>ResultsC!$AG$574</c:f>
              <c:strCache>
                <c:ptCount val="1"/>
                <c:pt idx="0">
                  <c:v>Canada</c:v>
                </c:pt>
              </c:strCache>
            </c:strRef>
          </c:tx>
          <c:spPr>
            <a:solidFill>
              <a:schemeClr val="accent2">
                <a:lumMod val="80000"/>
                <a:lumOff val="20000"/>
              </a:schemeClr>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ResultsC!$AG$575:$AG$604</c:f>
              <c:numCache>
                <c:formatCode>0.00</c:formatCode>
                <c:ptCount val="8"/>
                <c:pt idx="0">
                  <c:v>6.2791116531018001E-2</c:v>
                </c:pt>
                <c:pt idx="1">
                  <c:v>4.0336560158307333E-2</c:v>
                </c:pt>
                <c:pt idx="2">
                  <c:v>6.6975360282705163E-2</c:v>
                </c:pt>
                <c:pt idx="3">
                  <c:v>7.0744609482926282E-2</c:v>
                </c:pt>
                <c:pt idx="4">
                  <c:v>3.1327939390312226E-2</c:v>
                </c:pt>
                <c:pt idx="5">
                  <c:v>5.2326063147797114E-2</c:v>
                </c:pt>
                <c:pt idx="6">
                  <c:v>4.7129348975521797E-2</c:v>
                </c:pt>
                <c:pt idx="7">
                  <c:v>7.0614394481988113E-2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EE54-44E7-9604-D5BD8E378CD8}"/>
            </c:ext>
          </c:extLst>
        </c:ser>
        <c:ser>
          <c:idx val="7"/>
          <c:order val="5"/>
          <c:tx>
            <c:strRef>
              <c:f>ResultsC!$AH$574</c:f>
              <c:strCache>
                <c:ptCount val="1"/>
                <c:pt idx="0">
                  <c:v>China</c:v>
                </c:pt>
              </c:strCache>
            </c:strRef>
          </c:tx>
          <c:spPr>
            <a:solidFill>
              <a:schemeClr val="accent4">
                <a:lumMod val="80000"/>
                <a:lumOff val="20000"/>
              </a:schemeClr>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ResultsC!$AH$575:$AH$604</c:f>
              <c:numCache>
                <c:formatCode>0.00</c:formatCode>
                <c:ptCount val="8"/>
                <c:pt idx="0">
                  <c:v>0.19911904799213354</c:v>
                </c:pt>
                <c:pt idx="1">
                  <c:v>0.20351163987338472</c:v>
                </c:pt>
                <c:pt idx="2">
                  <c:v>#N/A</c:v>
                </c:pt>
                <c:pt idx="3">
                  <c:v>0.39366513721233748</c:v>
                </c:pt>
                <c:pt idx="4">
                  <c:v>0.10748910851969204</c:v>
                </c:pt>
                <c:pt idx="5">
                  <c:v>0.11186887933246913</c:v>
                </c:pt>
                <c:pt idx="6">
                  <c:v>0.26579473197057585</c:v>
                </c:pt>
                <c:pt idx="7">
                  <c:v>0.16652320166405671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EE54-44E7-9604-D5BD8E378CD8}"/>
            </c:ext>
          </c:extLst>
        </c:ser>
        <c:ser>
          <c:idx val="10"/>
          <c:order val="6"/>
          <c:tx>
            <c:strRef>
              <c:f>ResultsC!$AK$574</c:f>
              <c:strCache>
                <c:ptCount val="1"/>
                <c:pt idx="0">
                  <c:v>Japan</c:v>
                </c:pt>
              </c:strCache>
            </c:strRef>
          </c:tx>
          <c:spPr>
            <a:solidFill>
              <a:schemeClr val="accent4">
                <a:lumMod val="80000"/>
              </a:schemeClr>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ResultsC!$AK$575:$AK$604</c:f>
              <c:numCache>
                <c:formatCode>0.00</c:formatCode>
                <c:ptCount val="8"/>
                <c:pt idx="0">
                  <c:v>#N/A</c:v>
                </c:pt>
                <c:pt idx="1">
                  <c:v>#N/A</c:v>
                </c:pt>
                <c:pt idx="2">
                  <c:v>#N/A</c:v>
                </c:pt>
                <c:pt idx="3">
                  <c:v>#N/A</c:v>
                </c:pt>
                <c:pt idx="4">
                  <c:v>#N/A</c:v>
                </c:pt>
                <c:pt idx="5">
                  <c:v>#N/A</c:v>
                </c:pt>
                <c:pt idx="6">
                  <c:v>5.4729523932151088E-2</c:v>
                </c:pt>
                <c:pt idx="7">
                  <c:v>#N/A</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EE54-44E7-9604-D5BD8E378CD8}"/>
            </c:ext>
          </c:extLst>
        </c:ser>
        <c:ser>
          <c:idx val="11"/>
          <c:order val="7"/>
          <c:tx>
            <c:strRef>
              <c:f>ResultsC!$AL$574</c:f>
              <c:strCache>
                <c:ptCount val="1"/>
                <c:pt idx="0">
                  <c:v>Korea</c:v>
                </c:pt>
              </c:strCache>
            </c:strRef>
          </c:tx>
          <c:spPr>
            <a:solidFill>
              <a:schemeClr val="accent6">
                <a:lumMod val="80000"/>
              </a:schemeClr>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ResultsC!$AL$575:$AL$604</c:f>
              <c:numCache>
                <c:formatCode>0.00</c:formatCode>
                <c:ptCount val="8"/>
                <c:pt idx="0">
                  <c:v>#N/A</c:v>
                </c:pt>
                <c:pt idx="1">
                  <c:v>#N/A</c:v>
                </c:pt>
                <c:pt idx="2">
                  <c:v>#N/A</c:v>
                </c:pt>
                <c:pt idx="3">
                  <c:v>#N/A</c:v>
                </c:pt>
                <c:pt idx="4">
                  <c:v>#N/A</c:v>
                </c:pt>
                <c:pt idx="5">
                  <c:v>#N/A</c:v>
                </c:pt>
                <c:pt idx="6">
                  <c:v>0.28456514181608528</c:v>
                </c:pt>
                <c:pt idx="7">
                  <c:v>#N/A</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EE54-44E7-9604-D5BD8E378CD8}"/>
            </c:ext>
          </c:extLst>
        </c:ser>
        <c:ser>
          <c:idx val="12"/>
          <c:order val="8"/>
          <c:tx>
            <c:strRef>
              <c:f>ResultsC!$AM$574</c:f>
              <c:strCache>
                <c:ptCount val="1"/>
                <c:pt idx="0">
                  <c:v>Mexico</c:v>
                </c:pt>
              </c:strCache>
            </c:strRef>
          </c:tx>
          <c:spPr>
            <a:solidFill>
              <a:schemeClr val="accent2">
                <a:lumMod val="60000"/>
                <a:lumOff val="40000"/>
              </a:schemeClr>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ResultsC!$AM$575:$AM$604</c:f>
              <c:numCache>
                <c:formatCode>0.00</c:formatCode>
                <c:ptCount val="8"/>
                <c:pt idx="0">
                  <c:v>0.10058093453239432</c:v>
                </c:pt>
                <c:pt idx="1">
                  <c:v>#N/A</c:v>
                </c:pt>
                <c:pt idx="2">
                  <c:v>0.98924587536063835</c:v>
                </c:pt>
                <c:pt idx="3">
                  <c:v>#N/A</c:v>
                </c:pt>
                <c:pt idx="4">
                  <c:v>#N/A</c:v>
                </c:pt>
                <c:pt idx="5">
                  <c:v>#N/A</c:v>
                </c:pt>
                <c:pt idx="6">
                  <c:v>6.2217712593072086E-3</c:v>
                </c:pt>
                <c:pt idx="7">
                  <c:v>1.1908637283966961E-2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EE54-44E7-9604-D5BD8E378CD8}"/>
            </c:ext>
          </c:extLst>
        </c:ser>
        <c:ser>
          <c:idx val="16"/>
          <c:order val="9"/>
          <c:tx>
            <c:strRef>
              <c:f>ResultsC!$AQ$574</c:f>
              <c:strCache>
                <c:ptCount val="1"/>
                <c:pt idx="0">
                  <c:v>United States</c:v>
                </c:pt>
              </c:strCache>
            </c:strRef>
          </c:tx>
          <c:spPr>
            <a:solidFill>
              <a:schemeClr val="accent4">
                <a:lumMod val="50000"/>
              </a:schemeClr>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ResultsC!$AQ$575:$AQ$604</c:f>
              <c:numCache>
                <c:formatCode>0.00</c:formatCode>
                <c:ptCount val="8"/>
                <c:pt idx="0">
                  <c:v>6.1485027870769648E-2</c:v>
                </c:pt>
                <c:pt idx="1">
                  <c:v>1.9602738285948572E-2</c:v>
                </c:pt>
                <c:pt idx="2">
                  <c:v>0.83331163736613068</c:v>
                </c:pt>
                <c:pt idx="3">
                  <c:v>7.93329285586854E-2</c:v>
                </c:pt>
                <c:pt idx="4">
                  <c:v>1.0811800652440641E-2</c:v>
                </c:pt>
                <c:pt idx="5">
                  <c:v>3.6594497449768434E-2</c:v>
                </c:pt>
                <c:pt idx="6">
                  <c:v>3.0689613162942598E-2</c:v>
                </c:pt>
                <c:pt idx="7">
                  <c:v>5.0404767129682136E-2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9-EE54-44E7-9604-D5BD8E378CD8}"/>
            </c:ext>
          </c:extLst>
        </c:ser>
        <c:ser>
          <c:idx val="17"/>
          <c:order val="10"/>
          <c:tx>
            <c:strRef>
              <c:f>ResultsC!$AS$574</c:f>
              <c:strCache>
                <c:ptCount val="1"/>
                <c:pt idx="0">
                  <c:v>Russia</c:v>
                </c:pt>
              </c:strCache>
            </c:strRef>
          </c:tx>
          <c:spPr>
            <a:solidFill>
              <a:schemeClr val="accent6">
                <a:lumMod val="50000"/>
              </a:schemeClr>
            </a:solidFill>
            <a:ln>
              <a:noFill/>
            </a:ln>
            <a:effectLst/>
          </c:spPr>
          <c:invertIfNegative val="0"/>
          <c:cat>
            <c:strRef>
              <c:f>ResultsC!$Z$575:$Z$604</c:f>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extLst xmlns:c16r2="http://schemas.microsoft.com/office/drawing/2015/06/chart"/>
            </c:strRef>
          </c:cat>
          <c:val>
            <c:numRef>
              <c:f>ResultsC!$AS$575:$AS$604</c:f>
              <c:numCache>
                <c:formatCode>0.00</c:formatCode>
                <c:ptCount val="8"/>
                <c:pt idx="0">
                  <c:v>#N/A</c:v>
                </c:pt>
                <c:pt idx="1">
                  <c:v>#N/A</c:v>
                </c:pt>
                <c:pt idx="2">
                  <c:v>#N/A</c:v>
                </c:pt>
                <c:pt idx="3">
                  <c:v>#N/A</c:v>
                </c:pt>
                <c:pt idx="4">
                  <c:v>#N/A</c:v>
                </c:pt>
                <c:pt idx="5">
                  <c:v>#N/A</c:v>
                </c:pt>
                <c:pt idx="6">
                  <c:v>0.95792396793991241</c:v>
                </c:pt>
                <c:pt idx="7">
                  <c:v>#N/A</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EE54-44E7-9604-D5BD8E378CD8}"/>
            </c:ext>
          </c:extLst>
        </c:ser>
        <c:dLbls>
          <c:showLegendKey val="0"/>
          <c:showVal val="0"/>
          <c:showCatName val="0"/>
          <c:showSerName val="0"/>
          <c:showPercent val="0"/>
          <c:showBubbleSize val="0"/>
        </c:dLbls>
        <c:gapWidth val="75"/>
        <c:overlap val="-25"/>
        <c:axId val="100989568"/>
        <c:axId val="102240640"/>
        <c:extLst xmlns:c16r2="http://schemas.microsoft.com/office/drawing/2015/06/chart">
          <c:ext xmlns:c15="http://schemas.microsoft.com/office/drawing/2012/chart" uri="{02D57815-91ED-43cb-92C2-25804820EDAC}">
            <c15:filteredBarSeries>
              <c15:ser>
                <c:idx val="3"/>
                <c:order val="3"/>
                <c:tx>
                  <c:strRef>
                    <c:extLst>
                      <c:ext uri="{02D57815-91ED-43cb-92C2-25804820EDAC}">
                        <c15:formulaRef>
                          <c15:sqref>ResultsC!$AD$574</c15:sqref>
                        </c15:formulaRef>
                      </c:ext>
                    </c:extLst>
                    <c:strCache>
                      <c:ptCount val="1"/>
                      <c:pt idx="0">
                        <c:v>Argentina</c:v>
                      </c:pt>
                    </c:strCache>
                  </c:strRef>
                </c:tx>
                <c:spPr>
                  <a:solidFill>
                    <a:schemeClr val="accent2">
                      <a:lumMod val="60000"/>
                    </a:schemeClr>
                  </a:solidFill>
                  <a:ln>
                    <a:noFill/>
                  </a:ln>
                  <a:effectLst/>
                </c:spPr>
                <c:invertIfNegative val="0"/>
                <c:cat>
                  <c:strRef>
                    <c:extLst>
                      <c:ext uri="{02D57815-91ED-43cb-92C2-25804820EDAC}">
                        <c15:formulaRef>
                          <c15:sqref>ResultsC!$Z$575:$Z$604</c15:sqref>
                        </c15:formulaRef>
                      </c:ext>
                    </c:extLst>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strRef>
                </c:cat>
                <c:val>
                  <c:numRef>
                    <c:extLst>
                      <c:ext uri="{02D57815-91ED-43cb-92C2-25804820EDAC}">
                        <c15:formulaRef>
                          <c15:sqref>ResultsC!$AD$575:$AD$604</c15:sqref>
                        </c15:formulaRef>
                      </c:ext>
                    </c:extLst>
                    <c:numCache>
                      <c:formatCode>0.00</c:formatCode>
                      <c:ptCount val="8"/>
                      <c:pt idx="0">
                        <c:v>#N/A</c:v>
                      </c:pt>
                      <c:pt idx="1">
                        <c:v>#N/A</c:v>
                      </c:pt>
                      <c:pt idx="2">
                        <c:v>#N/A</c:v>
                      </c:pt>
                      <c:pt idx="3">
                        <c:v>#N/A</c:v>
                      </c:pt>
                      <c:pt idx="4">
                        <c:v>#N/A</c:v>
                      </c:pt>
                      <c:pt idx="5">
                        <c:v>#N/A</c:v>
                      </c:pt>
                      <c:pt idx="6">
                        <c:v>0.18931367906114219</c:v>
                      </c:pt>
                      <c:pt idx="7">
                        <c:v>#N/A</c:v>
                      </c:pt>
                    </c:numCache>
                  </c:numRef>
                </c:val>
                <c:extLst>
                  <c:ext xmlns:c16="http://schemas.microsoft.com/office/drawing/2014/chart" uri="{C3380CC4-5D6E-409C-BE32-E72D297353CC}">
                    <c16:uniqueId val="{0000000B-EE54-44E7-9604-D5BD8E378CD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ResultsC!$AE$574</c15:sqref>
                        </c15:formulaRef>
                      </c:ext>
                    </c:extLst>
                    <c:strCache>
                      <c:ptCount val="1"/>
                      <c:pt idx="0">
                        <c:v>Australia</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strRef>
                </c:cat>
                <c:val>
                  <c:numRef>
                    <c:extLst xmlns:c15="http://schemas.microsoft.com/office/drawing/2012/chart">
                      <c:ext xmlns:c15="http://schemas.microsoft.com/office/drawing/2012/chart" uri="{02D57815-91ED-43cb-92C2-25804820EDAC}">
                        <c15:formulaRef>
                          <c15:sqref>ResultsC!$AE$575:$AE$604</c15:sqref>
                        </c15:formulaRef>
                      </c:ext>
                    </c:extLst>
                    <c:numCache>
                      <c:formatCode>0.00</c:formatCode>
                      <c:ptCount val="8"/>
                      <c:pt idx="0">
                        <c:v>#N/A</c:v>
                      </c:pt>
                      <c:pt idx="1">
                        <c:v>#N/A</c:v>
                      </c:pt>
                      <c:pt idx="2">
                        <c:v>#N/A</c:v>
                      </c:pt>
                      <c:pt idx="3">
                        <c:v>#N/A</c:v>
                      </c:pt>
                      <c:pt idx="4">
                        <c:v>#N/A</c:v>
                      </c:pt>
                      <c:pt idx="5">
                        <c:v>#N/A</c:v>
                      </c:pt>
                      <c:pt idx="6">
                        <c:v>7.3858497942814544E-2</c:v>
                      </c:pt>
                      <c:pt idx="7">
                        <c:v>#N/A</c:v>
                      </c:pt>
                    </c:numCache>
                  </c:numRef>
                </c:val>
                <c:extLst xmlns:c15="http://schemas.microsoft.com/office/drawing/2012/chart">
                  <c:ext xmlns:c16="http://schemas.microsoft.com/office/drawing/2014/chart" uri="{C3380CC4-5D6E-409C-BE32-E72D297353CC}">
                    <c16:uniqueId val="{0000000C-EE54-44E7-9604-D5BD8E378CD8}"/>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ResultsC!$AI$574</c15:sqref>
                        </c15:formulaRef>
                      </c:ext>
                    </c:extLst>
                    <c:strCache>
                      <c:ptCount val="1"/>
                      <c:pt idx="0">
                        <c:v>India</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strRef>
                </c:cat>
                <c:val>
                  <c:numRef>
                    <c:extLst xmlns:c15="http://schemas.microsoft.com/office/drawing/2012/chart">
                      <c:ext xmlns:c15="http://schemas.microsoft.com/office/drawing/2012/chart" uri="{02D57815-91ED-43cb-92C2-25804820EDAC}">
                        <c15:formulaRef>
                          <c15:sqref>ResultsC!$AI$575:$AI$604</c15:sqref>
                        </c15:formulaRef>
                      </c:ext>
                    </c:extLst>
                    <c:numCache>
                      <c:formatCode>0.00</c:formatCode>
                      <c:ptCount val="8"/>
                      <c:pt idx="0">
                        <c:v>#N/A</c:v>
                      </c:pt>
                      <c:pt idx="1">
                        <c:v>#N/A</c:v>
                      </c:pt>
                      <c:pt idx="2">
                        <c:v>#N/A</c:v>
                      </c:pt>
                      <c:pt idx="3">
                        <c:v>#N/A</c:v>
                      </c:pt>
                      <c:pt idx="4">
                        <c:v>#N/A</c:v>
                      </c:pt>
                      <c:pt idx="5">
                        <c:v>#N/A</c:v>
                      </c:pt>
                      <c:pt idx="6">
                        <c:v>0.11993378548730486</c:v>
                      </c:pt>
                      <c:pt idx="7">
                        <c:v>#N/A</c:v>
                      </c:pt>
                    </c:numCache>
                  </c:numRef>
                </c:val>
                <c:extLst xmlns:c15="http://schemas.microsoft.com/office/drawing/2012/chart">
                  <c:ext xmlns:c16="http://schemas.microsoft.com/office/drawing/2014/chart" uri="{C3380CC4-5D6E-409C-BE32-E72D297353CC}">
                    <c16:uniqueId val="{0000000D-EE54-44E7-9604-D5BD8E378CD8}"/>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ResultsC!$AJ$574</c15:sqref>
                        </c15:formulaRef>
                      </c:ext>
                    </c:extLst>
                    <c:strCache>
                      <c:ptCount val="1"/>
                      <c:pt idx="0">
                        <c:v>Indonesia</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strRef>
                </c:cat>
                <c:val>
                  <c:numRef>
                    <c:extLst xmlns:c15="http://schemas.microsoft.com/office/drawing/2012/chart">
                      <c:ext xmlns:c15="http://schemas.microsoft.com/office/drawing/2012/chart" uri="{02D57815-91ED-43cb-92C2-25804820EDAC}">
                        <c15:formulaRef>
                          <c15:sqref>ResultsC!$AJ$575:$AJ$604</c15:sqref>
                        </c15:formulaRef>
                      </c:ext>
                    </c:extLst>
                    <c:numCache>
                      <c:formatCode>0.00</c:formatCode>
                      <c:ptCount val="8"/>
                      <c:pt idx="0">
                        <c:v>#N/A</c:v>
                      </c:pt>
                      <c:pt idx="1">
                        <c:v>#N/A</c:v>
                      </c:pt>
                      <c:pt idx="2">
                        <c:v>#N/A</c:v>
                      </c:pt>
                      <c:pt idx="3">
                        <c:v>#N/A</c:v>
                      </c:pt>
                      <c:pt idx="4">
                        <c:v>#N/A</c:v>
                      </c:pt>
                      <c:pt idx="5">
                        <c:v>#N/A</c:v>
                      </c:pt>
                      <c:pt idx="6">
                        <c:v>4.1923416340362937E-2</c:v>
                      </c:pt>
                      <c:pt idx="7">
                        <c:v>#N/A</c:v>
                      </c:pt>
                    </c:numCache>
                  </c:numRef>
                </c:val>
                <c:extLst xmlns:c15="http://schemas.microsoft.com/office/drawing/2012/chart">
                  <c:ext xmlns:c16="http://schemas.microsoft.com/office/drawing/2014/chart" uri="{C3380CC4-5D6E-409C-BE32-E72D297353CC}">
                    <c16:uniqueId val="{0000000E-EE54-44E7-9604-D5BD8E378CD8}"/>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ResultsC!$AN$574</c15:sqref>
                        </c15:formulaRef>
                      </c:ext>
                    </c:extLst>
                    <c:strCache>
                      <c:ptCount val="1"/>
                      <c:pt idx="0">
                        <c:v>Saudi Arabia</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strRef>
                </c:cat>
                <c:val>
                  <c:numRef>
                    <c:extLst xmlns:c15="http://schemas.microsoft.com/office/drawing/2012/chart">
                      <c:ext xmlns:c15="http://schemas.microsoft.com/office/drawing/2012/chart" uri="{02D57815-91ED-43cb-92C2-25804820EDAC}">
                        <c15:formulaRef>
                          <c15:sqref>ResultsC!$AN$575:$AN$604</c15:sqref>
                        </c15:formulaRef>
                      </c:ext>
                    </c:extLst>
                    <c:numCache>
                      <c:formatCode>0.00</c:formatCode>
                      <c:ptCount val="8"/>
                      <c:pt idx="0">
                        <c:v>#N/A</c:v>
                      </c:pt>
                      <c:pt idx="1">
                        <c:v>#N/A</c:v>
                      </c:pt>
                      <c:pt idx="2">
                        <c:v>#N/A</c:v>
                      </c:pt>
                      <c:pt idx="3">
                        <c:v>#N/A</c:v>
                      </c:pt>
                      <c:pt idx="4">
                        <c:v>#N/A</c:v>
                      </c:pt>
                      <c:pt idx="5">
                        <c:v>#N/A</c:v>
                      </c:pt>
                      <c:pt idx="6">
                        <c:v>#N/A</c:v>
                      </c:pt>
                      <c:pt idx="7">
                        <c:v>#N/A</c:v>
                      </c:pt>
                    </c:numCache>
                  </c:numRef>
                </c:val>
                <c:extLst xmlns:c15="http://schemas.microsoft.com/office/drawing/2012/chart">
                  <c:ext xmlns:c16="http://schemas.microsoft.com/office/drawing/2014/chart" uri="{C3380CC4-5D6E-409C-BE32-E72D297353CC}">
                    <c16:uniqueId val="{0000000F-EE54-44E7-9604-D5BD8E378CD8}"/>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ResultsC!$AO$574</c15:sqref>
                        </c15:formulaRef>
                      </c:ext>
                    </c:extLst>
                    <c:strCache>
                      <c:ptCount val="1"/>
                      <c:pt idx="0">
                        <c:v>South Africa</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strRef>
                </c:cat>
                <c:val>
                  <c:numRef>
                    <c:extLst xmlns:c15="http://schemas.microsoft.com/office/drawing/2012/chart">
                      <c:ext xmlns:c15="http://schemas.microsoft.com/office/drawing/2012/chart" uri="{02D57815-91ED-43cb-92C2-25804820EDAC}">
                        <c15:formulaRef>
                          <c15:sqref>ResultsC!$AO$575:$AO$604</c15:sqref>
                        </c15:formulaRef>
                      </c:ext>
                    </c:extLst>
                    <c:numCache>
                      <c:formatCode>0.00</c:formatCode>
                      <c:ptCount val="8"/>
                      <c:pt idx="0">
                        <c:v>#N/A</c:v>
                      </c:pt>
                      <c:pt idx="1">
                        <c:v>#N/A</c:v>
                      </c:pt>
                      <c:pt idx="2">
                        <c:v>#N/A</c:v>
                      </c:pt>
                      <c:pt idx="3">
                        <c:v>#N/A</c:v>
                      </c:pt>
                      <c:pt idx="4">
                        <c:v>#N/A</c:v>
                      </c:pt>
                      <c:pt idx="5">
                        <c:v>#N/A</c:v>
                      </c:pt>
                      <c:pt idx="6">
                        <c:v>2.7725692717743309E-2</c:v>
                      </c:pt>
                      <c:pt idx="7">
                        <c:v>#N/A</c:v>
                      </c:pt>
                    </c:numCache>
                  </c:numRef>
                </c:val>
                <c:extLst xmlns:c15="http://schemas.microsoft.com/office/drawing/2012/chart">
                  <c:ext xmlns:c16="http://schemas.microsoft.com/office/drawing/2014/chart" uri="{C3380CC4-5D6E-409C-BE32-E72D297353CC}">
                    <c16:uniqueId val="{00000010-EE54-44E7-9604-D5BD8E378CD8}"/>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ResultsC!$AP$574</c15:sqref>
                        </c15:formulaRef>
                      </c:ext>
                    </c:extLst>
                    <c:strCache>
                      <c:ptCount val="1"/>
                      <c:pt idx="0">
                        <c:v>Turkey</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ResultsC!$Z$575:$Z$604</c15:sqref>
                        </c15:formulaRef>
                      </c:ext>
                    </c:extLst>
                    <c:strCache>
                      <c:ptCount val="8"/>
                      <c:pt idx="0">
                        <c:v>C11 - Beverages</c:v>
                      </c:pt>
                      <c:pt idx="1">
                        <c:v>C21 - Pharmaceutical products</c:v>
                      </c:pt>
                      <c:pt idx="2">
                        <c:v>C231 - Glass</c:v>
                      </c:pt>
                      <c:pt idx="3">
                        <c:v>C25 - Fabricated metal products</c:v>
                      </c:pt>
                      <c:pt idx="4">
                        <c:v>C26 - Computer and electronics</c:v>
                      </c:pt>
                      <c:pt idx="5">
                        <c:v>C27 - Electrical equipment</c:v>
                      </c:pt>
                      <c:pt idx="6">
                        <c:v>C28 - Machinery and equipment</c:v>
                      </c:pt>
                      <c:pt idx="7">
                        <c:v>C29 - Motor vehicles</c:v>
                      </c:pt>
                    </c:strCache>
                  </c:strRef>
                </c:cat>
                <c:val>
                  <c:numRef>
                    <c:extLst xmlns:c15="http://schemas.microsoft.com/office/drawing/2012/chart">
                      <c:ext xmlns:c15="http://schemas.microsoft.com/office/drawing/2012/chart" uri="{02D57815-91ED-43cb-92C2-25804820EDAC}">
                        <c15:formulaRef>
                          <c15:sqref>ResultsC!$AP$575:$AP$604</c15:sqref>
                        </c15:formulaRef>
                      </c:ext>
                    </c:extLst>
                    <c:numCache>
                      <c:formatCode>0.00</c:formatCode>
                      <c:ptCount val="8"/>
                      <c:pt idx="0">
                        <c:v>#N/A</c:v>
                      </c:pt>
                      <c:pt idx="1">
                        <c:v>#N/A</c:v>
                      </c:pt>
                      <c:pt idx="2">
                        <c:v>#N/A</c:v>
                      </c:pt>
                      <c:pt idx="3">
                        <c:v>#N/A</c:v>
                      </c:pt>
                      <c:pt idx="4">
                        <c:v>#N/A</c:v>
                      </c:pt>
                      <c:pt idx="5">
                        <c:v>#N/A</c:v>
                      </c:pt>
                      <c:pt idx="6">
                        <c:v>#N/A</c:v>
                      </c:pt>
                      <c:pt idx="7">
                        <c:v>#N/A</c:v>
                      </c:pt>
                    </c:numCache>
                  </c:numRef>
                </c:val>
                <c:extLst xmlns:c15="http://schemas.microsoft.com/office/drawing/2012/chart">
                  <c:ext xmlns:c16="http://schemas.microsoft.com/office/drawing/2014/chart" uri="{C3380CC4-5D6E-409C-BE32-E72D297353CC}">
                    <c16:uniqueId val="{00000011-EE54-44E7-9604-D5BD8E378CD8}"/>
                  </c:ext>
                </c:extLst>
              </c15:ser>
            </c15:filteredBarSeries>
          </c:ext>
        </c:extLst>
      </c:barChart>
      <c:catAx>
        <c:axId val="1009895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mn-cs"/>
              </a:defRPr>
            </a:pPr>
            <a:endParaRPr lang="en-US"/>
          </a:p>
        </c:txPr>
        <c:crossAx val="102240640"/>
        <c:crosses val="autoZero"/>
        <c:auto val="1"/>
        <c:lblAlgn val="ctr"/>
        <c:lblOffset val="100"/>
        <c:noMultiLvlLbl val="0"/>
      </c:catAx>
      <c:valAx>
        <c:axId val="102240640"/>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mn-cs"/>
                  </a:defRPr>
                </a:pPr>
                <a:r>
                  <a:rPr lang="en-GB"/>
                  <a:t>TOE energy consumption per thousand EUR VA</a:t>
                </a:r>
              </a:p>
            </c:rich>
          </c:tx>
          <c:overlay val="0"/>
          <c:spPr>
            <a:noFill/>
            <a:ln>
              <a:noFill/>
            </a:ln>
            <a:effectLst/>
          </c:sp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mn-cs"/>
              </a:defRPr>
            </a:pPr>
            <a:endParaRPr lang="en-US"/>
          </a:p>
        </c:txPr>
        <c:crossAx val="10098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rebuchet MS" panose="020B0603020202020204" pitchFamily="34" charset="0"/>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800">
          <a:solidFill>
            <a:sysClr val="windowText" lastClr="000000"/>
          </a:solidFill>
          <a:latin typeface="Trebuchet MS" panose="020B0603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F8D8C6F-2B0B-4005-971D-F9FD69BAD2B8}">
  <ds:schemaRefs>
    <ds:schemaRef ds:uri="http://schemas.microsoft.com/sharepoint/v3/contenttype/forms"/>
  </ds:schemaRefs>
</ds:datastoreItem>
</file>

<file path=customXml/itemProps2.xml><?xml version="1.0" encoding="utf-8"?>
<ds:datastoreItem xmlns:ds="http://schemas.openxmlformats.org/officeDocument/2006/customXml" ds:itemID="{C5108ABC-8F73-471A-9BE4-B1C2D332CE2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abd62ad-0606-492b-b6b3-a241217a7a72"/>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B0462695-9EAB-4C07-98FC-3F044283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4EEACE-3AB4-46EA-9507-3AB529023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26762</Words>
  <Characters>141304</Characters>
  <Application>Microsoft Office Word</Application>
  <DocSecurity>0</DocSecurity>
  <Lines>5887</Lines>
  <Paragraphs>4201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19</cp:revision>
  <cp:lastPrinted>2018-12-19T16:59:00Z</cp:lastPrinted>
  <dcterms:created xsi:type="dcterms:W3CDTF">2020-09-30T21:15:00Z</dcterms:created>
  <dcterms:modified xsi:type="dcterms:W3CDTF">2020-10-14T07:41:00Z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4</vt:lpwstr>
  </property>
  <property fmtid="{D5CDD505-2E9C-101B-9397-08002B2CF9AE}" pid="3" name="Total parts">
    <vt:lpwstr>6</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IsMyDocuments">
    <vt:bool>true</vt:bool>
  </property>
  <property fmtid="{D5CDD505-2E9C-101B-9397-08002B2CF9AE}" pid="7" name="Last edited using">
    <vt:lpwstr>LW 7.0, Build 20190717</vt:lpwstr>
  </property>
  <property fmtid="{D5CDD505-2E9C-101B-9397-08002B2CF9AE}" pid="8" name="Created using">
    <vt:lpwstr>LW 6.0.1, Build 20180503</vt:lpwstr>
  </property>
  <property fmtid="{D5CDD505-2E9C-101B-9397-08002B2CF9AE}" pid="9" name="CPTemplateID">
    <vt:lpwstr>CP-025</vt:lpwstr>
  </property>
  <property fmtid="{D5CDD505-2E9C-101B-9397-08002B2CF9AE}" pid="10" name="_DocHome">
    <vt:i4>1336800820</vt:i4>
  </property>
  <property fmtid="{D5CDD505-2E9C-101B-9397-08002B2CF9AE}" pid="11" name="_LW_INVALIDATED__LW_INVALIDATED__LW_INVALIDATED__LW_INVALIDATED__LW_INVALIDATED_ContentTypeId">
    <vt:lpwstr>0x010100258AA79CEB83498886A3A08681123250005E2AC295F185DC4590AEB664EBBB01D6</vt:lpwstr>
  </property>
</Properties>
</file>