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Toc50648314"/>
      <w:bookmarkStart w:id="1" w:name="_Toc50654344"/>
      <w:bookmarkStart w:id="2" w:name="_Toc50654899"/>
      <w:bookmarkStart w:id="3" w:name="_Toc50732446"/>
      <w:bookmarkStart w:id="4" w:name="_Toc524619494"/>
      <w:bookmarkStart w:id="5" w:name="_Toc524961041"/>
      <w:bookmarkStart w:id="6" w:name="_Toc525143006"/>
      <w:bookmarkStart w:id="7" w:name="_Toc525222163"/>
      <w:bookmarkStart w:id="8" w:name="_Toc525222332"/>
      <w:bookmarkStart w:id="9" w:name="_Toc526420726"/>
      <w:bookmarkStart w:id="10" w:name="_Toc526433953"/>
      <w:bookmarkStart w:id="11" w:name="_Toc526435895"/>
      <w:bookmarkStart w:id="12" w:name="_Toc530595225"/>
      <w:bookmarkStart w:id="13"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alt="2EC9AE63-AAA4-44F1-9417-D4737CA6A7F4" style="width:450.15pt;height:393.3pt">
            <v:imagedata r:id="rId13" o:title=""/>
          </v:shape>
        </w:pict>
      </w:r>
    </w:p>
    <w:bookmarkEnd w:id="13"/>
    <w:p>
      <w:pPr>
        <w:pStyle w:val="Pagedecouverture"/>
        <w:rPr>
          <w:noProof/>
        </w:rPr>
        <w:sectPr>
          <w:headerReference w:type="even" r:id="rId14"/>
          <w:headerReference w:type="default" r:id="rId15"/>
          <w:footerReference w:type="even" r:id="rId16"/>
          <w:footerReference w:type="default" r:id="rId17"/>
          <w:headerReference w:type="first" r:id="rId18"/>
          <w:footerReference w:type="first" r:id="rId19"/>
          <w:footnotePr>
            <w:numStart w:val="13"/>
          </w:footnotePr>
          <w:pgSz w:w="11906" w:h="16838" w:code="9"/>
          <w:pgMar w:top="1134" w:right="1417" w:bottom="1134" w:left="1417" w:header="709" w:footer="709" w:gutter="0"/>
          <w:pgNumType w:start="75"/>
          <w:cols w:space="720"/>
          <w:docGrid w:linePitch="360"/>
        </w:sectPr>
      </w:pPr>
    </w:p>
    <w:p>
      <w:pPr>
        <w:pStyle w:val="Heading1"/>
        <w:numPr>
          <w:ilvl w:val="0"/>
          <w:numId w:val="1"/>
        </w:numPr>
        <w:rPr>
          <w:noProof/>
        </w:rPr>
      </w:pPr>
      <w:bookmarkStart w:id="14" w:name="_Toc52396530"/>
      <w:bookmarkStart w:id="15" w:name="_GoBack"/>
      <w:bookmarkEnd w:id="15"/>
      <w:r>
        <w:rPr>
          <w:noProof/>
        </w:rPr>
        <w:lastRenderedPageBreak/>
        <w:t>Oil and oil product prices</w:t>
      </w:r>
      <w:bookmarkEnd w:id="0"/>
      <w:bookmarkEnd w:id="1"/>
      <w:bookmarkEnd w:id="2"/>
      <w:bookmarkEnd w:id="3"/>
      <w:r>
        <w:rPr>
          <w:rStyle w:val="FootnoteReference"/>
          <w:noProof/>
          <w:sz w:val="24"/>
          <w:szCs w:val="24"/>
        </w:rPr>
        <w:footnoteReference w:id="2"/>
      </w:r>
      <w:bookmarkEnd w:id="14"/>
      <w:bookmarkEnd w:id="4"/>
      <w:bookmarkEnd w:id="5"/>
      <w:bookmarkEnd w:id="6"/>
      <w:bookmarkEnd w:id="7"/>
      <w:bookmarkEnd w:id="8"/>
      <w:bookmarkEnd w:id="9"/>
      <w:bookmarkEnd w:id="10"/>
      <w:bookmarkEnd w:id="11"/>
      <w:bookmarkEnd w:id="12"/>
    </w:p>
    <w:p>
      <w:pPr>
        <w:spacing w:after="0"/>
        <w:jc w:val="left"/>
        <w:rPr>
          <w:noProof/>
        </w:rPr>
      </w:pPr>
    </w:p>
    <w:p>
      <w:pPr>
        <w:spacing w:after="200"/>
        <w:rPr>
          <w:b/>
          <w:bCs/>
          <w:noProof/>
          <w:sz w:val="24"/>
          <w:szCs w:val="24"/>
        </w:rPr>
      </w:pPr>
    </w:p>
    <w:p>
      <w:pPr>
        <w:spacing w:after="200"/>
        <w:rPr>
          <w:b/>
          <w:bCs/>
          <w:noProof/>
          <w:sz w:val="24"/>
          <w:szCs w:val="24"/>
        </w:rPr>
      </w:pPr>
    </w:p>
    <w:p>
      <w:pPr>
        <w:spacing w:after="360"/>
        <w:rPr>
          <w:b/>
          <w:bCs/>
          <w:noProof/>
          <w:sz w:val="24"/>
          <w:szCs w:val="24"/>
        </w:rPr>
      </w:pPr>
      <w:r>
        <w:rPr>
          <w:b/>
          <w:bCs/>
          <w:noProof/>
          <w:sz w:val="24"/>
          <w:szCs w:val="24"/>
        </w:rPr>
        <w:t>Main findings</w:t>
      </w:r>
    </w:p>
    <w:p>
      <w:pPr>
        <w:numPr>
          <w:ilvl w:val="0"/>
          <w:numId w:val="3"/>
        </w:numPr>
        <w:spacing w:after="280"/>
        <w:ind w:left="714" w:hanging="357"/>
        <w:rPr>
          <w:noProof/>
          <w:sz w:val="24"/>
          <w:szCs w:val="24"/>
        </w:rPr>
      </w:pPr>
      <w:r>
        <w:rPr>
          <w:noProof/>
          <w:sz w:val="24"/>
          <w:szCs w:val="24"/>
        </w:rPr>
        <w:t>After the dramatic fall seen in 2014-2016, crude oil prices have broadly been rising since mid-2017 until late 2018, driven by robust global demand growth, Middle East tensions, concerns over the impact of a return to US sanctions on Iranian oil, sliding output in Venezuela and the continued OPEC-led output cuts. In 2019 there was settling of price between 60 and 70 USD per barrel due to signs of slowing of global economy and increased production of US shale oil.</w:t>
      </w:r>
    </w:p>
    <w:p>
      <w:pPr>
        <w:numPr>
          <w:ilvl w:val="0"/>
          <w:numId w:val="3"/>
        </w:numPr>
        <w:spacing w:after="280"/>
        <w:ind w:left="714" w:hanging="357"/>
        <w:rPr>
          <w:noProof/>
          <w:sz w:val="24"/>
          <w:szCs w:val="24"/>
        </w:rPr>
      </w:pPr>
      <w:r>
        <w:rPr>
          <w:noProof/>
          <w:sz w:val="24"/>
          <w:szCs w:val="24"/>
        </w:rPr>
        <w:t>Due to COVID-19 crisis decreased demand and longer time needed for OPEC + to come to the agreement on adjusting production on supply side, the oil price fell to 20 USD per barrel.</w:t>
      </w:r>
    </w:p>
    <w:p>
      <w:pPr>
        <w:numPr>
          <w:ilvl w:val="0"/>
          <w:numId w:val="3"/>
        </w:numPr>
        <w:spacing w:after="280"/>
        <w:ind w:left="714" w:hanging="357"/>
        <w:rPr>
          <w:noProof/>
          <w:sz w:val="24"/>
          <w:szCs w:val="24"/>
        </w:rPr>
      </w:pPr>
      <w:r>
        <w:rPr>
          <w:noProof/>
          <w:sz w:val="24"/>
          <w:szCs w:val="24"/>
        </w:rPr>
        <w:t>The crude oil price is the main driver for the development of the wholesale prices of oil products although other factors, like the supply-demand situation in the specific oil product market, refinery maintenance or seasonality can also influence the prices.</w:t>
      </w:r>
    </w:p>
    <w:p>
      <w:pPr>
        <w:numPr>
          <w:ilvl w:val="0"/>
          <w:numId w:val="3"/>
        </w:numPr>
        <w:spacing w:after="280"/>
        <w:ind w:left="714" w:hanging="357"/>
        <w:rPr>
          <w:noProof/>
          <w:sz w:val="24"/>
          <w:szCs w:val="24"/>
        </w:rPr>
      </w:pPr>
      <w:r>
        <w:rPr>
          <w:noProof/>
          <w:sz w:val="24"/>
          <w:szCs w:val="24"/>
        </w:rPr>
        <w:t>In addition to the crude oil price, the retail price of oil products is also influenced by the costs of refining and distribution, variations in exchange rates (crude oil is traded in US dollar but the finished products are sold at the pump in euros or other national currencies) and tax rates. In fact, the share of crude oil in the final price can be as low as 25% and, therefore, variations in the price of crude oil have a limited impact on the price at the pump. In contrast, the tax component (excise duty plus VAT) can reach up to 70% of the retail price</w:t>
      </w:r>
    </w:p>
    <w:p>
      <w:pPr>
        <w:numPr>
          <w:ilvl w:val="0"/>
          <w:numId w:val="3"/>
        </w:numPr>
        <w:spacing w:after="280"/>
        <w:ind w:left="714" w:hanging="357"/>
        <w:rPr>
          <w:noProof/>
          <w:sz w:val="24"/>
          <w:szCs w:val="24"/>
        </w:rPr>
      </w:pPr>
      <w:r>
        <w:rPr>
          <w:noProof/>
          <w:sz w:val="24"/>
          <w:szCs w:val="24"/>
        </w:rPr>
        <w:t xml:space="preserve">The high share of taxes and exchange rate developments moderate the pass-through of falling/rising crude oil prices to the retail prices of oil products in Europe. </w:t>
      </w:r>
    </w:p>
    <w:p>
      <w:pPr>
        <w:numPr>
          <w:ilvl w:val="0"/>
          <w:numId w:val="3"/>
        </w:numPr>
        <w:spacing w:after="280"/>
        <w:ind w:left="714" w:hanging="357"/>
        <w:rPr>
          <w:noProof/>
          <w:sz w:val="24"/>
          <w:szCs w:val="24"/>
        </w:rPr>
      </w:pPr>
      <w:r>
        <w:rPr>
          <w:noProof/>
          <w:sz w:val="24"/>
          <w:szCs w:val="24"/>
        </w:rPr>
        <w:t>In 2018 and 2019, retail prices reached the highest levels since 2014-2015</w:t>
      </w:r>
    </w:p>
    <w:p>
      <w:pPr>
        <w:numPr>
          <w:ilvl w:val="0"/>
          <w:numId w:val="3"/>
        </w:numPr>
        <w:spacing w:after="280"/>
        <w:ind w:left="714" w:hanging="357"/>
        <w:rPr>
          <w:noProof/>
          <w:sz w:val="24"/>
          <w:szCs w:val="24"/>
        </w:rPr>
      </w:pPr>
      <w:r>
        <w:rPr>
          <w:noProof/>
          <w:sz w:val="24"/>
          <w:szCs w:val="24"/>
        </w:rPr>
        <w:t>Due to COVID-19 crisis, retail prices in first half decreased of 2020 following movement of oil prices and wholesale prices.</w:t>
      </w:r>
    </w:p>
    <w:p>
      <w:pPr>
        <w:numPr>
          <w:ilvl w:val="0"/>
          <w:numId w:val="3"/>
        </w:numPr>
        <w:spacing w:after="280"/>
        <w:ind w:left="714" w:hanging="357"/>
        <w:rPr>
          <w:noProof/>
          <w:sz w:val="24"/>
          <w:szCs w:val="24"/>
        </w:rPr>
      </w:pPr>
      <w:r>
        <w:rPr>
          <w:noProof/>
          <w:sz w:val="24"/>
          <w:szCs w:val="24"/>
        </w:rPr>
        <w:t>There has been some convergence of gasoline and diesel prices, helped by some convergence of the excise duty rates but in several Member States the tax advantage of diesel actually increased.</w:t>
      </w:r>
    </w:p>
    <w:p>
      <w:pPr>
        <w:spacing w:after="280"/>
        <w:ind w:left="714"/>
        <w:rPr>
          <w:noProof/>
          <w:sz w:val="24"/>
          <w:szCs w:val="24"/>
        </w:rPr>
      </w:pPr>
    </w:p>
    <w:p>
      <w:pPr>
        <w:numPr>
          <w:ilvl w:val="0"/>
          <w:numId w:val="3"/>
        </w:numPr>
        <w:spacing w:after="280"/>
        <w:ind w:left="714" w:hanging="357"/>
        <w:rPr>
          <w:noProof/>
          <w:sz w:val="24"/>
          <w:szCs w:val="24"/>
        </w:rPr>
      </w:pPr>
      <w:r>
        <w:rPr>
          <w:noProof/>
          <w:sz w:val="24"/>
          <w:szCs w:val="24"/>
        </w:rPr>
        <w:t xml:space="preserve">International comparison of oil products reveals that differences in prices can be explained by differences in tax treatment amongst G20 countries. EU taxes on oil products are among the highest globally, resulting in a high retail price compared to most G20 countries. </w:t>
      </w:r>
    </w:p>
    <w:p>
      <w:pPr>
        <w:numPr>
          <w:ilvl w:val="0"/>
          <w:numId w:val="3"/>
        </w:numPr>
        <w:spacing w:after="280"/>
        <w:ind w:left="714" w:hanging="357"/>
        <w:rPr>
          <w:noProof/>
          <w:sz w:val="24"/>
          <w:szCs w:val="24"/>
        </w:rPr>
      </w:pPr>
      <w:r>
        <w:rPr>
          <w:noProof/>
          <w:sz w:val="24"/>
          <w:szCs w:val="24"/>
        </w:rPr>
        <w:t>As regards to electricity prices for transport (alternative fuel to the conventional transport fuels) despite the limited available data, it can be observed that both home and public charging prices tend to be higher in Europe than in the main international G20 partners. However, superfast public charging prices in Europe tend to be comparable to the rest of G20 countries.</w:t>
      </w:r>
    </w:p>
    <w:p>
      <w:pPr>
        <w:spacing w:after="0"/>
        <w:jc w:val="left"/>
        <w:rPr>
          <w:noProof/>
          <w:sz w:val="24"/>
          <w:szCs w:val="24"/>
        </w:rPr>
      </w:pPr>
      <w:r>
        <w:rPr>
          <w:noProof/>
          <w:sz w:val="24"/>
          <w:szCs w:val="24"/>
        </w:rPr>
        <w:br w:type="page"/>
      </w:r>
    </w:p>
    <w:p>
      <w:pPr>
        <w:spacing w:after="200"/>
        <w:ind w:left="720"/>
        <w:rPr>
          <w:noProof/>
          <w:sz w:val="24"/>
          <w:szCs w:val="24"/>
        </w:rPr>
      </w:pPr>
    </w:p>
    <w:p>
      <w:pPr>
        <w:pStyle w:val="Heading2"/>
        <w:numPr>
          <w:ilvl w:val="1"/>
          <w:numId w:val="1"/>
        </w:numPr>
        <w:rPr>
          <w:noProof/>
        </w:rPr>
      </w:pPr>
      <w:bookmarkStart w:id="16" w:name="_Toc465092055"/>
      <w:bookmarkStart w:id="17" w:name="_Toc524619495"/>
      <w:bookmarkStart w:id="18" w:name="_Toc524961042"/>
      <w:bookmarkStart w:id="19" w:name="_Toc525143007"/>
      <w:bookmarkStart w:id="20" w:name="_Toc525222164"/>
      <w:bookmarkStart w:id="21" w:name="_Toc525222333"/>
      <w:bookmarkStart w:id="22" w:name="_Toc526420727"/>
      <w:bookmarkStart w:id="23" w:name="_Toc526433954"/>
      <w:bookmarkStart w:id="24" w:name="_Toc526435896"/>
      <w:bookmarkStart w:id="25" w:name="_Toc530595226"/>
      <w:bookmarkStart w:id="26" w:name="_Toc50648315"/>
      <w:bookmarkStart w:id="27" w:name="_Toc50654345"/>
      <w:bookmarkStart w:id="28" w:name="_Toc50654900"/>
      <w:bookmarkStart w:id="29" w:name="_Toc50732447"/>
      <w:bookmarkStart w:id="30" w:name="_Toc52396531"/>
      <w:r>
        <w:rPr>
          <w:noProof/>
        </w:rPr>
        <w:t>Crude oil prices</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pPr>
        <w:rPr>
          <w:noProof/>
        </w:rPr>
      </w:pPr>
    </w:p>
    <w:p>
      <w:pPr>
        <w:pStyle w:val="AAAAAtext"/>
        <w:spacing w:after="120" w:line="240" w:lineRule="auto"/>
        <w:rPr>
          <w:rFonts w:ascii="Times New Roman" w:hAnsi="Times New Roman"/>
          <w:noProof/>
          <w:sz w:val="24"/>
        </w:rPr>
      </w:pPr>
      <w:bookmarkStart w:id="31" w:name="_Toc463015650"/>
      <w:bookmarkStart w:id="32" w:name="_Toc463355882"/>
      <w:r>
        <w:rPr>
          <w:rFonts w:ascii="Times New Roman" w:hAnsi="Times New Roman"/>
          <w:noProof/>
          <w:sz w:val="24"/>
        </w:rPr>
        <w:t>Crude oil prices reached unprecedented levels in 2008, with Brent exceeding 140 USD/bbl at the height of the "commodity super cycle" which was driven by the rising demand from emerging markets, particularly China. The price increase was interrupted by the financial crisis, with a sharp downturn in the second half of 2008. However, as demand recovered, prices began to rise and crossed the 100 USD/bbl level again in early 2011. This was followed by three and a half years of remarkable price stability, with Brent rarely leaving the 100-120 USD/bbl range.</w:t>
      </w:r>
    </w:p>
    <w:p>
      <w:pPr>
        <w:pStyle w:val="AAAAAtext"/>
        <w:spacing w:after="120" w:line="240" w:lineRule="auto"/>
        <w:rPr>
          <w:rFonts w:ascii="Times New Roman" w:hAnsi="Times New Roman"/>
          <w:noProof/>
          <w:sz w:val="24"/>
        </w:rPr>
      </w:pPr>
      <w:r>
        <w:rPr>
          <w:rFonts w:ascii="Times New Roman" w:hAnsi="Times New Roman"/>
          <w:noProof/>
          <w:sz w:val="24"/>
        </w:rPr>
        <w:t>Crude oil prices started to decline in mid-2014, driven by weak demand and robust supply growth, resulting in an oversupplied market. Global oil demand growth has significantly weakened in 2014, mainly because of lower than expected global economic growth and mild winter temperatures.</w:t>
      </w:r>
    </w:p>
    <w:p>
      <w:pPr>
        <w:pStyle w:val="AAAAAtext"/>
        <w:spacing w:after="120" w:line="240" w:lineRule="auto"/>
        <w:rPr>
          <w:rFonts w:ascii="Times New Roman" w:hAnsi="Times New Roman"/>
          <w:noProof/>
          <w:sz w:val="24"/>
        </w:rPr>
      </w:pPr>
      <w:r>
        <w:rPr>
          <w:rFonts w:ascii="Times New Roman" w:hAnsi="Times New Roman"/>
          <w:noProof/>
          <w:sz w:val="24"/>
        </w:rPr>
        <w:t>On the supply side, non-OPEC output showed a robust growth, driven by increasing unconventional oil production in North America. US light tight oil production proved to be rather resilient to low prices: improving efficiency and cost reductions allowed output to continue increasing in spite of the plummeting crude oil prices.</w:t>
      </w:r>
    </w:p>
    <w:p>
      <w:pPr>
        <w:pStyle w:val="AAAAAtext"/>
        <w:spacing w:after="120" w:line="240" w:lineRule="auto"/>
        <w:rPr>
          <w:rFonts w:ascii="Times New Roman" w:hAnsi="Times New Roman"/>
          <w:noProof/>
          <w:sz w:val="24"/>
        </w:rPr>
      </w:pPr>
      <w:r>
        <w:rPr>
          <w:rFonts w:ascii="Times New Roman" w:hAnsi="Times New Roman"/>
          <w:noProof/>
          <w:sz w:val="24"/>
        </w:rPr>
        <w:t xml:space="preserve">In spite of the falling prices, OPEC countries chose not to cut production in an attempt to maintain market share and to squeeze out high-cost producers. Furthermore, the lifting of the Iranian sanctions in January 2016 allowed Iran to increase its oil exports, adding to an already high OPEC output and further delaying the market rebalancing. OPEC and a few key non-OPEC producers finally agreed in November 2016 to limit their production, in order to accelerate the drawdown of the stock overhang and bring the rebalancing forward. </w:t>
      </w:r>
    </w:p>
    <w:p>
      <w:pPr>
        <w:pStyle w:val="AAAAAtext"/>
        <w:spacing w:after="120" w:line="240" w:lineRule="auto"/>
        <w:rPr>
          <w:rFonts w:ascii="Times New Roman" w:hAnsi="Times New Roman"/>
          <w:noProof/>
          <w:sz w:val="24"/>
        </w:rPr>
      </w:pPr>
      <w:r>
        <w:rPr>
          <w:rFonts w:ascii="Times New Roman" w:hAnsi="Times New Roman"/>
          <w:noProof/>
          <w:sz w:val="24"/>
        </w:rPr>
        <w:t xml:space="preserve">From a 115 USD/bbl peak in June 2014, Brent dropped to 26 USD/bbl on 20 January 2016, its lowest level since 2003. This means the price decreased by 77% in 19 months. </w:t>
      </w:r>
    </w:p>
    <w:p>
      <w:pPr>
        <w:pStyle w:val="AAAAAtext"/>
        <w:spacing w:after="120" w:line="240" w:lineRule="auto"/>
        <w:rPr>
          <w:rFonts w:ascii="Times New Roman" w:hAnsi="Times New Roman"/>
          <w:noProof/>
          <w:sz w:val="24"/>
        </w:rPr>
      </w:pPr>
      <w:r>
        <w:rPr>
          <w:rFonts w:ascii="Times New Roman" w:hAnsi="Times New Roman"/>
          <w:noProof/>
          <w:sz w:val="24"/>
        </w:rPr>
        <w:t>Despite the November 2016 agreement of OPEC and non-OPEC producers to reduce output, oil prices decreased in the first half of 2017 reflecting increasing production in the US, as well as growing output in Libya and Nigeria which were exempted from the OPEC cut. The rollover of the cut in May 2017 failed to reverse the trend: in the second half of June 2017, the price of Brent dropped below 45 USD/bbl, the lowest level since November 2016.</w:t>
      </w:r>
    </w:p>
    <w:p>
      <w:pPr>
        <w:pStyle w:val="AAAAAtext"/>
        <w:spacing w:after="120" w:line="240" w:lineRule="auto"/>
        <w:rPr>
          <w:rFonts w:ascii="Times New Roman" w:hAnsi="Times New Roman"/>
          <w:noProof/>
          <w:sz w:val="24"/>
        </w:rPr>
      </w:pPr>
      <w:r>
        <w:rPr>
          <w:rFonts w:ascii="Times New Roman" w:hAnsi="Times New Roman"/>
          <w:noProof/>
          <w:sz w:val="24"/>
        </w:rPr>
        <w:t xml:space="preserve">From mid-2017, however, oil prices have broadly been on the rise, driven by a combination of factors, including the robust growth of global demand, growing tensions in the Middle East, a number of actual supply disruptions (Northern Iraq, hurricanes in North America, closure of the Forties pipeline system in the UK North Sea, a sustained plunge of Venezuelan supply), the weakening of the dollar and a further extension of the OPEC cut in November 2017. In late December and early January, the protests in Iran provided support to prices. </w:t>
      </w:r>
    </w:p>
    <w:p>
      <w:pPr>
        <w:pStyle w:val="AAAAAtext"/>
        <w:spacing w:after="120" w:line="240" w:lineRule="auto"/>
        <w:rPr>
          <w:rFonts w:ascii="Times New Roman" w:hAnsi="Times New Roman"/>
          <w:noProof/>
          <w:sz w:val="24"/>
        </w:rPr>
      </w:pPr>
      <w:r>
        <w:rPr>
          <w:rFonts w:ascii="Times New Roman" w:hAnsi="Times New Roman"/>
          <w:noProof/>
          <w:sz w:val="24"/>
        </w:rPr>
        <w:t>Prices receded in early February 2018 as the market remained well supplied, but the price rise resumed afterwards as growing tensions in Syria and the expectation of the US withdrawal from the Joint Comprehensive Plan of Action (the Iran nuclear deal) raised concerns about future oil supplies. In mid-May 2018, after President Trump announced the re-imposition of US sanctions on Iran, Brent reached 80 USD/bbl, the highest level in three and a half years. Compared to the 44 USD/bbl low on 20 June 2017, Brent increased by more than 75%. Prices continued to rise despite the strengthening of the US dollar which in general is conducive to lower oil prices.</w:t>
      </w:r>
    </w:p>
    <w:p>
      <w:pPr>
        <w:pStyle w:val="AAAAAtext"/>
        <w:spacing w:after="120" w:line="240" w:lineRule="auto"/>
        <w:rPr>
          <w:rFonts w:ascii="Times New Roman" w:hAnsi="Times New Roman"/>
          <w:noProof/>
          <w:sz w:val="24"/>
        </w:rPr>
      </w:pPr>
    </w:p>
    <w:p>
      <w:pPr>
        <w:pStyle w:val="AAAAAtext"/>
        <w:spacing w:after="120" w:line="240" w:lineRule="auto"/>
        <w:rPr>
          <w:rFonts w:ascii="Times New Roman" w:hAnsi="Times New Roman"/>
          <w:noProof/>
          <w:sz w:val="24"/>
        </w:rPr>
      </w:pPr>
      <w:r>
        <w:rPr>
          <w:rFonts w:ascii="Times New Roman" w:hAnsi="Times New Roman"/>
          <w:noProof/>
          <w:sz w:val="24"/>
        </w:rPr>
        <w:t xml:space="preserve">Brent receded to around 75 USD/bbl in late May/early June after Russia and Saudi Arabia indicated they would increase production in the second half of the year. On 22 June, OPEC and non-OPEC producers agreed to do away with the over-compliance with the cuts agreed back in 2016, implying a theoretical output increase of around 1 million barrels per day (mb/d) in the second half of the year. Despite the agreement, prices rose again in late June and early July, supported by production outages in Libya and Canada. </w:t>
      </w:r>
    </w:p>
    <w:bookmarkEnd w:id="31"/>
    <w:bookmarkEnd w:id="32"/>
    <w:p>
      <w:pPr>
        <w:pStyle w:val="AAAAAtext"/>
        <w:rPr>
          <w:noProof/>
          <w:spacing w:val="5"/>
          <w:lang w:eastAsia="de-DE"/>
        </w:rPr>
      </w:pPr>
      <w:r>
        <w:rPr>
          <w:noProof/>
        </w:rPr>
        <w:drawing>
          <wp:inline distT="0" distB="0" distL="0" distR="0">
            <wp:extent cx="6132314" cy="5209844"/>
            <wp:effectExtent l="0" t="0" r="1905" b="0"/>
            <wp:docPr id="9822100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6132314" cy="5209844"/>
                    </a:xfrm>
                    <a:prstGeom prst="rect">
                      <a:avLst/>
                    </a:prstGeom>
                  </pic:spPr>
                </pic:pic>
              </a:graphicData>
            </a:graphic>
          </wp:inline>
        </w:drawing>
      </w:r>
    </w:p>
    <w:p>
      <w:pPr>
        <w:pStyle w:val="Caption"/>
      </w:pPr>
      <w:bookmarkStart w:id="33" w:name="_Toc525807820"/>
      <w:bookmarkStart w:id="34" w:name="_Toc526433423"/>
      <w:bookmarkStart w:id="35" w:name="_Toc526433701"/>
      <w:bookmarkStart w:id="36" w:name="_Toc526435643"/>
      <w:bookmarkStart w:id="37" w:name="_Toc530739729"/>
      <w:bookmarkStart w:id="38" w:name="_Toc531366104"/>
      <w:bookmarkStart w:id="39" w:name="_Toc50494068"/>
      <w:bookmarkStart w:id="40" w:name="_Toc52396834"/>
      <w:r>
        <w:t xml:space="preserve">Figure </w:t>
      </w:r>
      <w:r>
        <w:fldChar w:fldCharType="begin"/>
      </w:r>
      <w:r>
        <w:instrText xml:space="preserve"> SEQ Figure \* ARABIC </w:instrText>
      </w:r>
      <w:r>
        <w:fldChar w:fldCharType="separate"/>
      </w:r>
      <w:r>
        <w:t>62</w:t>
      </w:r>
      <w:r>
        <w:fldChar w:fldCharType="end"/>
      </w:r>
      <w:r>
        <w:t xml:space="preserve"> - The Brent crude oil price from 2000 to mid-20</w:t>
      </w:r>
      <w:bookmarkEnd w:id="33"/>
      <w:bookmarkEnd w:id="34"/>
      <w:bookmarkEnd w:id="35"/>
      <w:bookmarkEnd w:id="36"/>
      <w:bookmarkEnd w:id="37"/>
      <w:bookmarkEnd w:id="38"/>
      <w:r>
        <w:t>20</w:t>
      </w:r>
      <w:bookmarkEnd w:id="39"/>
      <w:bookmarkEnd w:id="40"/>
    </w:p>
    <w:p>
      <w:pPr>
        <w:pStyle w:val="Sources"/>
        <w:rPr>
          <w:noProof/>
        </w:rPr>
      </w:pPr>
      <w:r>
        <w:rPr>
          <w:noProof/>
        </w:rPr>
        <w:t>Source: Platts</w:t>
      </w:r>
    </w:p>
    <w:p>
      <w:pPr>
        <w:rPr>
          <w:noProof/>
          <w:sz w:val="24"/>
          <w:szCs w:val="24"/>
        </w:rPr>
      </w:pPr>
    </w:p>
    <w:p>
      <w:pPr>
        <w:rPr>
          <w:noProof/>
          <w:sz w:val="24"/>
          <w:szCs w:val="24"/>
        </w:rPr>
      </w:pPr>
      <w:r>
        <w:rPr>
          <w:noProof/>
          <w:sz w:val="24"/>
          <w:szCs w:val="24"/>
        </w:rPr>
        <w:t>The unilateral withdrawal of the US from the Iran nuclear deal cast a doubt about the future of Iranian crude exports, at a time when output in Libya and Venezuela was sliding, as well as geopolitical risks increasing in other parts of the world. This on one hand further tightened the global market, leading to additional price rise above 80 USD per barrel as OPEC and Russia could not fill this gap with their production.</w:t>
      </w:r>
    </w:p>
    <w:p>
      <w:pPr>
        <w:rPr>
          <w:noProof/>
          <w:sz w:val="24"/>
          <w:szCs w:val="24"/>
        </w:rPr>
      </w:pPr>
      <w:r>
        <w:rPr>
          <w:noProof/>
          <w:sz w:val="24"/>
          <w:szCs w:val="24"/>
        </w:rPr>
        <w:t xml:space="preserve">Growth in energy markets slowed in 2019 due to weaker economic growth. Oil price dropped below 60 USD per barrel and fluctuated between 60 and 70 USD per barrel throughout 2019. However, in September 2019, due to an attack on key energy installations in Saudi Arabia, Brent oil prices increased by 9 USD per barrel, but only for a short while because of Saudi Arabia’s ability to bring production back online within weeks of the attack and global concerns about demand growth. Throughout 2019, increases in U.S. petroleum production put downward pressure on crude oil prices. In addition, the production increases likely limited the effect on prices from the attack on Saudi Arabia, production cut announcements from the Organization of the Petroleum Exporting Countries (OPEC), and U.S. sanctions on Iran and Venezuela that limited crude oil exports from those countries. </w:t>
      </w:r>
    </w:p>
    <w:p>
      <w:pPr>
        <w:rPr>
          <w:noProof/>
          <w:sz w:val="24"/>
          <w:szCs w:val="24"/>
        </w:rPr>
      </w:pPr>
      <w:r>
        <w:rPr>
          <w:noProof/>
          <w:sz w:val="24"/>
          <w:szCs w:val="24"/>
        </w:rPr>
        <w:t>Since mid-January 2020 oil prices began to decrease based on slowing economic indicators, but dropped significantly to 20 USD per barrel (the lowest since 2002) as confinement measures for COVID-19 were imposed in China (and subsequently in other countries in the world) leading to immediate decrease for oil demand. Negotiations between OPEC members and non-OPEC members including Russia did not lead to production adjustment right away, but only in May after which oil price eased up a bit above 40 USD per barrel.</w:t>
      </w:r>
    </w:p>
    <w:p>
      <w:pPr>
        <w:rPr>
          <w:noProof/>
          <w:sz w:val="24"/>
          <w:szCs w:val="24"/>
        </w:rPr>
      </w:pPr>
    </w:p>
    <w:p>
      <w:pPr>
        <w:rPr>
          <w:noProof/>
          <w:sz w:val="24"/>
          <w:szCs w:val="24"/>
        </w:rPr>
      </w:pPr>
    </w:p>
    <w:p>
      <w:pPr>
        <w:pStyle w:val="Heading2"/>
        <w:numPr>
          <w:ilvl w:val="1"/>
          <w:numId w:val="1"/>
        </w:numPr>
        <w:rPr>
          <w:noProof/>
        </w:rPr>
      </w:pPr>
      <w:bookmarkStart w:id="41" w:name="_Toc465092056"/>
      <w:bookmarkStart w:id="42" w:name="_Toc524619496"/>
      <w:bookmarkStart w:id="43" w:name="_Toc524961043"/>
      <w:bookmarkStart w:id="44" w:name="_Toc525143008"/>
      <w:bookmarkStart w:id="45" w:name="_Toc525222165"/>
      <w:bookmarkStart w:id="46" w:name="_Toc525222334"/>
      <w:bookmarkStart w:id="47" w:name="_Toc526420728"/>
      <w:bookmarkStart w:id="48" w:name="_Toc526433955"/>
      <w:bookmarkStart w:id="49" w:name="_Toc526435897"/>
      <w:bookmarkStart w:id="50" w:name="_Toc530595227"/>
      <w:bookmarkStart w:id="51" w:name="_Toc50648316"/>
      <w:bookmarkStart w:id="52" w:name="_Toc50654346"/>
      <w:bookmarkStart w:id="53" w:name="_Toc50654901"/>
      <w:bookmarkStart w:id="54" w:name="_Toc50732448"/>
      <w:bookmarkStart w:id="55" w:name="_Toc52396532"/>
      <w:r>
        <w:rPr>
          <w:noProof/>
        </w:rPr>
        <w:t>Wholesale prices of oil products</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pPr>
        <w:rPr>
          <w:noProof/>
        </w:rPr>
      </w:pPr>
    </w:p>
    <w:p>
      <w:pPr>
        <w:rPr>
          <w:noProof/>
          <w:sz w:val="24"/>
          <w:szCs w:val="24"/>
        </w:rPr>
      </w:pPr>
      <w:bookmarkStart w:id="56" w:name="_Toc463015651"/>
      <w:bookmarkStart w:id="57" w:name="_Toc463355883"/>
      <w:r>
        <w:rPr>
          <w:noProof/>
          <w:sz w:val="24"/>
          <w:szCs w:val="24"/>
        </w:rPr>
        <w:t>Crude oil is the main feedstock to produce oil products and oil product prices closely follow the development of the crude oil price. This is clearly visible if we compare the Brent oil price with the representative wholesale prices of the main oil products in Western Europe.</w:t>
      </w:r>
    </w:p>
    <w:p>
      <w:pPr>
        <w:pStyle w:val="AAAAAtext"/>
        <w:rPr>
          <w:noProof/>
          <w:spacing w:val="5"/>
          <w:lang w:eastAsia="de-DE"/>
        </w:rPr>
      </w:pPr>
      <w:r>
        <w:rPr>
          <w:noProof/>
        </w:rPr>
        <w:drawing>
          <wp:inline distT="0" distB="0" distL="0" distR="0">
            <wp:extent cx="5723756" cy="2659209"/>
            <wp:effectExtent l="0" t="0" r="0" b="8255"/>
            <wp:docPr id="60155057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5723756" cy="2659209"/>
                    </a:xfrm>
                    <a:prstGeom prst="rect">
                      <a:avLst/>
                    </a:prstGeom>
                  </pic:spPr>
                </pic:pic>
              </a:graphicData>
            </a:graphic>
          </wp:inline>
        </w:drawing>
      </w:r>
    </w:p>
    <w:p>
      <w:pPr>
        <w:pStyle w:val="Caption"/>
      </w:pPr>
      <w:bookmarkStart w:id="58" w:name="_Toc525807821"/>
      <w:bookmarkStart w:id="59" w:name="_Toc526433424"/>
      <w:bookmarkStart w:id="60" w:name="_Toc526433702"/>
      <w:bookmarkStart w:id="61" w:name="_Toc526435644"/>
      <w:bookmarkStart w:id="62" w:name="_Toc530739730"/>
      <w:bookmarkStart w:id="63" w:name="_Toc531366105"/>
      <w:bookmarkStart w:id="64" w:name="_Toc50494069"/>
      <w:bookmarkStart w:id="65" w:name="_Toc52396835"/>
      <w:r>
        <w:t xml:space="preserve">Figure </w:t>
      </w:r>
      <w:r>
        <w:fldChar w:fldCharType="begin"/>
      </w:r>
      <w:r>
        <w:instrText xml:space="preserve"> SEQ Figure \* ARABIC </w:instrText>
      </w:r>
      <w:r>
        <w:fldChar w:fldCharType="separate"/>
      </w:r>
      <w:r>
        <w:t>63</w:t>
      </w:r>
      <w:r>
        <w:fldChar w:fldCharType="end"/>
      </w:r>
      <w:r>
        <w:t xml:space="preserve"> - Crude oil (Brent) and European wholesale gasoline, diesel and heating oil prices from 2008 to mid-2018</w:t>
      </w:r>
      <w:bookmarkEnd w:id="56"/>
      <w:bookmarkEnd w:id="57"/>
      <w:bookmarkEnd w:id="58"/>
      <w:bookmarkEnd w:id="59"/>
      <w:bookmarkEnd w:id="60"/>
      <w:bookmarkEnd w:id="61"/>
      <w:bookmarkEnd w:id="62"/>
      <w:bookmarkEnd w:id="63"/>
      <w:bookmarkEnd w:id="64"/>
      <w:bookmarkEnd w:id="65"/>
    </w:p>
    <w:p>
      <w:pPr>
        <w:pStyle w:val="Sources"/>
        <w:rPr>
          <w:noProof/>
        </w:rPr>
      </w:pPr>
      <w:r>
        <w:rPr>
          <w:noProof/>
        </w:rPr>
        <w:t>Source: Platts, ECB (for exchange rates).</w:t>
      </w:r>
    </w:p>
    <w:p>
      <w:pPr>
        <w:spacing w:after="0"/>
        <w:rPr>
          <w:noProof/>
          <w:sz w:val="20"/>
          <w:szCs w:val="20"/>
        </w:rPr>
      </w:pPr>
      <w:r>
        <w:rPr>
          <w:noProof/>
          <w:sz w:val="20"/>
          <w:szCs w:val="20"/>
        </w:rPr>
        <w:t>The following oil product prices were used: Gasoline Prem Unleaded 10ppmS FOB AR Barge (gasoline), ULSD 10ppmS FOB ARA Barge (diesel) and Gasoil 0.1%S FOB ARA Barge (heating oil)</w:t>
      </w:r>
    </w:p>
    <w:p>
      <w:pPr>
        <w:spacing w:after="240"/>
        <w:rPr>
          <w:noProof/>
          <w:sz w:val="20"/>
          <w:szCs w:val="20"/>
        </w:rPr>
      </w:pPr>
      <w:r>
        <w:rPr>
          <w:noProof/>
          <w:sz w:val="20"/>
          <w:szCs w:val="20"/>
        </w:rPr>
        <w:t>The following conversion rates were used: crude oil 159 litre/barrel, gasoline 1350 litre/ton, diesel and heating oil 1186 litre/ton.</w:t>
      </w:r>
    </w:p>
    <w:p>
      <w:pPr>
        <w:spacing w:after="240"/>
        <w:rPr>
          <w:noProof/>
          <w:sz w:val="24"/>
          <w:szCs w:val="24"/>
        </w:rPr>
      </w:pPr>
      <w:r>
        <w:rPr>
          <w:noProof/>
          <w:sz w:val="24"/>
          <w:szCs w:val="24"/>
        </w:rPr>
        <w:t>Looking at the crack spreads (i.e. the differential between the wholesale price of oil products and crude oil), one can see that these spreads are however rather volatile and often follow different paths for different products.</w:t>
      </w:r>
    </w:p>
    <w:p>
      <w:pPr>
        <w:pStyle w:val="AAAAAtext"/>
        <w:rPr>
          <w:noProof/>
          <w:spacing w:val="5"/>
          <w:lang w:eastAsia="de-DE"/>
        </w:rPr>
      </w:pPr>
      <w:bookmarkStart w:id="66" w:name="_Toc463015652"/>
      <w:bookmarkStart w:id="67" w:name="_Toc463355884"/>
      <w:r>
        <w:rPr>
          <w:noProof/>
        </w:rPr>
        <w:drawing>
          <wp:inline distT="0" distB="0" distL="0" distR="0">
            <wp:extent cx="5774340" cy="2685172"/>
            <wp:effectExtent l="0" t="0" r="0" b="1270"/>
            <wp:docPr id="195533520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74340" cy="2685172"/>
                    </a:xfrm>
                    <a:prstGeom prst="rect">
                      <a:avLst/>
                    </a:prstGeom>
                  </pic:spPr>
                </pic:pic>
              </a:graphicData>
            </a:graphic>
          </wp:inline>
        </w:drawing>
      </w:r>
    </w:p>
    <w:p>
      <w:pPr>
        <w:pStyle w:val="Caption"/>
      </w:pPr>
      <w:bookmarkStart w:id="68" w:name="_Ref524631988"/>
      <w:bookmarkStart w:id="69" w:name="_Toc525807822"/>
      <w:bookmarkStart w:id="70" w:name="_Toc526433425"/>
      <w:bookmarkStart w:id="71" w:name="_Toc526433703"/>
      <w:bookmarkStart w:id="72" w:name="_Toc526435645"/>
      <w:bookmarkStart w:id="73" w:name="_Toc530739731"/>
      <w:bookmarkStart w:id="74" w:name="_Toc531366106"/>
      <w:bookmarkStart w:id="75" w:name="_Toc50494070"/>
      <w:bookmarkStart w:id="76" w:name="_Toc52396836"/>
      <w:r>
        <w:t xml:space="preserve">Figure </w:t>
      </w:r>
      <w:r>
        <w:fldChar w:fldCharType="begin"/>
      </w:r>
      <w:r>
        <w:instrText xml:space="preserve"> SEQ Figure \* ARABIC </w:instrText>
      </w:r>
      <w:r>
        <w:fldChar w:fldCharType="separate"/>
      </w:r>
      <w:r>
        <w:t>64</w:t>
      </w:r>
      <w:r>
        <w:fldChar w:fldCharType="end"/>
      </w:r>
      <w:bookmarkEnd w:id="68"/>
      <w:r>
        <w:t xml:space="preserve"> - Crack spreads of gasoline, diesel and heating oil </w:t>
      </w:r>
      <w:bookmarkEnd w:id="66"/>
      <w:bookmarkEnd w:id="67"/>
      <w:r>
        <w:t>from 2008 to mid-2018</w:t>
      </w:r>
      <w:bookmarkEnd w:id="69"/>
      <w:bookmarkEnd w:id="70"/>
      <w:bookmarkEnd w:id="71"/>
      <w:bookmarkEnd w:id="72"/>
      <w:bookmarkEnd w:id="73"/>
      <w:bookmarkEnd w:id="74"/>
      <w:bookmarkEnd w:id="75"/>
      <w:bookmarkEnd w:id="76"/>
    </w:p>
    <w:p>
      <w:pPr>
        <w:pStyle w:val="Sources"/>
        <w:rPr>
          <w:noProof/>
        </w:rPr>
      </w:pPr>
      <w:r>
        <w:rPr>
          <w:noProof/>
        </w:rPr>
        <w:t>Source: Platts, ECB (for exchange rates)</w:t>
      </w:r>
    </w:p>
    <w:p>
      <w:pPr>
        <w:spacing w:after="0"/>
        <w:rPr>
          <w:noProof/>
          <w:sz w:val="20"/>
          <w:szCs w:val="20"/>
        </w:rPr>
      </w:pPr>
      <w:r>
        <w:rPr>
          <w:noProof/>
          <w:sz w:val="20"/>
          <w:szCs w:val="20"/>
        </w:rPr>
        <w:t>Crack spreads are calculated as the difference between the Brent crude oil price and the price of the following products: Gasoline Prem Unleaded 10ppmS FOB AR Barge (gasoline), ULSD 10ppmS FOB ARA Barge (diesel) and Gasoil 0.1%S FOB ARA Barge (heating oil)</w:t>
      </w:r>
    </w:p>
    <w:p>
      <w:pPr>
        <w:spacing w:after="240"/>
        <w:rPr>
          <w:noProof/>
          <w:sz w:val="20"/>
          <w:szCs w:val="20"/>
        </w:rPr>
      </w:pPr>
      <w:r>
        <w:rPr>
          <w:noProof/>
          <w:sz w:val="20"/>
          <w:szCs w:val="20"/>
        </w:rPr>
        <w:t>The following conversion rates were used: crude oil 159 litre/barrel, gasoline 1350 litre/ton, diesel and heating oil 1186 litre/ton.</w:t>
      </w:r>
    </w:p>
    <w:p>
      <w:pPr>
        <w:rPr>
          <w:noProof/>
          <w:sz w:val="24"/>
          <w:szCs w:val="24"/>
        </w:rPr>
      </w:pPr>
      <w:r>
        <w:rPr>
          <w:noProof/>
          <w:sz w:val="24"/>
          <w:szCs w:val="24"/>
        </w:rPr>
        <w:t>The supply-demand conditions of the different products are divergent (both from crude oil and from each other) which will affect their crack spreads. For example, the 2008 oil price rise was very much driven by industrial growth in China, leading to a big increase in the demand of middle distillates which is reflected in the high crack spreads of these products. There are also seasonal differences in demand, for example, gasoline demand is higher in the summer, typically resulting in a relatively high crack spread during that period while in times of low demand crack spreads can even turn negative (implying the gasoline is cheaper than crude oil). In the summer of 2015, gasoline crack spreads reached unusually high levels as low prices boosted gasoline demand.</w:t>
      </w:r>
    </w:p>
    <w:p>
      <w:pPr>
        <w:rPr>
          <w:noProof/>
          <w:sz w:val="24"/>
          <w:szCs w:val="24"/>
        </w:rPr>
      </w:pPr>
      <w:r>
        <w:rPr>
          <w:noProof/>
          <w:sz w:val="24"/>
          <w:szCs w:val="24"/>
        </w:rPr>
        <w:t>Oil product supply can also fluctuate, for example as a result of refinery maintenance or natural disasters affecting refinery operations; this will also affect crack spreads. For example, Hurricane Harvey in the US triggered the spike of European gasoline crack spreads in late August 2017.</w:t>
      </w:r>
    </w:p>
    <w:p>
      <w:pPr>
        <w:rPr>
          <w:noProof/>
          <w:sz w:val="24"/>
          <w:szCs w:val="24"/>
        </w:rPr>
      </w:pPr>
      <w:r>
        <w:rPr>
          <w:noProof/>
          <w:sz w:val="24"/>
          <w:szCs w:val="24"/>
        </w:rPr>
        <w:t xml:space="preserve">On </w:t>
      </w:r>
      <w:r>
        <w:rPr>
          <w:noProof/>
        </w:rPr>
        <w:fldChar w:fldCharType="begin"/>
      </w:r>
      <w:r>
        <w:rPr>
          <w:noProof/>
          <w:sz w:val="24"/>
          <w:szCs w:val="24"/>
        </w:rPr>
        <w:instrText xml:space="preserve"> REF _Ref524631988 \h </w:instrText>
      </w:r>
      <w:r>
        <w:rPr>
          <w:noProof/>
        </w:rPr>
      </w:r>
      <w:r>
        <w:rPr>
          <w:noProof/>
          <w:sz w:val="24"/>
          <w:szCs w:val="24"/>
        </w:rPr>
        <w:fldChar w:fldCharType="separate"/>
      </w:r>
      <w:r>
        <w:rPr>
          <w:noProof/>
        </w:rPr>
        <w:t>Figure 64</w:t>
      </w:r>
      <w:r>
        <w:rPr>
          <w:noProof/>
        </w:rPr>
        <w:fldChar w:fldCharType="end"/>
      </w:r>
      <w:r>
        <w:rPr>
          <w:noProof/>
          <w:sz w:val="24"/>
          <w:szCs w:val="24"/>
        </w:rPr>
        <w:t xml:space="preserve"> one can see that European crack spreads have been relatively high in 2015, averaging 0.08 EUR/litre (around 13 EUR/barrel) for both gasoline and diesel. Afterwards, crack spreads diminished: in the period from the beginning of 2016 to mid-2018, both gasoline and diesel crack spreads averaged 0.06 EUR/litre (less than 10 EUR/barrel). There is divergence in gasoline in end of 2018 and in beginning of 2019, meaning gasoline being cheaper than oil due to US unilaterally getting out of the Iranian deal, reduction of production in Venezuela and Libya while at the same time growing indications of slowdown in economic activity and consumption especially in developing countries.</w:t>
      </w:r>
    </w:p>
    <w:p>
      <w:pPr>
        <w:rPr>
          <w:noProof/>
          <w:sz w:val="24"/>
          <w:szCs w:val="24"/>
        </w:rPr>
      </w:pPr>
    </w:p>
    <w:p>
      <w:pPr>
        <w:pStyle w:val="Heading2"/>
        <w:numPr>
          <w:ilvl w:val="1"/>
          <w:numId w:val="1"/>
        </w:numPr>
        <w:rPr>
          <w:noProof/>
        </w:rPr>
      </w:pPr>
      <w:bookmarkStart w:id="77" w:name="_Toc449098091"/>
      <w:bookmarkStart w:id="78" w:name="_Toc465092058"/>
      <w:bookmarkStart w:id="79" w:name="_Toc524619497"/>
      <w:bookmarkStart w:id="80" w:name="_Toc524961044"/>
      <w:bookmarkStart w:id="81" w:name="_Toc525143009"/>
      <w:bookmarkStart w:id="82" w:name="_Toc525222166"/>
      <w:bookmarkStart w:id="83" w:name="_Toc525222335"/>
      <w:bookmarkStart w:id="84" w:name="_Toc526420729"/>
      <w:bookmarkStart w:id="85" w:name="_Toc526433956"/>
      <w:bookmarkStart w:id="86" w:name="_Toc526435898"/>
      <w:bookmarkStart w:id="87" w:name="_Toc530595228"/>
      <w:bookmarkStart w:id="88" w:name="_Toc50648317"/>
      <w:bookmarkStart w:id="89" w:name="_Toc50654347"/>
      <w:bookmarkStart w:id="90" w:name="_Toc50654902"/>
      <w:bookmarkStart w:id="91" w:name="_Toc50732449"/>
      <w:bookmarkStart w:id="92" w:name="_Toc52396533"/>
      <w:r>
        <w:rPr>
          <w:noProof/>
        </w:rPr>
        <w:t>Retail prices of oil products</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pPr>
        <w:rPr>
          <w:noProof/>
        </w:rPr>
      </w:pPr>
    </w:p>
    <w:p>
      <w:pPr>
        <w:rPr>
          <w:noProof/>
          <w:sz w:val="24"/>
          <w:szCs w:val="24"/>
          <w:lang w:eastAsia="en-GB"/>
        </w:rPr>
      </w:pPr>
      <w:r>
        <w:rPr>
          <w:noProof/>
          <w:sz w:val="24"/>
          <w:szCs w:val="24"/>
          <w:lang w:eastAsia="en-GB"/>
        </w:rPr>
        <w:t>In addition to electricity and gas, oil products constitute an important part of the energy costs of both households and industry. Oil products have a dominant role in transport where they have limited alternatives, particularly in road freight, maritime and air transport. In case of space heating, the share of oil products is on a declining trend but in certain Member States they still have an important role in this sector.</w:t>
      </w:r>
    </w:p>
    <w:p>
      <w:pPr>
        <w:rPr>
          <w:noProof/>
          <w:sz w:val="24"/>
          <w:szCs w:val="24"/>
          <w:lang w:eastAsia="en-GB"/>
        </w:rPr>
      </w:pPr>
      <w:r>
        <w:rPr>
          <w:noProof/>
          <w:sz w:val="24"/>
          <w:szCs w:val="24"/>
          <w:lang w:eastAsia="en-GB"/>
        </w:rPr>
        <w:t>The retail price of oil products depends on several factors. Variations in the price of crude oil will obviously have an impact on retail prices but crude oil costs constitute just a part, often a relatively small part, of the final price paid by the consumer. Crude oil is traded in US dollar but the finished products are sold at the pump in euros or other national currencies. Therefore, variations in exchange rates will also influence the crude oil component.</w:t>
      </w:r>
    </w:p>
    <w:p>
      <w:pPr>
        <w:rPr>
          <w:noProof/>
          <w:sz w:val="24"/>
          <w:szCs w:val="24"/>
          <w:lang w:eastAsia="en-GB"/>
        </w:rPr>
      </w:pPr>
      <w:r>
        <w:rPr>
          <w:noProof/>
          <w:sz w:val="24"/>
          <w:szCs w:val="24"/>
          <w:lang w:eastAsia="en-GB"/>
        </w:rPr>
        <w:t>Crude oil has to be refined to produce fuels which can be used in transportation, heating or other uses. After refining, the finished products have to be distributed and sold, typically at petrol stations. Refining and distribution costs are relatively stable and are not proportional to the crude oil price.</w:t>
      </w:r>
    </w:p>
    <w:p>
      <w:pPr>
        <w:rPr>
          <w:noProof/>
          <w:sz w:val="24"/>
          <w:szCs w:val="24"/>
          <w:lang w:eastAsia="en-GB"/>
        </w:rPr>
      </w:pPr>
      <w:r>
        <w:rPr>
          <w:noProof/>
          <w:sz w:val="24"/>
          <w:szCs w:val="24"/>
          <w:lang w:eastAsia="en-GB"/>
        </w:rPr>
        <w:t>A significant part of the price goes to taxes: excise duties, other indirect taxes and VAT. These taxes make an important contribution to the tax revenue of Member States (see Chapter 7.1). In case of motor fuels (gasoline and diesel), taxes typically cover more than half of the final price.</w:t>
      </w:r>
    </w:p>
    <w:p>
      <w:pPr>
        <w:rPr>
          <w:noProof/>
          <w:sz w:val="24"/>
          <w:szCs w:val="24"/>
          <w:lang w:eastAsia="en-GB"/>
        </w:rPr>
      </w:pPr>
      <w:r>
        <w:rPr>
          <w:noProof/>
          <w:sz w:val="24"/>
          <w:szCs w:val="24"/>
          <w:lang w:eastAsia="en-GB"/>
        </w:rPr>
        <w:t>Excise duties are generally a fixed amount per quantity (usually litre or kg), i.e. not influenced by the price of crude oil. VAT, on the other hand, is set as a percentage of the price of the product (including the excise duty) and, therefore, changes in the crude oil price will have an impact on the absolute value of the VAT component.</w:t>
      </w:r>
    </w:p>
    <w:p>
      <w:pPr>
        <w:rPr>
          <w:noProof/>
          <w:sz w:val="24"/>
          <w:szCs w:val="24"/>
          <w:lang w:eastAsia="en-GB"/>
        </w:rPr>
      </w:pPr>
      <w:r>
        <w:rPr>
          <w:noProof/>
          <w:sz w:val="24"/>
          <w:szCs w:val="24"/>
          <w:lang w:eastAsia="en-GB"/>
        </w:rPr>
        <w:t>Rates of both the excise duty and VAT vary by product and by Member State, resulting in significant price differences across Europe. Nevertheless, Member States have no complete freedom when setting the tax rates. The Energy Tax Directive (2003/96/EC) sets minimum excise duty rates for gasoline, gasoil, kerosene, LPG and heavy fuel oil. New Member States were often granted a transition period to reach the minimum level; today, all Member States comply with minimum level.</w:t>
      </w:r>
    </w:p>
    <w:p>
      <w:pPr>
        <w:rPr>
          <w:noProof/>
          <w:sz w:val="24"/>
          <w:szCs w:val="24"/>
          <w:lang w:eastAsia="en-GB"/>
        </w:rPr>
      </w:pPr>
      <w:r>
        <w:rPr>
          <w:noProof/>
          <w:sz w:val="24"/>
          <w:szCs w:val="24"/>
          <w:lang w:eastAsia="en-GB"/>
        </w:rPr>
        <w:t>In case of VAT, the VAT Directive (2006/112/EC) requires that the standard VAT rate must be at least 15%; currently the standard VAT rates applied by Member States range from 17% (in Luxembourg) to 27% (in Hungary). In case of oil products, Member States typically apply the standard VAT rate. Under certain conditions, however, Member States can set a lower VAT rate for specific products and services; for example, a few Member States apply a reduced rate for heating oil.</w:t>
      </w:r>
    </w:p>
    <w:p>
      <w:pPr>
        <w:rPr>
          <w:noProof/>
          <w:sz w:val="24"/>
          <w:szCs w:val="24"/>
          <w:lang w:eastAsia="en-GB"/>
        </w:rPr>
      </w:pPr>
      <w:r>
        <w:rPr>
          <w:noProof/>
          <w:sz w:val="24"/>
          <w:szCs w:val="24"/>
          <w:lang w:eastAsia="en-GB"/>
        </w:rPr>
        <w:t>As the share of crude oil in the final price can be as low as 25%, variations in the price of crude oil will have a limited impact on the price at the pump. In fact, the high share of fixed taxes in the price acts as a buffer: fluctuations in the retail price of oil products (particularly motor fuels) are significantly lower than the fluctuation of the crude oil price. Variations in the exchange rate have a similar effect: the oil price and the value of the US dollar usually move in the opposite direction: a strengthening dollar typically coincides with decreasing oil prices and vice versa. This means that changes in the oil price, whether upwards or downwards, are mitigated by the exchange rate and the volatility of the oil price expressed in euros is smaller than the volatility of the price expressed in dollar.</w:t>
      </w:r>
    </w:p>
    <w:p>
      <w:pPr>
        <w:rPr>
          <w:noProof/>
          <w:sz w:val="24"/>
          <w:szCs w:val="24"/>
          <w:lang w:eastAsia="en-GB"/>
        </w:rPr>
      </w:pPr>
      <w:r>
        <w:rPr>
          <w:noProof/>
          <w:sz w:val="24"/>
          <w:szCs w:val="24"/>
          <w:lang w:eastAsia="en-GB"/>
        </w:rPr>
        <w:t>During the decline of crude oil prices in 2014-2016, the above factors moderated the pass-through to oil product prices in the EU: while crude oil prices (expressed in USD) fell by 77% between mid-2014 and early 2016, in the same period</w:t>
      </w:r>
      <w:r>
        <w:rPr>
          <w:noProof/>
          <w:sz w:val="24"/>
          <w:szCs w:val="24"/>
          <w:vertAlign w:val="superscript"/>
          <w:lang w:eastAsia="en-GB"/>
        </w:rPr>
        <w:footnoteReference w:id="3"/>
      </w:r>
      <w:r>
        <w:rPr>
          <w:noProof/>
          <w:sz w:val="24"/>
          <w:szCs w:val="24"/>
          <w:lang w:eastAsia="en-GB"/>
        </w:rPr>
        <w:t xml:space="preserve"> the average EU consumer price of gasoline and diesel decreased by 24% and 28%, respectively. In case of heating oil, the decrease was 45%.</w:t>
      </w:r>
    </w:p>
    <w:p>
      <w:pPr>
        <w:rPr>
          <w:noProof/>
          <w:sz w:val="24"/>
          <w:szCs w:val="24"/>
          <w:lang w:eastAsia="en-GB"/>
        </w:rPr>
      </w:pPr>
      <w:r>
        <w:rPr>
          <w:noProof/>
          <w:sz w:val="24"/>
          <w:szCs w:val="24"/>
          <w:lang w:eastAsia="en-GB"/>
        </w:rPr>
        <w:t>Similarly, the comparably high taxes in the EU mitigated the feed-through of the recent oil price rise: between 2017 and 2018, retail prices of gasoline and diesel (including taxes and duties) increased between 4% and 14%, 4 and 18%, respectively, as compared to a more than 50% increase in international crude oil prices in the same period (measured in USD). In case of heating oil, where the tax component is smaller, the price increase was between 5 and 24%.</w:t>
      </w:r>
    </w:p>
    <w:p>
      <w:pPr>
        <w:rPr>
          <w:rFonts w:ascii="Verdana" w:hAnsi="Verdana"/>
          <w:noProof/>
          <w:sz w:val="20"/>
          <w:szCs w:val="20"/>
        </w:rPr>
      </w:pPr>
      <w:r>
        <w:rPr>
          <w:noProof/>
          <w:sz w:val="24"/>
          <w:szCs w:val="24"/>
          <w:lang w:eastAsia="en-GB"/>
        </w:rPr>
        <w:t xml:space="preserve">Finally, although their current use is limited, alternative fuels provide an increasing share of the energy mix in transport and their importance is expected to grow in the future. At the same time, as shown by </w:t>
      </w:r>
      <w:r>
        <w:rPr>
          <w:noProof/>
          <w:sz w:val="24"/>
          <w:szCs w:val="24"/>
        </w:rPr>
        <w:t>Trinomics et al. (2018),</w:t>
      </w:r>
      <w:r>
        <w:rPr>
          <w:noProof/>
          <w:sz w:val="24"/>
          <w:szCs w:val="24"/>
          <w:lang w:eastAsia="en-GB"/>
        </w:rPr>
        <w:t xml:space="preserve"> data on retail prices for compressed natural gas (CNG), liquefied natural gas (LNG), liquefied petroleum gas (LPG) and biofuels is not widely available. The growing importance of the market for alternative fuels shows the need of further efforts in collecting such retail prices in the future.</w:t>
      </w:r>
    </w:p>
    <w:p>
      <w:pPr>
        <w:rPr>
          <w:b/>
          <w:noProof/>
          <w:sz w:val="24"/>
          <w:szCs w:val="24"/>
          <w:lang w:eastAsia="en-GB"/>
        </w:rPr>
      </w:pPr>
    </w:p>
    <w:p>
      <w:pPr>
        <w:pStyle w:val="Heading3"/>
        <w:numPr>
          <w:ilvl w:val="2"/>
          <w:numId w:val="1"/>
        </w:numPr>
        <w:rPr>
          <w:noProof/>
        </w:rPr>
      </w:pPr>
      <w:bookmarkStart w:id="93" w:name="_Toc524619498"/>
      <w:bookmarkStart w:id="94" w:name="_Toc524961045"/>
      <w:bookmarkStart w:id="95" w:name="_Toc525143010"/>
      <w:bookmarkStart w:id="96" w:name="_Toc525222167"/>
      <w:bookmarkStart w:id="97" w:name="_Toc525222336"/>
      <w:bookmarkStart w:id="98" w:name="_Toc526420730"/>
      <w:bookmarkStart w:id="99" w:name="_Toc526433957"/>
      <w:bookmarkStart w:id="100" w:name="_Toc526435899"/>
      <w:bookmarkStart w:id="101" w:name="_Toc530595229"/>
      <w:bookmarkStart w:id="102" w:name="_Toc50648318"/>
      <w:bookmarkStart w:id="103" w:name="_Toc50654348"/>
      <w:bookmarkStart w:id="104" w:name="_Toc50654903"/>
      <w:bookmarkStart w:id="105" w:name="_Toc50732450"/>
      <w:bookmarkStart w:id="106" w:name="_Toc52396534"/>
      <w:r>
        <w:rPr>
          <w:noProof/>
        </w:rPr>
        <w:t>Methodology</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pPr>
        <w:rPr>
          <w:b/>
          <w:noProof/>
          <w:sz w:val="24"/>
          <w:szCs w:val="24"/>
          <w:lang w:eastAsia="en-GB"/>
        </w:rPr>
      </w:pPr>
    </w:p>
    <w:p>
      <w:pPr>
        <w:rPr>
          <w:noProof/>
          <w:sz w:val="24"/>
          <w:szCs w:val="24"/>
          <w:lang w:eastAsia="en-GB"/>
        </w:rPr>
      </w:pPr>
      <w:r>
        <w:rPr>
          <w:noProof/>
          <w:sz w:val="24"/>
          <w:szCs w:val="24"/>
          <w:lang w:eastAsia="en-GB"/>
        </w:rPr>
        <w:t>The analysis in this section is based on the data of the weekly Oil Bulletin. Pursuant to the Council Decision on Crude Oil Supply Costs and the Consumer Prices of Petroleum Products (1999/280/EC), Member States have to report to the Commission the retail prices of the main petroleum products on a weekly basis. Member States also have to report any changes in the tax rates (VAT, excise duty, other indirect taxes) applicable to these products, allowing us to break down the final price to three main components: the net price, excise duty</w:t>
      </w:r>
      <w:r>
        <w:rPr>
          <w:noProof/>
          <w:sz w:val="24"/>
          <w:szCs w:val="24"/>
          <w:vertAlign w:val="superscript"/>
          <w:lang w:eastAsia="en-GB"/>
        </w:rPr>
        <w:footnoteReference w:id="4"/>
      </w:r>
      <w:r>
        <w:rPr>
          <w:noProof/>
          <w:sz w:val="24"/>
          <w:szCs w:val="24"/>
          <w:lang w:eastAsia="en-GB"/>
        </w:rPr>
        <w:t xml:space="preserve"> and VAT. The reported data are published on the website of DG Energy.</w:t>
      </w:r>
      <w:r>
        <w:rPr>
          <w:noProof/>
          <w:sz w:val="24"/>
          <w:szCs w:val="24"/>
          <w:vertAlign w:val="superscript"/>
          <w:lang w:eastAsia="en-GB"/>
        </w:rPr>
        <w:footnoteReference w:id="5"/>
      </w:r>
    </w:p>
    <w:p>
      <w:pPr>
        <w:rPr>
          <w:noProof/>
          <w:sz w:val="24"/>
          <w:szCs w:val="24"/>
          <w:lang w:eastAsia="en-GB"/>
        </w:rPr>
      </w:pPr>
      <w:r>
        <w:rPr>
          <w:noProof/>
          <w:sz w:val="24"/>
          <w:szCs w:val="24"/>
          <w:lang w:eastAsia="en-GB"/>
        </w:rPr>
        <w:t>The analysis covers the three main petroleum products sold in the retail sector: gasoline (Euro-super 95), diesel (automotive gas oil) and heating oil (heating gas oil). The time horizon is from 2005 to 2019. All Member States are covered but data for Croatia is available only from 2013. In case of heating oil, Slovakia does not report prices since October 2011 while, from 2015, Greece does not report prices for the period from May to mid-October.</w:t>
      </w:r>
    </w:p>
    <w:p>
      <w:pPr>
        <w:rPr>
          <w:noProof/>
          <w:sz w:val="24"/>
          <w:szCs w:val="24"/>
          <w:lang w:eastAsia="en-GB"/>
        </w:rPr>
      </w:pPr>
      <w:r>
        <w:rPr>
          <w:noProof/>
          <w:sz w:val="24"/>
          <w:szCs w:val="24"/>
          <w:lang w:eastAsia="en-GB"/>
        </w:rPr>
        <w:t>Prices reported in currencies other than the euro were converted into euro, using the ECB exchange rate of the day for which the price applies.</w:t>
      </w:r>
    </w:p>
    <w:p>
      <w:pPr>
        <w:rPr>
          <w:noProof/>
          <w:sz w:val="24"/>
          <w:szCs w:val="24"/>
          <w:lang w:eastAsia="en-GB"/>
        </w:rPr>
      </w:pPr>
      <w:r>
        <w:rPr>
          <w:noProof/>
          <w:sz w:val="24"/>
          <w:szCs w:val="24"/>
          <w:lang w:eastAsia="en-GB"/>
        </w:rPr>
        <w:t>For each year and each Member State an average price was calculated as an arithmetic average of the weekly prices and an EU average price was calculated as the weighted average of these with weights in the previous year’s consumption.</w:t>
      </w:r>
    </w:p>
    <w:p>
      <w:pPr>
        <w:rPr>
          <w:b/>
          <w:noProof/>
          <w:sz w:val="24"/>
          <w:szCs w:val="24"/>
          <w:lang w:eastAsia="en-GB"/>
        </w:rPr>
      </w:pPr>
    </w:p>
    <w:p>
      <w:pPr>
        <w:pStyle w:val="Heading3"/>
        <w:numPr>
          <w:ilvl w:val="2"/>
          <w:numId w:val="1"/>
        </w:numPr>
        <w:rPr>
          <w:noProof/>
        </w:rPr>
      </w:pPr>
      <w:bookmarkStart w:id="107" w:name="_Toc524619499"/>
      <w:bookmarkStart w:id="108" w:name="_Toc524961046"/>
      <w:bookmarkStart w:id="109" w:name="_Toc525143011"/>
      <w:bookmarkStart w:id="110" w:name="_Toc525222168"/>
      <w:bookmarkStart w:id="111" w:name="_Toc525222337"/>
      <w:bookmarkStart w:id="112" w:name="_Toc526420731"/>
      <w:bookmarkStart w:id="113" w:name="_Toc526433958"/>
      <w:bookmarkStart w:id="114" w:name="_Toc526435900"/>
      <w:bookmarkStart w:id="115" w:name="_Toc530595230"/>
      <w:bookmarkStart w:id="116" w:name="_Toc50648319"/>
      <w:bookmarkStart w:id="117" w:name="_Toc50654349"/>
      <w:bookmarkStart w:id="118" w:name="_Toc50654904"/>
      <w:bookmarkStart w:id="119" w:name="_Toc50732451"/>
      <w:bookmarkStart w:id="120" w:name="_Toc52396535"/>
      <w:r>
        <w:rPr>
          <w:noProof/>
        </w:rPr>
        <w:t>General findings</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pPr>
        <w:rPr>
          <w:b/>
          <w:noProof/>
          <w:sz w:val="24"/>
          <w:szCs w:val="24"/>
          <w:lang w:eastAsia="en-GB"/>
        </w:rPr>
      </w:pPr>
    </w:p>
    <w:p>
      <w:pPr>
        <w:rPr>
          <w:noProof/>
          <w:sz w:val="24"/>
          <w:szCs w:val="24"/>
          <w:lang w:eastAsia="en-GB"/>
        </w:rPr>
      </w:pPr>
      <w:r>
        <w:rPr>
          <w:noProof/>
          <w:sz w:val="24"/>
          <w:szCs w:val="24"/>
          <w:lang w:eastAsia="en-GB"/>
        </w:rPr>
        <w:t>While the absolute level of the prices of the three oil products are different, their development over the last 15 years is very similar and basically reflects the evolution of the crude oil price in the same period. The price of all three products decreased significantly in 2009 when oil prices plummeted in the wake of the financial crisis. This was followed by years of gradual increase, with prices peaking in 2012. Prices decreased afterwards, with the decrease accelerating in 2015-2016. As crude oil prices recovered from 2016, oil product prices have been also rising and in 2018 and 2019 reached a level that was in 2011 and 2014.</w:t>
      </w:r>
    </w:p>
    <w:p>
      <w:pPr>
        <w:rPr>
          <w:noProof/>
          <w:sz w:val="24"/>
          <w:szCs w:val="24"/>
          <w:lang w:eastAsia="en-GB"/>
        </w:rPr>
      </w:pPr>
      <w:r>
        <w:rPr>
          <w:noProof/>
          <w:sz w:val="24"/>
          <w:szCs w:val="24"/>
          <w:lang w:eastAsia="en-GB"/>
        </w:rPr>
        <w:t xml:space="preserve">For comparison, </w:t>
      </w:r>
      <w:r>
        <w:rPr>
          <w:noProof/>
        </w:rPr>
        <w:fldChar w:fldCharType="begin"/>
      </w:r>
      <w:r>
        <w:rPr>
          <w:noProof/>
          <w:sz w:val="24"/>
          <w:szCs w:val="24"/>
          <w:lang w:eastAsia="en-GB"/>
        </w:rPr>
        <w:instrText xml:space="preserve"> REF _Ref524632061 \h  \* MERGEFORMAT </w:instrText>
      </w:r>
      <w:r>
        <w:rPr>
          <w:noProof/>
        </w:rPr>
      </w:r>
      <w:r>
        <w:rPr>
          <w:noProof/>
          <w:sz w:val="24"/>
          <w:szCs w:val="24"/>
          <w:lang w:eastAsia="en-GB"/>
        </w:rPr>
        <w:fldChar w:fldCharType="separate"/>
      </w:r>
      <w:r>
        <w:rPr>
          <w:b/>
          <w:bCs/>
          <w:noProof/>
          <w:sz w:val="24"/>
          <w:szCs w:val="24"/>
          <w:lang w:eastAsia="en-GB"/>
        </w:rPr>
        <w:t>Figure 65</w:t>
      </w:r>
      <w:r>
        <w:rPr>
          <w:noProof/>
        </w:rPr>
        <w:fldChar w:fldCharType="end"/>
      </w:r>
      <w:r>
        <w:rPr>
          <w:noProof/>
          <w:sz w:val="24"/>
          <w:szCs w:val="24"/>
          <w:lang w:eastAsia="en-GB"/>
        </w:rPr>
        <w:t xml:space="preserve"> also depicts the evolution of the Brent crude oil price (recalculated into EUR/litre).</w:t>
      </w:r>
    </w:p>
    <w:p>
      <w:pPr>
        <w:rPr>
          <w:b/>
          <w:bCs/>
          <w:noProof/>
          <w:sz w:val="24"/>
          <w:szCs w:val="24"/>
          <w:lang w:eastAsia="en-GB"/>
        </w:rPr>
      </w:pPr>
      <w:r>
        <w:rPr>
          <w:noProof/>
          <w:lang w:eastAsia="en-GB"/>
        </w:rPr>
        <w:drawing>
          <wp:inline distT="0" distB="0" distL="0" distR="0">
            <wp:extent cx="5669280" cy="3101178"/>
            <wp:effectExtent l="0" t="0" r="7620" b="4445"/>
            <wp:docPr id="1891" name="Chart 1891" title="EUR/litre"/>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pStyle w:val="Caption"/>
        <w:rPr>
          <w:lang w:eastAsia="en-GB"/>
        </w:rPr>
      </w:pPr>
      <w:bookmarkStart w:id="121" w:name="_Ref524632061"/>
      <w:bookmarkStart w:id="122" w:name="_Toc525807823"/>
      <w:bookmarkStart w:id="123" w:name="_Toc526433426"/>
      <w:bookmarkStart w:id="124" w:name="_Toc526433704"/>
      <w:bookmarkStart w:id="125" w:name="_Toc526435646"/>
      <w:bookmarkStart w:id="126" w:name="_Toc530739732"/>
      <w:bookmarkStart w:id="127" w:name="_Toc531366107"/>
      <w:bookmarkStart w:id="128" w:name="_Toc50494071"/>
      <w:bookmarkStart w:id="129" w:name="_Toc52396837"/>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65</w:t>
      </w:r>
      <w:r>
        <w:rPr>
          <w:lang w:eastAsia="en-GB"/>
        </w:rPr>
        <w:fldChar w:fldCharType="end"/>
      </w:r>
      <w:bookmarkEnd w:id="121"/>
      <w:r>
        <w:rPr>
          <w:lang w:eastAsia="en-GB"/>
        </w:rPr>
        <w:t xml:space="preserve"> - Average retail price of oil products in the EU</w:t>
      </w:r>
      <w:bookmarkEnd w:id="122"/>
      <w:bookmarkEnd w:id="123"/>
      <w:bookmarkEnd w:id="124"/>
      <w:bookmarkEnd w:id="125"/>
      <w:bookmarkEnd w:id="126"/>
      <w:bookmarkEnd w:id="127"/>
      <w:bookmarkEnd w:id="128"/>
      <w:bookmarkEnd w:id="129"/>
    </w:p>
    <w:p>
      <w:pPr>
        <w:pStyle w:val="Sources"/>
        <w:rPr>
          <w:noProof/>
          <w:lang w:eastAsia="en-GB"/>
        </w:rPr>
      </w:pPr>
      <w:r>
        <w:rPr>
          <w:noProof/>
          <w:lang w:eastAsia="en-GB"/>
        </w:rPr>
        <w:t>Source: Oil Bulletin, DG Energy, Platts</w:t>
      </w:r>
    </w:p>
    <w:p>
      <w:pPr>
        <w:rPr>
          <w:noProof/>
          <w:sz w:val="24"/>
          <w:szCs w:val="24"/>
          <w:lang w:eastAsia="en-GB"/>
        </w:rPr>
      </w:pPr>
      <w:r>
        <w:rPr>
          <w:noProof/>
          <w:sz w:val="24"/>
          <w:szCs w:val="24"/>
          <w:lang w:eastAsia="en-GB"/>
        </w:rPr>
        <w:t xml:space="preserve">The difference in the absolute price of the three products can be mostly attributed to the diverging tax rates. </w:t>
      </w:r>
    </w:p>
    <w:p>
      <w:pPr>
        <w:rPr>
          <w:noProof/>
          <w:sz w:val="24"/>
          <w:szCs w:val="24"/>
          <w:lang w:eastAsia="en-GB"/>
        </w:rPr>
      </w:pPr>
      <w:r>
        <w:rPr>
          <w:noProof/>
          <w:sz w:val="24"/>
          <w:szCs w:val="24"/>
          <w:lang w:eastAsia="en-GB"/>
        </w:rPr>
        <w:t>All countries but UK, Ireland, and Luxembourg have the same VAT tax rates for all the fuels. UK, Ireland, Luxembourg have the same VAT rates for gasoline and diesel, but lower for heating oil (Portugal had a similar pattern up to 2012).</w:t>
      </w:r>
    </w:p>
    <w:p>
      <w:pPr>
        <w:rPr>
          <w:noProof/>
          <w:sz w:val="24"/>
          <w:szCs w:val="24"/>
          <w:lang w:eastAsia="en-GB"/>
        </w:rPr>
      </w:pPr>
      <w:r>
        <w:rPr>
          <w:noProof/>
          <w:sz w:val="24"/>
          <w:szCs w:val="24"/>
          <w:lang w:eastAsia="en-GB"/>
        </w:rPr>
        <w:t>So most of the difference comes from excise taxes. The Energy Tax Directive sets a higher minimum excise rate for gasoline (0.359 EUR/litre) compared to diesel (0.33 EUR/litre). Most of the countries have excise tax rate for gasoline the highest, followed by rate for diesel, followed by rate for heating oil.</w:t>
      </w:r>
    </w:p>
    <w:p>
      <w:pPr>
        <w:rPr>
          <w:noProof/>
          <w:sz w:val="24"/>
          <w:szCs w:val="24"/>
          <w:lang w:eastAsia="en-GB"/>
        </w:rPr>
      </w:pPr>
      <w:r>
        <w:rPr>
          <w:noProof/>
          <w:sz w:val="24"/>
          <w:szCs w:val="24"/>
          <w:lang w:eastAsia="en-GB"/>
        </w:rPr>
        <w:t>The minimum rate established by the Energy Tax Directive (0.021 EUR/litre) is much lower than those for motor fuels. The UK has long been the only state where the two motor fuels (gasoline and diesel) are taxed at the same level, with heating oil taxed by excise tax less, but is joined recently in 2019 by Belgium (gasoline excise = diesel excise &gt; heating oil excise). In practically all Member States, the excise duty rate of gasoline is higher than that of diesel, which is higher than that for heating oil (gasoline excise &gt; diesel excise &gt; heating oil excise). Few Member States (Bulgaria, the Czechia, Hungary, Netherlands and Romania) apply practically the same excise duty rates for diesel and heating oil, with excise for gasoline higher (gasoline excise &gt; diesel excise = heating oil excise). In most Member States, however, heating oil is taxed at a lower level. Czechia is the only country that has subsidies for heating oil.</w:t>
      </w:r>
    </w:p>
    <w:p>
      <w:pPr>
        <w:rPr>
          <w:noProof/>
          <w:sz w:val="24"/>
          <w:szCs w:val="24"/>
          <w:lang w:eastAsia="en-GB"/>
        </w:rPr>
      </w:pPr>
      <w:r>
        <w:rPr>
          <w:noProof/>
          <w:sz w:val="24"/>
          <w:szCs w:val="24"/>
          <w:lang w:eastAsia="en-GB"/>
        </w:rPr>
        <w:t>Although excise duty rates are set in absolute values, i.e. as a fixed amount per quantity of the product, several Member States increased the tax rates over the period, resulting in a gradually increasing (weighted) average tax rate. According to the Energy Tax Directive, the minimum excise duty rate for diesel increased from 0.302 EUR/litre to 0.33 EUR/litre on 1 January 2010, requiring some Member States to adjust their rates.</w:t>
      </w:r>
    </w:p>
    <w:p>
      <w:pPr>
        <w:rPr>
          <w:noProof/>
          <w:sz w:val="24"/>
          <w:szCs w:val="24"/>
          <w:lang w:eastAsia="en-GB"/>
        </w:rPr>
      </w:pPr>
      <w:r>
        <w:rPr>
          <w:noProof/>
          <w:sz w:val="24"/>
          <w:szCs w:val="24"/>
          <w:lang w:eastAsia="en-GB"/>
        </w:rPr>
        <w:t xml:space="preserve">Contrary to the general trend, the weighted average excise duty rate for gasoline fluctuated slightly from 2104 to 2016. While a few Member States indeed reduced the excise duty rate for gasoline in this period, the decrease was driven mainly by exchange rate developments, in particular the depreciation of the pound sterling which made the UK excise duty (unchanged in the local currency) significantly lower when expressed in euros. </w:t>
      </w:r>
    </w:p>
    <w:p>
      <w:pPr>
        <w:rPr>
          <w:noProof/>
          <w:sz w:val="24"/>
          <w:szCs w:val="24"/>
          <w:lang w:eastAsia="en-GB"/>
        </w:rPr>
      </w:pPr>
      <w:r>
        <w:rPr>
          <w:noProof/>
          <w:sz w:val="24"/>
          <w:szCs w:val="24"/>
          <w:lang w:eastAsia="en-GB"/>
        </w:rPr>
        <w:t>Austria is the only Member State that had other indirect taxes (mostly intended to curb pollution) on fuel throughout the period. Some Member States introduced them since 2010 or in last 5-6 years (CY, ES, GR, HU, IE, LV, NL, PT, SI, SK), but other member states did not. Since those are small compared to other taxes and are calculated per litre, we add them in our analysis to excise taxes.</w:t>
      </w:r>
    </w:p>
    <w:p>
      <w:pPr>
        <w:rPr>
          <w:b/>
          <w:bCs/>
          <w:noProof/>
          <w:sz w:val="24"/>
          <w:szCs w:val="24"/>
          <w:lang w:eastAsia="en-GB"/>
        </w:rPr>
      </w:pPr>
      <w:r>
        <w:rPr>
          <w:noProof/>
          <w:lang w:eastAsia="en-GB"/>
        </w:rPr>
        <w:drawing>
          <wp:inline distT="0" distB="0" distL="0" distR="0">
            <wp:extent cx="5708188" cy="3431239"/>
            <wp:effectExtent l="0" t="0" r="6985" b="0"/>
            <wp:docPr id="12773417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5708188" cy="3431239"/>
                    </a:xfrm>
                    <a:prstGeom prst="rect">
                      <a:avLst/>
                    </a:prstGeom>
                  </pic:spPr>
                </pic:pic>
              </a:graphicData>
            </a:graphic>
          </wp:inline>
        </w:drawing>
      </w:r>
    </w:p>
    <w:p>
      <w:pPr>
        <w:pStyle w:val="Caption"/>
        <w:rPr>
          <w:lang w:eastAsia="en-GB"/>
        </w:rPr>
      </w:pPr>
      <w:bookmarkStart w:id="130" w:name="_Toc525807824"/>
      <w:bookmarkStart w:id="131" w:name="_Toc526433427"/>
      <w:bookmarkStart w:id="132" w:name="_Toc526433705"/>
      <w:bookmarkStart w:id="133" w:name="_Toc526435647"/>
      <w:bookmarkStart w:id="134" w:name="_Toc530739733"/>
      <w:bookmarkStart w:id="135" w:name="_Toc531366108"/>
      <w:bookmarkStart w:id="136" w:name="_Toc50494072"/>
      <w:bookmarkStart w:id="137" w:name="_Toc52396838"/>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66</w:t>
      </w:r>
      <w:r>
        <w:rPr>
          <w:lang w:eastAsia="en-GB"/>
        </w:rPr>
        <w:fldChar w:fldCharType="end"/>
      </w:r>
      <w:r>
        <w:rPr>
          <w:lang w:eastAsia="en-GB"/>
        </w:rPr>
        <w:t xml:space="preserve"> - Average excise duty rates for oil products in the EU</w:t>
      </w:r>
      <w:bookmarkEnd w:id="130"/>
      <w:bookmarkEnd w:id="131"/>
      <w:bookmarkEnd w:id="132"/>
      <w:bookmarkEnd w:id="133"/>
      <w:bookmarkEnd w:id="134"/>
      <w:bookmarkEnd w:id="135"/>
      <w:r>
        <w:rPr>
          <w:lang w:eastAsia="en-GB"/>
        </w:rPr>
        <w:t xml:space="preserve"> (EUR/litre)</w:t>
      </w:r>
      <w:bookmarkEnd w:id="136"/>
      <w:bookmarkEnd w:id="137"/>
    </w:p>
    <w:p>
      <w:pPr>
        <w:pStyle w:val="Sources"/>
        <w:rPr>
          <w:noProof/>
          <w:lang w:eastAsia="en-GB"/>
        </w:rPr>
      </w:pPr>
      <w:r>
        <w:rPr>
          <w:noProof/>
          <w:lang w:eastAsia="en-GB"/>
        </w:rPr>
        <w:t>Source: Oil Bulletin, DG Energy</w:t>
      </w:r>
    </w:p>
    <w:p>
      <w:pPr>
        <w:rPr>
          <w:noProof/>
          <w:sz w:val="24"/>
          <w:szCs w:val="24"/>
          <w:lang w:eastAsia="en-GB"/>
        </w:rPr>
      </w:pPr>
      <w:r>
        <w:rPr>
          <w:noProof/>
          <w:sz w:val="24"/>
          <w:szCs w:val="24"/>
          <w:lang w:eastAsia="en-GB"/>
        </w:rPr>
        <w:t>If the net price of the three products is compared, the difference is significantly lower. In fact, during the whole period the net price of diesel is slightly higher than that of gasoline.</w:t>
      </w:r>
    </w:p>
    <w:p>
      <w:pPr>
        <w:rPr>
          <w:noProof/>
          <w:sz w:val="24"/>
          <w:szCs w:val="24"/>
          <w:lang w:eastAsia="en-GB"/>
        </w:rPr>
      </w:pPr>
      <w:r>
        <w:rPr>
          <w:noProof/>
        </w:rPr>
        <w:fldChar w:fldCharType="begin"/>
      </w:r>
      <w:r>
        <w:rPr>
          <w:noProof/>
          <w:sz w:val="24"/>
          <w:szCs w:val="24"/>
          <w:lang w:eastAsia="en-GB"/>
        </w:rPr>
        <w:instrText xml:space="preserve"> REF _Ref524632105 \h  \* MERGEFORMAT </w:instrText>
      </w:r>
      <w:r>
        <w:rPr>
          <w:noProof/>
        </w:rPr>
      </w:r>
      <w:r>
        <w:rPr>
          <w:noProof/>
          <w:sz w:val="24"/>
          <w:szCs w:val="24"/>
          <w:lang w:eastAsia="en-GB"/>
        </w:rPr>
        <w:fldChar w:fldCharType="separate"/>
      </w:r>
      <w:r>
        <w:rPr>
          <w:b/>
          <w:bCs/>
          <w:noProof/>
          <w:sz w:val="24"/>
          <w:szCs w:val="24"/>
          <w:lang w:eastAsia="en-GB"/>
        </w:rPr>
        <w:t>Figure 67</w:t>
      </w:r>
      <w:r>
        <w:rPr>
          <w:noProof/>
        </w:rPr>
        <w:fldChar w:fldCharType="end"/>
      </w:r>
      <w:r>
        <w:rPr>
          <w:noProof/>
          <w:sz w:val="24"/>
          <w:szCs w:val="24"/>
          <w:lang w:eastAsia="en-GB"/>
        </w:rPr>
        <w:t xml:space="preserve"> also depicts the evolution of the Brent crude oil price (recalculated into EUR/litre), showing that crude oil is clearly the main component of the net price. Over the period, crude oil price represented on average 65-70% of the net price of gasoline and diesel but in 2015-2016, as crude oil prices dropped significantly, this share dropped below 60%.</w:t>
      </w:r>
    </w:p>
    <w:p>
      <w:pPr>
        <w:rPr>
          <w:b/>
          <w:bCs/>
          <w:noProof/>
          <w:sz w:val="24"/>
          <w:szCs w:val="24"/>
          <w:lang w:eastAsia="en-GB"/>
        </w:rPr>
      </w:pPr>
      <w:r>
        <w:rPr>
          <w:noProof/>
          <w:lang w:eastAsia="en-GB"/>
        </w:rPr>
        <w:drawing>
          <wp:inline distT="0" distB="0" distL="0" distR="0">
            <wp:extent cx="5599242" cy="3365749"/>
            <wp:effectExtent l="0" t="0" r="1905" b="6350"/>
            <wp:docPr id="189934710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val="0"/>
                        </a:ext>
                      </a:extLst>
                    </a:blip>
                    <a:stretch>
                      <a:fillRect/>
                    </a:stretch>
                  </pic:blipFill>
                  <pic:spPr>
                    <a:xfrm>
                      <a:off x="0" y="0"/>
                      <a:ext cx="5599242" cy="3365749"/>
                    </a:xfrm>
                    <a:prstGeom prst="rect">
                      <a:avLst/>
                    </a:prstGeom>
                  </pic:spPr>
                </pic:pic>
              </a:graphicData>
            </a:graphic>
          </wp:inline>
        </w:drawing>
      </w:r>
    </w:p>
    <w:p>
      <w:pPr>
        <w:pStyle w:val="Caption"/>
        <w:rPr>
          <w:lang w:eastAsia="en-GB"/>
        </w:rPr>
      </w:pPr>
      <w:bookmarkStart w:id="138" w:name="_Ref524632105"/>
      <w:bookmarkStart w:id="139" w:name="_Toc525807825"/>
      <w:bookmarkStart w:id="140" w:name="_Toc526433428"/>
      <w:bookmarkStart w:id="141" w:name="_Toc526433706"/>
      <w:bookmarkStart w:id="142" w:name="_Toc526435648"/>
      <w:bookmarkStart w:id="143" w:name="_Toc530739734"/>
      <w:bookmarkStart w:id="144" w:name="_Toc531366109"/>
      <w:bookmarkStart w:id="145" w:name="_Toc50494073"/>
      <w:bookmarkStart w:id="146" w:name="_Toc52396839"/>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67</w:t>
      </w:r>
      <w:r>
        <w:rPr>
          <w:lang w:eastAsia="en-GB"/>
        </w:rPr>
        <w:fldChar w:fldCharType="end"/>
      </w:r>
      <w:bookmarkEnd w:id="138"/>
      <w:r>
        <w:rPr>
          <w:lang w:eastAsia="en-GB"/>
        </w:rPr>
        <w:t xml:space="preserve"> - Average retail price of oil products in the EU, without taxes</w:t>
      </w:r>
      <w:bookmarkEnd w:id="139"/>
      <w:bookmarkEnd w:id="140"/>
      <w:bookmarkEnd w:id="141"/>
      <w:bookmarkEnd w:id="142"/>
      <w:bookmarkEnd w:id="143"/>
      <w:bookmarkEnd w:id="144"/>
      <w:bookmarkEnd w:id="145"/>
      <w:bookmarkEnd w:id="146"/>
    </w:p>
    <w:p>
      <w:pPr>
        <w:pStyle w:val="Sources"/>
        <w:rPr>
          <w:noProof/>
          <w:lang w:eastAsia="en-GB"/>
        </w:rPr>
      </w:pPr>
      <w:r>
        <w:rPr>
          <w:noProof/>
          <w:lang w:eastAsia="en-GB"/>
        </w:rPr>
        <w:t>Source: Oil Bulletin, DG Energy</w:t>
      </w:r>
    </w:p>
    <w:p>
      <w:pPr>
        <w:rPr>
          <w:b/>
          <w:noProof/>
          <w:sz w:val="24"/>
          <w:szCs w:val="24"/>
          <w:lang w:eastAsia="en-GB"/>
        </w:rPr>
      </w:pPr>
    </w:p>
    <w:p>
      <w:pPr>
        <w:pStyle w:val="Heading3"/>
        <w:numPr>
          <w:ilvl w:val="2"/>
          <w:numId w:val="1"/>
        </w:numPr>
        <w:rPr>
          <w:noProof/>
        </w:rPr>
      </w:pPr>
      <w:bookmarkStart w:id="147" w:name="_Toc524619500"/>
      <w:bookmarkStart w:id="148" w:name="_Toc524961047"/>
      <w:bookmarkStart w:id="149" w:name="_Toc525143012"/>
      <w:bookmarkStart w:id="150" w:name="_Toc525222169"/>
      <w:bookmarkStart w:id="151" w:name="_Toc525222338"/>
      <w:bookmarkStart w:id="152" w:name="_Toc526420732"/>
      <w:bookmarkStart w:id="153" w:name="_Toc526433959"/>
      <w:bookmarkStart w:id="154" w:name="_Toc526435901"/>
      <w:bookmarkStart w:id="155" w:name="_Toc530595231"/>
      <w:bookmarkStart w:id="156" w:name="_Toc50648320"/>
      <w:bookmarkStart w:id="157" w:name="_Toc50654350"/>
      <w:bookmarkStart w:id="158" w:name="_Toc50654905"/>
      <w:bookmarkStart w:id="159" w:name="_Toc50732452"/>
      <w:bookmarkStart w:id="160" w:name="_Toc52396536"/>
      <w:r>
        <w:rPr>
          <w:noProof/>
        </w:rPr>
        <w:t>Gasoline</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pPr>
        <w:rPr>
          <w:b/>
          <w:noProof/>
          <w:sz w:val="24"/>
          <w:szCs w:val="24"/>
          <w:lang w:eastAsia="en-GB"/>
        </w:rPr>
      </w:pPr>
    </w:p>
    <w:p>
      <w:pPr>
        <w:rPr>
          <w:noProof/>
          <w:sz w:val="24"/>
          <w:szCs w:val="24"/>
          <w:lang w:eastAsia="en-GB"/>
        </w:rPr>
      </w:pPr>
      <w:r>
        <w:rPr>
          <w:noProof/>
          <w:sz w:val="24"/>
          <w:szCs w:val="24"/>
          <w:lang w:eastAsia="en-GB"/>
        </w:rPr>
        <w:t>In most Member States, the evolution of gasoline prices clearly followed the trend of the crude oil price but there have been considerable differences in the absolute level, mainly explained by the diverging excise duty and VAT rates. Average prices moved in a relatively wide range, with the difference between the highest and lowest price being about 0.5 EUR/litre. This range has slightly narrowed between 2013 and 2016, towards 0.45 EUR/litre, indicating some degree of price convergence. However, the range widened afterwards, exceeding 0.6 EUR/litre in 2019.</w:t>
      </w:r>
    </w:p>
    <w:p>
      <w:pPr>
        <w:rPr>
          <w:noProof/>
          <w:sz w:val="24"/>
          <w:szCs w:val="24"/>
          <w:lang w:eastAsia="en-GB"/>
        </w:rPr>
      </w:pPr>
      <w:r>
        <w:rPr>
          <w:noProof/>
          <w:sz w:val="24"/>
          <w:szCs w:val="24"/>
          <w:lang w:eastAsia="en-GB"/>
        </w:rPr>
        <w:t>Greece showcased the biggest relative increase in gasoline prices: while in 2008-2009 Greek prices were well below the EU average, since 2011 they are among the highest, mainly as a result of the sharp increase of the excise duty rate. In the first half of 2018, the EU average gasoline price was 6% higher than in 2008; in case of Greece, the increase was 39%. At the other end of the spectrum, prices in Poland decreased by 8%, mainly because of the depreciation of the national currency in the second half of 2008 (measured in Polish zloty, the average price increased).</w:t>
      </w:r>
    </w:p>
    <w:p>
      <w:pPr>
        <w:rPr>
          <w:b/>
          <w:bCs/>
          <w:noProof/>
          <w:sz w:val="24"/>
          <w:szCs w:val="24"/>
          <w:lang w:eastAsia="en-GB"/>
        </w:rPr>
      </w:pPr>
      <w:r>
        <w:rPr>
          <w:noProof/>
          <w:lang w:eastAsia="en-GB"/>
        </w:rPr>
        <w:drawing>
          <wp:inline distT="0" distB="0" distL="0" distR="0">
            <wp:extent cx="6271600" cy="3387747"/>
            <wp:effectExtent l="0" t="0" r="0" b="3175"/>
            <wp:docPr id="136312689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71600" cy="3387747"/>
                    </a:xfrm>
                    <a:prstGeom prst="rect">
                      <a:avLst/>
                    </a:prstGeom>
                  </pic:spPr>
                </pic:pic>
              </a:graphicData>
            </a:graphic>
          </wp:inline>
        </w:drawing>
      </w:r>
    </w:p>
    <w:p>
      <w:pPr>
        <w:pStyle w:val="Caption"/>
        <w:rPr>
          <w:lang w:eastAsia="en-GB"/>
        </w:rPr>
      </w:pPr>
      <w:bookmarkStart w:id="161" w:name="_Toc525807826"/>
      <w:bookmarkStart w:id="162" w:name="_Toc526433429"/>
      <w:bookmarkStart w:id="163" w:name="_Toc526433707"/>
      <w:bookmarkStart w:id="164" w:name="_Toc526435649"/>
      <w:bookmarkStart w:id="165" w:name="_Toc530739735"/>
      <w:bookmarkStart w:id="166" w:name="_Toc531366110"/>
      <w:bookmarkStart w:id="167" w:name="_Toc50494074"/>
      <w:bookmarkStart w:id="168" w:name="_Toc52396840"/>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68</w:t>
      </w:r>
      <w:r>
        <w:rPr>
          <w:lang w:eastAsia="en-GB"/>
        </w:rPr>
        <w:fldChar w:fldCharType="end"/>
      </w:r>
      <w:r>
        <w:rPr>
          <w:lang w:eastAsia="en-GB"/>
        </w:rPr>
        <w:t xml:space="preserve"> - The retail price of gasoline in the EU</w:t>
      </w:r>
      <w:bookmarkEnd w:id="161"/>
      <w:bookmarkEnd w:id="162"/>
      <w:bookmarkEnd w:id="163"/>
      <w:bookmarkEnd w:id="164"/>
      <w:bookmarkEnd w:id="165"/>
      <w:bookmarkEnd w:id="166"/>
      <w:bookmarkEnd w:id="167"/>
      <w:bookmarkEnd w:id="168"/>
    </w:p>
    <w:p>
      <w:pPr>
        <w:pStyle w:val="Sources"/>
        <w:rPr>
          <w:noProof/>
          <w:lang w:eastAsia="en-GB"/>
        </w:rPr>
      </w:pPr>
      <w:r>
        <w:rPr>
          <w:noProof/>
          <w:lang w:eastAsia="en-GB"/>
        </w:rPr>
        <w:t>Source: Oil Bulletin, DG Energy</w:t>
      </w:r>
    </w:p>
    <w:p>
      <w:pPr>
        <w:rPr>
          <w:b/>
          <w:bCs/>
          <w:noProof/>
          <w:sz w:val="24"/>
          <w:szCs w:val="24"/>
          <w:lang w:eastAsia="en-GB"/>
        </w:rPr>
      </w:pPr>
      <w:r>
        <w:rPr>
          <w:noProof/>
          <w:sz w:val="24"/>
          <w:szCs w:val="24"/>
          <w:lang w:eastAsia="en-GB"/>
        </w:rPr>
        <w:t>Looking at net prices, the dispersion is smaller, the difference between the highest and the lowest price is typically between 0.10 and 0.15 EUR/litre. The net price depends on a number of factors, including the source of supply (local refinery or import), industry structure and competition. In 2019, the lowest net price was reported by Slovenia and Czechia, while the highest by the Denmark. Average net price follows the representative wholesale price (Platts Gasoline Prem Unleaded 10ppmS FOB AR Barge).</w:t>
      </w:r>
    </w:p>
    <w:p>
      <w:pPr>
        <w:rPr>
          <w:b/>
          <w:bCs/>
          <w:noProof/>
          <w:sz w:val="24"/>
          <w:szCs w:val="24"/>
          <w:lang w:eastAsia="en-GB"/>
        </w:rPr>
      </w:pPr>
      <w:r>
        <w:rPr>
          <w:noProof/>
          <w:lang w:eastAsia="en-GB"/>
        </w:rPr>
        <w:drawing>
          <wp:inline distT="0" distB="0" distL="0" distR="0">
            <wp:extent cx="6062386" cy="3276965"/>
            <wp:effectExtent l="0" t="0" r="0" b="0"/>
            <wp:docPr id="73141097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62386" cy="3276965"/>
                    </a:xfrm>
                    <a:prstGeom prst="rect">
                      <a:avLst/>
                    </a:prstGeom>
                  </pic:spPr>
                </pic:pic>
              </a:graphicData>
            </a:graphic>
          </wp:inline>
        </w:drawing>
      </w:r>
    </w:p>
    <w:p>
      <w:pPr>
        <w:pStyle w:val="Caption"/>
        <w:rPr>
          <w:lang w:eastAsia="en-GB"/>
        </w:rPr>
      </w:pPr>
      <w:bookmarkStart w:id="169" w:name="_Toc525807827"/>
      <w:bookmarkStart w:id="170" w:name="_Toc526433430"/>
      <w:bookmarkStart w:id="171" w:name="_Toc526433708"/>
      <w:bookmarkStart w:id="172" w:name="_Toc526435650"/>
      <w:bookmarkStart w:id="173" w:name="_Toc530739736"/>
      <w:bookmarkStart w:id="174" w:name="_Toc531366111"/>
      <w:bookmarkStart w:id="175" w:name="_Toc50494075"/>
      <w:bookmarkStart w:id="176" w:name="_Toc52396841"/>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69</w:t>
      </w:r>
      <w:r>
        <w:rPr>
          <w:lang w:eastAsia="en-GB"/>
        </w:rPr>
        <w:fldChar w:fldCharType="end"/>
      </w:r>
      <w:r>
        <w:rPr>
          <w:lang w:eastAsia="en-GB"/>
        </w:rPr>
        <w:t xml:space="preserve"> - The retail price of gasoline in the EU, without taxes</w:t>
      </w:r>
      <w:bookmarkEnd w:id="169"/>
      <w:bookmarkEnd w:id="170"/>
      <w:bookmarkEnd w:id="171"/>
      <w:bookmarkEnd w:id="172"/>
      <w:bookmarkEnd w:id="173"/>
      <w:bookmarkEnd w:id="174"/>
      <w:bookmarkEnd w:id="175"/>
      <w:bookmarkEnd w:id="176"/>
    </w:p>
    <w:p>
      <w:pPr>
        <w:pStyle w:val="Sources"/>
        <w:rPr>
          <w:noProof/>
          <w:lang w:eastAsia="en-GB"/>
        </w:rPr>
      </w:pPr>
      <w:r>
        <w:rPr>
          <w:noProof/>
          <w:lang w:eastAsia="en-GB"/>
        </w:rPr>
        <w:t>Source: Oil Bulletin, DG Energy, Platts</w:t>
      </w:r>
    </w:p>
    <w:p>
      <w:pPr>
        <w:spacing w:after="240"/>
        <w:rPr>
          <w:noProof/>
          <w:sz w:val="20"/>
          <w:szCs w:val="20"/>
          <w:lang w:eastAsia="en-GB"/>
        </w:rPr>
      </w:pPr>
      <w:r>
        <w:rPr>
          <w:noProof/>
          <w:sz w:val="20"/>
          <w:szCs w:val="20"/>
          <w:lang w:eastAsia="en-GB"/>
        </w:rPr>
        <w:t>The wholesale price is Gasoline Prem Unleaded 10ppmS FOB AR Barge reported by Platts</w:t>
      </w:r>
    </w:p>
    <w:p>
      <w:pPr>
        <w:rPr>
          <w:noProof/>
          <w:sz w:val="24"/>
          <w:szCs w:val="24"/>
          <w:lang w:eastAsia="en-GB"/>
        </w:rPr>
      </w:pPr>
      <w:r>
        <w:rPr>
          <w:noProof/>
          <w:sz w:val="24"/>
          <w:szCs w:val="24"/>
          <w:lang w:eastAsia="en-GB"/>
        </w:rPr>
        <w:t>Excise duty is an important component of the retail gasoline price; in 2019, in half of the Member States it actually exceeded the net price. Over the years, we see a gradual increase of the average excise duty rate, with a highest level in 2015 and then period of slight decreasing and rebounding again, from 0.50 EUR/litre in 2005, to 0.59 EUR/litre by 2015, and then falling back to 0.58 EUR/litre in 2018 and 2019.</w:t>
      </w:r>
    </w:p>
    <w:p>
      <w:pPr>
        <w:rPr>
          <w:noProof/>
          <w:sz w:val="24"/>
          <w:szCs w:val="24"/>
          <w:lang w:eastAsia="en-GB"/>
        </w:rPr>
      </w:pPr>
      <w:r>
        <w:rPr>
          <w:noProof/>
          <w:sz w:val="24"/>
          <w:szCs w:val="24"/>
          <w:lang w:eastAsia="en-GB"/>
        </w:rPr>
        <w:t>In most Member States, excise duty rates increased between 2008 and 2019, with the biggest increases in Greece (98%), Latvia (63%) and Cyprus (58%). Germany and Luxembourg are notable exceptions: in these countries, the excise duty rate for gasoline has not changed since 2003 and 2007, respectively. In Hungary and Poland, the excise duty rate measured in euro was lower in 2018 than in 2008, mainly because of exchange rate developments (in national currencies, the excise duty rates increased over this period). In 2015, the UK had the highest excise duty in the EU but since then, due to the depreciation of the pound sterling, the excise duty measured in euro has significantly decreased.</w:t>
      </w:r>
    </w:p>
    <w:p>
      <w:pPr>
        <w:rPr>
          <w:noProof/>
          <w:sz w:val="24"/>
          <w:szCs w:val="24"/>
          <w:lang w:eastAsia="en-GB"/>
        </w:rPr>
      </w:pPr>
      <w:r>
        <w:rPr>
          <w:noProof/>
          <w:sz w:val="24"/>
          <w:szCs w:val="24"/>
          <w:lang w:eastAsia="en-GB"/>
        </w:rPr>
        <w:t>For most of the study period, the Netherlands applied the highest excise duty rate for gasoline while Bulgaria had the lowest rate, just above the minimum level prescribed by the Energy Tax Directive.</w:t>
      </w:r>
    </w:p>
    <w:p>
      <w:pPr>
        <w:rPr>
          <w:b/>
          <w:bCs/>
          <w:noProof/>
          <w:sz w:val="24"/>
          <w:szCs w:val="24"/>
          <w:lang w:eastAsia="en-GB"/>
        </w:rPr>
      </w:pPr>
      <w:r>
        <w:rPr>
          <w:noProof/>
          <w:lang w:eastAsia="en-GB"/>
        </w:rPr>
        <w:drawing>
          <wp:inline distT="0" distB="0" distL="0" distR="0">
            <wp:extent cx="6178212" cy="3341085"/>
            <wp:effectExtent l="0" t="0" r="0" b="0"/>
            <wp:docPr id="142304745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78212" cy="3341085"/>
                    </a:xfrm>
                    <a:prstGeom prst="rect">
                      <a:avLst/>
                    </a:prstGeom>
                  </pic:spPr>
                </pic:pic>
              </a:graphicData>
            </a:graphic>
          </wp:inline>
        </w:drawing>
      </w:r>
    </w:p>
    <w:p>
      <w:pPr>
        <w:pStyle w:val="Caption"/>
        <w:rPr>
          <w:lang w:eastAsia="en-GB"/>
        </w:rPr>
      </w:pPr>
      <w:bookmarkStart w:id="177" w:name="_Toc525807828"/>
      <w:bookmarkStart w:id="178" w:name="_Toc526433431"/>
      <w:bookmarkStart w:id="179" w:name="_Toc526433709"/>
      <w:bookmarkStart w:id="180" w:name="_Toc526435651"/>
      <w:bookmarkStart w:id="181" w:name="_Toc530739737"/>
      <w:bookmarkStart w:id="182" w:name="_Toc531366112"/>
      <w:bookmarkStart w:id="183" w:name="_Toc50494076"/>
      <w:bookmarkStart w:id="184" w:name="_Toc52396842"/>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70</w:t>
      </w:r>
      <w:r>
        <w:rPr>
          <w:lang w:eastAsia="en-GB"/>
        </w:rPr>
        <w:fldChar w:fldCharType="end"/>
      </w:r>
      <w:r>
        <w:rPr>
          <w:lang w:eastAsia="en-GB"/>
        </w:rPr>
        <w:t xml:space="preserve"> - The excise duty rate of gasoline in the EU</w:t>
      </w:r>
      <w:bookmarkEnd w:id="177"/>
      <w:bookmarkEnd w:id="178"/>
      <w:bookmarkEnd w:id="179"/>
      <w:bookmarkEnd w:id="180"/>
      <w:bookmarkEnd w:id="181"/>
      <w:bookmarkEnd w:id="182"/>
      <w:bookmarkEnd w:id="183"/>
      <w:bookmarkEnd w:id="184"/>
    </w:p>
    <w:p>
      <w:pPr>
        <w:pStyle w:val="Sources"/>
        <w:rPr>
          <w:noProof/>
          <w:lang w:eastAsia="en-GB"/>
        </w:rPr>
      </w:pPr>
      <w:r>
        <w:rPr>
          <w:noProof/>
          <w:lang w:eastAsia="en-GB"/>
        </w:rPr>
        <w:t xml:space="preserve">Source: Oil Bulletin, DG Energy. </w:t>
      </w:r>
    </w:p>
    <w:p>
      <w:pPr>
        <w:rPr>
          <w:noProof/>
          <w:sz w:val="24"/>
          <w:szCs w:val="24"/>
          <w:lang w:eastAsia="en-GB"/>
        </w:rPr>
      </w:pPr>
    </w:p>
    <w:p>
      <w:pPr>
        <w:rPr>
          <w:noProof/>
          <w:sz w:val="24"/>
          <w:szCs w:val="24"/>
          <w:lang w:eastAsia="en-GB"/>
        </w:rPr>
      </w:pPr>
      <w:r>
        <w:rPr>
          <w:noProof/>
          <w:sz w:val="24"/>
          <w:szCs w:val="24"/>
          <w:lang w:eastAsia="en-GB"/>
        </w:rPr>
        <w:t>The average VAT rate also increased during this period (as a part of the trend of fiscal policies of Member States of shifting more to consumption based taxation), from 19.3% in 2005 to 21.5% in 2014. Since then, the average VAT rate has not changed.</w:t>
      </w:r>
    </w:p>
    <w:p>
      <w:pPr>
        <w:rPr>
          <w:noProof/>
          <w:sz w:val="24"/>
          <w:szCs w:val="24"/>
          <w:lang w:eastAsia="en-GB"/>
        </w:rPr>
      </w:pPr>
      <w:r>
        <w:rPr>
          <w:noProof/>
          <w:sz w:val="24"/>
          <w:szCs w:val="24"/>
          <w:lang w:eastAsia="en-GB"/>
        </w:rPr>
        <w:t>In 2014-2016, in line with the decreasing oil prices, the average retail price of gasoline decreased. However, because of the fixed (or, in case of several member States, increasing) excise duty rates, the share of the tax component gradually increased, from 54% in 2012 to 65% in 2016. Due to increases in the retail prices since 2017, the share of tax component decreased again towards 60%.</w:t>
      </w:r>
    </w:p>
    <w:p>
      <w:pPr>
        <w:rPr>
          <w:noProof/>
          <w:sz w:val="24"/>
          <w:szCs w:val="24"/>
          <w:lang w:eastAsia="en-GB"/>
        </w:rPr>
      </w:pPr>
      <w:r>
        <w:rPr>
          <w:noProof/>
          <w:sz w:val="24"/>
          <w:szCs w:val="24"/>
          <w:lang w:eastAsia="en-GB"/>
        </w:rPr>
        <w:t xml:space="preserve">The average gasoline price increased in both 2017, 2018 and 2019, levelling the 2015 prices, while the 2012 remains the record high level. In 2019, the average price was 1.36 EUR/litre, composed of a 0.54 EUR/litre net price (40%), 0.58 EUR/litre excise duty (43%) and 0.24 EUR/litre (18%) VAT. </w:t>
      </w:r>
    </w:p>
    <w:p>
      <w:pPr>
        <w:rPr>
          <w:b/>
          <w:bCs/>
          <w:noProof/>
          <w:sz w:val="24"/>
          <w:szCs w:val="24"/>
          <w:lang w:eastAsia="en-GB"/>
        </w:rPr>
      </w:pPr>
      <w:r>
        <w:rPr>
          <w:noProof/>
          <w:lang w:eastAsia="en-GB"/>
        </w:rPr>
        <w:drawing>
          <wp:inline distT="0" distB="0" distL="0" distR="0">
            <wp:extent cx="6120239" cy="3340554"/>
            <wp:effectExtent l="0" t="0" r="0" b="0"/>
            <wp:docPr id="13520081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a:extLst>
                        <a:ext uri="{28A0092B-C50C-407E-A947-70E740481C1C}">
                          <a14:useLocalDpi xmlns:a14="http://schemas.microsoft.com/office/drawing/2010/main" val="0"/>
                        </a:ext>
                      </a:extLst>
                    </a:blip>
                    <a:stretch>
                      <a:fillRect/>
                    </a:stretch>
                  </pic:blipFill>
                  <pic:spPr>
                    <a:xfrm>
                      <a:off x="0" y="0"/>
                      <a:ext cx="6120239" cy="3340554"/>
                    </a:xfrm>
                    <a:prstGeom prst="rect">
                      <a:avLst/>
                    </a:prstGeom>
                  </pic:spPr>
                </pic:pic>
              </a:graphicData>
            </a:graphic>
          </wp:inline>
        </w:drawing>
      </w:r>
    </w:p>
    <w:p>
      <w:pPr>
        <w:pStyle w:val="Caption"/>
        <w:rPr>
          <w:lang w:eastAsia="en-GB"/>
        </w:rPr>
      </w:pPr>
      <w:bookmarkStart w:id="185" w:name="_Toc525807829"/>
      <w:bookmarkStart w:id="186" w:name="_Toc526433432"/>
      <w:bookmarkStart w:id="187" w:name="_Toc526433710"/>
      <w:bookmarkStart w:id="188" w:name="_Toc526435652"/>
      <w:bookmarkStart w:id="189" w:name="_Toc530739738"/>
      <w:bookmarkStart w:id="190" w:name="_Toc531366113"/>
      <w:bookmarkStart w:id="191" w:name="_Toc50494077"/>
      <w:bookmarkStart w:id="192" w:name="_Toc52396843"/>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71</w:t>
      </w:r>
      <w:r>
        <w:rPr>
          <w:lang w:eastAsia="en-GB"/>
        </w:rPr>
        <w:fldChar w:fldCharType="end"/>
      </w:r>
      <w:r>
        <w:rPr>
          <w:lang w:eastAsia="en-GB"/>
        </w:rPr>
        <w:t xml:space="preserve"> - Average retail price of gasoline in the EU by price component</w:t>
      </w:r>
      <w:bookmarkEnd w:id="185"/>
      <w:bookmarkEnd w:id="186"/>
      <w:bookmarkEnd w:id="187"/>
      <w:bookmarkEnd w:id="188"/>
      <w:bookmarkEnd w:id="189"/>
      <w:bookmarkEnd w:id="190"/>
      <w:bookmarkEnd w:id="191"/>
      <w:bookmarkEnd w:id="192"/>
      <w:r>
        <w:rPr>
          <w:lang w:eastAsia="en-GB"/>
        </w:rPr>
        <w:t xml:space="preserve"> </w:t>
      </w:r>
    </w:p>
    <w:p>
      <w:pPr>
        <w:pStyle w:val="Sources"/>
        <w:rPr>
          <w:b/>
          <w:bCs/>
          <w:noProof/>
          <w:lang w:eastAsia="en-GB"/>
        </w:rPr>
      </w:pPr>
      <w:r>
        <w:rPr>
          <w:noProof/>
          <w:lang w:eastAsia="en-GB"/>
        </w:rPr>
        <w:t>Source: Oil Bulletin, DG Energy</w:t>
      </w:r>
    </w:p>
    <w:p>
      <w:pPr>
        <w:rPr>
          <w:b/>
          <w:bCs/>
          <w:noProof/>
          <w:sz w:val="24"/>
          <w:szCs w:val="24"/>
          <w:lang w:eastAsia="en-GB"/>
        </w:rPr>
      </w:pPr>
      <w:r>
        <w:rPr>
          <w:noProof/>
          <w:sz w:val="24"/>
          <w:szCs w:val="24"/>
          <w:lang w:eastAsia="en-GB"/>
        </w:rPr>
        <w:t>The next graph shows the composition of the average gasoline price by Member State in 2019.</w:t>
      </w:r>
    </w:p>
    <w:p>
      <w:pPr>
        <w:rPr>
          <w:b/>
          <w:bCs/>
          <w:noProof/>
          <w:sz w:val="24"/>
          <w:szCs w:val="24"/>
          <w:lang w:eastAsia="en-GB"/>
        </w:rPr>
      </w:pPr>
      <w:r>
        <w:rPr>
          <w:noProof/>
          <w:lang w:eastAsia="en-GB"/>
        </w:rPr>
        <w:drawing>
          <wp:inline distT="0" distB="0" distL="0" distR="0">
            <wp:extent cx="6254614" cy="3651717"/>
            <wp:effectExtent l="0" t="0" r="8890" b="0"/>
            <wp:docPr id="56511088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a:extLst>
                        <a:ext uri="{28A0092B-C50C-407E-A947-70E740481C1C}">
                          <a14:useLocalDpi xmlns:a14="http://schemas.microsoft.com/office/drawing/2010/main" val="0"/>
                        </a:ext>
                      </a:extLst>
                    </a:blip>
                    <a:stretch>
                      <a:fillRect/>
                    </a:stretch>
                  </pic:blipFill>
                  <pic:spPr>
                    <a:xfrm>
                      <a:off x="0" y="0"/>
                      <a:ext cx="6254614" cy="3651717"/>
                    </a:xfrm>
                    <a:prstGeom prst="rect">
                      <a:avLst/>
                    </a:prstGeom>
                  </pic:spPr>
                </pic:pic>
              </a:graphicData>
            </a:graphic>
          </wp:inline>
        </w:drawing>
      </w:r>
    </w:p>
    <w:p>
      <w:pPr>
        <w:pStyle w:val="Caption"/>
        <w:rPr>
          <w:lang w:eastAsia="en-GB"/>
        </w:rPr>
      </w:pPr>
      <w:bookmarkStart w:id="193" w:name="_Toc525807830"/>
      <w:bookmarkStart w:id="194" w:name="_Toc526433433"/>
      <w:bookmarkStart w:id="195" w:name="_Toc526433711"/>
      <w:bookmarkStart w:id="196" w:name="_Toc526435653"/>
      <w:bookmarkStart w:id="197" w:name="_Toc530739739"/>
      <w:bookmarkStart w:id="198" w:name="_Toc531366114"/>
      <w:bookmarkStart w:id="199" w:name="_Toc50494078"/>
      <w:bookmarkStart w:id="200" w:name="_Toc52396844"/>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72</w:t>
      </w:r>
      <w:r>
        <w:rPr>
          <w:lang w:eastAsia="en-GB"/>
        </w:rPr>
        <w:fldChar w:fldCharType="end"/>
      </w:r>
      <w:r>
        <w:rPr>
          <w:lang w:eastAsia="en-GB"/>
        </w:rPr>
        <w:t xml:space="preserve"> - Average retail price of gasoline in the first half of 2018 by Member State and price component</w:t>
      </w:r>
      <w:bookmarkEnd w:id="193"/>
      <w:bookmarkEnd w:id="194"/>
      <w:bookmarkEnd w:id="195"/>
      <w:bookmarkEnd w:id="196"/>
      <w:bookmarkEnd w:id="197"/>
      <w:bookmarkEnd w:id="198"/>
      <w:bookmarkEnd w:id="199"/>
      <w:bookmarkEnd w:id="200"/>
      <w:r>
        <w:rPr>
          <w:lang w:eastAsia="en-GB"/>
        </w:rPr>
        <w:t xml:space="preserve"> </w:t>
      </w:r>
    </w:p>
    <w:p>
      <w:pPr>
        <w:pStyle w:val="Sources"/>
        <w:rPr>
          <w:noProof/>
          <w:lang w:eastAsia="en-GB"/>
        </w:rPr>
      </w:pPr>
      <w:r>
        <w:rPr>
          <w:noProof/>
          <w:lang w:eastAsia="en-GB"/>
        </w:rPr>
        <w:t>Source: Oil Bulletin, DG Energy</w:t>
      </w:r>
    </w:p>
    <w:p>
      <w:pPr>
        <w:rPr>
          <w:noProof/>
          <w:sz w:val="24"/>
          <w:szCs w:val="24"/>
          <w:lang w:eastAsia="en-GB"/>
        </w:rPr>
      </w:pPr>
    </w:p>
    <w:p>
      <w:pPr>
        <w:pStyle w:val="Heading3"/>
        <w:numPr>
          <w:ilvl w:val="2"/>
          <w:numId w:val="1"/>
        </w:numPr>
        <w:rPr>
          <w:noProof/>
        </w:rPr>
      </w:pPr>
      <w:bookmarkStart w:id="201" w:name="_Toc524619501"/>
      <w:bookmarkStart w:id="202" w:name="_Toc524961048"/>
      <w:bookmarkStart w:id="203" w:name="_Toc525143013"/>
      <w:bookmarkStart w:id="204" w:name="_Toc525222170"/>
      <w:bookmarkStart w:id="205" w:name="_Toc525222339"/>
      <w:bookmarkStart w:id="206" w:name="_Toc526420733"/>
      <w:bookmarkStart w:id="207" w:name="_Toc526433960"/>
      <w:bookmarkStart w:id="208" w:name="_Toc526435902"/>
      <w:bookmarkStart w:id="209" w:name="_Toc530595232"/>
      <w:bookmarkStart w:id="210" w:name="_Toc50648321"/>
      <w:bookmarkStart w:id="211" w:name="_Toc50654351"/>
      <w:bookmarkStart w:id="212" w:name="_Toc50654906"/>
      <w:bookmarkStart w:id="213" w:name="_Toc50732453"/>
      <w:bookmarkStart w:id="214" w:name="_Toc52396537"/>
      <w:r>
        <w:rPr>
          <w:noProof/>
        </w:rPr>
        <w:t>Diesel</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pPr>
        <w:rPr>
          <w:b/>
          <w:noProof/>
          <w:sz w:val="24"/>
          <w:szCs w:val="24"/>
          <w:lang w:eastAsia="en-GB"/>
        </w:rPr>
      </w:pPr>
    </w:p>
    <w:p>
      <w:pPr>
        <w:rPr>
          <w:noProof/>
          <w:sz w:val="24"/>
          <w:szCs w:val="24"/>
          <w:lang w:eastAsia="en-GB"/>
        </w:rPr>
      </w:pPr>
      <w:r>
        <w:rPr>
          <w:noProof/>
          <w:sz w:val="24"/>
          <w:szCs w:val="24"/>
          <w:lang w:eastAsia="en-GB"/>
        </w:rPr>
        <w:t>Similarly to gasoline, the evolution of diesel prices clearly followed the trend of the crude oil price, with considerable differences in the absolute level, mainly explained by the diverging excise duty and VAT rates. Average prices moved in a relatively wide range and, contrary to gasoline, this range has widened between 2008 and 2015: it was 0.37 EUR/litre in 2009 but grew to 0.50 EUR/litre in 2015 and was hovering around that level for much of the rest of the period with widening in 2018 and 2019 as most of the prices increased, but also situations in EU Member States economies started to diverge.</w:t>
      </w:r>
    </w:p>
    <w:p>
      <w:pPr>
        <w:rPr>
          <w:noProof/>
          <w:sz w:val="24"/>
          <w:szCs w:val="24"/>
          <w:lang w:eastAsia="en-GB"/>
        </w:rPr>
      </w:pPr>
      <w:r>
        <w:rPr>
          <w:noProof/>
          <w:sz w:val="24"/>
          <w:szCs w:val="24"/>
          <w:lang w:eastAsia="en-GB"/>
        </w:rPr>
        <w:t>If the three most expensive countries (Italy, Sweden and the UK) were disregarded, the range would be considerably narrower. In 2015, the UK was by far the most expensive, 0.18 EUR/litre above the second most expensive country, Italy. However, the depreciation of the pound sterling in 2016-2017 had a negative impact on UK prices measured in euros and, as a result, it was "only" the third most expensive country in 2018 and 2019.</w:t>
      </w:r>
    </w:p>
    <w:p>
      <w:pPr>
        <w:rPr>
          <w:noProof/>
          <w:sz w:val="24"/>
          <w:szCs w:val="24"/>
          <w:lang w:eastAsia="en-GB"/>
        </w:rPr>
      </w:pPr>
      <w:r>
        <w:rPr>
          <w:noProof/>
          <w:sz w:val="24"/>
          <w:szCs w:val="24"/>
          <w:lang w:eastAsia="en-GB"/>
        </w:rPr>
        <w:t xml:space="preserve">Cyprus experienced the biggest relative increase in diesel prices: in 2008 it had the lowest price in the EU but after significant increases in the excise duty rate the price reached the EU average by 2013. In 2018 and 2019, EU average diesel prices were 5% and 6% higher than in 2008; in case of Cyprus, the price increased by 15% and 13%. </w:t>
      </w:r>
    </w:p>
    <w:p>
      <w:pPr>
        <w:rPr>
          <w:b/>
          <w:bCs/>
          <w:noProof/>
          <w:sz w:val="24"/>
          <w:szCs w:val="24"/>
          <w:lang w:eastAsia="en-GB"/>
        </w:rPr>
      </w:pPr>
      <w:r>
        <w:rPr>
          <w:noProof/>
          <w:lang w:eastAsia="en-GB"/>
        </w:rPr>
        <w:drawing>
          <wp:inline distT="0" distB="0" distL="0" distR="0">
            <wp:extent cx="6193775" cy="3345710"/>
            <wp:effectExtent l="0" t="0" r="0" b="7620"/>
            <wp:docPr id="181602204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93775" cy="3345710"/>
                    </a:xfrm>
                    <a:prstGeom prst="rect">
                      <a:avLst/>
                    </a:prstGeom>
                  </pic:spPr>
                </pic:pic>
              </a:graphicData>
            </a:graphic>
          </wp:inline>
        </w:drawing>
      </w:r>
    </w:p>
    <w:p>
      <w:pPr>
        <w:pStyle w:val="Caption"/>
        <w:rPr>
          <w:lang w:eastAsia="en-GB"/>
        </w:rPr>
      </w:pPr>
      <w:bookmarkStart w:id="215" w:name="_Toc525807831"/>
      <w:bookmarkStart w:id="216" w:name="_Toc526433434"/>
      <w:bookmarkStart w:id="217" w:name="_Toc526433712"/>
      <w:bookmarkStart w:id="218" w:name="_Toc526435654"/>
      <w:bookmarkStart w:id="219" w:name="_Toc530739740"/>
      <w:bookmarkStart w:id="220" w:name="_Toc531366115"/>
      <w:bookmarkStart w:id="221" w:name="_Toc50494079"/>
      <w:bookmarkStart w:id="222" w:name="_Toc52396845"/>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73</w:t>
      </w:r>
      <w:r>
        <w:rPr>
          <w:lang w:eastAsia="en-GB"/>
        </w:rPr>
        <w:fldChar w:fldCharType="end"/>
      </w:r>
      <w:r>
        <w:rPr>
          <w:lang w:eastAsia="en-GB"/>
        </w:rPr>
        <w:t xml:space="preserve"> - The retail price of diesel in the EU</w:t>
      </w:r>
      <w:bookmarkEnd w:id="215"/>
      <w:bookmarkEnd w:id="216"/>
      <w:bookmarkEnd w:id="217"/>
      <w:bookmarkEnd w:id="218"/>
      <w:bookmarkEnd w:id="219"/>
      <w:bookmarkEnd w:id="220"/>
      <w:bookmarkEnd w:id="221"/>
      <w:bookmarkEnd w:id="222"/>
    </w:p>
    <w:p>
      <w:pPr>
        <w:spacing w:after="240"/>
        <w:rPr>
          <w:noProof/>
          <w:sz w:val="20"/>
          <w:szCs w:val="20"/>
          <w:lang w:eastAsia="en-GB"/>
        </w:rPr>
      </w:pPr>
      <w:r>
        <w:rPr>
          <w:noProof/>
          <w:sz w:val="20"/>
          <w:szCs w:val="20"/>
          <w:lang w:eastAsia="en-GB"/>
        </w:rPr>
        <w:t>Source: Oil Bulletin, DG Energy</w:t>
      </w:r>
    </w:p>
    <w:p>
      <w:pPr>
        <w:spacing w:after="240"/>
        <w:rPr>
          <w:noProof/>
          <w:sz w:val="20"/>
          <w:szCs w:val="20"/>
          <w:lang w:eastAsia="en-GB"/>
        </w:rPr>
      </w:pPr>
      <w:r>
        <w:rPr>
          <w:noProof/>
          <w:sz w:val="24"/>
          <w:szCs w:val="24"/>
          <w:lang w:eastAsia="en-GB"/>
        </w:rPr>
        <w:t>In case of net prices, the difference between the highest and the lowest price has been 0.23 in 2008 but the difference decreased to 0.13-0.16 EUR per litre. The widening of the range happened in 2018 and 2019 as prices grew. In 2019 Sweden was by far the most expensive country in terms of net prices, followed by other Scandinavian countries, while Czechia had the lowest net price. Looking at EU average net price with a representative wholesale price (Platts ULSD 10ppmS FOB ARA Barge), we find retail diesel prices followed the wholesale price.</w:t>
      </w:r>
    </w:p>
    <w:p>
      <w:pPr>
        <w:rPr>
          <w:b/>
          <w:bCs/>
          <w:noProof/>
          <w:sz w:val="24"/>
          <w:szCs w:val="24"/>
          <w:lang w:eastAsia="en-GB"/>
        </w:rPr>
      </w:pPr>
      <w:r>
        <w:rPr>
          <w:noProof/>
          <w:lang w:eastAsia="en-GB"/>
        </w:rPr>
        <w:drawing>
          <wp:inline distT="0" distB="0" distL="0" distR="0">
            <wp:extent cx="6304157" cy="3407654"/>
            <wp:effectExtent l="0" t="0" r="1905" b="2540"/>
            <wp:docPr id="12391950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304157" cy="3407654"/>
                    </a:xfrm>
                    <a:prstGeom prst="rect">
                      <a:avLst/>
                    </a:prstGeom>
                  </pic:spPr>
                </pic:pic>
              </a:graphicData>
            </a:graphic>
          </wp:inline>
        </w:drawing>
      </w:r>
    </w:p>
    <w:p>
      <w:pPr>
        <w:pStyle w:val="Caption"/>
        <w:rPr>
          <w:lang w:eastAsia="en-GB"/>
        </w:rPr>
      </w:pPr>
      <w:bookmarkStart w:id="223" w:name="_Toc525807832"/>
      <w:bookmarkStart w:id="224" w:name="_Toc526433435"/>
      <w:bookmarkStart w:id="225" w:name="_Toc526433713"/>
      <w:bookmarkStart w:id="226" w:name="_Toc526435655"/>
      <w:bookmarkStart w:id="227" w:name="_Toc530739741"/>
      <w:bookmarkStart w:id="228" w:name="_Toc531366116"/>
      <w:bookmarkStart w:id="229" w:name="_Toc50494080"/>
      <w:bookmarkStart w:id="230" w:name="_Toc52396846"/>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74</w:t>
      </w:r>
      <w:r>
        <w:rPr>
          <w:lang w:eastAsia="en-GB"/>
        </w:rPr>
        <w:fldChar w:fldCharType="end"/>
      </w:r>
      <w:r>
        <w:rPr>
          <w:lang w:eastAsia="en-GB"/>
        </w:rPr>
        <w:t xml:space="preserve"> - The retail price of diesel in the EU, without taxes</w:t>
      </w:r>
      <w:bookmarkEnd w:id="223"/>
      <w:bookmarkEnd w:id="224"/>
      <w:bookmarkEnd w:id="225"/>
      <w:bookmarkEnd w:id="226"/>
      <w:bookmarkEnd w:id="227"/>
      <w:bookmarkEnd w:id="228"/>
      <w:bookmarkEnd w:id="229"/>
      <w:bookmarkEnd w:id="230"/>
    </w:p>
    <w:p>
      <w:pPr>
        <w:rPr>
          <w:b/>
          <w:bCs/>
          <w:noProof/>
          <w:sz w:val="20"/>
          <w:szCs w:val="20"/>
          <w:lang w:eastAsia="en-GB"/>
        </w:rPr>
      </w:pPr>
      <w:r>
        <w:rPr>
          <w:noProof/>
          <w:sz w:val="20"/>
          <w:szCs w:val="20"/>
          <w:lang w:eastAsia="en-GB"/>
        </w:rPr>
        <w:t>Source: Oil Bulletin, DG Energy, Platts</w:t>
      </w:r>
      <w:r>
        <w:rPr>
          <w:b/>
          <w:bCs/>
          <w:noProof/>
          <w:sz w:val="20"/>
          <w:szCs w:val="20"/>
          <w:lang w:eastAsia="en-GB"/>
        </w:rPr>
        <w:t xml:space="preserve">. </w:t>
      </w:r>
      <w:r>
        <w:rPr>
          <w:noProof/>
          <w:sz w:val="20"/>
          <w:szCs w:val="20"/>
          <w:lang w:eastAsia="en-GB"/>
        </w:rPr>
        <w:t>The wholesale price is Gasoline Prem Unleaded 10ppmS FOB AR Barge reported by Platts</w:t>
      </w:r>
    </w:p>
    <w:p>
      <w:pPr>
        <w:rPr>
          <w:noProof/>
          <w:sz w:val="24"/>
          <w:szCs w:val="24"/>
          <w:lang w:eastAsia="en-GB"/>
        </w:rPr>
      </w:pPr>
      <w:r>
        <w:rPr>
          <w:noProof/>
          <w:sz w:val="24"/>
          <w:szCs w:val="24"/>
          <w:lang w:eastAsia="en-GB"/>
        </w:rPr>
        <w:t>The average excise duty rate of diesel increased from 0.44 EUR/litre in 2005 to 0.52 EUR/litre in 2019, an increase of “only” 8% during the period. The excise on diesel has followed the movement on gasoline, trailing for the most time by 0.06 EUR per litre.</w:t>
      </w:r>
    </w:p>
    <w:p>
      <w:pPr>
        <w:rPr>
          <w:noProof/>
          <w:sz w:val="24"/>
          <w:szCs w:val="24"/>
          <w:lang w:eastAsia="en-GB"/>
        </w:rPr>
      </w:pPr>
      <w:r>
        <w:rPr>
          <w:noProof/>
          <w:sz w:val="24"/>
          <w:szCs w:val="24"/>
          <w:lang w:eastAsia="en-GB"/>
        </w:rPr>
        <w:t>With two exceptions, excise duty rates increased in all Member States between 2005 and 2019, with the biggest increases in Cyprus (80%), Belgium (76%) and Slovenia (64%). In Germany, the excise duty rate for diesel has not changed since 2003 (similarly to the excise duty of gasoline). Slovakia is the only country where the excise duty was lower in 2019 than in 2008, as a result of a cut in the rate in 2010.</w:t>
      </w:r>
    </w:p>
    <w:p>
      <w:pPr>
        <w:rPr>
          <w:noProof/>
          <w:sz w:val="24"/>
          <w:szCs w:val="24"/>
          <w:lang w:eastAsia="en-GB"/>
        </w:rPr>
      </w:pPr>
      <w:r>
        <w:rPr>
          <w:noProof/>
          <w:sz w:val="24"/>
          <w:szCs w:val="24"/>
          <w:lang w:eastAsia="en-GB"/>
        </w:rPr>
        <w:t>The excise duty rate applied by the UK, Sweden and other Scandinavian countries is significantly higher than in the rest of the countries. In contrast, Bulgaria and Luxembourg impose a rate at the minimum level prescribed by the Energy Tax Directive.</w:t>
      </w:r>
    </w:p>
    <w:p>
      <w:pPr>
        <w:rPr>
          <w:b/>
          <w:bCs/>
          <w:noProof/>
          <w:sz w:val="24"/>
          <w:szCs w:val="24"/>
          <w:lang w:eastAsia="en-GB"/>
        </w:rPr>
      </w:pPr>
      <w:r>
        <w:rPr>
          <w:noProof/>
          <w:lang w:eastAsia="en-GB"/>
        </w:rPr>
        <w:drawing>
          <wp:inline distT="0" distB="0" distL="0" distR="0">
            <wp:extent cx="6143190" cy="3322147"/>
            <wp:effectExtent l="0" t="0" r="2540" b="5715"/>
            <wp:docPr id="132011044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43190" cy="3322147"/>
                    </a:xfrm>
                    <a:prstGeom prst="rect">
                      <a:avLst/>
                    </a:prstGeom>
                  </pic:spPr>
                </pic:pic>
              </a:graphicData>
            </a:graphic>
          </wp:inline>
        </w:drawing>
      </w:r>
    </w:p>
    <w:p>
      <w:pPr>
        <w:pStyle w:val="Caption"/>
        <w:rPr>
          <w:lang w:eastAsia="en-GB"/>
        </w:rPr>
      </w:pPr>
      <w:bookmarkStart w:id="231" w:name="_Toc525807833"/>
      <w:bookmarkStart w:id="232" w:name="_Toc526433436"/>
      <w:bookmarkStart w:id="233" w:name="_Toc526433714"/>
      <w:bookmarkStart w:id="234" w:name="_Toc526435656"/>
      <w:bookmarkStart w:id="235" w:name="_Toc530739742"/>
      <w:bookmarkStart w:id="236" w:name="_Toc531366117"/>
      <w:bookmarkStart w:id="237" w:name="_Toc50494081"/>
      <w:bookmarkStart w:id="238" w:name="_Toc52396847"/>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75</w:t>
      </w:r>
      <w:r>
        <w:rPr>
          <w:lang w:eastAsia="en-GB"/>
        </w:rPr>
        <w:fldChar w:fldCharType="end"/>
      </w:r>
      <w:r>
        <w:rPr>
          <w:lang w:eastAsia="en-GB"/>
        </w:rPr>
        <w:t xml:space="preserve"> - The exercise duty rate of diesel in the EU</w:t>
      </w:r>
      <w:bookmarkEnd w:id="231"/>
      <w:bookmarkEnd w:id="232"/>
      <w:bookmarkEnd w:id="233"/>
      <w:bookmarkEnd w:id="234"/>
      <w:bookmarkEnd w:id="235"/>
      <w:bookmarkEnd w:id="236"/>
      <w:bookmarkEnd w:id="237"/>
      <w:bookmarkEnd w:id="238"/>
    </w:p>
    <w:p>
      <w:pPr>
        <w:pStyle w:val="Sources"/>
        <w:rPr>
          <w:noProof/>
          <w:lang w:eastAsia="en-GB"/>
        </w:rPr>
      </w:pPr>
      <w:r>
        <w:rPr>
          <w:noProof/>
          <w:lang w:eastAsia="en-GB"/>
        </w:rPr>
        <w:t>Source: Oil Bulletin, DG Energy</w:t>
      </w:r>
    </w:p>
    <w:p>
      <w:pPr>
        <w:rPr>
          <w:noProof/>
          <w:sz w:val="24"/>
          <w:szCs w:val="24"/>
          <w:lang w:eastAsia="en-GB"/>
        </w:rPr>
      </w:pPr>
      <w:r>
        <w:rPr>
          <w:noProof/>
          <w:sz w:val="24"/>
          <w:szCs w:val="24"/>
          <w:lang w:eastAsia="en-GB"/>
        </w:rPr>
        <w:t>The average VAT rate of diesel also increased during the study period, from 19.6% in 2008 to 21.5% in 2013. Between 2014 and 2019, the average VAT rate for diesel has barely changed.</w:t>
      </w:r>
    </w:p>
    <w:p>
      <w:pPr>
        <w:rPr>
          <w:noProof/>
          <w:sz w:val="24"/>
          <w:szCs w:val="24"/>
          <w:lang w:eastAsia="en-GB"/>
        </w:rPr>
      </w:pPr>
      <w:r>
        <w:rPr>
          <w:noProof/>
          <w:sz w:val="24"/>
          <w:szCs w:val="24"/>
          <w:lang w:eastAsia="en-GB"/>
        </w:rPr>
        <w:t>In 2012-2016, the average retail price of diesel decreased, with the share of the tax component increasing from 52% in 2013 to 63% in 2016. As prices rose again, tax component decreased again towards 56%.</w:t>
      </w:r>
    </w:p>
    <w:p>
      <w:pPr>
        <w:rPr>
          <w:noProof/>
          <w:sz w:val="24"/>
          <w:szCs w:val="24"/>
          <w:lang w:eastAsia="en-GB"/>
        </w:rPr>
      </w:pPr>
      <w:r>
        <w:rPr>
          <w:noProof/>
          <w:sz w:val="24"/>
          <w:szCs w:val="24"/>
          <w:lang w:eastAsia="en-GB"/>
        </w:rPr>
        <w:t xml:space="preserve">Since 2016, the average retail price of diesel has been on the rise coming close to the record level reached in 2012. In 2019, the average price was 1.34 EUR/litre, composed of a 0.58 EUR/litre net price (43%), 0.52 EUR/litre excise duty (39%) and 0.24 EUR/litre (18%) VAT. </w:t>
      </w:r>
    </w:p>
    <w:p>
      <w:pPr>
        <w:rPr>
          <w:noProof/>
          <w:sz w:val="24"/>
          <w:szCs w:val="24"/>
          <w:lang w:eastAsia="en-GB"/>
        </w:rPr>
      </w:pPr>
    </w:p>
    <w:p>
      <w:pPr>
        <w:rPr>
          <w:b/>
          <w:bCs/>
          <w:noProof/>
          <w:sz w:val="24"/>
          <w:szCs w:val="24"/>
          <w:lang w:eastAsia="en-GB"/>
        </w:rPr>
      </w:pPr>
      <w:r>
        <w:rPr>
          <w:noProof/>
          <w:lang w:eastAsia="en-GB"/>
        </w:rPr>
        <w:drawing>
          <wp:inline distT="0" distB="0" distL="0" distR="0">
            <wp:extent cx="6229190" cy="3400021"/>
            <wp:effectExtent l="0" t="0" r="1905" b="5715"/>
            <wp:docPr id="205839340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4">
                      <a:extLst>
                        <a:ext uri="{28A0092B-C50C-407E-A947-70E740481C1C}">
                          <a14:useLocalDpi xmlns:a14="http://schemas.microsoft.com/office/drawing/2010/main" val="0"/>
                        </a:ext>
                      </a:extLst>
                    </a:blip>
                    <a:stretch>
                      <a:fillRect/>
                    </a:stretch>
                  </pic:blipFill>
                  <pic:spPr>
                    <a:xfrm>
                      <a:off x="0" y="0"/>
                      <a:ext cx="6229190" cy="3400021"/>
                    </a:xfrm>
                    <a:prstGeom prst="rect">
                      <a:avLst/>
                    </a:prstGeom>
                  </pic:spPr>
                </pic:pic>
              </a:graphicData>
            </a:graphic>
          </wp:inline>
        </w:drawing>
      </w:r>
    </w:p>
    <w:p>
      <w:pPr>
        <w:pStyle w:val="Caption"/>
        <w:rPr>
          <w:lang w:eastAsia="en-GB"/>
        </w:rPr>
      </w:pPr>
      <w:bookmarkStart w:id="239" w:name="_Toc525807834"/>
      <w:bookmarkStart w:id="240" w:name="_Toc526433437"/>
      <w:bookmarkStart w:id="241" w:name="_Toc526433715"/>
      <w:bookmarkStart w:id="242" w:name="_Toc526435657"/>
      <w:bookmarkStart w:id="243" w:name="_Toc530739743"/>
      <w:bookmarkStart w:id="244" w:name="_Toc531366118"/>
      <w:bookmarkStart w:id="245" w:name="_Toc50494082"/>
      <w:bookmarkStart w:id="246" w:name="_Toc52396848"/>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76</w:t>
      </w:r>
      <w:r>
        <w:rPr>
          <w:lang w:eastAsia="en-GB"/>
        </w:rPr>
        <w:fldChar w:fldCharType="end"/>
      </w:r>
      <w:r>
        <w:rPr>
          <w:lang w:eastAsia="en-GB"/>
        </w:rPr>
        <w:t xml:space="preserve"> - Average retail price of diesel in the EU by price component</w:t>
      </w:r>
      <w:bookmarkEnd w:id="239"/>
      <w:bookmarkEnd w:id="240"/>
      <w:bookmarkEnd w:id="241"/>
      <w:bookmarkEnd w:id="242"/>
      <w:bookmarkEnd w:id="243"/>
      <w:bookmarkEnd w:id="244"/>
      <w:bookmarkEnd w:id="245"/>
      <w:bookmarkEnd w:id="246"/>
      <w:r>
        <w:rPr>
          <w:lang w:eastAsia="en-GB"/>
        </w:rPr>
        <w:t xml:space="preserve"> </w:t>
      </w:r>
    </w:p>
    <w:p>
      <w:pPr>
        <w:pStyle w:val="Sources"/>
        <w:rPr>
          <w:noProof/>
          <w:lang w:eastAsia="en-GB"/>
        </w:rPr>
      </w:pPr>
      <w:r>
        <w:rPr>
          <w:noProof/>
          <w:lang w:eastAsia="en-GB"/>
        </w:rPr>
        <w:t>Source: Oil Bulletin, DG Energy</w:t>
      </w:r>
    </w:p>
    <w:p>
      <w:pPr>
        <w:rPr>
          <w:b/>
          <w:bCs/>
          <w:noProof/>
          <w:sz w:val="24"/>
          <w:szCs w:val="24"/>
          <w:lang w:eastAsia="en-GB"/>
        </w:rPr>
      </w:pPr>
      <w:r>
        <w:rPr>
          <w:noProof/>
          <w:sz w:val="24"/>
          <w:szCs w:val="24"/>
          <w:lang w:eastAsia="en-GB"/>
        </w:rPr>
        <w:t>The next graph shows the composition of the average diesel price by Member State in 2019.</w:t>
      </w:r>
    </w:p>
    <w:p>
      <w:pPr>
        <w:rPr>
          <w:b/>
          <w:bCs/>
          <w:noProof/>
          <w:sz w:val="24"/>
          <w:szCs w:val="24"/>
          <w:lang w:eastAsia="en-GB"/>
        </w:rPr>
      </w:pPr>
      <w:r>
        <w:rPr>
          <w:noProof/>
          <w:lang w:eastAsia="en-GB"/>
        </w:rPr>
        <w:drawing>
          <wp:inline distT="0" distB="0" distL="0" distR="0">
            <wp:extent cx="6240464" cy="3643455"/>
            <wp:effectExtent l="0" t="0" r="8255" b="0"/>
            <wp:docPr id="8877628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5">
                      <a:extLst>
                        <a:ext uri="{28A0092B-C50C-407E-A947-70E740481C1C}">
                          <a14:useLocalDpi xmlns:a14="http://schemas.microsoft.com/office/drawing/2010/main" val="0"/>
                        </a:ext>
                      </a:extLst>
                    </a:blip>
                    <a:stretch>
                      <a:fillRect/>
                    </a:stretch>
                  </pic:blipFill>
                  <pic:spPr>
                    <a:xfrm>
                      <a:off x="0" y="0"/>
                      <a:ext cx="6240464" cy="3643455"/>
                    </a:xfrm>
                    <a:prstGeom prst="rect">
                      <a:avLst/>
                    </a:prstGeom>
                  </pic:spPr>
                </pic:pic>
              </a:graphicData>
            </a:graphic>
          </wp:inline>
        </w:drawing>
      </w:r>
    </w:p>
    <w:p>
      <w:pPr>
        <w:pStyle w:val="Caption"/>
        <w:rPr>
          <w:lang w:eastAsia="en-GB"/>
        </w:rPr>
      </w:pPr>
      <w:bookmarkStart w:id="247" w:name="_Toc525807835"/>
      <w:bookmarkStart w:id="248" w:name="_Toc526433438"/>
      <w:bookmarkStart w:id="249" w:name="_Toc526433716"/>
      <w:bookmarkStart w:id="250" w:name="_Toc526435658"/>
      <w:bookmarkStart w:id="251" w:name="_Toc530739744"/>
      <w:bookmarkStart w:id="252" w:name="_Toc531366119"/>
      <w:bookmarkStart w:id="253" w:name="_Toc50494083"/>
      <w:bookmarkStart w:id="254" w:name="_Toc52396849"/>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77</w:t>
      </w:r>
      <w:r>
        <w:rPr>
          <w:lang w:eastAsia="en-GB"/>
        </w:rPr>
        <w:fldChar w:fldCharType="end"/>
      </w:r>
      <w:r>
        <w:rPr>
          <w:lang w:eastAsia="en-GB"/>
        </w:rPr>
        <w:t xml:space="preserve"> - Average retail price of diesel in the first half of 2018 by Member State and price component</w:t>
      </w:r>
      <w:bookmarkEnd w:id="247"/>
      <w:bookmarkEnd w:id="248"/>
      <w:bookmarkEnd w:id="249"/>
      <w:bookmarkEnd w:id="250"/>
      <w:bookmarkEnd w:id="251"/>
      <w:bookmarkEnd w:id="252"/>
      <w:bookmarkEnd w:id="253"/>
      <w:bookmarkEnd w:id="254"/>
      <w:r>
        <w:rPr>
          <w:lang w:eastAsia="en-GB"/>
        </w:rPr>
        <w:t xml:space="preserve"> </w:t>
      </w:r>
    </w:p>
    <w:p>
      <w:pPr>
        <w:spacing w:after="240"/>
        <w:rPr>
          <w:noProof/>
          <w:sz w:val="20"/>
          <w:szCs w:val="20"/>
          <w:lang w:eastAsia="en-GB"/>
        </w:rPr>
      </w:pPr>
      <w:r>
        <w:rPr>
          <w:noProof/>
          <w:sz w:val="20"/>
          <w:szCs w:val="20"/>
          <w:lang w:eastAsia="en-GB"/>
        </w:rPr>
        <w:t>Source: Oil Bulletin, DG Energy</w:t>
      </w:r>
    </w:p>
    <w:p>
      <w:pPr>
        <w:rPr>
          <w:b/>
          <w:noProof/>
          <w:sz w:val="24"/>
          <w:szCs w:val="24"/>
          <w:lang w:eastAsia="en-GB"/>
        </w:rPr>
      </w:pPr>
    </w:p>
    <w:p>
      <w:pPr>
        <w:pStyle w:val="Heading3"/>
        <w:numPr>
          <w:ilvl w:val="2"/>
          <w:numId w:val="1"/>
        </w:numPr>
        <w:rPr>
          <w:noProof/>
        </w:rPr>
      </w:pPr>
      <w:bookmarkStart w:id="255" w:name="_Toc524619502"/>
      <w:bookmarkStart w:id="256" w:name="_Toc524961049"/>
      <w:bookmarkStart w:id="257" w:name="_Toc525143014"/>
      <w:bookmarkStart w:id="258" w:name="_Toc525222171"/>
      <w:bookmarkStart w:id="259" w:name="_Toc525222340"/>
      <w:bookmarkStart w:id="260" w:name="_Toc526420734"/>
      <w:bookmarkStart w:id="261" w:name="_Toc526433961"/>
      <w:bookmarkStart w:id="262" w:name="_Toc526435903"/>
      <w:bookmarkStart w:id="263" w:name="_Toc530595233"/>
      <w:bookmarkStart w:id="264" w:name="_Toc50648322"/>
      <w:bookmarkStart w:id="265" w:name="_Toc50654352"/>
      <w:bookmarkStart w:id="266" w:name="_Toc50654907"/>
      <w:bookmarkStart w:id="267" w:name="_Toc50732454"/>
      <w:bookmarkStart w:id="268" w:name="_Toc52396538"/>
      <w:r>
        <w:rPr>
          <w:noProof/>
        </w:rPr>
        <w:t>Heating oil</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pPr>
        <w:rPr>
          <w:noProof/>
          <w:sz w:val="24"/>
          <w:szCs w:val="24"/>
          <w:lang w:eastAsia="en-GB"/>
        </w:rPr>
      </w:pPr>
    </w:p>
    <w:p>
      <w:pPr>
        <w:rPr>
          <w:noProof/>
          <w:sz w:val="24"/>
          <w:szCs w:val="24"/>
          <w:lang w:eastAsia="en-GB"/>
        </w:rPr>
      </w:pPr>
      <w:r>
        <w:rPr>
          <w:noProof/>
          <w:sz w:val="24"/>
          <w:szCs w:val="24"/>
          <w:lang w:eastAsia="en-GB"/>
        </w:rPr>
        <w:t>The large differences in the excise duty rates result in a wide dispersion of heating oil prices across the EU. The difference between the highest and lowest price increased from 0.79 EUR/litre in 2005 to 0.89 EUR/litre in 2012 and kept widening throughout the period beyond 1 EUR per litre. Slovakia ceased to report heating oil in 2011. In the most expensive Member State, Denmark, the price in 2019 was 109% higher than in the cheapest Member State, Luxembourg. Many of the most expensive countries have a rather low level of heating oil consumption. Germany is by far the biggest consumer of heating oil in the EU and its price has been consistently below the EU average.</w:t>
      </w:r>
    </w:p>
    <w:p>
      <w:pPr>
        <w:rPr>
          <w:noProof/>
          <w:sz w:val="24"/>
          <w:szCs w:val="24"/>
          <w:lang w:eastAsia="en-GB"/>
        </w:rPr>
      </w:pPr>
      <w:r>
        <w:rPr>
          <w:noProof/>
          <w:sz w:val="24"/>
          <w:szCs w:val="24"/>
          <w:lang w:eastAsia="en-GB"/>
        </w:rPr>
        <w:t>Bulgaria experienced the biggest relative increase in heating oil prices: in 2008 its price was well below the EU average but today it is considerably higher. Ireland experienced the biggest price drop from the peak in 2012, 23%.</w:t>
      </w:r>
    </w:p>
    <w:p>
      <w:pPr>
        <w:rPr>
          <w:noProof/>
          <w:sz w:val="24"/>
          <w:szCs w:val="24"/>
          <w:lang w:eastAsia="en-GB"/>
        </w:rPr>
      </w:pPr>
      <w:r>
        <w:rPr>
          <w:noProof/>
          <w:sz w:val="24"/>
          <w:szCs w:val="24"/>
          <w:lang w:eastAsia="en-GB"/>
        </w:rPr>
        <w:t>During most of the study period, Denmark had the highest heating oil prices in the EU, driven by a high excise duty.</w:t>
      </w:r>
    </w:p>
    <w:p>
      <w:pPr>
        <w:rPr>
          <w:b/>
          <w:bCs/>
          <w:noProof/>
          <w:sz w:val="24"/>
          <w:szCs w:val="24"/>
          <w:lang w:eastAsia="en-GB"/>
        </w:rPr>
      </w:pPr>
      <w:r>
        <w:rPr>
          <w:noProof/>
          <w:lang w:eastAsia="en-GB"/>
        </w:rPr>
        <w:drawing>
          <wp:inline distT="0" distB="0" distL="0" distR="0">
            <wp:extent cx="6197666" cy="3347812"/>
            <wp:effectExtent l="0" t="0" r="0" b="5080"/>
            <wp:docPr id="481473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97666" cy="3347812"/>
                    </a:xfrm>
                    <a:prstGeom prst="rect">
                      <a:avLst/>
                    </a:prstGeom>
                  </pic:spPr>
                </pic:pic>
              </a:graphicData>
            </a:graphic>
          </wp:inline>
        </w:drawing>
      </w:r>
    </w:p>
    <w:p>
      <w:pPr>
        <w:pStyle w:val="Caption"/>
        <w:rPr>
          <w:lang w:eastAsia="en-GB"/>
        </w:rPr>
      </w:pPr>
      <w:bookmarkStart w:id="269" w:name="_Toc525807836"/>
      <w:bookmarkStart w:id="270" w:name="_Toc526433439"/>
      <w:bookmarkStart w:id="271" w:name="_Toc526433717"/>
      <w:bookmarkStart w:id="272" w:name="_Toc526435659"/>
      <w:bookmarkStart w:id="273" w:name="_Toc530739745"/>
      <w:bookmarkStart w:id="274" w:name="_Toc531366120"/>
      <w:bookmarkStart w:id="275" w:name="_Toc50494084"/>
      <w:bookmarkStart w:id="276" w:name="_Toc52396850"/>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78</w:t>
      </w:r>
      <w:r>
        <w:rPr>
          <w:lang w:eastAsia="en-GB"/>
        </w:rPr>
        <w:fldChar w:fldCharType="end"/>
      </w:r>
      <w:r>
        <w:rPr>
          <w:lang w:eastAsia="en-GB"/>
        </w:rPr>
        <w:t xml:space="preserve"> - The retail price of heating oil in the EU</w:t>
      </w:r>
      <w:bookmarkEnd w:id="269"/>
      <w:bookmarkEnd w:id="270"/>
      <w:bookmarkEnd w:id="271"/>
      <w:bookmarkEnd w:id="272"/>
      <w:bookmarkEnd w:id="273"/>
      <w:bookmarkEnd w:id="274"/>
      <w:bookmarkEnd w:id="275"/>
      <w:bookmarkEnd w:id="276"/>
    </w:p>
    <w:p>
      <w:pPr>
        <w:spacing w:after="240"/>
        <w:rPr>
          <w:noProof/>
          <w:sz w:val="20"/>
          <w:szCs w:val="20"/>
          <w:lang w:eastAsia="en-GB"/>
        </w:rPr>
      </w:pPr>
      <w:r>
        <w:rPr>
          <w:noProof/>
          <w:sz w:val="20"/>
          <w:szCs w:val="20"/>
          <w:lang w:eastAsia="en-GB"/>
        </w:rPr>
        <w:t>Source: Oil Bulletin, DG Energy</w:t>
      </w:r>
    </w:p>
    <w:p>
      <w:pPr>
        <w:rPr>
          <w:noProof/>
          <w:sz w:val="24"/>
          <w:szCs w:val="24"/>
          <w:lang w:eastAsia="en-GB"/>
        </w:rPr>
      </w:pPr>
      <w:r>
        <w:rPr>
          <w:noProof/>
          <w:sz w:val="24"/>
          <w:szCs w:val="24"/>
          <w:lang w:eastAsia="en-GB"/>
        </w:rPr>
        <w:t>The difference between the highest and the lowest price is rather high also in case of net prices (0.11-0.43 EUR/litre), significantly higher than for motor fuels. The gap significantly increased until 2013 but narrowed slightly back afterwards.</w:t>
      </w:r>
    </w:p>
    <w:p>
      <w:pPr>
        <w:rPr>
          <w:noProof/>
          <w:sz w:val="24"/>
          <w:szCs w:val="24"/>
          <w:lang w:eastAsia="en-GB"/>
        </w:rPr>
      </w:pPr>
      <w:r>
        <w:rPr>
          <w:noProof/>
          <w:sz w:val="24"/>
          <w:szCs w:val="24"/>
          <w:lang w:eastAsia="en-GB"/>
        </w:rPr>
        <w:t>Denmark had the highest net price of heating oil in 2019; the lowest net price was reported in the Netherlands. Comparing the EU average net price with a representative wholesale price (Platts Gasoil 0.1%S FOB ARA Barge) shows that retail prices of heating oil have mimicked wholesale price.</w:t>
      </w:r>
    </w:p>
    <w:p>
      <w:pPr>
        <w:rPr>
          <w:b/>
          <w:bCs/>
          <w:noProof/>
          <w:sz w:val="24"/>
          <w:szCs w:val="24"/>
          <w:lang w:eastAsia="en-GB"/>
        </w:rPr>
      </w:pPr>
      <w:r>
        <w:rPr>
          <w:noProof/>
          <w:lang w:eastAsia="en-GB"/>
        </w:rPr>
        <w:drawing>
          <wp:inline distT="0" distB="0" distL="0" distR="0">
            <wp:extent cx="6269140" cy="3388724"/>
            <wp:effectExtent l="0" t="0" r="8890" b="0"/>
            <wp:docPr id="106634119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69140" cy="3388724"/>
                    </a:xfrm>
                    <a:prstGeom prst="rect">
                      <a:avLst/>
                    </a:prstGeom>
                  </pic:spPr>
                </pic:pic>
              </a:graphicData>
            </a:graphic>
          </wp:inline>
        </w:drawing>
      </w:r>
    </w:p>
    <w:p>
      <w:pPr>
        <w:pStyle w:val="Caption"/>
        <w:rPr>
          <w:lang w:eastAsia="en-GB"/>
        </w:rPr>
      </w:pPr>
      <w:bookmarkStart w:id="277" w:name="_Toc525807837"/>
      <w:bookmarkStart w:id="278" w:name="_Toc526433440"/>
      <w:bookmarkStart w:id="279" w:name="_Toc526433718"/>
      <w:bookmarkStart w:id="280" w:name="_Toc526435660"/>
      <w:bookmarkStart w:id="281" w:name="_Toc530739746"/>
      <w:bookmarkStart w:id="282" w:name="_Toc531366121"/>
      <w:bookmarkStart w:id="283" w:name="_Toc50494085"/>
      <w:bookmarkStart w:id="284" w:name="_Toc52396851"/>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79</w:t>
      </w:r>
      <w:r>
        <w:rPr>
          <w:lang w:eastAsia="en-GB"/>
        </w:rPr>
        <w:fldChar w:fldCharType="end"/>
      </w:r>
      <w:r>
        <w:rPr>
          <w:lang w:eastAsia="en-GB"/>
        </w:rPr>
        <w:t xml:space="preserve"> - The retail price of heating oil in the EU, without taxes</w:t>
      </w:r>
      <w:bookmarkEnd w:id="277"/>
      <w:bookmarkEnd w:id="278"/>
      <w:bookmarkEnd w:id="279"/>
      <w:bookmarkEnd w:id="280"/>
      <w:bookmarkEnd w:id="281"/>
      <w:bookmarkEnd w:id="282"/>
      <w:bookmarkEnd w:id="283"/>
      <w:bookmarkEnd w:id="284"/>
    </w:p>
    <w:p>
      <w:pPr>
        <w:pStyle w:val="Sources"/>
        <w:rPr>
          <w:noProof/>
          <w:lang w:eastAsia="en-GB"/>
        </w:rPr>
      </w:pPr>
      <w:r>
        <w:rPr>
          <w:noProof/>
          <w:lang w:eastAsia="en-GB"/>
        </w:rPr>
        <w:t>Source: Oil Bulletin, DG Energy, Platts</w:t>
      </w:r>
    </w:p>
    <w:p>
      <w:pPr>
        <w:spacing w:after="240"/>
        <w:rPr>
          <w:noProof/>
          <w:sz w:val="20"/>
          <w:szCs w:val="20"/>
          <w:lang w:eastAsia="en-GB"/>
        </w:rPr>
      </w:pPr>
      <w:r>
        <w:rPr>
          <w:noProof/>
          <w:sz w:val="20"/>
          <w:szCs w:val="20"/>
          <w:lang w:eastAsia="en-GB"/>
        </w:rPr>
        <w:t>The wholesale price is Gasoline Prem Unleaded 10ppmS FOB AR Barge reported by Platts</w:t>
      </w:r>
    </w:p>
    <w:p>
      <w:pPr>
        <w:rPr>
          <w:noProof/>
          <w:sz w:val="24"/>
          <w:szCs w:val="24"/>
          <w:lang w:eastAsia="en-GB"/>
        </w:rPr>
      </w:pPr>
      <w:r>
        <w:rPr>
          <w:noProof/>
          <w:sz w:val="24"/>
          <w:szCs w:val="24"/>
          <w:lang w:eastAsia="en-GB"/>
        </w:rPr>
        <w:t>The average excise duty rate of heating oil increased from 0.33 EUR/litre in 2005 to 0.39 EUR/litre in 2011-2013 and decreased slightly since towards 0.37 EUR/litre. Although most Member States apply a higher rate, the main consumer of heating oil, Germany, has an excise duty of only 0.06 EUR/litre.</w:t>
      </w:r>
    </w:p>
    <w:p>
      <w:pPr>
        <w:rPr>
          <w:noProof/>
          <w:sz w:val="24"/>
          <w:szCs w:val="24"/>
          <w:lang w:eastAsia="en-GB"/>
        </w:rPr>
      </w:pPr>
      <w:r>
        <w:rPr>
          <w:noProof/>
          <w:sz w:val="24"/>
          <w:szCs w:val="24"/>
          <w:lang w:eastAsia="en-GB"/>
        </w:rPr>
        <w:t>Several Member States increased the excise duty rate between 2005 and 2019, but in a couple of countries (Austria, Germany, Italy, Lithuania and Luxembourg) it remained unchanged. Bulgaria significantly increased the excise duty rate in 2011 but returned to the previous, lower rate the following year; the rate was increased again in 2016. Sweden and other Scandinavian countries have the highest excise duty rate (0.71 and 0.69 EUR/litre in 2018 and 2019). Netherlands has also high excise rate and it is one of the few countries that apply the same rate for diesel and heating oil. Luxembourg reports the lowest excise duty rate, 0.01 EUR/litre. The rates applied by Belgium and Luxembourg are lower than the minimum level set by the Energy Tax Directive (0.021 EUR/litre); Lithuania uses the minimum level.</w:t>
      </w:r>
    </w:p>
    <w:p>
      <w:pPr>
        <w:rPr>
          <w:b/>
          <w:bCs/>
          <w:noProof/>
          <w:sz w:val="24"/>
          <w:szCs w:val="24"/>
          <w:lang w:eastAsia="en-GB"/>
        </w:rPr>
      </w:pPr>
      <w:r>
        <w:rPr>
          <w:noProof/>
          <w:lang w:eastAsia="en-GB"/>
        </w:rPr>
        <w:drawing>
          <wp:inline distT="0" distB="0" distL="0" distR="0">
            <wp:extent cx="6310508" cy="3412629"/>
            <wp:effectExtent l="0" t="0" r="0" b="0"/>
            <wp:docPr id="44077388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310508" cy="3412629"/>
                    </a:xfrm>
                    <a:prstGeom prst="rect">
                      <a:avLst/>
                    </a:prstGeom>
                  </pic:spPr>
                </pic:pic>
              </a:graphicData>
            </a:graphic>
          </wp:inline>
        </w:drawing>
      </w:r>
    </w:p>
    <w:p>
      <w:pPr>
        <w:pStyle w:val="Caption"/>
        <w:rPr>
          <w:lang w:eastAsia="en-GB"/>
        </w:rPr>
      </w:pPr>
      <w:bookmarkStart w:id="285" w:name="_Toc525807838"/>
      <w:bookmarkStart w:id="286" w:name="_Toc526433441"/>
      <w:bookmarkStart w:id="287" w:name="_Toc526433719"/>
      <w:bookmarkStart w:id="288" w:name="_Toc526435661"/>
      <w:bookmarkStart w:id="289" w:name="_Toc530739747"/>
      <w:bookmarkStart w:id="290" w:name="_Toc531366122"/>
      <w:bookmarkStart w:id="291" w:name="_Toc50494086"/>
      <w:bookmarkStart w:id="292" w:name="_Toc52396852"/>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80</w:t>
      </w:r>
      <w:r>
        <w:rPr>
          <w:lang w:eastAsia="en-GB"/>
        </w:rPr>
        <w:fldChar w:fldCharType="end"/>
      </w:r>
      <w:r>
        <w:rPr>
          <w:lang w:eastAsia="en-GB"/>
        </w:rPr>
        <w:t xml:space="preserve"> - The exercise duty rate of heating oil in the EU</w:t>
      </w:r>
      <w:bookmarkEnd w:id="285"/>
      <w:bookmarkEnd w:id="286"/>
      <w:bookmarkEnd w:id="287"/>
      <w:bookmarkEnd w:id="288"/>
      <w:bookmarkEnd w:id="289"/>
      <w:bookmarkEnd w:id="290"/>
      <w:bookmarkEnd w:id="291"/>
      <w:bookmarkEnd w:id="292"/>
    </w:p>
    <w:p>
      <w:pPr>
        <w:pStyle w:val="Sources"/>
        <w:rPr>
          <w:noProof/>
          <w:lang w:eastAsia="en-GB"/>
        </w:rPr>
      </w:pPr>
      <w:r>
        <w:rPr>
          <w:noProof/>
          <w:lang w:eastAsia="en-GB"/>
        </w:rPr>
        <w:t>Source: Oil Bulletin, DG Energy</w:t>
      </w:r>
    </w:p>
    <w:p>
      <w:pPr>
        <w:rPr>
          <w:noProof/>
          <w:sz w:val="24"/>
          <w:szCs w:val="24"/>
          <w:lang w:eastAsia="en-GB"/>
        </w:rPr>
      </w:pPr>
      <w:r>
        <w:rPr>
          <w:noProof/>
          <w:sz w:val="24"/>
          <w:szCs w:val="24"/>
          <w:lang w:eastAsia="en-GB"/>
        </w:rPr>
        <w:t>The average VAT rate of heating oil also increased during this period, from 18.5% to 21.2%.</w:t>
      </w:r>
    </w:p>
    <w:p>
      <w:pPr>
        <w:rPr>
          <w:noProof/>
          <w:sz w:val="24"/>
          <w:szCs w:val="24"/>
          <w:lang w:eastAsia="en-GB"/>
        </w:rPr>
      </w:pPr>
      <w:r>
        <w:rPr>
          <w:noProof/>
          <w:sz w:val="24"/>
          <w:szCs w:val="24"/>
          <w:lang w:eastAsia="en-GB"/>
        </w:rPr>
        <w:t>The average retail price of heating oil significantly decreased between 2012 and 2016, with the tax component increasing from 26% in 2012 to 46% in 2016. But with prices rising again since 2016, the tax component increased beyond 50%.</w:t>
      </w:r>
    </w:p>
    <w:p>
      <w:pPr>
        <w:rPr>
          <w:noProof/>
          <w:sz w:val="24"/>
          <w:szCs w:val="24"/>
          <w:lang w:eastAsia="en-GB"/>
        </w:rPr>
      </w:pPr>
      <w:r>
        <w:rPr>
          <w:noProof/>
          <w:sz w:val="24"/>
          <w:szCs w:val="24"/>
          <w:lang w:eastAsia="en-GB"/>
        </w:rPr>
        <w:t>Prices have been rising since 2016 and in some cases (DK, SE) have surpassed the 2012 level. In 2019, the average price was 1.13 EUR/litre, composed of a 0.56 EUR/litre net price (50%), 0.37 EUR/litre excise duty (33%) and 0.20 EUR/litre (18%) VAT.</w:t>
      </w:r>
    </w:p>
    <w:p>
      <w:pPr>
        <w:rPr>
          <w:noProof/>
          <w:sz w:val="24"/>
          <w:szCs w:val="24"/>
          <w:lang w:eastAsia="en-GB"/>
        </w:rPr>
      </w:pPr>
    </w:p>
    <w:p>
      <w:pPr>
        <w:rPr>
          <w:noProof/>
          <w:sz w:val="24"/>
          <w:szCs w:val="24"/>
          <w:lang w:eastAsia="en-GB"/>
        </w:rPr>
      </w:pPr>
    </w:p>
    <w:p>
      <w:pPr>
        <w:rPr>
          <w:b/>
          <w:bCs/>
          <w:noProof/>
          <w:sz w:val="24"/>
          <w:szCs w:val="24"/>
          <w:lang w:eastAsia="en-GB"/>
        </w:rPr>
      </w:pPr>
      <w:r>
        <w:rPr>
          <w:noProof/>
          <w:lang w:eastAsia="en-GB"/>
        </w:rPr>
        <w:drawing>
          <wp:inline distT="0" distB="0" distL="0" distR="0">
            <wp:extent cx="6186387" cy="3376659"/>
            <wp:effectExtent l="0" t="0" r="5080" b="0"/>
            <wp:docPr id="20421777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9">
                      <a:extLst>
                        <a:ext uri="{28A0092B-C50C-407E-A947-70E740481C1C}">
                          <a14:useLocalDpi xmlns:a14="http://schemas.microsoft.com/office/drawing/2010/main" val="0"/>
                        </a:ext>
                      </a:extLst>
                    </a:blip>
                    <a:stretch>
                      <a:fillRect/>
                    </a:stretch>
                  </pic:blipFill>
                  <pic:spPr>
                    <a:xfrm>
                      <a:off x="0" y="0"/>
                      <a:ext cx="6186387" cy="3376659"/>
                    </a:xfrm>
                    <a:prstGeom prst="rect">
                      <a:avLst/>
                    </a:prstGeom>
                  </pic:spPr>
                </pic:pic>
              </a:graphicData>
            </a:graphic>
          </wp:inline>
        </w:drawing>
      </w:r>
    </w:p>
    <w:p>
      <w:pPr>
        <w:pStyle w:val="Caption"/>
        <w:rPr>
          <w:lang w:eastAsia="en-GB"/>
        </w:rPr>
      </w:pPr>
      <w:bookmarkStart w:id="293" w:name="_Toc525807839"/>
      <w:bookmarkStart w:id="294" w:name="_Toc526433442"/>
      <w:bookmarkStart w:id="295" w:name="_Toc526433720"/>
      <w:bookmarkStart w:id="296" w:name="_Toc526435662"/>
      <w:bookmarkStart w:id="297" w:name="_Toc530739748"/>
      <w:bookmarkStart w:id="298" w:name="_Toc531366123"/>
      <w:bookmarkStart w:id="299" w:name="_Toc50494087"/>
      <w:bookmarkStart w:id="300" w:name="_Toc52396853"/>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81</w:t>
      </w:r>
      <w:r>
        <w:rPr>
          <w:lang w:eastAsia="en-GB"/>
        </w:rPr>
        <w:fldChar w:fldCharType="end"/>
      </w:r>
      <w:r>
        <w:rPr>
          <w:lang w:eastAsia="en-GB"/>
        </w:rPr>
        <w:t xml:space="preserve"> - Average retail price of heating oil in the EU by price component</w:t>
      </w:r>
      <w:bookmarkEnd w:id="293"/>
      <w:bookmarkEnd w:id="294"/>
      <w:bookmarkEnd w:id="295"/>
      <w:bookmarkEnd w:id="296"/>
      <w:bookmarkEnd w:id="297"/>
      <w:bookmarkEnd w:id="298"/>
      <w:bookmarkEnd w:id="299"/>
      <w:bookmarkEnd w:id="300"/>
      <w:r>
        <w:rPr>
          <w:lang w:eastAsia="en-GB"/>
        </w:rPr>
        <w:t xml:space="preserve"> </w:t>
      </w:r>
    </w:p>
    <w:p>
      <w:pPr>
        <w:spacing w:after="240"/>
        <w:rPr>
          <w:noProof/>
          <w:sz w:val="20"/>
          <w:szCs w:val="20"/>
          <w:lang w:eastAsia="en-GB"/>
        </w:rPr>
      </w:pPr>
      <w:r>
        <w:rPr>
          <w:noProof/>
          <w:sz w:val="20"/>
          <w:szCs w:val="20"/>
          <w:lang w:eastAsia="en-GB"/>
        </w:rPr>
        <w:t>Source: Oil Bulletin, DG Energy</w:t>
      </w:r>
    </w:p>
    <w:p>
      <w:pPr>
        <w:rPr>
          <w:b/>
          <w:bCs/>
          <w:noProof/>
          <w:sz w:val="24"/>
          <w:szCs w:val="24"/>
          <w:lang w:eastAsia="en-GB"/>
        </w:rPr>
      </w:pPr>
      <w:r>
        <w:rPr>
          <w:noProof/>
          <w:sz w:val="24"/>
          <w:szCs w:val="24"/>
          <w:lang w:eastAsia="en-GB"/>
        </w:rPr>
        <w:t>The next graph shows the composition of the average heating oil price by Member State in the first half of 2019.</w:t>
      </w:r>
    </w:p>
    <w:p>
      <w:pPr>
        <w:rPr>
          <w:b/>
          <w:bCs/>
          <w:noProof/>
          <w:sz w:val="24"/>
          <w:szCs w:val="24"/>
          <w:lang w:eastAsia="en-GB"/>
        </w:rPr>
      </w:pPr>
      <w:r>
        <w:rPr>
          <w:noProof/>
          <w:lang w:eastAsia="en-GB"/>
        </w:rPr>
        <w:drawing>
          <wp:inline distT="0" distB="0" distL="0" distR="0">
            <wp:extent cx="6137882" cy="3583564"/>
            <wp:effectExtent l="0" t="0" r="0" b="0"/>
            <wp:docPr id="144512893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37882" cy="3583564"/>
                    </a:xfrm>
                    <a:prstGeom prst="rect">
                      <a:avLst/>
                    </a:prstGeom>
                  </pic:spPr>
                </pic:pic>
              </a:graphicData>
            </a:graphic>
          </wp:inline>
        </w:drawing>
      </w:r>
    </w:p>
    <w:p>
      <w:pPr>
        <w:pStyle w:val="Caption"/>
        <w:rPr>
          <w:lang w:eastAsia="en-GB"/>
        </w:rPr>
      </w:pPr>
      <w:bookmarkStart w:id="301" w:name="_Toc525807840"/>
      <w:bookmarkStart w:id="302" w:name="_Toc526433443"/>
      <w:bookmarkStart w:id="303" w:name="_Toc526433721"/>
      <w:bookmarkStart w:id="304" w:name="_Toc526435663"/>
      <w:bookmarkStart w:id="305" w:name="_Toc530739749"/>
      <w:bookmarkStart w:id="306" w:name="_Toc531366124"/>
      <w:bookmarkStart w:id="307" w:name="_Toc50494088"/>
      <w:bookmarkStart w:id="308" w:name="_Toc52396854"/>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82</w:t>
      </w:r>
      <w:r>
        <w:rPr>
          <w:lang w:eastAsia="en-GB"/>
        </w:rPr>
        <w:fldChar w:fldCharType="end"/>
      </w:r>
      <w:r>
        <w:rPr>
          <w:lang w:eastAsia="en-GB"/>
        </w:rPr>
        <w:t xml:space="preserve"> - Average retail price of heating oil in the first half of 2018 by Member State and price component</w:t>
      </w:r>
      <w:bookmarkEnd w:id="301"/>
      <w:bookmarkEnd w:id="302"/>
      <w:bookmarkEnd w:id="303"/>
      <w:bookmarkEnd w:id="304"/>
      <w:bookmarkEnd w:id="305"/>
      <w:bookmarkEnd w:id="306"/>
      <w:bookmarkEnd w:id="307"/>
      <w:bookmarkEnd w:id="308"/>
      <w:r>
        <w:rPr>
          <w:lang w:eastAsia="en-GB"/>
        </w:rPr>
        <w:t xml:space="preserve"> </w:t>
      </w:r>
    </w:p>
    <w:p>
      <w:pPr>
        <w:pStyle w:val="Sources"/>
        <w:rPr>
          <w:noProof/>
          <w:lang w:eastAsia="en-GB"/>
        </w:rPr>
      </w:pPr>
      <w:r>
        <w:rPr>
          <w:noProof/>
          <w:lang w:eastAsia="en-GB"/>
        </w:rPr>
        <w:t>Source: Oil Bulletin, DG Energy</w:t>
      </w:r>
    </w:p>
    <w:p>
      <w:pPr>
        <w:rPr>
          <w:b/>
          <w:noProof/>
          <w:sz w:val="24"/>
          <w:szCs w:val="24"/>
          <w:lang w:eastAsia="en-GB"/>
        </w:rPr>
      </w:pPr>
    </w:p>
    <w:p>
      <w:pPr>
        <w:pStyle w:val="Heading3"/>
        <w:numPr>
          <w:ilvl w:val="2"/>
          <w:numId w:val="1"/>
        </w:numPr>
        <w:rPr>
          <w:noProof/>
        </w:rPr>
      </w:pPr>
      <w:bookmarkStart w:id="309" w:name="_Toc524619503"/>
      <w:bookmarkStart w:id="310" w:name="_Toc524961050"/>
      <w:bookmarkStart w:id="311" w:name="_Toc525143015"/>
      <w:bookmarkStart w:id="312" w:name="_Toc525222172"/>
      <w:bookmarkStart w:id="313" w:name="_Toc525222341"/>
      <w:bookmarkStart w:id="314" w:name="_Toc526420735"/>
      <w:bookmarkStart w:id="315" w:name="_Toc526433962"/>
      <w:bookmarkStart w:id="316" w:name="_Toc526435904"/>
      <w:bookmarkStart w:id="317" w:name="_Toc530595234"/>
      <w:bookmarkStart w:id="318" w:name="_Toc50648323"/>
      <w:bookmarkStart w:id="319" w:name="_Toc50654353"/>
      <w:bookmarkStart w:id="320" w:name="_Toc50654908"/>
      <w:bookmarkStart w:id="321" w:name="_Toc50732455"/>
      <w:bookmarkStart w:id="322" w:name="_Toc52396539"/>
      <w:r>
        <w:rPr>
          <w:noProof/>
        </w:rPr>
        <w:t>Gasoline vs diesel</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pPr>
        <w:rPr>
          <w:b/>
          <w:noProof/>
          <w:sz w:val="24"/>
          <w:szCs w:val="24"/>
          <w:lang w:eastAsia="en-GB"/>
        </w:rPr>
      </w:pPr>
    </w:p>
    <w:p>
      <w:pPr>
        <w:rPr>
          <w:noProof/>
          <w:sz w:val="24"/>
          <w:szCs w:val="24"/>
          <w:lang w:eastAsia="en-GB"/>
        </w:rPr>
      </w:pPr>
      <w:r>
        <w:rPr>
          <w:noProof/>
          <w:sz w:val="24"/>
          <w:szCs w:val="24"/>
          <w:lang w:eastAsia="en-GB"/>
        </w:rPr>
        <w:t>The unequal tax treatment of the main motor fuels, gasoline and diesel, has been a contentious policy issue and was often considered as the most like explanation for the "dieselisation" of the European vehicle fleet. Most Member States impose a lower level of excise duty for diesel than for gasoil, resulting in a lower retail price, in spite of the fact that the wholesale price of diesel is typically slightly higher than that of gasoline. The price advantage of diesel, coupled with the improving fuel economy of diesel engines, made diesel cars increasingly popular in the passenger car and light duty vehicle segments, with their share from new registration reaching up to 70-80% in certain Member States. In contrast, in other regions of the world gasoline-engine cars continued to have a dominant role in the passenger car fleet. The dieselisation significantly contributed to the gasoline/diesel imbalance: European refineries produce too much gasoline which has to be exported while diesel output is insufficient to meet demand as Europe has to rely on imports.</w:t>
      </w:r>
    </w:p>
    <w:p>
      <w:pPr>
        <w:rPr>
          <w:noProof/>
          <w:sz w:val="24"/>
          <w:szCs w:val="24"/>
          <w:lang w:eastAsia="en-GB"/>
        </w:rPr>
      </w:pPr>
      <w:r>
        <w:rPr>
          <w:noProof/>
          <w:sz w:val="24"/>
          <w:szCs w:val="24"/>
          <w:lang w:eastAsia="en-GB"/>
        </w:rPr>
        <w:t>More recently, the emission scandal with diesel-engine cars which broke out in September 2015, raised renewed questions about the tax advantage of diesel.</w:t>
      </w:r>
    </w:p>
    <w:p>
      <w:pPr>
        <w:rPr>
          <w:noProof/>
          <w:sz w:val="24"/>
          <w:szCs w:val="24"/>
          <w:lang w:eastAsia="en-GB"/>
        </w:rPr>
      </w:pPr>
      <w:r>
        <w:rPr>
          <w:noProof/>
          <w:sz w:val="24"/>
          <w:szCs w:val="24"/>
          <w:lang w:eastAsia="en-GB"/>
        </w:rPr>
        <w:t>Back in 2011, the Commission made an attempt to remove the distortive tax treatment of the two fuels in the proposed revision of the Energy Taxation Directive.</w:t>
      </w:r>
      <w:r>
        <w:rPr>
          <w:noProof/>
          <w:sz w:val="24"/>
          <w:szCs w:val="24"/>
          <w:vertAlign w:val="superscript"/>
          <w:lang w:eastAsia="en-GB"/>
        </w:rPr>
        <w:footnoteReference w:id="6"/>
      </w:r>
      <w:r>
        <w:rPr>
          <w:noProof/>
          <w:sz w:val="24"/>
          <w:szCs w:val="24"/>
          <w:lang w:eastAsia="en-GB"/>
        </w:rPr>
        <w:t xml:space="preserve"> According to the proposal, the minimum tax rates of energy products would have been based on the energy content and the CO2 content of the fuel, resulting in a lower minimum rate for gasoline (diesel has a higher energy and CO2 content per litre). However, following the unsuccessful negotiations between Member States in the Council, the proposal was withdrawn.</w:t>
      </w:r>
    </w:p>
    <w:p>
      <w:pPr>
        <w:rPr>
          <w:noProof/>
          <w:sz w:val="24"/>
          <w:szCs w:val="24"/>
          <w:lang w:eastAsia="en-GB"/>
        </w:rPr>
      </w:pPr>
      <w:r>
        <w:rPr>
          <w:noProof/>
          <w:sz w:val="24"/>
          <w:szCs w:val="24"/>
          <w:lang w:eastAsia="en-GB"/>
        </w:rPr>
        <w:t>In this section we compare the development gasoline and diesel prices in the EU and try to investigate whether there has been an approximation of excise duty rates imposed on the two fuels.</w:t>
      </w:r>
    </w:p>
    <w:p>
      <w:pPr>
        <w:rPr>
          <w:noProof/>
          <w:sz w:val="24"/>
          <w:szCs w:val="24"/>
          <w:lang w:eastAsia="en-GB"/>
        </w:rPr>
      </w:pPr>
      <w:r>
        <w:rPr>
          <w:noProof/>
          <w:sz w:val="24"/>
          <w:szCs w:val="24"/>
          <w:lang w:eastAsia="en-GB"/>
        </w:rPr>
        <w:t>Over the last ten years, the average retail price of gasoline has been consistently above the price of diesel, with the difference between 0.02 and 0.07 EUR/litre in this period, widening when prices drop and coming close when prices increase. In 2019 average difference was 0.07 EUR/litre.</w:t>
      </w:r>
    </w:p>
    <w:p>
      <w:pPr>
        <w:rPr>
          <w:b/>
          <w:bCs/>
          <w:noProof/>
          <w:sz w:val="24"/>
          <w:szCs w:val="24"/>
          <w:lang w:eastAsia="en-GB"/>
        </w:rPr>
      </w:pPr>
      <w:r>
        <w:rPr>
          <w:noProof/>
          <w:lang w:eastAsia="en-GB"/>
        </w:rPr>
        <w:drawing>
          <wp:inline distT="0" distB="0" distL="0" distR="0">
            <wp:extent cx="5957220" cy="3580932"/>
            <wp:effectExtent l="0" t="0" r="5715" b="635"/>
            <wp:docPr id="19819971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1">
                      <a:extLst>
                        <a:ext uri="{28A0092B-C50C-407E-A947-70E740481C1C}">
                          <a14:useLocalDpi xmlns:a14="http://schemas.microsoft.com/office/drawing/2010/main" val="0"/>
                        </a:ext>
                      </a:extLst>
                    </a:blip>
                    <a:stretch>
                      <a:fillRect/>
                    </a:stretch>
                  </pic:blipFill>
                  <pic:spPr>
                    <a:xfrm>
                      <a:off x="0" y="0"/>
                      <a:ext cx="5957220" cy="3580932"/>
                    </a:xfrm>
                    <a:prstGeom prst="rect">
                      <a:avLst/>
                    </a:prstGeom>
                  </pic:spPr>
                </pic:pic>
              </a:graphicData>
            </a:graphic>
          </wp:inline>
        </w:drawing>
      </w:r>
    </w:p>
    <w:p>
      <w:pPr>
        <w:pStyle w:val="Caption"/>
        <w:rPr>
          <w:lang w:eastAsia="en-GB"/>
        </w:rPr>
      </w:pPr>
      <w:bookmarkStart w:id="323" w:name="_Toc525807841"/>
      <w:bookmarkStart w:id="324" w:name="_Toc526433444"/>
      <w:bookmarkStart w:id="325" w:name="_Toc526433722"/>
      <w:bookmarkStart w:id="326" w:name="_Toc526435664"/>
      <w:bookmarkStart w:id="327" w:name="_Toc530739750"/>
      <w:bookmarkStart w:id="328" w:name="_Toc531366125"/>
      <w:bookmarkStart w:id="329" w:name="_Toc50494089"/>
      <w:bookmarkStart w:id="330" w:name="_Toc52396855"/>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83</w:t>
      </w:r>
      <w:r>
        <w:rPr>
          <w:lang w:eastAsia="en-GB"/>
        </w:rPr>
        <w:fldChar w:fldCharType="end"/>
      </w:r>
      <w:r>
        <w:rPr>
          <w:lang w:eastAsia="en-GB"/>
        </w:rPr>
        <w:t xml:space="preserve"> - Average retail price of gasoline and diesel in the EU</w:t>
      </w:r>
      <w:bookmarkEnd w:id="323"/>
      <w:bookmarkEnd w:id="324"/>
      <w:bookmarkEnd w:id="325"/>
      <w:bookmarkEnd w:id="326"/>
      <w:bookmarkEnd w:id="327"/>
      <w:bookmarkEnd w:id="328"/>
      <w:r>
        <w:rPr>
          <w:lang w:eastAsia="en-GB"/>
        </w:rPr>
        <w:t>, with taxes (EUR per litre)</w:t>
      </w:r>
      <w:bookmarkEnd w:id="329"/>
      <w:bookmarkEnd w:id="330"/>
      <w:r>
        <w:rPr>
          <w:lang w:eastAsia="en-GB"/>
        </w:rPr>
        <w:t xml:space="preserve"> </w:t>
      </w:r>
    </w:p>
    <w:p>
      <w:pPr>
        <w:spacing w:after="240"/>
        <w:rPr>
          <w:noProof/>
          <w:sz w:val="20"/>
          <w:szCs w:val="20"/>
          <w:lang w:eastAsia="en-GB"/>
        </w:rPr>
      </w:pPr>
      <w:r>
        <w:rPr>
          <w:noProof/>
          <w:sz w:val="20"/>
          <w:szCs w:val="20"/>
          <w:lang w:eastAsia="en-GB"/>
        </w:rPr>
        <w:t>Source: Oil Bulletin, DG Energy</w:t>
      </w:r>
    </w:p>
    <w:p>
      <w:pPr>
        <w:rPr>
          <w:noProof/>
          <w:sz w:val="24"/>
          <w:szCs w:val="24"/>
          <w:lang w:eastAsia="en-GB"/>
        </w:rPr>
      </w:pPr>
      <w:bookmarkStart w:id="331" w:name="_Toc463015654"/>
      <w:bookmarkStart w:id="332" w:name="_Toc463355886"/>
      <w:r>
        <w:rPr>
          <w:noProof/>
          <w:sz w:val="24"/>
          <w:szCs w:val="24"/>
          <w:lang w:eastAsia="en-GB"/>
        </w:rPr>
        <w:t>When comparing the prices without taxes, it is striking that diesel prices are actually higher than gasoline prices. The only exception is 2016 when the average gasoline and diesel price was practically identical. In this year, global gasoline demand was supported by record-low oil prices, resulting in a relatively high gasoline price. Over the ten and half year period, the net price of diesel was on average 0.01 EUR/litre higher.</w:t>
      </w:r>
    </w:p>
    <w:p>
      <w:pPr>
        <w:rPr>
          <w:b/>
          <w:bCs/>
          <w:noProof/>
          <w:sz w:val="24"/>
          <w:szCs w:val="24"/>
          <w:lang w:eastAsia="en-GB"/>
        </w:rPr>
      </w:pPr>
      <w:r>
        <w:rPr>
          <w:noProof/>
          <w:lang w:eastAsia="en-GB"/>
        </w:rPr>
        <w:drawing>
          <wp:inline distT="0" distB="0" distL="0" distR="0">
            <wp:extent cx="5974722" cy="3591452"/>
            <wp:effectExtent l="0" t="0" r="6985" b="9525"/>
            <wp:docPr id="20906105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2">
                      <a:extLst>
                        <a:ext uri="{28A0092B-C50C-407E-A947-70E740481C1C}">
                          <a14:useLocalDpi xmlns:a14="http://schemas.microsoft.com/office/drawing/2010/main" val="0"/>
                        </a:ext>
                      </a:extLst>
                    </a:blip>
                    <a:stretch>
                      <a:fillRect/>
                    </a:stretch>
                  </pic:blipFill>
                  <pic:spPr>
                    <a:xfrm>
                      <a:off x="0" y="0"/>
                      <a:ext cx="5974722" cy="3591452"/>
                    </a:xfrm>
                    <a:prstGeom prst="rect">
                      <a:avLst/>
                    </a:prstGeom>
                  </pic:spPr>
                </pic:pic>
              </a:graphicData>
            </a:graphic>
          </wp:inline>
        </w:drawing>
      </w:r>
    </w:p>
    <w:p>
      <w:pPr>
        <w:pStyle w:val="Caption"/>
        <w:rPr>
          <w:lang w:eastAsia="en-GB"/>
        </w:rPr>
      </w:pPr>
      <w:bookmarkStart w:id="333" w:name="_Toc525807842"/>
      <w:bookmarkStart w:id="334" w:name="_Toc526433445"/>
      <w:bookmarkStart w:id="335" w:name="_Toc526433723"/>
      <w:bookmarkStart w:id="336" w:name="_Toc526435665"/>
      <w:bookmarkStart w:id="337" w:name="_Toc530739751"/>
      <w:bookmarkStart w:id="338" w:name="_Toc531366126"/>
      <w:bookmarkStart w:id="339" w:name="_Toc50494090"/>
      <w:bookmarkStart w:id="340" w:name="_Toc52396856"/>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84</w:t>
      </w:r>
      <w:r>
        <w:rPr>
          <w:lang w:eastAsia="en-GB"/>
        </w:rPr>
        <w:fldChar w:fldCharType="end"/>
      </w:r>
      <w:r>
        <w:rPr>
          <w:lang w:eastAsia="en-GB"/>
        </w:rPr>
        <w:t xml:space="preserve"> - Average retail price of gasoline and diesel in the EU, without taxes</w:t>
      </w:r>
      <w:bookmarkEnd w:id="333"/>
      <w:bookmarkEnd w:id="334"/>
      <w:bookmarkEnd w:id="335"/>
      <w:bookmarkEnd w:id="336"/>
      <w:bookmarkEnd w:id="337"/>
      <w:bookmarkEnd w:id="338"/>
      <w:r>
        <w:rPr>
          <w:lang w:eastAsia="en-GB"/>
        </w:rPr>
        <w:t xml:space="preserve"> (EUR per litre)</w:t>
      </w:r>
      <w:bookmarkEnd w:id="339"/>
      <w:bookmarkEnd w:id="340"/>
    </w:p>
    <w:p>
      <w:pPr>
        <w:pStyle w:val="Sources"/>
        <w:rPr>
          <w:noProof/>
          <w:lang w:eastAsia="en-GB"/>
        </w:rPr>
      </w:pPr>
      <w:r>
        <w:rPr>
          <w:noProof/>
          <w:lang w:eastAsia="en-GB"/>
        </w:rPr>
        <w:t>Source: Oil Bulletin, DG Energy, Platts</w:t>
      </w:r>
    </w:p>
    <w:p>
      <w:pPr>
        <w:rPr>
          <w:noProof/>
          <w:sz w:val="24"/>
          <w:szCs w:val="24"/>
          <w:lang w:eastAsia="en-GB"/>
        </w:rPr>
      </w:pPr>
      <w:r>
        <w:rPr>
          <w:noProof/>
          <w:sz w:val="24"/>
          <w:szCs w:val="24"/>
          <w:lang w:eastAsia="en-GB"/>
        </w:rPr>
        <w:t>The average excise duty rate for gasoline has been between 0.05 and 0.07 EUR/litre over the period, more than offsetting the lower net price of gasoline. The difference was largest in 2008 and 2009 (0.07 EUR/litre) but since then there has been declining a bit towards 0.05, with the average difference widening again in 2018 and 2019 as prices start rising again.</w:t>
      </w:r>
    </w:p>
    <w:p>
      <w:pPr>
        <w:rPr>
          <w:b/>
          <w:bCs/>
          <w:noProof/>
          <w:sz w:val="24"/>
          <w:szCs w:val="24"/>
          <w:lang w:eastAsia="en-GB"/>
        </w:rPr>
      </w:pPr>
      <w:r>
        <w:rPr>
          <w:noProof/>
          <w:lang w:eastAsia="en-GB"/>
        </w:rPr>
        <w:drawing>
          <wp:inline distT="0" distB="0" distL="0" distR="0">
            <wp:extent cx="6132314" cy="3686184"/>
            <wp:effectExtent l="0" t="0" r="1905" b="0"/>
            <wp:docPr id="13057402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6132314" cy="3686184"/>
                    </a:xfrm>
                    <a:prstGeom prst="rect">
                      <a:avLst/>
                    </a:prstGeom>
                  </pic:spPr>
                </pic:pic>
              </a:graphicData>
            </a:graphic>
          </wp:inline>
        </w:drawing>
      </w:r>
    </w:p>
    <w:p>
      <w:pPr>
        <w:pStyle w:val="Caption"/>
        <w:rPr>
          <w:lang w:eastAsia="en-GB"/>
        </w:rPr>
      </w:pPr>
      <w:bookmarkStart w:id="341" w:name="_Toc525807843"/>
      <w:bookmarkStart w:id="342" w:name="_Toc526433446"/>
      <w:bookmarkStart w:id="343" w:name="_Toc526433724"/>
      <w:bookmarkStart w:id="344" w:name="_Toc526435666"/>
      <w:bookmarkStart w:id="345" w:name="_Toc530739752"/>
      <w:bookmarkStart w:id="346" w:name="_Toc531366127"/>
      <w:bookmarkStart w:id="347" w:name="_Toc50494091"/>
      <w:bookmarkStart w:id="348" w:name="_Toc52396857"/>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85</w:t>
      </w:r>
      <w:r>
        <w:rPr>
          <w:lang w:eastAsia="en-GB"/>
        </w:rPr>
        <w:fldChar w:fldCharType="end"/>
      </w:r>
      <w:r>
        <w:rPr>
          <w:lang w:eastAsia="en-GB"/>
        </w:rPr>
        <w:t xml:space="preserve"> - Average excise duty rates for gasoline and diesel in the EU</w:t>
      </w:r>
      <w:bookmarkEnd w:id="331"/>
      <w:bookmarkEnd w:id="332"/>
      <w:bookmarkEnd w:id="341"/>
      <w:bookmarkEnd w:id="342"/>
      <w:bookmarkEnd w:id="343"/>
      <w:bookmarkEnd w:id="344"/>
      <w:bookmarkEnd w:id="345"/>
      <w:bookmarkEnd w:id="346"/>
      <w:r>
        <w:rPr>
          <w:lang w:eastAsia="en-GB"/>
        </w:rPr>
        <w:t xml:space="preserve"> (EUR per litre)</w:t>
      </w:r>
      <w:bookmarkEnd w:id="347"/>
      <w:bookmarkEnd w:id="348"/>
    </w:p>
    <w:p>
      <w:pPr>
        <w:spacing w:after="240"/>
        <w:rPr>
          <w:noProof/>
          <w:sz w:val="20"/>
          <w:szCs w:val="20"/>
          <w:lang w:eastAsia="en-GB"/>
        </w:rPr>
      </w:pPr>
      <w:r>
        <w:rPr>
          <w:noProof/>
          <w:sz w:val="20"/>
          <w:szCs w:val="20"/>
          <w:lang w:eastAsia="en-GB"/>
        </w:rPr>
        <w:t>Source: Oil Bulletin, DG Energy</w:t>
      </w:r>
    </w:p>
    <w:p>
      <w:pPr>
        <w:rPr>
          <w:noProof/>
          <w:sz w:val="24"/>
          <w:szCs w:val="24"/>
          <w:lang w:eastAsia="en-GB"/>
        </w:rPr>
      </w:pPr>
    </w:p>
    <w:p>
      <w:pPr>
        <w:rPr>
          <w:noProof/>
          <w:sz w:val="24"/>
          <w:szCs w:val="24"/>
          <w:lang w:eastAsia="en-GB"/>
        </w:rPr>
      </w:pPr>
      <w:r>
        <w:rPr>
          <w:noProof/>
          <w:sz w:val="24"/>
          <w:szCs w:val="24"/>
          <w:lang w:eastAsia="en-GB"/>
        </w:rPr>
        <w:t>In addition to the absolute difference, the relative (percentage) difference between gasoline and diesel excise duty rates also shows a decreasing trend: while in 2010 the excise duty on gasoline was on average 37% higher, by the first half of 2018 this difference decreased to 24%.</w:t>
      </w:r>
    </w:p>
    <w:p>
      <w:pPr>
        <w:rPr>
          <w:b/>
          <w:bCs/>
          <w:noProof/>
          <w:sz w:val="24"/>
          <w:szCs w:val="24"/>
          <w:lang w:eastAsia="en-GB"/>
        </w:rPr>
      </w:pPr>
      <w:r>
        <w:rPr>
          <w:noProof/>
          <w:lang w:eastAsia="en-GB"/>
        </w:rPr>
        <w:drawing>
          <wp:inline distT="0" distB="0" distL="0" distR="0">
            <wp:extent cx="5711588" cy="3432379"/>
            <wp:effectExtent l="0" t="0" r="3810" b="0"/>
            <wp:docPr id="145727369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4">
                      <a:extLst>
                        <a:ext uri="{28A0092B-C50C-407E-A947-70E740481C1C}">
                          <a14:useLocalDpi xmlns:a14="http://schemas.microsoft.com/office/drawing/2010/main" val="0"/>
                        </a:ext>
                      </a:extLst>
                    </a:blip>
                    <a:stretch>
                      <a:fillRect/>
                    </a:stretch>
                  </pic:blipFill>
                  <pic:spPr>
                    <a:xfrm>
                      <a:off x="0" y="0"/>
                      <a:ext cx="5719599" cy="3437193"/>
                    </a:xfrm>
                    <a:prstGeom prst="rect">
                      <a:avLst/>
                    </a:prstGeom>
                  </pic:spPr>
                </pic:pic>
              </a:graphicData>
            </a:graphic>
          </wp:inline>
        </w:drawing>
      </w:r>
    </w:p>
    <w:p>
      <w:pPr>
        <w:pStyle w:val="Caption"/>
        <w:rPr>
          <w:lang w:eastAsia="en-GB"/>
        </w:rPr>
      </w:pPr>
      <w:bookmarkStart w:id="349" w:name="_Toc525807844"/>
      <w:bookmarkStart w:id="350" w:name="_Toc526433447"/>
      <w:bookmarkStart w:id="351" w:name="_Toc526433725"/>
      <w:bookmarkStart w:id="352" w:name="_Toc526435667"/>
      <w:bookmarkStart w:id="353" w:name="_Toc530739753"/>
      <w:bookmarkStart w:id="354" w:name="_Toc531366128"/>
      <w:bookmarkStart w:id="355" w:name="_Toc50494092"/>
      <w:bookmarkStart w:id="356" w:name="_Toc52396858"/>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86</w:t>
      </w:r>
      <w:r>
        <w:rPr>
          <w:lang w:eastAsia="en-GB"/>
        </w:rPr>
        <w:fldChar w:fldCharType="end"/>
      </w:r>
      <w:r>
        <w:rPr>
          <w:lang w:eastAsia="en-GB"/>
        </w:rPr>
        <w:t xml:space="preserve"> - The difference between the average excise duty rate on gasoline and diesel</w:t>
      </w:r>
      <w:bookmarkEnd w:id="349"/>
      <w:bookmarkEnd w:id="350"/>
      <w:bookmarkEnd w:id="351"/>
      <w:bookmarkEnd w:id="352"/>
      <w:bookmarkEnd w:id="353"/>
      <w:bookmarkEnd w:id="354"/>
      <w:bookmarkEnd w:id="355"/>
      <w:bookmarkEnd w:id="356"/>
    </w:p>
    <w:p>
      <w:pPr>
        <w:pStyle w:val="Sources"/>
        <w:rPr>
          <w:noProof/>
          <w:lang w:eastAsia="en-GB"/>
        </w:rPr>
      </w:pPr>
      <w:r>
        <w:rPr>
          <w:noProof/>
          <w:lang w:eastAsia="en-GB"/>
        </w:rPr>
        <w:t>Source: Oil Bulletin, DG Energy</w:t>
      </w:r>
    </w:p>
    <w:p>
      <w:pPr>
        <w:rPr>
          <w:noProof/>
          <w:sz w:val="24"/>
          <w:szCs w:val="24"/>
          <w:lang w:eastAsia="en-GB"/>
        </w:rPr>
      </w:pPr>
      <w:r>
        <w:rPr>
          <w:noProof/>
          <w:sz w:val="24"/>
          <w:szCs w:val="24"/>
          <w:lang w:eastAsia="en-GB"/>
        </w:rPr>
        <w:t xml:space="preserve">In most Member States, excise duty rates increased for both gasoline and diesel in the last ten years. In case of gasoline, the average EU rate grew from 0.50 EUR/litre to 0.58 EUR/litre (+16%) while for diesel the average rate increased from 0.44 EUR/litre to 0.52 EUR/litre between 2005 and 2019. The faster growth of the diesel rate means that the difference has gradually diminished. </w:t>
      </w:r>
    </w:p>
    <w:p>
      <w:pPr>
        <w:rPr>
          <w:b/>
          <w:bCs/>
          <w:noProof/>
          <w:sz w:val="24"/>
          <w:szCs w:val="24"/>
          <w:lang w:eastAsia="en-GB"/>
        </w:rPr>
      </w:pPr>
      <w:r>
        <w:rPr>
          <w:noProof/>
          <w:lang w:eastAsia="en-GB"/>
        </w:rPr>
        <w:drawing>
          <wp:inline distT="0" distB="0" distL="0" distR="0">
            <wp:extent cx="5766179" cy="3466096"/>
            <wp:effectExtent l="0" t="0" r="6350" b="1270"/>
            <wp:docPr id="8026743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a:extLst>
                        <a:ext uri="{28A0092B-C50C-407E-A947-70E740481C1C}">
                          <a14:useLocalDpi xmlns:a14="http://schemas.microsoft.com/office/drawing/2010/main" val="0"/>
                        </a:ext>
                      </a:extLst>
                    </a:blip>
                    <a:stretch>
                      <a:fillRect/>
                    </a:stretch>
                  </pic:blipFill>
                  <pic:spPr>
                    <a:xfrm>
                      <a:off x="0" y="0"/>
                      <a:ext cx="5771596" cy="3469352"/>
                    </a:xfrm>
                    <a:prstGeom prst="rect">
                      <a:avLst/>
                    </a:prstGeom>
                  </pic:spPr>
                </pic:pic>
              </a:graphicData>
            </a:graphic>
          </wp:inline>
        </w:drawing>
      </w:r>
    </w:p>
    <w:p>
      <w:pPr>
        <w:pStyle w:val="Caption"/>
        <w:rPr>
          <w:lang w:eastAsia="en-GB"/>
        </w:rPr>
      </w:pPr>
      <w:bookmarkStart w:id="357" w:name="_Toc525807845"/>
      <w:bookmarkStart w:id="358" w:name="_Toc526433448"/>
      <w:bookmarkStart w:id="359" w:name="_Toc526433726"/>
      <w:bookmarkStart w:id="360" w:name="_Toc526435668"/>
      <w:bookmarkStart w:id="361" w:name="_Toc530739754"/>
      <w:bookmarkStart w:id="362" w:name="_Toc531366129"/>
      <w:bookmarkStart w:id="363" w:name="_Toc50494093"/>
      <w:bookmarkStart w:id="364" w:name="_Toc52396859"/>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87</w:t>
      </w:r>
      <w:r>
        <w:rPr>
          <w:lang w:eastAsia="en-GB"/>
        </w:rPr>
        <w:fldChar w:fldCharType="end"/>
      </w:r>
      <w:r>
        <w:rPr>
          <w:lang w:eastAsia="en-GB"/>
        </w:rPr>
        <w:t xml:space="preserve"> - Excise duty rates in individual Member States in 2005 (blue) and </w:t>
      </w:r>
      <w:bookmarkEnd w:id="357"/>
      <w:bookmarkEnd w:id="358"/>
      <w:bookmarkEnd w:id="359"/>
      <w:bookmarkEnd w:id="360"/>
      <w:bookmarkEnd w:id="361"/>
      <w:bookmarkEnd w:id="362"/>
      <w:r>
        <w:rPr>
          <w:lang w:eastAsia="en-GB"/>
        </w:rPr>
        <w:t>2019 (red)</w:t>
      </w:r>
      <w:bookmarkEnd w:id="363"/>
      <w:bookmarkEnd w:id="364"/>
    </w:p>
    <w:p>
      <w:pPr>
        <w:pStyle w:val="Sources"/>
        <w:rPr>
          <w:noProof/>
          <w:lang w:eastAsia="en-GB"/>
        </w:rPr>
      </w:pPr>
      <w:r>
        <w:rPr>
          <w:noProof/>
          <w:lang w:eastAsia="en-GB"/>
        </w:rPr>
        <w:t>Source: Oil Bulletin, DG Energy</w:t>
      </w:r>
    </w:p>
    <w:p>
      <w:pPr>
        <w:rPr>
          <w:noProof/>
          <w:sz w:val="24"/>
          <w:szCs w:val="24"/>
          <w:lang w:eastAsia="en-GB"/>
        </w:rPr>
      </w:pPr>
      <w:r>
        <w:rPr>
          <w:noProof/>
          <w:sz w:val="24"/>
          <w:szCs w:val="24"/>
          <w:lang w:eastAsia="en-GB"/>
        </w:rPr>
        <w:t>At EU level, the difference between the average gasoline and diesel excise duty rates decreased from 0.15 EUR/litre in 2005 to 0.10 EUR/litre in 2019. Looking at Member States, we can see that the difference decreased in only half of the Member States. In 12 Member States the absolute difference has actually increased, implying a growing tax advantage for diesel. For example, in Greece the gasoline excise duty rate has almost doubled (+98%) in this period while that of diesel grew by "only" 39%.</w:t>
      </w:r>
    </w:p>
    <w:p>
      <w:pPr>
        <w:rPr>
          <w:b/>
          <w:bCs/>
          <w:noProof/>
          <w:sz w:val="24"/>
          <w:szCs w:val="24"/>
          <w:lang w:eastAsia="en-GB"/>
        </w:rPr>
      </w:pPr>
      <w:r>
        <w:rPr>
          <w:noProof/>
          <w:lang w:eastAsia="en-GB"/>
        </w:rPr>
        <w:drawing>
          <wp:inline distT="0" distB="0" distL="0" distR="0">
            <wp:extent cx="6108970" cy="3672151"/>
            <wp:effectExtent l="0" t="0" r="6350" b="5080"/>
            <wp:docPr id="149886950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6">
                      <a:extLst>
                        <a:ext uri="{28A0092B-C50C-407E-A947-70E740481C1C}">
                          <a14:useLocalDpi xmlns:a14="http://schemas.microsoft.com/office/drawing/2010/main" val="0"/>
                        </a:ext>
                      </a:extLst>
                    </a:blip>
                    <a:stretch>
                      <a:fillRect/>
                    </a:stretch>
                  </pic:blipFill>
                  <pic:spPr>
                    <a:xfrm>
                      <a:off x="0" y="0"/>
                      <a:ext cx="6108970" cy="3672151"/>
                    </a:xfrm>
                    <a:prstGeom prst="rect">
                      <a:avLst/>
                    </a:prstGeom>
                  </pic:spPr>
                </pic:pic>
              </a:graphicData>
            </a:graphic>
          </wp:inline>
        </w:drawing>
      </w:r>
    </w:p>
    <w:p>
      <w:pPr>
        <w:pStyle w:val="Caption"/>
        <w:rPr>
          <w:lang w:eastAsia="en-GB"/>
        </w:rPr>
      </w:pPr>
      <w:bookmarkStart w:id="365" w:name="_Toc525807846"/>
      <w:bookmarkStart w:id="366" w:name="_Toc526433449"/>
      <w:bookmarkStart w:id="367" w:name="_Toc526433727"/>
      <w:bookmarkStart w:id="368" w:name="_Toc526435669"/>
      <w:bookmarkStart w:id="369" w:name="_Toc530739755"/>
      <w:bookmarkStart w:id="370" w:name="_Toc531366130"/>
      <w:bookmarkStart w:id="371" w:name="_Toc50494094"/>
      <w:bookmarkStart w:id="372" w:name="_Toc52396860"/>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88</w:t>
      </w:r>
      <w:r>
        <w:rPr>
          <w:lang w:eastAsia="en-GB"/>
        </w:rPr>
        <w:fldChar w:fldCharType="end"/>
      </w:r>
      <w:r>
        <w:rPr>
          <w:lang w:eastAsia="en-GB"/>
        </w:rPr>
        <w:t xml:space="preserve"> - the change of the difference between the gasoline and diesel excise duty rates between 2005 and the first half of 2019</w:t>
      </w:r>
      <w:bookmarkEnd w:id="365"/>
      <w:bookmarkEnd w:id="366"/>
      <w:bookmarkEnd w:id="367"/>
      <w:bookmarkEnd w:id="368"/>
      <w:bookmarkEnd w:id="369"/>
      <w:bookmarkEnd w:id="370"/>
      <w:bookmarkEnd w:id="371"/>
      <w:bookmarkEnd w:id="372"/>
    </w:p>
    <w:p>
      <w:pPr>
        <w:pStyle w:val="Sources"/>
        <w:rPr>
          <w:noProof/>
          <w:lang w:eastAsia="en-GB"/>
        </w:rPr>
      </w:pPr>
      <w:r>
        <w:rPr>
          <w:noProof/>
          <w:lang w:eastAsia="en-GB"/>
        </w:rPr>
        <w:t>Source: Oil Bulletin, DG Energy</w:t>
      </w:r>
    </w:p>
    <w:p>
      <w:pPr>
        <w:rPr>
          <w:noProof/>
          <w:sz w:val="24"/>
          <w:szCs w:val="24"/>
          <w:lang w:eastAsia="en-GB"/>
        </w:rPr>
      </w:pPr>
      <w:r>
        <w:rPr>
          <w:noProof/>
          <w:sz w:val="24"/>
          <w:szCs w:val="24"/>
          <w:lang w:eastAsia="en-GB"/>
        </w:rPr>
        <w:t>In recent years, Belgium made the biggest step to remove the tax advantage of diesel: since 2016, the excise duty rate for diel has been gradually raised and by July 2018 the two excises were unified. As a result the difference between the retail prices of the two fuels has practically disappeared.</w:t>
      </w:r>
    </w:p>
    <w:p>
      <w:pPr>
        <w:rPr>
          <w:b/>
          <w:bCs/>
          <w:noProof/>
          <w:sz w:val="24"/>
          <w:szCs w:val="24"/>
          <w:lang w:eastAsia="en-GB"/>
        </w:rPr>
      </w:pPr>
      <w:r>
        <w:rPr>
          <w:noProof/>
          <w:lang w:eastAsia="en-GB"/>
        </w:rPr>
        <w:drawing>
          <wp:inline distT="0" distB="0" distL="0" distR="0">
            <wp:extent cx="6149029" cy="3758884"/>
            <wp:effectExtent l="0" t="0" r="4445" b="0"/>
            <wp:docPr id="6917678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7">
                      <a:extLst>
                        <a:ext uri="{28A0092B-C50C-407E-A947-70E740481C1C}">
                          <a14:useLocalDpi xmlns:a14="http://schemas.microsoft.com/office/drawing/2010/main" val="0"/>
                        </a:ext>
                      </a:extLst>
                    </a:blip>
                    <a:stretch>
                      <a:fillRect/>
                    </a:stretch>
                  </pic:blipFill>
                  <pic:spPr>
                    <a:xfrm>
                      <a:off x="0" y="0"/>
                      <a:ext cx="6149029" cy="3758884"/>
                    </a:xfrm>
                    <a:prstGeom prst="rect">
                      <a:avLst/>
                    </a:prstGeom>
                  </pic:spPr>
                </pic:pic>
              </a:graphicData>
            </a:graphic>
          </wp:inline>
        </w:drawing>
      </w:r>
    </w:p>
    <w:p>
      <w:pPr>
        <w:pStyle w:val="Caption"/>
        <w:rPr>
          <w:lang w:eastAsia="en-GB"/>
        </w:rPr>
      </w:pPr>
      <w:bookmarkStart w:id="373" w:name="_Toc525807847"/>
      <w:bookmarkStart w:id="374" w:name="_Toc526433450"/>
      <w:bookmarkStart w:id="375" w:name="_Toc526433728"/>
      <w:bookmarkStart w:id="376" w:name="_Toc526435670"/>
      <w:bookmarkStart w:id="377" w:name="_Toc530739756"/>
      <w:bookmarkStart w:id="378" w:name="_Toc531366131"/>
      <w:bookmarkStart w:id="379" w:name="_Toc50494095"/>
      <w:bookmarkStart w:id="380" w:name="_Toc52396861"/>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89</w:t>
      </w:r>
      <w:r>
        <w:rPr>
          <w:lang w:eastAsia="en-GB"/>
        </w:rPr>
        <w:fldChar w:fldCharType="end"/>
      </w:r>
      <w:r>
        <w:rPr>
          <w:lang w:eastAsia="en-GB"/>
        </w:rPr>
        <w:t xml:space="preserve"> - Excise duty rates for motor fuels in Belgium</w:t>
      </w:r>
      <w:bookmarkEnd w:id="373"/>
      <w:bookmarkEnd w:id="374"/>
      <w:bookmarkEnd w:id="375"/>
      <w:bookmarkEnd w:id="376"/>
      <w:bookmarkEnd w:id="377"/>
      <w:bookmarkEnd w:id="378"/>
      <w:bookmarkEnd w:id="379"/>
      <w:bookmarkEnd w:id="380"/>
    </w:p>
    <w:p>
      <w:pPr>
        <w:spacing w:after="240"/>
        <w:rPr>
          <w:noProof/>
          <w:sz w:val="20"/>
          <w:szCs w:val="20"/>
          <w:lang w:eastAsia="en-GB"/>
        </w:rPr>
      </w:pPr>
      <w:r>
        <w:rPr>
          <w:noProof/>
          <w:sz w:val="20"/>
          <w:szCs w:val="20"/>
          <w:lang w:eastAsia="en-GB"/>
        </w:rPr>
        <w:t>Source: Oil Bulletin, DG Energy</w:t>
      </w:r>
    </w:p>
    <w:p>
      <w:pPr>
        <w:spacing w:after="240"/>
        <w:rPr>
          <w:noProof/>
          <w:sz w:val="20"/>
          <w:szCs w:val="20"/>
          <w:lang w:eastAsia="en-GB"/>
        </w:rPr>
      </w:pPr>
    </w:p>
    <w:p>
      <w:pPr>
        <w:rPr>
          <w:b/>
          <w:noProof/>
          <w:sz w:val="24"/>
          <w:szCs w:val="24"/>
        </w:rPr>
      </w:pPr>
      <w:r>
        <w:rPr>
          <w:b/>
          <w:noProof/>
          <w:sz w:val="24"/>
          <w:szCs w:val="24"/>
        </w:rPr>
        <w:t>Note on prices for selected alternative fuels: LPG, biofuels and electricity for transport</w:t>
      </w:r>
    </w:p>
    <w:p>
      <w:pPr>
        <w:rPr>
          <w:noProof/>
          <w:sz w:val="24"/>
          <w:szCs w:val="24"/>
        </w:rPr>
      </w:pPr>
    </w:p>
    <w:p>
      <w:pPr>
        <w:rPr>
          <w:noProof/>
        </w:rPr>
      </w:pPr>
      <w:r>
        <w:rPr>
          <w:noProof/>
          <w:sz w:val="24"/>
          <w:szCs w:val="24"/>
        </w:rPr>
        <w:t>In this note we are analysing the prices of some of the alternative fuels</w:t>
      </w:r>
      <w:r>
        <w:rPr>
          <w:noProof/>
          <w:sz w:val="24"/>
          <w:szCs w:val="24"/>
          <w:vertAlign w:val="superscript"/>
        </w:rPr>
        <w:footnoteReference w:id="7"/>
      </w:r>
      <w:r>
        <w:rPr>
          <w:noProof/>
          <w:sz w:val="24"/>
          <w:szCs w:val="24"/>
        </w:rPr>
        <w:t>: liquefied petroleum gases (LPG), biogasoline (pure or blended), biodiesel (pure or blended), other liquid biofuels, and biogases. Their use has been promoted in order to substitute non-renewable fossil fuels and their volume more than tripled since 2005. However, they still represent a small fraction of energy carriers- they represented together less than 1 percent in Gross Inland Consumption in 2005 and they are now more than 3%. The most important of alternative fuels are liquefied petroleum gases (LPG), pure biodiesels, and biogases, all representing around 30% of the total volume of alternative fuels.</w:t>
      </w:r>
      <w:r>
        <w:rPr>
          <w:noProof/>
        </w:rPr>
        <w:t xml:space="preserve"> </w:t>
      </w:r>
    </w:p>
    <w:p>
      <w:pPr>
        <w:rPr>
          <w:noProof/>
        </w:rPr>
      </w:pPr>
      <w:r>
        <w:rPr>
          <w:noProof/>
          <w:lang w:eastAsia="en-GB"/>
        </w:rPr>
        <w:drawing>
          <wp:inline distT="0" distB="0" distL="0" distR="0">
            <wp:extent cx="5742940" cy="375822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5742940" cy="3758222"/>
                    </a:xfrm>
                    <a:prstGeom prst="rect">
                      <a:avLst/>
                    </a:prstGeom>
                    <a:noFill/>
                  </pic:spPr>
                </pic:pic>
              </a:graphicData>
            </a:graphic>
          </wp:inline>
        </w:drawing>
      </w:r>
    </w:p>
    <w:p>
      <w:pPr>
        <w:pStyle w:val="Caption"/>
      </w:pPr>
      <w:bookmarkStart w:id="381" w:name="_Toc52396862"/>
      <w:r>
        <w:t xml:space="preserve">Figure </w:t>
      </w:r>
      <w:r>
        <w:fldChar w:fldCharType="begin"/>
      </w:r>
      <w:r>
        <w:instrText xml:space="preserve"> SEQ Figure \* ARABIC </w:instrText>
      </w:r>
      <w:r>
        <w:fldChar w:fldCharType="separate"/>
      </w:r>
      <w:r>
        <w:t>90</w:t>
      </w:r>
      <w:r>
        <w:fldChar w:fldCharType="end"/>
      </w:r>
      <w:r>
        <w:t xml:space="preserve"> – Gross Inland Consumption of selected alternative fuels</w:t>
      </w:r>
      <w:bookmarkEnd w:id="381"/>
    </w:p>
    <w:p>
      <w:pPr>
        <w:rPr>
          <w:noProof/>
        </w:rPr>
      </w:pPr>
      <w:r>
        <w:rPr>
          <w:noProof/>
        </w:rPr>
        <w:t>Source: Eurostat, all figures in GWh.</w:t>
      </w:r>
    </w:p>
    <w:p>
      <w:pPr>
        <w:rPr>
          <w:noProof/>
          <w:sz w:val="24"/>
          <w:szCs w:val="24"/>
        </w:rPr>
      </w:pPr>
    </w:p>
    <w:p>
      <w:pPr>
        <w:rPr>
          <w:noProof/>
          <w:sz w:val="24"/>
          <w:szCs w:val="24"/>
        </w:rPr>
      </w:pPr>
      <w:r>
        <w:rPr>
          <w:noProof/>
          <w:sz w:val="24"/>
          <w:szCs w:val="24"/>
        </w:rPr>
        <w:t>In final energy consumption (energy use), alternative fuels have a little bit bigger share, starting around 2% in 2005 and almost doubling their share by 2018.</w:t>
      </w:r>
    </w:p>
    <w:p>
      <w:pPr>
        <w:rPr>
          <w:noProof/>
        </w:rPr>
      </w:pPr>
      <w:r>
        <w:rPr>
          <w:noProof/>
          <w:lang w:eastAsia="en-GB"/>
        </w:rPr>
        <w:drawing>
          <wp:inline distT="0" distB="0" distL="0" distR="0">
            <wp:extent cx="5465049" cy="3576368"/>
            <wp:effectExtent l="0" t="0" r="254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465049" cy="3576368"/>
                    </a:xfrm>
                    <a:prstGeom prst="rect">
                      <a:avLst/>
                    </a:prstGeom>
                    <a:noFill/>
                  </pic:spPr>
                </pic:pic>
              </a:graphicData>
            </a:graphic>
          </wp:inline>
        </w:drawing>
      </w:r>
    </w:p>
    <w:p>
      <w:pPr>
        <w:pStyle w:val="Caption"/>
      </w:pPr>
      <w:bookmarkStart w:id="382" w:name="_Toc52396863"/>
      <w:r>
        <w:t xml:space="preserve">Figure </w:t>
      </w:r>
      <w:r>
        <w:fldChar w:fldCharType="begin"/>
      </w:r>
      <w:r>
        <w:instrText xml:space="preserve"> SEQ Figure \* ARABIC </w:instrText>
      </w:r>
      <w:r>
        <w:fldChar w:fldCharType="separate"/>
      </w:r>
      <w:r>
        <w:t>91</w:t>
      </w:r>
      <w:r>
        <w:fldChar w:fldCharType="end"/>
      </w:r>
      <w:r>
        <w:t xml:space="preserve"> – Total (all sectors) Final Energy Consumption of selected alternative fuels</w:t>
      </w:r>
      <w:bookmarkEnd w:id="382"/>
      <w:r>
        <w:t xml:space="preserve"> </w:t>
      </w:r>
    </w:p>
    <w:p>
      <w:pPr>
        <w:rPr>
          <w:noProof/>
        </w:rPr>
      </w:pPr>
      <w:r>
        <w:rPr>
          <w:noProof/>
        </w:rPr>
        <w:t>Source: Eurostat, all figures in GWh.</w:t>
      </w:r>
    </w:p>
    <w:p>
      <w:pPr>
        <w:rPr>
          <w:noProof/>
          <w:sz w:val="24"/>
          <w:szCs w:val="24"/>
        </w:rPr>
      </w:pPr>
      <w:r>
        <w:rPr>
          <w:noProof/>
          <w:sz w:val="24"/>
          <w:szCs w:val="24"/>
        </w:rPr>
        <w:t>There are different preferences in different final energy consumption different activities. In industry on average liquefied petrol gas (LPG) dominates with rest taken almost by biogases:</w:t>
      </w:r>
    </w:p>
    <w:p>
      <w:pPr>
        <w:rPr>
          <w:noProof/>
        </w:rPr>
      </w:pPr>
      <w:r>
        <w:rPr>
          <w:noProof/>
          <w:lang w:eastAsia="en-GB"/>
        </w:rPr>
        <w:drawing>
          <wp:inline distT="0" distB="0" distL="0" distR="0">
            <wp:extent cx="5360670" cy="3508062"/>
            <wp:effectExtent l="0" t="0" r="0" b="0"/>
            <wp:docPr id="1590563939" name="Picture 159056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5360670" cy="3508062"/>
                    </a:xfrm>
                    <a:prstGeom prst="rect">
                      <a:avLst/>
                    </a:prstGeom>
                    <a:noFill/>
                  </pic:spPr>
                </pic:pic>
              </a:graphicData>
            </a:graphic>
          </wp:inline>
        </w:drawing>
      </w:r>
      <w:r>
        <w:rPr>
          <w:noProof/>
        </w:rPr>
        <w:t xml:space="preserve"> </w:t>
      </w:r>
    </w:p>
    <w:p>
      <w:pPr>
        <w:pStyle w:val="Caption"/>
      </w:pPr>
      <w:bookmarkStart w:id="383" w:name="_Toc52396864"/>
      <w:r>
        <w:t xml:space="preserve">Figure </w:t>
      </w:r>
      <w:r>
        <w:fldChar w:fldCharType="begin"/>
      </w:r>
      <w:r>
        <w:instrText xml:space="preserve"> SEQ Figure \* ARABIC </w:instrText>
      </w:r>
      <w:r>
        <w:fldChar w:fldCharType="separate"/>
      </w:r>
      <w:r>
        <w:t>92</w:t>
      </w:r>
      <w:r>
        <w:fldChar w:fldCharType="end"/>
      </w:r>
      <w:r>
        <w:t xml:space="preserve"> – Industry’s Final Energy Consumption of selected alternative fuels</w:t>
      </w:r>
      <w:bookmarkEnd w:id="383"/>
      <w:r>
        <w:t xml:space="preserve"> </w:t>
      </w:r>
    </w:p>
    <w:p>
      <w:pPr>
        <w:rPr>
          <w:noProof/>
          <w:sz w:val="20"/>
          <w:szCs w:val="20"/>
        </w:rPr>
      </w:pPr>
      <w:r>
        <w:rPr>
          <w:noProof/>
          <w:sz w:val="20"/>
          <w:szCs w:val="20"/>
        </w:rPr>
        <w:t>Source: Eurostat, all figures in GWh.</w:t>
      </w:r>
    </w:p>
    <w:p>
      <w:pPr>
        <w:rPr>
          <w:noProof/>
          <w:sz w:val="24"/>
          <w:szCs w:val="24"/>
        </w:rPr>
      </w:pPr>
      <w:r>
        <w:rPr>
          <w:noProof/>
          <w:sz w:val="24"/>
          <w:szCs w:val="24"/>
        </w:rPr>
        <w:t>Final energy consumption of alternative fuels in transport relies on biogases, blended biodiesel and blended biogasoline.</w:t>
      </w:r>
    </w:p>
    <w:p>
      <w:pPr>
        <w:rPr>
          <w:noProof/>
        </w:rPr>
      </w:pPr>
      <w:r>
        <w:rPr>
          <w:noProof/>
          <w:lang w:eastAsia="en-GB"/>
        </w:rPr>
        <w:drawing>
          <wp:inline distT="0" distB="0" distL="0" distR="0">
            <wp:extent cx="5491480" cy="3593665"/>
            <wp:effectExtent l="0" t="0" r="0" b="6985"/>
            <wp:docPr id="1590563940" name="Picture 159056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491480" cy="3593665"/>
                    </a:xfrm>
                    <a:prstGeom prst="rect">
                      <a:avLst/>
                    </a:prstGeom>
                    <a:noFill/>
                  </pic:spPr>
                </pic:pic>
              </a:graphicData>
            </a:graphic>
          </wp:inline>
        </w:drawing>
      </w:r>
    </w:p>
    <w:p>
      <w:pPr>
        <w:pStyle w:val="Caption"/>
      </w:pPr>
      <w:bookmarkStart w:id="384" w:name="_Toc52396865"/>
      <w:r>
        <w:t xml:space="preserve">Figure </w:t>
      </w:r>
      <w:r>
        <w:fldChar w:fldCharType="begin"/>
      </w:r>
      <w:r>
        <w:instrText xml:space="preserve"> SEQ Figure \* ARABIC </w:instrText>
      </w:r>
      <w:r>
        <w:fldChar w:fldCharType="separate"/>
      </w:r>
      <w:r>
        <w:t>93</w:t>
      </w:r>
      <w:r>
        <w:fldChar w:fldCharType="end"/>
      </w:r>
      <w:r>
        <w:t xml:space="preserve"> – Transport’s Final Energy Consumption of selected alternative fuels</w:t>
      </w:r>
      <w:bookmarkEnd w:id="384"/>
      <w:r>
        <w:t xml:space="preserve"> </w:t>
      </w:r>
    </w:p>
    <w:p>
      <w:pPr>
        <w:rPr>
          <w:noProof/>
          <w:sz w:val="20"/>
          <w:szCs w:val="20"/>
        </w:rPr>
      </w:pPr>
      <w:r>
        <w:rPr>
          <w:noProof/>
          <w:sz w:val="20"/>
          <w:szCs w:val="20"/>
        </w:rPr>
        <w:t>Source: Eurostat, all figures in GWh.</w:t>
      </w:r>
    </w:p>
    <w:p>
      <w:pPr>
        <w:rPr>
          <w:noProof/>
        </w:rPr>
      </w:pPr>
    </w:p>
    <w:p>
      <w:pPr>
        <w:rPr>
          <w:noProof/>
          <w:sz w:val="24"/>
          <w:szCs w:val="24"/>
        </w:rPr>
      </w:pPr>
      <w:r>
        <w:rPr>
          <w:noProof/>
          <w:sz w:val="24"/>
          <w:szCs w:val="24"/>
        </w:rPr>
        <w:t xml:space="preserve">Households rely almost entirely on blended biodiesel in their Final energy consumption of alternative fuels (for heating and mobility) and also recently a little on biogases. </w:t>
      </w:r>
    </w:p>
    <w:p>
      <w:pPr>
        <w:rPr>
          <w:noProof/>
        </w:rPr>
      </w:pPr>
    </w:p>
    <w:p>
      <w:pPr>
        <w:rPr>
          <w:noProof/>
        </w:rPr>
      </w:pPr>
      <w:r>
        <w:rPr>
          <w:noProof/>
          <w:lang w:eastAsia="en-GB"/>
        </w:rPr>
        <w:drawing>
          <wp:inline distT="0" distB="0" distL="0" distR="0">
            <wp:extent cx="5771515" cy="3776922"/>
            <wp:effectExtent l="0" t="0" r="635" b="0"/>
            <wp:docPr id="1590563941" name="Picture 159056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5771515" cy="3776922"/>
                    </a:xfrm>
                    <a:prstGeom prst="rect">
                      <a:avLst/>
                    </a:prstGeom>
                    <a:noFill/>
                  </pic:spPr>
                </pic:pic>
              </a:graphicData>
            </a:graphic>
          </wp:inline>
        </w:drawing>
      </w:r>
    </w:p>
    <w:p>
      <w:pPr>
        <w:pStyle w:val="Caption"/>
      </w:pPr>
      <w:bookmarkStart w:id="385" w:name="_Toc52396866"/>
      <w:r>
        <w:t xml:space="preserve">Figure </w:t>
      </w:r>
      <w:r>
        <w:fldChar w:fldCharType="begin"/>
      </w:r>
      <w:r>
        <w:instrText xml:space="preserve"> SEQ Figure \* ARABIC </w:instrText>
      </w:r>
      <w:r>
        <w:fldChar w:fldCharType="separate"/>
      </w:r>
      <w:r>
        <w:t>94</w:t>
      </w:r>
      <w:r>
        <w:fldChar w:fldCharType="end"/>
      </w:r>
      <w:r>
        <w:t xml:space="preserve"> – Household’s (and other sectors) Final Energy Consumption of selected alternative fuels</w:t>
      </w:r>
      <w:bookmarkEnd w:id="385"/>
      <w:r>
        <w:t xml:space="preserve"> </w:t>
      </w:r>
    </w:p>
    <w:p>
      <w:pPr>
        <w:rPr>
          <w:noProof/>
          <w:sz w:val="20"/>
          <w:szCs w:val="20"/>
        </w:rPr>
      </w:pPr>
      <w:r>
        <w:rPr>
          <w:noProof/>
          <w:sz w:val="20"/>
          <w:szCs w:val="20"/>
        </w:rPr>
        <w:t>Source: Eurostat, all figures in GWh.</w:t>
      </w:r>
    </w:p>
    <w:p>
      <w:pPr>
        <w:rPr>
          <w:noProof/>
        </w:rPr>
      </w:pPr>
    </w:p>
    <w:p>
      <w:pPr>
        <w:rPr>
          <w:b/>
          <w:i/>
          <w:noProof/>
          <w:sz w:val="24"/>
          <w:szCs w:val="24"/>
        </w:rPr>
      </w:pPr>
      <w:r>
        <w:rPr>
          <w:b/>
          <w:i/>
          <w:noProof/>
          <w:sz w:val="24"/>
          <w:szCs w:val="24"/>
        </w:rPr>
        <w:t>Prices of alternative fuels</w:t>
      </w:r>
    </w:p>
    <w:p>
      <w:pPr>
        <w:rPr>
          <w:noProof/>
          <w:sz w:val="24"/>
          <w:szCs w:val="24"/>
        </w:rPr>
      </w:pPr>
      <w:r>
        <w:rPr>
          <w:noProof/>
          <w:sz w:val="24"/>
          <w:szCs w:val="24"/>
        </w:rPr>
        <w:t xml:space="preserve">Alternative fuels have followed generally the dynamic of prices of fossil fuels. </w:t>
      </w:r>
    </w:p>
    <w:p>
      <w:pPr>
        <w:rPr>
          <w:noProof/>
          <w:sz w:val="24"/>
          <w:szCs w:val="24"/>
        </w:rPr>
      </w:pPr>
      <w:r>
        <w:rPr>
          <w:noProof/>
          <w:sz w:val="24"/>
          <w:szCs w:val="24"/>
        </w:rPr>
        <w:t>For ethanol, prices in EU (Roterdam Barge) are highest due to the fact that EU does not produce enough of it and has to import it. The lowest price are those in Brasil, a global leader in production of ethanol.</w:t>
      </w:r>
    </w:p>
    <w:p>
      <w:pPr>
        <w:rPr>
          <w:noProof/>
        </w:rPr>
      </w:pPr>
      <w:r>
        <w:rPr>
          <w:noProof/>
          <w:lang w:eastAsia="en-GB"/>
        </w:rPr>
        <w:drawing>
          <wp:inline distT="0" distB="0" distL="0" distR="0">
            <wp:extent cx="5975350" cy="3542801"/>
            <wp:effectExtent l="0" t="0" r="6350" b="635"/>
            <wp:docPr id="1590563942" name="Picture 159056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83458" cy="3547608"/>
                    </a:xfrm>
                    <a:prstGeom prst="rect">
                      <a:avLst/>
                    </a:prstGeom>
                    <a:noFill/>
                  </pic:spPr>
                </pic:pic>
              </a:graphicData>
            </a:graphic>
          </wp:inline>
        </w:drawing>
      </w:r>
    </w:p>
    <w:p>
      <w:pPr>
        <w:pStyle w:val="Caption"/>
      </w:pPr>
      <w:bookmarkStart w:id="386" w:name="_Toc52396867"/>
      <w:r>
        <w:t xml:space="preserve">Figure </w:t>
      </w:r>
      <w:r>
        <w:fldChar w:fldCharType="begin"/>
      </w:r>
      <w:r>
        <w:instrText xml:space="preserve"> SEQ Figure \* ARABIC </w:instrText>
      </w:r>
      <w:r>
        <w:fldChar w:fldCharType="separate"/>
      </w:r>
      <w:r>
        <w:t>95</w:t>
      </w:r>
      <w:r>
        <w:fldChar w:fldCharType="end"/>
      </w:r>
      <w:r>
        <w:t xml:space="preserve"> - International comparison of prices of ethanol</w:t>
      </w:r>
      <w:bookmarkEnd w:id="386"/>
    </w:p>
    <w:p>
      <w:pPr>
        <w:pStyle w:val="Caption"/>
      </w:pPr>
    </w:p>
    <w:p>
      <w:pPr>
        <w:rPr>
          <w:noProof/>
          <w:sz w:val="20"/>
          <w:szCs w:val="20"/>
        </w:rPr>
      </w:pPr>
      <w:r>
        <w:rPr>
          <w:noProof/>
          <w:sz w:val="20"/>
          <w:szCs w:val="20"/>
        </w:rPr>
        <w:t>Source: Platts, Bloomberg, Trinomics (2020)</w:t>
      </w:r>
    </w:p>
    <w:p>
      <w:pPr>
        <w:rPr>
          <w:noProof/>
          <w:sz w:val="24"/>
          <w:szCs w:val="24"/>
        </w:rPr>
      </w:pPr>
    </w:p>
    <w:p>
      <w:pPr>
        <w:rPr>
          <w:noProof/>
          <w:sz w:val="24"/>
          <w:szCs w:val="24"/>
        </w:rPr>
      </w:pPr>
      <w:r>
        <w:rPr>
          <w:noProof/>
          <w:sz w:val="24"/>
          <w:szCs w:val="24"/>
        </w:rPr>
        <w:t>In biodiesel, wholesale prices in EU are similar to those in US, because both are importing than producing biodiesel, from countries like Argentina.</w:t>
      </w:r>
    </w:p>
    <w:p>
      <w:pPr>
        <w:rPr>
          <w:noProof/>
        </w:rPr>
      </w:pPr>
      <w:r>
        <w:rPr>
          <w:noProof/>
          <w:lang w:eastAsia="en-GB"/>
        </w:rPr>
        <w:drawing>
          <wp:inline distT="0" distB="0" distL="0" distR="0">
            <wp:extent cx="5982335" cy="3498041"/>
            <wp:effectExtent l="0" t="0" r="0" b="7620"/>
            <wp:docPr id="1590563943" name="Picture 159056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94878" cy="3505375"/>
                    </a:xfrm>
                    <a:prstGeom prst="rect">
                      <a:avLst/>
                    </a:prstGeom>
                    <a:noFill/>
                  </pic:spPr>
                </pic:pic>
              </a:graphicData>
            </a:graphic>
          </wp:inline>
        </w:drawing>
      </w:r>
    </w:p>
    <w:p>
      <w:pPr>
        <w:pStyle w:val="Caption"/>
      </w:pPr>
      <w:bookmarkStart w:id="387" w:name="_Toc52396868"/>
      <w:r>
        <w:t xml:space="preserve">Figure </w:t>
      </w:r>
      <w:r>
        <w:fldChar w:fldCharType="begin"/>
      </w:r>
      <w:r>
        <w:instrText xml:space="preserve"> SEQ Figure \* ARABIC </w:instrText>
      </w:r>
      <w:r>
        <w:fldChar w:fldCharType="separate"/>
      </w:r>
      <w:r>
        <w:t>96</w:t>
      </w:r>
      <w:r>
        <w:fldChar w:fldCharType="end"/>
      </w:r>
      <w:r>
        <w:t xml:space="preserve"> - International comparison of wholesale prices of biodiesel</w:t>
      </w:r>
      <w:bookmarkEnd w:id="387"/>
    </w:p>
    <w:p>
      <w:pPr>
        <w:rPr>
          <w:noProof/>
        </w:rPr>
      </w:pPr>
      <w:r>
        <w:rPr>
          <w:noProof/>
        </w:rPr>
        <w:t>Source: Platts, Bloomberg, Trinomics (2020)</w:t>
      </w:r>
    </w:p>
    <w:p>
      <w:pPr>
        <w:rPr>
          <w:noProof/>
          <w:sz w:val="24"/>
          <w:szCs w:val="24"/>
        </w:rPr>
      </w:pPr>
    </w:p>
    <w:p>
      <w:pPr>
        <w:rPr>
          <w:noProof/>
          <w:sz w:val="24"/>
          <w:szCs w:val="24"/>
        </w:rPr>
      </w:pPr>
      <w:r>
        <w:rPr>
          <w:noProof/>
          <w:sz w:val="24"/>
          <w:szCs w:val="24"/>
        </w:rPr>
        <w:t>For LPG, EU average retail prices including taxes have moved up and down within a relatively small range since 2008. Excluding taxes, it is possible to find that price trends mirror this price decline.</w:t>
      </w:r>
    </w:p>
    <w:p>
      <w:pPr>
        <w:rPr>
          <w:noProof/>
          <w:sz w:val="24"/>
          <w:szCs w:val="24"/>
        </w:rPr>
      </w:pPr>
    </w:p>
    <w:p>
      <w:pPr>
        <w:keepNext/>
        <w:rPr>
          <w:noProof/>
        </w:rPr>
      </w:pPr>
      <w:r>
        <w:rPr>
          <w:noProof/>
          <w:lang w:eastAsia="en-GB"/>
        </w:rPr>
        <w:drawing>
          <wp:inline distT="0" distB="0" distL="0" distR="0">
            <wp:extent cx="5759450" cy="2305953"/>
            <wp:effectExtent l="0" t="0" r="0" b="0"/>
            <wp:docPr id="147262428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rotWithShape="1">
                    <a:blip r:embed="rId55" cstate="print">
                      <a:extLst>
                        <a:ext uri="{28A0092B-C50C-407E-A947-70E740481C1C}">
                          <a14:useLocalDpi xmlns:a14="http://schemas.microsoft.com/office/drawing/2010/main" val="0"/>
                        </a:ext>
                      </a:extLst>
                    </a:blip>
                    <a:srcRect t="2750"/>
                    <a:stretch/>
                  </pic:blipFill>
                  <pic:spPr bwMode="auto">
                    <a:xfrm>
                      <a:off x="0" y="0"/>
                      <a:ext cx="5759450" cy="2305953"/>
                    </a:xfrm>
                    <a:prstGeom prst="rect">
                      <a:avLst/>
                    </a:prstGeom>
                    <a:ln>
                      <a:noFill/>
                    </a:ln>
                    <a:extLst>
                      <a:ext uri="{53640926-AAD7-44D8-BBD7-CCE9431645EC}">
                        <a14:shadowObscured xmlns:a14="http://schemas.microsoft.com/office/drawing/2010/main"/>
                      </a:ext>
                    </a:extLst>
                  </pic:spPr>
                </pic:pic>
              </a:graphicData>
            </a:graphic>
          </wp:inline>
        </w:drawing>
      </w:r>
    </w:p>
    <w:p>
      <w:pPr>
        <w:pStyle w:val="Caption"/>
      </w:pPr>
      <w:bookmarkStart w:id="388" w:name="_Toc52396869"/>
      <w:r>
        <w:t xml:space="preserve">Figure </w:t>
      </w:r>
      <w:r>
        <w:fldChar w:fldCharType="begin"/>
      </w:r>
      <w:r>
        <w:instrText xml:space="preserve"> SEQ Figure \* ARABIC </w:instrText>
      </w:r>
      <w:r>
        <w:fldChar w:fldCharType="separate"/>
      </w:r>
      <w:r>
        <w:t>97</w:t>
      </w:r>
      <w:r>
        <w:fldChar w:fldCharType="end"/>
      </w:r>
      <w:r>
        <w:t xml:space="preserve"> – International comparison of retail prices of LPG</w:t>
      </w:r>
      <w:bookmarkEnd w:id="388"/>
    </w:p>
    <w:p>
      <w:pPr>
        <w:rPr>
          <w:noProof/>
        </w:rPr>
      </w:pPr>
      <w:r>
        <w:rPr>
          <w:noProof/>
        </w:rPr>
        <w:t>Source: EU Oil Bulletin, IEA, US AFDA, Trinomics (2020)</w:t>
      </w:r>
    </w:p>
    <w:p>
      <w:pPr>
        <w:rPr>
          <w:noProof/>
        </w:rPr>
      </w:pPr>
    </w:p>
    <w:p>
      <w:pPr>
        <w:rPr>
          <w:b/>
          <w:i/>
          <w:noProof/>
          <w:sz w:val="24"/>
          <w:szCs w:val="24"/>
        </w:rPr>
      </w:pPr>
      <w:r>
        <w:rPr>
          <w:b/>
          <w:i/>
          <w:noProof/>
          <w:sz w:val="24"/>
          <w:szCs w:val="24"/>
        </w:rPr>
        <w:t>Biogases in electricity and heat generation and blending with natural gas</w:t>
      </w:r>
    </w:p>
    <w:p>
      <w:pPr>
        <w:rPr>
          <w:noProof/>
          <w:sz w:val="24"/>
          <w:szCs w:val="24"/>
        </w:rPr>
      </w:pPr>
    </w:p>
    <w:p>
      <w:pPr>
        <w:rPr>
          <w:noProof/>
          <w:sz w:val="24"/>
          <w:szCs w:val="24"/>
        </w:rPr>
      </w:pPr>
      <w:r>
        <w:rPr>
          <w:noProof/>
          <w:sz w:val="24"/>
          <w:szCs w:val="24"/>
        </w:rPr>
        <w:t xml:space="preserve">In 2018 the total indigenous biogas production amounted to more than 580 thousand TJ (approximately 161 TWh). Out of this, the share of ‘other gases from anaerobic fermentation was 82%, amounting to 131 TWh. The share of landfilled gas was around 9% (15 TWh), while that of sewage sludge gas was 8% (13 TWh). The remaining 1% was represented by biogases from thermal processes, with less than 2 TWh volume. In 2019, according to preliminary Eurostat data, the total biogas production increased further and reached 590 thousand TJ (164 TWh). The biggest biogas producer in the EU was Germany (producing around 55% of the total EU production in 2018, around 90 TWh of biogas), followed by Italy (13%, around 21 TWh) and France (7%, 11 TWh). </w:t>
      </w:r>
    </w:p>
    <w:p>
      <w:pPr>
        <w:rPr>
          <w:noProof/>
          <w:sz w:val="24"/>
          <w:szCs w:val="24"/>
        </w:rPr>
      </w:pPr>
    </w:p>
    <w:p>
      <w:pPr>
        <w:rPr>
          <w:noProof/>
          <w:sz w:val="24"/>
          <w:szCs w:val="24"/>
        </w:rPr>
      </w:pPr>
      <w:r>
        <w:rPr>
          <w:noProof/>
          <w:sz w:val="24"/>
          <w:szCs w:val="24"/>
        </w:rPr>
        <w:t>As the next chart shows, over the last decade there was a dynamic increase in biogas production in the EU, reaching more than 160 TWh in 2018, whereas ten years earlier the total amount of produced biogas was barely 60 TWh. In 2018 around 81% of the biogas consumed were used for energy purposes, while 18% was used for other industrial purposes (and distribution losses accounted for 1%). Around 75% (121 TWh) was used in electricity and heat generation as fuel, while around 2.5% (4 TWh) was injected in the gas grids for blending natural gas.</w:t>
      </w:r>
    </w:p>
    <w:p>
      <w:pPr>
        <w:rPr>
          <w:noProof/>
        </w:rPr>
      </w:pPr>
    </w:p>
    <w:p>
      <w:pPr>
        <w:rPr>
          <w:noProof/>
        </w:rPr>
      </w:pPr>
      <w:r>
        <w:rPr>
          <w:noProof/>
          <w:lang w:eastAsia="en-GB"/>
        </w:rPr>
        <w:drawing>
          <wp:inline distT="0" distB="0" distL="0" distR="0">
            <wp:extent cx="5731510" cy="3632200"/>
            <wp:effectExtent l="0" t="0" r="2540" b="6350"/>
            <wp:docPr id="1590563944" name="Chart 15905639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pPr>
        <w:rPr>
          <w:noProof/>
        </w:rPr>
      </w:pPr>
    </w:p>
    <w:p>
      <w:pPr>
        <w:pStyle w:val="Caption"/>
      </w:pPr>
      <w:bookmarkStart w:id="389" w:name="_Toc52396870"/>
      <w:r>
        <w:t xml:space="preserve">Figure </w:t>
      </w:r>
      <w:r>
        <w:fldChar w:fldCharType="begin"/>
      </w:r>
      <w:r>
        <w:instrText xml:space="preserve"> SEQ Figure \* ARABIC </w:instrText>
      </w:r>
      <w:r>
        <w:fldChar w:fldCharType="separate"/>
      </w:r>
      <w:r>
        <w:t>98</w:t>
      </w:r>
      <w:r>
        <w:fldChar w:fldCharType="end"/>
      </w:r>
      <w:r>
        <w:t xml:space="preserve"> - Biogas in electricity and heat generation and biogas blending for natural gas</w:t>
      </w:r>
      <w:bookmarkEnd w:id="389"/>
    </w:p>
    <w:p>
      <w:pPr>
        <w:rPr>
          <w:noProof/>
          <w:sz w:val="20"/>
          <w:szCs w:val="20"/>
        </w:rPr>
      </w:pPr>
      <w:r>
        <w:rPr>
          <w:noProof/>
          <w:sz w:val="20"/>
          <w:szCs w:val="20"/>
        </w:rPr>
        <w:t xml:space="preserve"> Source: Eurostat, DG ENER Calculation</w:t>
      </w:r>
    </w:p>
    <w:p>
      <w:pPr>
        <w:rPr>
          <w:noProof/>
        </w:rPr>
      </w:pPr>
    </w:p>
    <w:p>
      <w:pPr>
        <w:rPr>
          <w:b/>
          <w:i/>
          <w:noProof/>
          <w:sz w:val="24"/>
          <w:szCs w:val="24"/>
        </w:rPr>
      </w:pPr>
      <w:r>
        <w:rPr>
          <w:b/>
          <w:i/>
          <w:noProof/>
          <w:sz w:val="24"/>
          <w:szCs w:val="24"/>
        </w:rPr>
        <w:t>Prices of electric mobility</w:t>
      </w:r>
    </w:p>
    <w:p>
      <w:pPr>
        <w:rPr>
          <w:noProof/>
          <w:sz w:val="24"/>
          <w:szCs w:val="24"/>
        </w:rPr>
      </w:pPr>
      <w:r>
        <w:rPr>
          <w:noProof/>
          <w:sz w:val="24"/>
          <w:szCs w:val="24"/>
        </w:rPr>
        <w:t xml:space="preserve">EV users’ preferences for charging location depends on a range of factors, such as access to a driveway at home, availability of public charging infrastructure, the pricing applied by operators, and driving habits. Charging at home is the most popular option. Prices paid for charging EVs essentially mirror regular electricity tariffs for private households. A survey of 12 European countries revealed that off-peak tariffs are available in most of them, although the uptake tends to be low in some cases. As of August 2020, dedicated EV tariffs were available only in Spain, France and the UK. In terms of the price differential between the average regular tariff and the average off-peak tariff, a substantial variation across markets can be observed. As shown in the Figure below, off-peak electricity prices for households (in €/MWh) could be over 40% lower compared to the average price. Countries with the highest difference include Australia, France, Spain and the UK. </w:t>
      </w:r>
    </w:p>
    <w:p>
      <w:pPr>
        <w:rPr>
          <w:noProof/>
        </w:rPr>
      </w:pPr>
      <w:r>
        <w:rPr>
          <w:noProof/>
          <w:lang w:eastAsia="en-GB"/>
        </w:rPr>
        <w:drawing>
          <wp:inline distT="0" distB="0" distL="0" distR="0">
            <wp:extent cx="5388964" cy="2652144"/>
            <wp:effectExtent l="0" t="0" r="2540" b="0"/>
            <wp:docPr id="663799849" name="Picture 149109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095083"/>
                    <pic:cNvPicPr/>
                  </pic:nvPicPr>
                  <pic:blipFill rotWithShape="1">
                    <a:blip r:embed="rId57">
                      <a:extLst>
                        <a:ext uri="{28A0092B-C50C-407E-A947-70E740481C1C}">
                          <a14:useLocalDpi xmlns:a14="http://schemas.microsoft.com/office/drawing/2010/main" val="0"/>
                        </a:ext>
                      </a:extLst>
                    </a:blip>
                    <a:srcRect l="2511" t="2891" r="1491" b="2955"/>
                    <a:stretch/>
                  </pic:blipFill>
                  <pic:spPr bwMode="auto">
                    <a:xfrm>
                      <a:off x="0" y="0"/>
                      <a:ext cx="5400940" cy="2658038"/>
                    </a:xfrm>
                    <a:prstGeom prst="rect">
                      <a:avLst/>
                    </a:prstGeom>
                    <a:ln>
                      <a:noFill/>
                    </a:ln>
                    <a:extLst>
                      <a:ext uri="{53640926-AAD7-44D8-BBD7-CCE9431645EC}">
                        <a14:shadowObscured xmlns:a14="http://schemas.microsoft.com/office/drawing/2010/main"/>
                      </a:ext>
                    </a:extLst>
                  </pic:spPr>
                </pic:pic>
              </a:graphicData>
            </a:graphic>
          </wp:inline>
        </w:drawing>
      </w:r>
    </w:p>
    <w:p>
      <w:pPr>
        <w:pStyle w:val="Caption"/>
      </w:pPr>
      <w:bookmarkStart w:id="390" w:name="_Toc52396871"/>
      <w:r>
        <w:t xml:space="preserve">Figure </w:t>
      </w:r>
      <w:r>
        <w:fldChar w:fldCharType="begin"/>
      </w:r>
      <w:r>
        <w:instrText xml:space="preserve"> SEQ Figure \* ARABIC </w:instrText>
      </w:r>
      <w:r>
        <w:fldChar w:fldCharType="separate"/>
      </w:r>
      <w:r>
        <w:t>99</w:t>
      </w:r>
      <w:r>
        <w:fldChar w:fldCharType="end"/>
      </w:r>
      <w:r>
        <w:t>: Electricity prices for households in €/MWh (2019)</w:t>
      </w:r>
      <w:bookmarkEnd w:id="390"/>
    </w:p>
    <w:p>
      <w:pPr>
        <w:rPr>
          <w:noProof/>
          <w:sz w:val="20"/>
          <w:szCs w:val="20"/>
        </w:rPr>
      </w:pPr>
      <w:r>
        <w:rPr>
          <w:noProof/>
          <w:sz w:val="20"/>
          <w:szCs w:val="20"/>
        </w:rPr>
        <w:t>Source: Trinomics (2020)</w:t>
      </w:r>
    </w:p>
    <w:p>
      <w:pPr>
        <w:rPr>
          <w:b/>
          <w:noProof/>
          <w:color w:val="005862"/>
        </w:rPr>
      </w:pPr>
    </w:p>
    <w:p>
      <w:pPr>
        <w:rPr>
          <w:noProof/>
          <w:sz w:val="24"/>
          <w:szCs w:val="24"/>
        </w:rPr>
      </w:pPr>
      <w:r>
        <w:rPr>
          <w:noProof/>
          <w:sz w:val="24"/>
          <w:szCs w:val="24"/>
        </w:rPr>
        <w:t>At public charging stations, tariffs vary according to charging capacity (which affects the speed of charge), type of batteries served, and loyalty programme discounts. Most of the time, charging prices vary between 200 and 450 €/MWh, while they can reach 800 €/MWh at the higher end. Public charging tends to be more expensive than home charging and the variation in prices between countries to a large extent mirrors the variation in home charging prices. Besides the price for the commodity, EV owners have also to subscribe (with a fee) to be able to use public charging stations. Recently announced investigations by Dutch and German competition authorities into the prices and practices of EV charging stations suggest a lack of transparency and fair treatment, which could hold back the uptake of green mobility solutions.</w:t>
      </w:r>
      <w:r>
        <w:rPr>
          <w:rStyle w:val="FootnoteReference"/>
          <w:noProof/>
          <w:sz w:val="24"/>
          <w:szCs w:val="24"/>
        </w:rPr>
        <w:footnoteReference w:id="8"/>
      </w:r>
      <w:r>
        <w:rPr>
          <w:noProof/>
          <w:sz w:val="24"/>
          <w:szCs w:val="24"/>
        </w:rPr>
        <w:t xml:space="preserve"> The available price data suggests public charging prices of €150-€250/MWh in China, the United States and Japan, which compares to €200-€500/MWh observed in the Austria, Spain, France, Germany and Netherlands. The differences are similar to that observed for household electricity prices. See Figure below.</w:t>
      </w:r>
    </w:p>
    <w:p>
      <w:pPr>
        <w:rPr>
          <w:noProof/>
        </w:rPr>
      </w:pPr>
    </w:p>
    <w:p>
      <w:pPr>
        <w:rPr>
          <w:noProof/>
        </w:rPr>
      </w:pPr>
      <w:r>
        <w:rPr>
          <w:noProof/>
          <w:lang w:eastAsia="en-GB"/>
        </w:rPr>
        <w:drawing>
          <wp:inline distT="0" distB="0" distL="0" distR="0">
            <wp:extent cx="5833533" cy="4164170"/>
            <wp:effectExtent l="0" t="0" r="0" b="8255"/>
            <wp:docPr id="931307318" name="Picture 1457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5608"/>
                    <pic:cNvPicPr/>
                  </pic:nvPicPr>
                  <pic:blipFill rotWithShape="1">
                    <a:blip r:embed="rId58">
                      <a:extLst>
                        <a:ext uri="{28A0092B-C50C-407E-A947-70E740481C1C}">
                          <a14:useLocalDpi xmlns:a14="http://schemas.microsoft.com/office/drawing/2010/main" val="0"/>
                        </a:ext>
                      </a:extLst>
                    </a:blip>
                    <a:srcRect l="594" b="1743"/>
                    <a:stretch/>
                  </pic:blipFill>
                  <pic:spPr bwMode="auto">
                    <a:xfrm>
                      <a:off x="0" y="0"/>
                      <a:ext cx="5845455" cy="4172680"/>
                    </a:xfrm>
                    <a:prstGeom prst="rect">
                      <a:avLst/>
                    </a:prstGeom>
                    <a:ln>
                      <a:noFill/>
                    </a:ln>
                    <a:extLst>
                      <a:ext uri="{53640926-AAD7-44D8-BBD7-CCE9431645EC}">
                        <a14:shadowObscured xmlns:a14="http://schemas.microsoft.com/office/drawing/2010/main"/>
                      </a:ext>
                    </a:extLst>
                  </pic:spPr>
                </pic:pic>
              </a:graphicData>
            </a:graphic>
          </wp:inline>
        </w:drawing>
      </w:r>
    </w:p>
    <w:p>
      <w:pPr>
        <w:rPr>
          <w:i/>
          <w:iCs/>
          <w:noProof/>
          <w:sz w:val="16"/>
          <w:szCs w:val="20"/>
        </w:rPr>
      </w:pPr>
      <w:r>
        <w:rPr>
          <w:i/>
          <w:iCs/>
          <w:noProof/>
          <w:sz w:val="16"/>
          <w:szCs w:val="20"/>
        </w:rPr>
        <w:t>Note: the dots represent outliers in the distribution</w:t>
      </w:r>
    </w:p>
    <w:p>
      <w:pPr>
        <w:pStyle w:val="Caption"/>
      </w:pPr>
      <w:bookmarkStart w:id="391" w:name="_Ref50735711"/>
      <w:bookmarkStart w:id="392" w:name="_Toc52396872"/>
      <w:r>
        <w:t xml:space="preserve">Figure </w:t>
      </w:r>
      <w:r>
        <w:fldChar w:fldCharType="begin"/>
      </w:r>
      <w:r>
        <w:instrText xml:space="preserve"> SEQ Figure \* ARABIC </w:instrText>
      </w:r>
      <w:r>
        <w:fldChar w:fldCharType="separate"/>
      </w:r>
      <w:r>
        <w:t>100</w:t>
      </w:r>
      <w:r>
        <w:fldChar w:fldCharType="end"/>
      </w:r>
      <w:bookmarkEnd w:id="391"/>
      <w:r>
        <w:t xml:space="preserve"> - Representative sample of EV public charging prices in €/MWh</w:t>
      </w:r>
      <w:bookmarkEnd w:id="392"/>
    </w:p>
    <w:p>
      <w:pPr>
        <w:rPr>
          <w:noProof/>
          <w:sz w:val="20"/>
          <w:szCs w:val="20"/>
        </w:rPr>
      </w:pPr>
      <w:r>
        <w:rPr>
          <w:noProof/>
          <w:sz w:val="20"/>
          <w:szCs w:val="20"/>
        </w:rPr>
        <w:t>Source: Trinomics (2020)</w:t>
      </w:r>
    </w:p>
    <w:p>
      <w:pPr>
        <w:rPr>
          <w:noProof/>
          <w:sz w:val="24"/>
          <w:szCs w:val="24"/>
        </w:rPr>
      </w:pPr>
      <w:r>
        <w:rPr>
          <w:noProof/>
          <w:sz w:val="24"/>
          <w:szCs w:val="24"/>
        </w:rPr>
        <w:t xml:space="preserve">The US-based EV maker Tesla has developed and operates its own charging network which includes fast and superfast charging points. The network currently counts around 13 000 charging points in more than 20 European countries. Given the homogenous charging specifications and conditions, it is possible to compare the charging prices to gauge differences between countries. </w:t>
      </w:r>
      <w:r>
        <w:rPr>
          <w:b/>
          <w:noProof/>
          <w:sz w:val="24"/>
          <w:szCs w:val="24"/>
        </w:rPr>
        <w:fldChar w:fldCharType="begin"/>
      </w:r>
      <w:r>
        <w:rPr>
          <w:b/>
          <w:noProof/>
          <w:sz w:val="24"/>
          <w:szCs w:val="24"/>
        </w:rPr>
        <w:instrText xml:space="preserve"> REF _Ref50735734 \h  \* MERGEFORMAT </w:instrText>
      </w:r>
      <w:r>
        <w:rPr>
          <w:b/>
          <w:noProof/>
          <w:sz w:val="24"/>
          <w:szCs w:val="24"/>
        </w:rPr>
      </w:r>
      <w:r>
        <w:rPr>
          <w:b/>
          <w:noProof/>
          <w:sz w:val="24"/>
          <w:szCs w:val="24"/>
        </w:rPr>
        <w:fldChar w:fldCharType="separate"/>
      </w:r>
      <w:r>
        <w:rPr>
          <w:b/>
          <w:noProof/>
          <w:sz w:val="24"/>
          <w:szCs w:val="24"/>
        </w:rPr>
        <w:t>Figure 101</w:t>
      </w:r>
      <w:r>
        <w:rPr>
          <w:b/>
          <w:noProof/>
          <w:sz w:val="24"/>
          <w:szCs w:val="24"/>
        </w:rPr>
        <w:fldChar w:fldCharType="end"/>
      </w:r>
      <w:r>
        <w:rPr>
          <w:b/>
          <w:noProof/>
          <w:sz w:val="24"/>
          <w:szCs w:val="24"/>
        </w:rPr>
        <w:t xml:space="preserve"> </w:t>
      </w:r>
      <w:r>
        <w:rPr>
          <w:noProof/>
          <w:sz w:val="24"/>
          <w:szCs w:val="24"/>
        </w:rPr>
        <w:t>provides an overview of prices charged by Tesla in different countries. It is interesting to note that in most European countries, Tesla’s prices are at the lower end of the band of offers available to EV owners, which is visible especially in France and Norway.</w:t>
      </w:r>
    </w:p>
    <w:p>
      <w:pPr>
        <w:rPr>
          <w:noProof/>
          <w:highlight w:val="yellow"/>
        </w:rPr>
      </w:pPr>
    </w:p>
    <w:p>
      <w:pPr>
        <w:rPr>
          <w:i/>
          <w:iCs/>
          <w:noProof/>
        </w:rPr>
      </w:pPr>
      <w:r>
        <w:rPr>
          <w:i/>
          <w:iCs/>
          <w:noProof/>
          <w:lang w:eastAsia="en-GB"/>
        </w:rPr>
        <w:drawing>
          <wp:inline distT="0" distB="0" distL="0" distR="0">
            <wp:extent cx="5858933" cy="2845195"/>
            <wp:effectExtent l="0" t="0" r="8890" b="0"/>
            <wp:docPr id="583419185" name="Picture 2096377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377868"/>
                    <pic:cNvPicPr/>
                  </pic:nvPicPr>
                  <pic:blipFill rotWithShape="1">
                    <a:blip r:embed="rId59">
                      <a:extLst>
                        <a:ext uri="{28A0092B-C50C-407E-A947-70E740481C1C}">
                          <a14:useLocalDpi xmlns:a14="http://schemas.microsoft.com/office/drawing/2010/main" val="0"/>
                        </a:ext>
                      </a:extLst>
                    </a:blip>
                    <a:srcRect l="1489" t="1528" r="1532" b="1870"/>
                    <a:stretch/>
                  </pic:blipFill>
                  <pic:spPr bwMode="auto">
                    <a:xfrm>
                      <a:off x="0" y="0"/>
                      <a:ext cx="5869900" cy="2850521"/>
                    </a:xfrm>
                    <a:prstGeom prst="rect">
                      <a:avLst/>
                    </a:prstGeom>
                    <a:ln>
                      <a:noFill/>
                    </a:ln>
                    <a:extLst>
                      <a:ext uri="{53640926-AAD7-44D8-BBD7-CCE9431645EC}">
                        <a14:shadowObscured xmlns:a14="http://schemas.microsoft.com/office/drawing/2010/main"/>
                      </a:ext>
                    </a:extLst>
                  </pic:spPr>
                </pic:pic>
              </a:graphicData>
            </a:graphic>
          </wp:inline>
        </w:drawing>
      </w:r>
    </w:p>
    <w:p>
      <w:pPr>
        <w:rPr>
          <w:noProof/>
        </w:rPr>
      </w:pPr>
    </w:p>
    <w:p>
      <w:pPr>
        <w:pStyle w:val="Caption"/>
      </w:pPr>
      <w:bookmarkStart w:id="393" w:name="_Ref50735734"/>
      <w:bookmarkStart w:id="394" w:name="_Toc52396873"/>
      <w:r>
        <w:t xml:space="preserve">Figure </w:t>
      </w:r>
      <w:r>
        <w:fldChar w:fldCharType="begin"/>
      </w:r>
      <w:r>
        <w:instrText xml:space="preserve"> SEQ Figure \* ARABIC </w:instrText>
      </w:r>
      <w:r>
        <w:fldChar w:fldCharType="separate"/>
      </w:r>
      <w:r>
        <w:t>101</w:t>
      </w:r>
      <w:r>
        <w:fldChar w:fldCharType="end"/>
      </w:r>
      <w:bookmarkEnd w:id="393"/>
      <w:r>
        <w:t xml:space="preserve"> - EV fast and superfast public charging prices in Tesla network (€/MWh).</w:t>
      </w:r>
      <w:bookmarkEnd w:id="394"/>
    </w:p>
    <w:p>
      <w:pPr>
        <w:spacing w:after="240"/>
        <w:rPr>
          <w:noProof/>
          <w:sz w:val="20"/>
          <w:szCs w:val="20"/>
          <w:lang w:eastAsia="en-GB"/>
        </w:rPr>
      </w:pPr>
      <w:r>
        <w:rPr>
          <w:noProof/>
          <w:sz w:val="20"/>
          <w:szCs w:val="20"/>
          <w:lang w:eastAsia="en-GB"/>
        </w:rPr>
        <w:t>Source: Trinomics (2020)</w:t>
      </w:r>
    </w:p>
    <w:p>
      <w:pPr>
        <w:pStyle w:val="ListParagraph"/>
        <w:numPr>
          <w:ilvl w:val="0"/>
          <w:numId w:val="46"/>
        </w:numPr>
        <w:spacing w:after="200"/>
        <w:rPr>
          <w:noProof/>
          <w:sz w:val="24"/>
          <w:szCs w:val="24"/>
        </w:rPr>
      </w:pPr>
      <w:r>
        <w:rPr>
          <w:noProof/>
          <w:sz w:val="24"/>
          <w:szCs w:val="24"/>
        </w:rPr>
        <w:t>As a conclusion, it can be observed that both home and public charging prices tend to be higher in Europe (€200-€500/MWh) than in the main international G20 partners (€150-€250/MWh). However, superfast public charging prices in Europe tend to be comparable to the rest of G20 countries (€200-€400/MWh).</w:t>
      </w:r>
    </w:p>
    <w:p>
      <w:pPr>
        <w:spacing w:after="240"/>
        <w:rPr>
          <w:noProof/>
          <w:sz w:val="24"/>
          <w:szCs w:val="24"/>
          <w:lang w:eastAsia="en-GB"/>
        </w:rPr>
      </w:pPr>
    </w:p>
    <w:p>
      <w:pPr>
        <w:pStyle w:val="Heading3"/>
        <w:numPr>
          <w:ilvl w:val="2"/>
          <w:numId w:val="1"/>
        </w:numPr>
        <w:rPr>
          <w:noProof/>
        </w:rPr>
      </w:pPr>
      <w:bookmarkStart w:id="395" w:name="_Toc524619504"/>
      <w:bookmarkStart w:id="396" w:name="_Toc524961051"/>
      <w:bookmarkStart w:id="397" w:name="_Toc525143016"/>
      <w:bookmarkStart w:id="398" w:name="_Ref525196547"/>
      <w:bookmarkStart w:id="399" w:name="_Toc525222173"/>
      <w:bookmarkStart w:id="400" w:name="_Toc525222342"/>
      <w:bookmarkStart w:id="401" w:name="_Toc526420736"/>
      <w:bookmarkStart w:id="402" w:name="_Toc526433963"/>
      <w:bookmarkStart w:id="403" w:name="_Toc526435905"/>
      <w:bookmarkStart w:id="404" w:name="_Toc530595235"/>
      <w:bookmarkStart w:id="405" w:name="_Toc50648324"/>
      <w:bookmarkStart w:id="406" w:name="_Toc50654354"/>
      <w:bookmarkStart w:id="407" w:name="_Toc50654909"/>
      <w:bookmarkStart w:id="408" w:name="_Toc50732456"/>
      <w:bookmarkStart w:id="409" w:name="_Toc52396540"/>
      <w:r>
        <w:rPr>
          <w:noProof/>
        </w:rPr>
        <w:t>International comparison</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pPr>
        <w:rPr>
          <w:b/>
          <w:noProof/>
          <w:sz w:val="24"/>
          <w:szCs w:val="24"/>
          <w:lang w:eastAsia="en-GB"/>
        </w:rPr>
      </w:pPr>
    </w:p>
    <w:p>
      <w:pPr>
        <w:rPr>
          <w:noProof/>
          <w:sz w:val="24"/>
          <w:szCs w:val="24"/>
          <w:lang w:eastAsia="en-GB"/>
        </w:rPr>
      </w:pPr>
      <w:r>
        <w:rPr>
          <w:noProof/>
          <w:sz w:val="24"/>
          <w:szCs w:val="24"/>
          <w:lang w:eastAsia="en-GB"/>
        </w:rPr>
        <w:t>This section is relying on the price data collected by Trinomics and covering G20 economies.</w:t>
      </w:r>
      <w:r>
        <w:rPr>
          <w:noProof/>
          <w:sz w:val="24"/>
          <w:szCs w:val="24"/>
          <w:vertAlign w:val="superscript"/>
          <w:lang w:eastAsia="en-GB"/>
        </w:rPr>
        <w:footnoteReference w:id="9"/>
      </w:r>
    </w:p>
    <w:p>
      <w:pPr>
        <w:rPr>
          <w:noProof/>
          <w:sz w:val="24"/>
          <w:szCs w:val="24"/>
          <w:lang w:eastAsia="en-GB"/>
        </w:rPr>
      </w:pPr>
      <w:r>
        <w:rPr>
          <w:noProof/>
          <w:sz w:val="24"/>
          <w:szCs w:val="24"/>
          <w:lang w:eastAsia="en-GB"/>
        </w:rPr>
        <w:t>Comparing the average retail price of motor fuels in the EU with prices in other G20 countries reveals that the trajectory of prices is in general very similar, basically following the development of crude oil prices. However, there can be significant differences in the absolute level of prices which are largely affected by taxes.</w:t>
      </w:r>
    </w:p>
    <w:p>
      <w:pPr>
        <w:rPr>
          <w:noProof/>
          <w:sz w:val="24"/>
          <w:szCs w:val="24"/>
          <w:lang w:eastAsia="en-GB"/>
        </w:rPr>
      </w:pPr>
      <w:r>
        <w:rPr>
          <w:noProof/>
          <w:sz w:val="24"/>
          <w:szCs w:val="24"/>
          <w:lang w:eastAsia="en-GB"/>
        </w:rPr>
        <w:t xml:space="preserve">In case of gasoline, retail prices in most G20 countries are lower than the EU average. The retail price in the US is typically less than half of the EU average level. While in the EU the tax component is on average about 60% of the final price, this share in the US is only around 25%. Excluding taxes, EU and US prices are comparable. A few G20 countries had higher prices than the EU average for most of the period, in particular Korea and Turkey, but even these have converged to the EU average level over the last decade. </w:t>
      </w:r>
    </w:p>
    <w:p>
      <w:pPr>
        <w:rPr>
          <w:noProof/>
          <w:sz w:val="24"/>
          <w:szCs w:val="24"/>
          <w:lang w:eastAsia="en-GB"/>
        </w:rPr>
      </w:pPr>
      <w:r>
        <w:rPr>
          <w:noProof/>
          <w:sz w:val="24"/>
          <w:szCs w:val="24"/>
          <w:lang w:eastAsia="en-GB"/>
        </w:rPr>
        <w:t>To sum up, differences in tax treatment are instrumental in explaining the price differences across G20 countries. EU taxes on fuels are among the highest globally, resulting in a high retail price compared to most G20 countries.</w:t>
      </w:r>
    </w:p>
    <w:p>
      <w:pPr>
        <w:rPr>
          <w:b/>
          <w:bCs/>
          <w:noProof/>
          <w:sz w:val="24"/>
          <w:szCs w:val="24"/>
          <w:lang w:eastAsia="en-GB"/>
        </w:rPr>
      </w:pPr>
      <w:r>
        <w:rPr>
          <w:noProof/>
          <w:lang w:eastAsia="en-GB"/>
        </w:rPr>
        <w:drawing>
          <wp:inline distT="0" distB="0" distL="0" distR="0">
            <wp:extent cx="6368837" cy="1900902"/>
            <wp:effectExtent l="0" t="0" r="0" b="4445"/>
            <wp:docPr id="73673114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368837" cy="1900902"/>
                    </a:xfrm>
                    <a:prstGeom prst="rect">
                      <a:avLst/>
                    </a:prstGeom>
                  </pic:spPr>
                </pic:pic>
              </a:graphicData>
            </a:graphic>
          </wp:inline>
        </w:drawing>
      </w:r>
    </w:p>
    <w:p>
      <w:pPr>
        <w:pStyle w:val="Caption"/>
        <w:rPr>
          <w:lang w:eastAsia="en-GB"/>
        </w:rPr>
      </w:pPr>
      <w:bookmarkStart w:id="410" w:name="_Toc525807848"/>
      <w:bookmarkStart w:id="411" w:name="_Toc526433451"/>
      <w:bookmarkStart w:id="412" w:name="_Toc526433729"/>
      <w:bookmarkStart w:id="413" w:name="_Toc526435671"/>
      <w:bookmarkStart w:id="414" w:name="_Toc530739757"/>
      <w:bookmarkStart w:id="415" w:name="_Toc531366132"/>
      <w:bookmarkStart w:id="416" w:name="_Toc50494096"/>
      <w:bookmarkStart w:id="417" w:name="_Toc52396874"/>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102</w:t>
      </w:r>
      <w:r>
        <w:rPr>
          <w:lang w:eastAsia="en-GB"/>
        </w:rPr>
        <w:fldChar w:fldCharType="end"/>
      </w:r>
      <w:r>
        <w:rPr>
          <w:lang w:eastAsia="en-GB"/>
        </w:rPr>
        <w:t xml:space="preserve"> - International comparison of retail gasoline prices</w:t>
      </w:r>
      <w:bookmarkEnd w:id="410"/>
      <w:bookmarkEnd w:id="411"/>
      <w:bookmarkEnd w:id="412"/>
      <w:bookmarkEnd w:id="413"/>
      <w:bookmarkEnd w:id="414"/>
      <w:bookmarkEnd w:id="415"/>
      <w:bookmarkEnd w:id="416"/>
      <w:bookmarkEnd w:id="417"/>
    </w:p>
    <w:p>
      <w:pPr>
        <w:pStyle w:val="Sources"/>
        <w:rPr>
          <w:noProof/>
          <w:lang w:eastAsia="en-GB"/>
        </w:rPr>
      </w:pPr>
      <w:r>
        <w:rPr>
          <w:noProof/>
          <w:lang w:eastAsia="en-GB"/>
        </w:rPr>
        <w:t>Source: Oil Bulletin, DG Energy; IEA, GIZ</w:t>
      </w:r>
    </w:p>
    <w:p>
      <w:pPr>
        <w:spacing w:after="240"/>
        <w:rPr>
          <w:noProof/>
          <w:sz w:val="20"/>
          <w:szCs w:val="20"/>
          <w:lang w:eastAsia="en-GB"/>
        </w:rPr>
      </w:pPr>
      <w:r>
        <w:rPr>
          <w:noProof/>
          <w:sz w:val="20"/>
          <w:szCs w:val="20"/>
          <w:lang w:eastAsia="en-GB"/>
        </w:rPr>
        <w:t>Note: prices are expressed in real (2018) euros; dotted line highlights that it is unclear if the excluding taxes price actually excludes relevant taxes</w:t>
      </w:r>
    </w:p>
    <w:p>
      <w:pPr>
        <w:rPr>
          <w:b/>
          <w:bCs/>
          <w:noProof/>
          <w:sz w:val="24"/>
          <w:szCs w:val="24"/>
          <w:lang w:eastAsia="en-GB"/>
        </w:rPr>
      </w:pPr>
      <w:r>
        <w:rPr>
          <w:noProof/>
          <w:lang w:eastAsia="en-GB"/>
        </w:rPr>
        <w:drawing>
          <wp:inline distT="0" distB="0" distL="0" distR="0">
            <wp:extent cx="6451746" cy="2203100"/>
            <wp:effectExtent l="0" t="0" r="6350" b="6985"/>
            <wp:docPr id="91495295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451746" cy="2203100"/>
                    </a:xfrm>
                    <a:prstGeom prst="rect">
                      <a:avLst/>
                    </a:prstGeom>
                  </pic:spPr>
                </pic:pic>
              </a:graphicData>
            </a:graphic>
          </wp:inline>
        </w:drawing>
      </w:r>
    </w:p>
    <w:p>
      <w:pPr>
        <w:pStyle w:val="Caption"/>
        <w:rPr>
          <w:lang w:eastAsia="en-GB"/>
        </w:rPr>
      </w:pPr>
      <w:bookmarkStart w:id="418" w:name="_Toc525807849"/>
      <w:bookmarkStart w:id="419" w:name="_Toc526433452"/>
      <w:bookmarkStart w:id="420" w:name="_Toc526433730"/>
      <w:bookmarkStart w:id="421" w:name="_Toc526435672"/>
      <w:bookmarkStart w:id="422" w:name="_Toc530739758"/>
      <w:bookmarkStart w:id="423" w:name="_Toc531366133"/>
      <w:bookmarkStart w:id="424" w:name="_Toc50494097"/>
      <w:bookmarkStart w:id="425" w:name="_Toc52396875"/>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103</w:t>
      </w:r>
      <w:r>
        <w:rPr>
          <w:lang w:eastAsia="en-GB"/>
        </w:rPr>
        <w:fldChar w:fldCharType="end"/>
      </w:r>
      <w:r>
        <w:rPr>
          <w:lang w:eastAsia="en-GB"/>
        </w:rPr>
        <w:t xml:space="preserve"> - International comparison of retail gasoline prices</w:t>
      </w:r>
      <w:bookmarkEnd w:id="418"/>
      <w:bookmarkEnd w:id="419"/>
      <w:bookmarkEnd w:id="420"/>
      <w:bookmarkEnd w:id="421"/>
      <w:bookmarkEnd w:id="422"/>
      <w:bookmarkEnd w:id="423"/>
      <w:bookmarkEnd w:id="424"/>
      <w:bookmarkEnd w:id="425"/>
    </w:p>
    <w:p>
      <w:pPr>
        <w:spacing w:after="0"/>
        <w:rPr>
          <w:noProof/>
          <w:sz w:val="20"/>
          <w:szCs w:val="20"/>
          <w:lang w:eastAsia="en-GB"/>
        </w:rPr>
      </w:pPr>
      <w:r>
        <w:rPr>
          <w:noProof/>
          <w:sz w:val="20"/>
          <w:szCs w:val="20"/>
          <w:lang w:eastAsia="en-GB"/>
        </w:rPr>
        <w:t>Source: Oil Bulletin, DG Energy; IEA, GIZ</w:t>
      </w:r>
    </w:p>
    <w:p>
      <w:pPr>
        <w:spacing w:after="240"/>
        <w:rPr>
          <w:noProof/>
          <w:sz w:val="20"/>
          <w:szCs w:val="20"/>
          <w:lang w:eastAsia="en-GB"/>
        </w:rPr>
      </w:pPr>
      <w:r>
        <w:rPr>
          <w:noProof/>
          <w:sz w:val="20"/>
          <w:szCs w:val="20"/>
          <w:lang w:eastAsia="en-GB"/>
        </w:rPr>
        <w:t>Note: prices are expressed in real (2018) euros; dotted line highlights that it is unclear if the excluding taxes price actually excludes relevant taxes</w:t>
      </w:r>
    </w:p>
    <w:p>
      <w:pPr>
        <w:rPr>
          <w:noProof/>
          <w:sz w:val="24"/>
          <w:szCs w:val="24"/>
          <w:lang w:eastAsia="en-GB"/>
        </w:rPr>
      </w:pPr>
      <w:r>
        <w:rPr>
          <w:noProof/>
          <w:sz w:val="24"/>
          <w:szCs w:val="24"/>
          <w:lang w:eastAsia="en-GB"/>
        </w:rPr>
        <w:t>For diesel, the price is similar: the EU average price is one of the highest among the G20 countries. This is explained by a high tax component which on average constitutes about 50% of the final price. The retail price in the US, where the share of the tax component is only about 25%, is less than half of the EU average. Excluding taxes, EU prices are very similar to those in the US and lower than those in the majority of G20 countries. Turkey is the country which had a consistently higher price than the EU average for most of the period but the difference has largely disappeared by 2015-2016.</w:t>
      </w:r>
    </w:p>
    <w:p>
      <w:pPr>
        <w:rPr>
          <w:noProof/>
          <w:sz w:val="24"/>
          <w:szCs w:val="24"/>
          <w:lang w:eastAsia="en-GB"/>
        </w:rPr>
      </w:pPr>
      <w:r>
        <w:rPr>
          <w:noProof/>
          <w:sz w:val="24"/>
          <w:szCs w:val="24"/>
          <w:lang w:eastAsia="en-GB"/>
        </w:rPr>
        <w:t>Similarly to gasoline, differences in tax treatment are instrumental in explaining the price differences across G20 countries. EU taxes on fuels are among the highest globally, resulting in a high retail price compared to most G20 countries, in spite of the relatively low net price.</w:t>
      </w:r>
    </w:p>
    <w:p>
      <w:pPr>
        <w:rPr>
          <w:noProof/>
          <w:sz w:val="24"/>
          <w:szCs w:val="24"/>
          <w:lang w:eastAsia="en-GB"/>
        </w:rPr>
      </w:pPr>
      <w:r>
        <w:rPr>
          <w:noProof/>
          <w:sz w:val="24"/>
          <w:szCs w:val="24"/>
          <w:lang w:eastAsia="en-GB"/>
        </w:rPr>
        <w:t>The EU is not the only region with gasoline retail prices exceeding diesel prices. This is the case in practically all G20 economies.</w:t>
      </w:r>
    </w:p>
    <w:p>
      <w:pPr>
        <w:rPr>
          <w:b/>
          <w:bCs/>
          <w:noProof/>
          <w:sz w:val="24"/>
          <w:szCs w:val="24"/>
          <w:lang w:eastAsia="en-GB"/>
        </w:rPr>
      </w:pPr>
      <w:r>
        <w:rPr>
          <w:noProof/>
          <w:lang w:eastAsia="en-GB"/>
        </w:rPr>
        <w:drawing>
          <wp:inline distT="0" distB="0" distL="0" distR="0">
            <wp:extent cx="6211533" cy="2151639"/>
            <wp:effectExtent l="0" t="0" r="0" b="1270"/>
            <wp:docPr id="6636349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211533" cy="2151639"/>
                    </a:xfrm>
                    <a:prstGeom prst="rect">
                      <a:avLst/>
                    </a:prstGeom>
                  </pic:spPr>
                </pic:pic>
              </a:graphicData>
            </a:graphic>
          </wp:inline>
        </w:drawing>
      </w:r>
    </w:p>
    <w:p>
      <w:pPr>
        <w:pStyle w:val="Caption"/>
        <w:rPr>
          <w:lang w:eastAsia="en-GB"/>
        </w:rPr>
      </w:pPr>
      <w:bookmarkStart w:id="426" w:name="_Toc525807850"/>
      <w:bookmarkStart w:id="427" w:name="_Toc526433453"/>
      <w:bookmarkStart w:id="428" w:name="_Toc526433731"/>
      <w:bookmarkStart w:id="429" w:name="_Toc526435673"/>
      <w:bookmarkStart w:id="430" w:name="_Toc530739759"/>
      <w:bookmarkStart w:id="431" w:name="_Toc531366134"/>
      <w:bookmarkStart w:id="432" w:name="_Toc50494098"/>
      <w:bookmarkStart w:id="433" w:name="_Toc52396876"/>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104</w:t>
      </w:r>
      <w:r>
        <w:rPr>
          <w:lang w:eastAsia="en-GB"/>
        </w:rPr>
        <w:fldChar w:fldCharType="end"/>
      </w:r>
      <w:r>
        <w:rPr>
          <w:lang w:eastAsia="en-GB"/>
        </w:rPr>
        <w:t xml:space="preserve"> - International comparison of retail diesel prices</w:t>
      </w:r>
      <w:bookmarkEnd w:id="426"/>
      <w:bookmarkEnd w:id="427"/>
      <w:bookmarkEnd w:id="428"/>
      <w:bookmarkEnd w:id="429"/>
      <w:bookmarkEnd w:id="430"/>
      <w:bookmarkEnd w:id="431"/>
      <w:bookmarkEnd w:id="432"/>
      <w:bookmarkEnd w:id="433"/>
    </w:p>
    <w:p>
      <w:pPr>
        <w:pStyle w:val="Sources"/>
        <w:rPr>
          <w:noProof/>
          <w:lang w:eastAsia="en-GB"/>
        </w:rPr>
      </w:pPr>
      <w:r>
        <w:rPr>
          <w:noProof/>
          <w:lang w:eastAsia="en-GB"/>
        </w:rPr>
        <w:t>Source: Oil Bulletin, DG Energy; IEA, GIZ</w:t>
      </w:r>
    </w:p>
    <w:p>
      <w:pPr>
        <w:spacing w:after="240"/>
        <w:rPr>
          <w:noProof/>
          <w:sz w:val="20"/>
          <w:szCs w:val="20"/>
          <w:lang w:eastAsia="en-GB"/>
        </w:rPr>
      </w:pPr>
      <w:r>
        <w:rPr>
          <w:noProof/>
          <w:sz w:val="20"/>
          <w:szCs w:val="20"/>
          <w:lang w:eastAsia="en-GB"/>
        </w:rPr>
        <w:t>Note: prices are expressed in real (2018) euros</w:t>
      </w:r>
    </w:p>
    <w:p>
      <w:pPr>
        <w:rPr>
          <w:noProof/>
          <w:sz w:val="24"/>
          <w:szCs w:val="24"/>
          <w:lang w:eastAsia="en-GB"/>
        </w:rPr>
      </w:pPr>
      <w:r>
        <w:rPr>
          <w:noProof/>
          <w:lang w:eastAsia="en-GB"/>
        </w:rPr>
        <w:drawing>
          <wp:inline distT="0" distB="0" distL="0" distR="0">
            <wp:extent cx="6309200" cy="2182802"/>
            <wp:effectExtent l="0" t="0" r="0" b="8255"/>
            <wp:docPr id="57877894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309200" cy="2182802"/>
                    </a:xfrm>
                    <a:prstGeom prst="rect">
                      <a:avLst/>
                    </a:prstGeom>
                  </pic:spPr>
                </pic:pic>
              </a:graphicData>
            </a:graphic>
          </wp:inline>
        </w:drawing>
      </w:r>
    </w:p>
    <w:p>
      <w:pPr>
        <w:pStyle w:val="Caption"/>
        <w:rPr>
          <w:lang w:eastAsia="en-GB"/>
        </w:rPr>
      </w:pPr>
      <w:bookmarkStart w:id="434" w:name="_Toc525807851"/>
      <w:bookmarkStart w:id="435" w:name="_Toc526433454"/>
      <w:bookmarkStart w:id="436" w:name="_Toc526433732"/>
      <w:bookmarkStart w:id="437" w:name="_Toc526435674"/>
      <w:bookmarkStart w:id="438" w:name="_Toc530739760"/>
      <w:bookmarkStart w:id="439" w:name="_Toc531366135"/>
      <w:bookmarkStart w:id="440" w:name="_Toc50494099"/>
      <w:bookmarkStart w:id="441" w:name="_Toc52396877"/>
      <w:r>
        <w:rPr>
          <w:lang w:eastAsia="en-GB"/>
        </w:rPr>
        <w:t xml:space="preserve">Figure </w:t>
      </w:r>
      <w:r>
        <w:rPr>
          <w:lang w:eastAsia="en-GB"/>
        </w:rPr>
        <w:fldChar w:fldCharType="begin"/>
      </w:r>
      <w:r>
        <w:rPr>
          <w:lang w:eastAsia="en-GB"/>
        </w:rPr>
        <w:instrText xml:space="preserve"> SEQ Figure \* ARABIC </w:instrText>
      </w:r>
      <w:r>
        <w:rPr>
          <w:lang w:eastAsia="en-GB"/>
        </w:rPr>
        <w:fldChar w:fldCharType="separate"/>
      </w:r>
      <w:r>
        <w:rPr>
          <w:lang w:eastAsia="en-GB"/>
        </w:rPr>
        <w:t>105</w:t>
      </w:r>
      <w:r>
        <w:rPr>
          <w:lang w:eastAsia="en-GB"/>
        </w:rPr>
        <w:fldChar w:fldCharType="end"/>
      </w:r>
      <w:r>
        <w:rPr>
          <w:lang w:eastAsia="en-GB"/>
        </w:rPr>
        <w:t xml:space="preserve"> - International comparison of retail diesel prices</w:t>
      </w:r>
      <w:bookmarkEnd w:id="434"/>
      <w:bookmarkEnd w:id="435"/>
      <w:bookmarkEnd w:id="436"/>
      <w:bookmarkEnd w:id="437"/>
      <w:bookmarkEnd w:id="438"/>
      <w:bookmarkEnd w:id="439"/>
      <w:bookmarkEnd w:id="440"/>
      <w:bookmarkEnd w:id="441"/>
    </w:p>
    <w:p>
      <w:pPr>
        <w:pStyle w:val="Sources"/>
        <w:rPr>
          <w:noProof/>
          <w:lang w:eastAsia="en-GB"/>
        </w:rPr>
      </w:pPr>
      <w:r>
        <w:rPr>
          <w:noProof/>
          <w:lang w:eastAsia="en-GB"/>
        </w:rPr>
        <w:t>Source: Oil Bulletin, DG Energy; IEA, GIZ</w:t>
      </w:r>
    </w:p>
    <w:p>
      <w:pPr>
        <w:spacing w:after="240"/>
        <w:rPr>
          <w:noProof/>
          <w:sz w:val="20"/>
          <w:szCs w:val="20"/>
          <w:lang w:eastAsia="en-GB"/>
        </w:rPr>
      </w:pPr>
      <w:r>
        <w:rPr>
          <w:noProof/>
          <w:sz w:val="20"/>
          <w:szCs w:val="20"/>
          <w:lang w:eastAsia="en-GB"/>
        </w:rPr>
        <w:t>Note: prices are expressed in real (2018) euros; dotted line highlights that it is unclear if the excluding taxes price actually excludes relevant taxes</w:t>
      </w:r>
    </w:p>
    <w:p>
      <w:pPr>
        <w:spacing w:after="0"/>
        <w:jc w:val="left"/>
        <w:rPr>
          <w:rFonts w:eastAsia="Times New Roman"/>
          <w:b/>
          <w:bCs/>
          <w:noProof/>
          <w:color w:val="000000"/>
          <w:sz w:val="72"/>
          <w:szCs w:val="72"/>
        </w:rPr>
      </w:pPr>
    </w:p>
    <w:sectPr>
      <w:headerReference w:type="even" r:id="rId64"/>
      <w:headerReference w:type="default" r:id="rId65"/>
      <w:footerReference w:type="even" r:id="rId66"/>
      <w:footerReference w:type="default" r:id="rId67"/>
      <w:headerReference w:type="first" r:id="rId68"/>
      <w:footerReference w:type="first" r:id="rId69"/>
      <w:footnotePr>
        <w:numStart w:val="13"/>
      </w:footnotePr>
      <w:pgSz w:w="11906" w:h="16838" w:code="9"/>
      <w:pgMar w:top="1134" w:right="1417" w:bottom="1134" w:left="1417" w:header="709" w:footer="709" w:gutter="0"/>
      <w:pgNumType w:start="76"/>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46">
      <wne:acd wne:acdName="acd0"/>
    </wne:keymap>
  </wne:keymaps>
  <wne:toolbars>
    <wne:acdManifest>
      <wne:acdEntry wne:acdName="acd0"/>
    </wne:acdManifest>
  </wne:toolbars>
  <wne:acds>
    <wne:acd wne:argValue="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" wne:acdName="acd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EC Square Sans Pro">
    <w:panose1 w:val="020B0506040000020004"/>
    <w:charset w:val="00"/>
    <w:family w:val="swiss"/>
    <w:pitch w:val="variable"/>
    <w:sig w:usb0="A00002B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Roman">
    <w:altName w:val="Times New Roman"/>
    <w:charset w:val="00"/>
    <w:family w:val="auto"/>
    <w:pitch w:val="variable"/>
    <w:sig w:usb0="E00002FF" w:usb1="5000205A" w:usb2="00000000" w:usb3="00000000" w:csb0="0000019F" w:csb1="00000000"/>
  </w:font>
  <w:font w:name="Aparajita">
    <w:panose1 w:val="020B0604020202020204"/>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336948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76</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type="continuationNotice" w:id="1">
    <w:p>
      <w:pPr>
        <w:spacing w:after="0"/>
      </w:pPr>
    </w:p>
  </w:footnote>
  <w:footnote w:id="2">
    <w:p>
      <w:pPr>
        <w:pStyle w:val="FootnoteText"/>
      </w:pPr>
      <w:r>
        <w:rPr>
          <w:rStyle w:val="FootnoteReference"/>
        </w:rPr>
        <w:footnoteRef/>
      </w:r>
      <w:r>
        <w:t xml:space="preserve">  This chapter analyses EU-28. </w:t>
      </w:r>
    </w:p>
  </w:footnote>
  <w:footnote w:id="3">
    <w:p>
      <w:pPr>
        <w:pStyle w:val="FootnoteText"/>
      </w:pPr>
      <w:r>
        <w:rPr>
          <w:rStyle w:val="FootnoteReference"/>
        </w:rPr>
        <w:footnoteRef/>
      </w:r>
      <w:r>
        <w:t xml:space="preserve"> Between 30 June 2014 and 15 February 2016</w:t>
      </w:r>
    </w:p>
  </w:footnote>
  <w:footnote w:id="4">
    <w:p>
      <w:pPr>
        <w:pStyle w:val="FootnoteText"/>
      </w:pPr>
      <w:r>
        <w:rPr>
          <w:rStyle w:val="FootnoteReference"/>
        </w:rPr>
        <w:footnoteRef/>
      </w:r>
      <w:r>
        <w:t xml:space="preserve"> In this section, other indirect taxes are reported in the excise duty component</w:t>
      </w:r>
    </w:p>
  </w:footnote>
  <w:footnote w:id="5">
    <w:p>
      <w:pPr>
        <w:pStyle w:val="FootnoteText"/>
      </w:pPr>
      <w:r>
        <w:rPr>
          <w:rStyle w:val="FootnoteReference"/>
        </w:rPr>
        <w:footnoteRef/>
      </w:r>
      <w:r>
        <w:t xml:space="preserve"> https://ec.europa.eu/energy/en/statistics/weekly-oil-bulletin</w:t>
      </w:r>
    </w:p>
  </w:footnote>
  <w:footnote w:id="6">
    <w:p>
      <w:pPr>
        <w:pStyle w:val="FootnoteText"/>
      </w:pPr>
      <w:r>
        <w:rPr>
          <w:rStyle w:val="FootnoteReference"/>
        </w:rPr>
        <w:footnoteRef/>
      </w:r>
      <w:r>
        <w:t xml:space="preserve"> http://europa.eu/rapid/press-release_IP-11-468_en.htm?locale=en</w:t>
      </w:r>
    </w:p>
  </w:footnote>
  <w:footnote w:id="7">
    <w:p>
      <w:pPr>
        <w:pStyle w:val="FootnoteText"/>
      </w:pPr>
      <w:r>
        <w:rPr>
          <w:rStyle w:val="FootnoteReference"/>
        </w:rPr>
        <w:footnoteRef/>
      </w:r>
      <w:r>
        <w:t xml:space="preserve"> The full definition of the alternative fuels can be found in Art. 2 Directive 2014/94/EU as: ‘fuels or power sources which serve, at least partly, as a substitute for fossil oil sources in the energy supply to transport and which have the potential to contribute to its decarbonisation and enhance the environmental performance of the transport sector’. This definition includes: ‘electricity, hydrogen, biofuels as defined in point (i) of Article 2 of Directive 2009/28/EC, synthetic and paraffinic fuels, natural gas, including biomethane, in gaseous form (compressed natural gas (CNG)) and liquefied form (liquefied natural gas (LNG)), and liquefied petroleum gas (LPG)’.</w:t>
      </w:r>
    </w:p>
  </w:footnote>
  <w:footnote w:id="8">
    <w:p>
      <w:pPr>
        <w:pStyle w:val="FootnoteText"/>
      </w:pPr>
      <w:r>
        <w:rPr>
          <w:rStyle w:val="FootnoteReference"/>
        </w:rPr>
        <w:footnoteRef/>
      </w:r>
      <w:r>
        <w:t xml:space="preserve"> </w:t>
      </w:r>
      <w:hyperlink r:id="rId1" w:history="1">
        <w:r>
          <w:rPr>
            <w:rStyle w:val="Hyperlink"/>
            <w:color w:val="000000" w:themeColor="text1"/>
          </w:rPr>
          <w:t>https://www.bundeskartellamt.de/SharedDocs/Meldung/EN/Pressemitteilungen/2020/09_07_2020_Ladesäulen.html</w:t>
        </w:r>
      </w:hyperlink>
      <w:r>
        <w:rPr>
          <w:color w:val="000000" w:themeColor="text1"/>
        </w:rPr>
        <w:t xml:space="preserve">. </w:t>
      </w:r>
    </w:p>
    <w:p>
      <w:pPr>
        <w:pStyle w:val="FootnoteText"/>
        <w:rPr>
          <w:lang w:val="en-IE"/>
        </w:rPr>
      </w:pPr>
    </w:p>
  </w:footnote>
  <w:footnote w:id="9">
    <w:p>
      <w:pPr>
        <w:pStyle w:val="FootnoteText"/>
      </w:pPr>
      <w:r>
        <w:rPr>
          <w:rStyle w:val="FootnoteReference"/>
        </w:rPr>
        <w:footnoteRef/>
      </w:r>
      <w:r>
        <w:t xml:space="preserve"> Trinomics et altri (2020)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p/>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D61A6516"/>
    <w:lvl w:ilvl="0">
      <w:start w:val="1"/>
      <w:numFmt w:val="bullet"/>
      <w:pStyle w:val="ListBullet3"/>
      <w:lvlText w:val=""/>
      <w:lvlJc w:val="left"/>
      <w:pPr>
        <w:tabs>
          <w:tab w:val="num" w:pos="926"/>
        </w:tabs>
        <w:ind w:left="926" w:hanging="360"/>
      </w:pPr>
      <w:rPr>
        <w:rFonts w:ascii="Symbol" w:hAnsi="Symbol" w:hint="default"/>
        <w:b/>
        <w:i w:val="0"/>
        <w:sz w:val="16"/>
      </w:rPr>
    </w:lvl>
  </w:abstractNum>
  <w:abstractNum w:abstractNumId="1">
    <w:nsid w:val="02FE6FAB"/>
    <w:multiLevelType w:val="hybridMultilevel"/>
    <w:tmpl w:val="7890CA2E"/>
    <w:lvl w:ilvl="0" w:tplc="888E4874">
      <w:start w:val="1"/>
      <w:numFmt w:val="bullet"/>
      <w:lvlText w:val=""/>
      <w:lvlJc w:val="left"/>
      <w:pPr>
        <w:ind w:left="720" w:hanging="360"/>
      </w:pPr>
      <w:rPr>
        <w:rFonts w:ascii="Symbol" w:hAnsi="Symbol" w:hint="default"/>
      </w:rPr>
    </w:lvl>
    <w:lvl w:ilvl="1" w:tplc="888E4874">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4E1E20"/>
    <w:multiLevelType w:val="hybridMultilevel"/>
    <w:tmpl w:val="B716402C"/>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4064DF"/>
    <w:multiLevelType w:val="multilevel"/>
    <w:tmpl w:val="D8E2ED5A"/>
    <w:lvl w:ilvl="0">
      <w:start w:val="3"/>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960" w:hanging="720"/>
      </w:pPr>
      <w:rPr>
        <w:rFonts w:hint="default"/>
        <w:sz w:val="32"/>
        <w:szCs w:val="32"/>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0909507E"/>
    <w:multiLevelType w:val="hybridMultilevel"/>
    <w:tmpl w:val="3A7037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AFC0A59"/>
    <w:multiLevelType w:val="hybridMultilevel"/>
    <w:tmpl w:val="E8ACA1F6"/>
    <w:lvl w:ilvl="0" w:tplc="9FCA70A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7135B24"/>
    <w:multiLevelType w:val="multilevel"/>
    <w:tmpl w:val="97B0BFBA"/>
    <w:lvl w:ilvl="0">
      <w:start w:val="1"/>
      <w:numFmt w:val="bullet"/>
      <w:lvlText w:val=""/>
      <w:lvlJc w:val="left"/>
      <w:pPr>
        <w:ind w:left="432" w:hanging="432"/>
      </w:pPr>
      <w:rPr>
        <w:rFonts w:ascii="Symbol" w:hAnsi="Symbol"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960" w:hanging="720"/>
      </w:pPr>
      <w:rPr>
        <w:rFonts w:hint="default"/>
        <w:sz w:val="32"/>
        <w:szCs w:val="32"/>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1A252BBE"/>
    <w:multiLevelType w:val="hybridMultilevel"/>
    <w:tmpl w:val="B2CA76B6"/>
    <w:lvl w:ilvl="0" w:tplc="888E4874">
      <w:start w:val="1"/>
      <w:numFmt w:val="bullet"/>
      <w:lvlText w:val=""/>
      <w:lvlJc w:val="left"/>
      <w:pPr>
        <w:ind w:left="644"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8">
    <w:nsid w:val="1C552A61"/>
    <w:multiLevelType w:val="hybridMultilevel"/>
    <w:tmpl w:val="DEF04E86"/>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D451196"/>
    <w:multiLevelType w:val="hybridMultilevel"/>
    <w:tmpl w:val="D5C6AC54"/>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EC5361E"/>
    <w:multiLevelType w:val="hybridMultilevel"/>
    <w:tmpl w:val="B13A8D8E"/>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F564F30"/>
    <w:multiLevelType w:val="hybridMultilevel"/>
    <w:tmpl w:val="76D41698"/>
    <w:lvl w:ilvl="0" w:tplc="BC74659C">
      <w:numFmt w:val="bullet"/>
      <w:lvlText w:val="-"/>
      <w:lvlJc w:val="left"/>
      <w:pPr>
        <w:ind w:left="72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37C0989"/>
    <w:multiLevelType w:val="multilevel"/>
    <w:tmpl w:val="C9C63D04"/>
    <w:lvl w:ilvl="0">
      <w:start w:val="1"/>
      <w:numFmt w:val="bullet"/>
      <w:lvlText w:val=""/>
      <w:lvlJc w:val="left"/>
      <w:pPr>
        <w:ind w:left="432" w:hanging="432"/>
      </w:pPr>
      <w:rPr>
        <w:rFonts w:ascii="Symbol" w:hAnsi="Symbol" w:hint="default"/>
      </w:rPr>
    </w:lvl>
    <w:lvl w:ilvl="1">
      <w:start w:val="1"/>
      <w:numFmt w:val="bullet"/>
      <w:lvlText w:val="o"/>
      <w:lvlJc w:val="left"/>
      <w:pPr>
        <w:ind w:left="576" w:hanging="576"/>
      </w:pPr>
      <w:rPr>
        <w:rFonts w:ascii="Courier New" w:hAnsi="Courier New" w:cs="Courier New" w:hint="default"/>
      </w:rPr>
    </w:lvl>
    <w:lvl w:ilvl="2">
      <w:start w:val="1"/>
      <w:numFmt w:val="decimal"/>
      <w:lvlText w:val="%1.%2.%3"/>
      <w:lvlJc w:val="left"/>
      <w:pPr>
        <w:ind w:left="960" w:hanging="720"/>
      </w:pPr>
      <w:rPr>
        <w:rFonts w:hint="default"/>
        <w:sz w:val="32"/>
        <w:szCs w:val="32"/>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2390115E"/>
    <w:multiLevelType w:val="hybridMultilevel"/>
    <w:tmpl w:val="FD684804"/>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5747AE2"/>
    <w:multiLevelType w:val="hybridMultilevel"/>
    <w:tmpl w:val="1CDEBFD4"/>
    <w:lvl w:ilvl="0" w:tplc="888E4874">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nsid w:val="2DC5152E"/>
    <w:multiLevelType w:val="hybridMultilevel"/>
    <w:tmpl w:val="97286ACE"/>
    <w:lvl w:ilvl="0" w:tplc="888E4874">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4A275D9"/>
    <w:multiLevelType w:val="hybridMultilevel"/>
    <w:tmpl w:val="C23E3A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3D676B0F"/>
    <w:multiLevelType w:val="multilevel"/>
    <w:tmpl w:val="3EE8AD30"/>
    <w:styleLink w:val="Style1"/>
    <w:lvl w:ilvl="0">
      <w:start w:val="1"/>
      <w:numFmt w:val="decimal"/>
      <w:lvlText w:val="1.%1."/>
      <w:lvlJc w:val="left"/>
      <w:pPr>
        <w:ind w:left="360" w:hanging="360"/>
      </w:pPr>
      <w:rPr>
        <w:rFonts w:hint="default"/>
        <w:color w:val="00596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DF77CAF"/>
    <w:multiLevelType w:val="hybridMultilevel"/>
    <w:tmpl w:val="6D921080"/>
    <w:lvl w:ilvl="0" w:tplc="BC74659C">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E8D6741"/>
    <w:multiLevelType w:val="hybridMultilevel"/>
    <w:tmpl w:val="D1A8A212"/>
    <w:styleLink w:val="ImportedStyle2"/>
    <w:lvl w:ilvl="0" w:tplc="07B2A31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2CCE6D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D9E14E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9C4C27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3CA77B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5895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B1CBE8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0D8503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6620F1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nsid w:val="43B54263"/>
    <w:multiLevelType w:val="multilevel"/>
    <w:tmpl w:val="43BC16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960" w:hanging="720"/>
      </w:pPr>
      <w:rPr>
        <w:rFonts w:hint="default"/>
        <w:sz w:val="32"/>
        <w:szCs w:val="32"/>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47AC56F3"/>
    <w:multiLevelType w:val="multilevel"/>
    <w:tmpl w:val="C9C63D04"/>
    <w:lvl w:ilvl="0">
      <w:start w:val="1"/>
      <w:numFmt w:val="bullet"/>
      <w:lvlText w:val=""/>
      <w:lvlJc w:val="left"/>
      <w:pPr>
        <w:ind w:left="432" w:hanging="432"/>
      </w:pPr>
      <w:rPr>
        <w:rFonts w:ascii="Symbol" w:hAnsi="Symbol" w:hint="default"/>
      </w:rPr>
    </w:lvl>
    <w:lvl w:ilvl="1">
      <w:start w:val="1"/>
      <w:numFmt w:val="bullet"/>
      <w:lvlText w:val="o"/>
      <w:lvlJc w:val="left"/>
      <w:pPr>
        <w:ind w:left="576" w:hanging="576"/>
      </w:pPr>
      <w:rPr>
        <w:rFonts w:ascii="Courier New" w:hAnsi="Courier New" w:cs="Courier New" w:hint="default"/>
      </w:rPr>
    </w:lvl>
    <w:lvl w:ilvl="2">
      <w:start w:val="1"/>
      <w:numFmt w:val="decimal"/>
      <w:lvlText w:val="%1.%2.%3"/>
      <w:lvlJc w:val="left"/>
      <w:pPr>
        <w:ind w:left="960" w:hanging="720"/>
      </w:pPr>
      <w:rPr>
        <w:rFonts w:hint="default"/>
        <w:sz w:val="32"/>
        <w:szCs w:val="32"/>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4CEF3EED"/>
    <w:multiLevelType w:val="hybridMultilevel"/>
    <w:tmpl w:val="714AB9AC"/>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FCB6A36"/>
    <w:multiLevelType w:val="hybridMultilevel"/>
    <w:tmpl w:val="EE967D3A"/>
    <w:lvl w:ilvl="0" w:tplc="888E4874">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4">
    <w:nsid w:val="52FF3A2F"/>
    <w:multiLevelType w:val="hybridMultilevel"/>
    <w:tmpl w:val="BC5ED602"/>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6A008F9"/>
    <w:multiLevelType w:val="hybridMultilevel"/>
    <w:tmpl w:val="4808F1FC"/>
    <w:lvl w:ilvl="0" w:tplc="59822C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7F4738B"/>
    <w:multiLevelType w:val="hybridMultilevel"/>
    <w:tmpl w:val="73087056"/>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8D81A3A"/>
    <w:multiLevelType w:val="hybridMultilevel"/>
    <w:tmpl w:val="BFEE8FBC"/>
    <w:lvl w:ilvl="0" w:tplc="888E4874">
      <w:start w:val="1"/>
      <w:numFmt w:val="bullet"/>
      <w:lvlText w:val=""/>
      <w:lvlJc w:val="left"/>
      <w:pPr>
        <w:ind w:left="7164" w:hanging="360"/>
      </w:pPr>
      <w:rPr>
        <w:rFonts w:ascii="Symbol" w:hAnsi="Symbol" w:hint="default"/>
      </w:rPr>
    </w:lvl>
    <w:lvl w:ilvl="1" w:tplc="08090003" w:tentative="1">
      <w:start w:val="1"/>
      <w:numFmt w:val="bullet"/>
      <w:lvlText w:val="o"/>
      <w:lvlJc w:val="left"/>
      <w:pPr>
        <w:ind w:left="7884" w:hanging="360"/>
      </w:pPr>
      <w:rPr>
        <w:rFonts w:ascii="Courier New" w:hAnsi="Courier New" w:cs="Courier New" w:hint="default"/>
      </w:rPr>
    </w:lvl>
    <w:lvl w:ilvl="2" w:tplc="08090005" w:tentative="1">
      <w:start w:val="1"/>
      <w:numFmt w:val="bullet"/>
      <w:lvlText w:val=""/>
      <w:lvlJc w:val="left"/>
      <w:pPr>
        <w:ind w:left="8604" w:hanging="360"/>
      </w:pPr>
      <w:rPr>
        <w:rFonts w:ascii="Wingdings" w:hAnsi="Wingdings" w:hint="default"/>
      </w:rPr>
    </w:lvl>
    <w:lvl w:ilvl="3" w:tplc="08090001" w:tentative="1">
      <w:start w:val="1"/>
      <w:numFmt w:val="bullet"/>
      <w:lvlText w:val=""/>
      <w:lvlJc w:val="left"/>
      <w:pPr>
        <w:ind w:left="9324" w:hanging="360"/>
      </w:pPr>
      <w:rPr>
        <w:rFonts w:ascii="Symbol" w:hAnsi="Symbol" w:hint="default"/>
      </w:rPr>
    </w:lvl>
    <w:lvl w:ilvl="4" w:tplc="08090003" w:tentative="1">
      <w:start w:val="1"/>
      <w:numFmt w:val="bullet"/>
      <w:lvlText w:val="o"/>
      <w:lvlJc w:val="left"/>
      <w:pPr>
        <w:ind w:left="10044" w:hanging="360"/>
      </w:pPr>
      <w:rPr>
        <w:rFonts w:ascii="Courier New" w:hAnsi="Courier New" w:cs="Courier New" w:hint="default"/>
      </w:rPr>
    </w:lvl>
    <w:lvl w:ilvl="5" w:tplc="08090005" w:tentative="1">
      <w:start w:val="1"/>
      <w:numFmt w:val="bullet"/>
      <w:lvlText w:val=""/>
      <w:lvlJc w:val="left"/>
      <w:pPr>
        <w:ind w:left="10764" w:hanging="360"/>
      </w:pPr>
      <w:rPr>
        <w:rFonts w:ascii="Wingdings" w:hAnsi="Wingdings" w:hint="default"/>
      </w:rPr>
    </w:lvl>
    <w:lvl w:ilvl="6" w:tplc="08090001" w:tentative="1">
      <w:start w:val="1"/>
      <w:numFmt w:val="bullet"/>
      <w:lvlText w:val=""/>
      <w:lvlJc w:val="left"/>
      <w:pPr>
        <w:ind w:left="11484" w:hanging="360"/>
      </w:pPr>
      <w:rPr>
        <w:rFonts w:ascii="Symbol" w:hAnsi="Symbol" w:hint="default"/>
      </w:rPr>
    </w:lvl>
    <w:lvl w:ilvl="7" w:tplc="08090003" w:tentative="1">
      <w:start w:val="1"/>
      <w:numFmt w:val="bullet"/>
      <w:lvlText w:val="o"/>
      <w:lvlJc w:val="left"/>
      <w:pPr>
        <w:ind w:left="12204" w:hanging="360"/>
      </w:pPr>
      <w:rPr>
        <w:rFonts w:ascii="Courier New" w:hAnsi="Courier New" w:cs="Courier New" w:hint="default"/>
      </w:rPr>
    </w:lvl>
    <w:lvl w:ilvl="8" w:tplc="08090005" w:tentative="1">
      <w:start w:val="1"/>
      <w:numFmt w:val="bullet"/>
      <w:lvlText w:val=""/>
      <w:lvlJc w:val="left"/>
      <w:pPr>
        <w:ind w:left="12924" w:hanging="360"/>
      </w:pPr>
      <w:rPr>
        <w:rFonts w:ascii="Wingdings" w:hAnsi="Wingdings" w:hint="default"/>
      </w:rPr>
    </w:lvl>
  </w:abstractNum>
  <w:abstractNum w:abstractNumId="28">
    <w:nsid w:val="5BC00F0C"/>
    <w:multiLevelType w:val="hybridMultilevel"/>
    <w:tmpl w:val="07C8F40E"/>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D26346D"/>
    <w:multiLevelType w:val="multilevel"/>
    <w:tmpl w:val="F934F8FE"/>
    <w:styleLink w:val="Style2"/>
    <w:lvl w:ilvl="0">
      <w:start w:val="1"/>
      <w:numFmt w:val="decimal"/>
      <w:lvlText w:val="%1.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30">
    <w:nsid w:val="5FD5448E"/>
    <w:multiLevelType w:val="hybridMultilevel"/>
    <w:tmpl w:val="4DD8C3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60F9799C"/>
    <w:multiLevelType w:val="hybridMultilevel"/>
    <w:tmpl w:val="7020EDCC"/>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10F5259"/>
    <w:multiLevelType w:val="hybridMultilevel"/>
    <w:tmpl w:val="E9F870BC"/>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2D30285"/>
    <w:multiLevelType w:val="hybridMultilevel"/>
    <w:tmpl w:val="8BEC817A"/>
    <w:lvl w:ilvl="0" w:tplc="888E4874">
      <w:start w:val="1"/>
      <w:numFmt w:val="bullet"/>
      <w:lvlText w:val=""/>
      <w:lvlJc w:val="left"/>
      <w:pPr>
        <w:ind w:left="1346" w:hanging="360"/>
      </w:pPr>
      <w:rPr>
        <w:rFonts w:ascii="Symbol" w:hAnsi="Symbol" w:hint="default"/>
      </w:rPr>
    </w:lvl>
    <w:lvl w:ilvl="1" w:tplc="08090003" w:tentative="1">
      <w:start w:val="1"/>
      <w:numFmt w:val="bullet"/>
      <w:lvlText w:val="o"/>
      <w:lvlJc w:val="left"/>
      <w:pPr>
        <w:ind w:left="2066" w:hanging="360"/>
      </w:pPr>
      <w:rPr>
        <w:rFonts w:ascii="Courier New" w:hAnsi="Courier New" w:cs="Courier New" w:hint="default"/>
      </w:rPr>
    </w:lvl>
    <w:lvl w:ilvl="2" w:tplc="08090005" w:tentative="1">
      <w:start w:val="1"/>
      <w:numFmt w:val="bullet"/>
      <w:lvlText w:val=""/>
      <w:lvlJc w:val="left"/>
      <w:pPr>
        <w:ind w:left="2786" w:hanging="360"/>
      </w:pPr>
      <w:rPr>
        <w:rFonts w:ascii="Wingdings" w:hAnsi="Wingdings" w:hint="default"/>
      </w:rPr>
    </w:lvl>
    <w:lvl w:ilvl="3" w:tplc="08090001" w:tentative="1">
      <w:start w:val="1"/>
      <w:numFmt w:val="bullet"/>
      <w:lvlText w:val=""/>
      <w:lvlJc w:val="left"/>
      <w:pPr>
        <w:ind w:left="3506" w:hanging="360"/>
      </w:pPr>
      <w:rPr>
        <w:rFonts w:ascii="Symbol" w:hAnsi="Symbol" w:hint="default"/>
      </w:rPr>
    </w:lvl>
    <w:lvl w:ilvl="4" w:tplc="08090003" w:tentative="1">
      <w:start w:val="1"/>
      <w:numFmt w:val="bullet"/>
      <w:lvlText w:val="o"/>
      <w:lvlJc w:val="left"/>
      <w:pPr>
        <w:ind w:left="4226" w:hanging="360"/>
      </w:pPr>
      <w:rPr>
        <w:rFonts w:ascii="Courier New" w:hAnsi="Courier New" w:cs="Courier New" w:hint="default"/>
      </w:rPr>
    </w:lvl>
    <w:lvl w:ilvl="5" w:tplc="08090005" w:tentative="1">
      <w:start w:val="1"/>
      <w:numFmt w:val="bullet"/>
      <w:lvlText w:val=""/>
      <w:lvlJc w:val="left"/>
      <w:pPr>
        <w:ind w:left="4946" w:hanging="360"/>
      </w:pPr>
      <w:rPr>
        <w:rFonts w:ascii="Wingdings" w:hAnsi="Wingdings" w:hint="default"/>
      </w:rPr>
    </w:lvl>
    <w:lvl w:ilvl="6" w:tplc="08090001" w:tentative="1">
      <w:start w:val="1"/>
      <w:numFmt w:val="bullet"/>
      <w:lvlText w:val=""/>
      <w:lvlJc w:val="left"/>
      <w:pPr>
        <w:ind w:left="5666" w:hanging="360"/>
      </w:pPr>
      <w:rPr>
        <w:rFonts w:ascii="Symbol" w:hAnsi="Symbol" w:hint="default"/>
      </w:rPr>
    </w:lvl>
    <w:lvl w:ilvl="7" w:tplc="08090003" w:tentative="1">
      <w:start w:val="1"/>
      <w:numFmt w:val="bullet"/>
      <w:lvlText w:val="o"/>
      <w:lvlJc w:val="left"/>
      <w:pPr>
        <w:ind w:left="6386" w:hanging="360"/>
      </w:pPr>
      <w:rPr>
        <w:rFonts w:ascii="Courier New" w:hAnsi="Courier New" w:cs="Courier New" w:hint="default"/>
      </w:rPr>
    </w:lvl>
    <w:lvl w:ilvl="8" w:tplc="08090005" w:tentative="1">
      <w:start w:val="1"/>
      <w:numFmt w:val="bullet"/>
      <w:lvlText w:val=""/>
      <w:lvlJc w:val="left"/>
      <w:pPr>
        <w:ind w:left="7106" w:hanging="360"/>
      </w:pPr>
      <w:rPr>
        <w:rFonts w:ascii="Wingdings" w:hAnsi="Wingdings" w:hint="default"/>
      </w:rPr>
    </w:lvl>
  </w:abstractNum>
  <w:abstractNum w:abstractNumId="34">
    <w:nsid w:val="679B039E"/>
    <w:multiLevelType w:val="hybridMultilevel"/>
    <w:tmpl w:val="C38ECD2E"/>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B501932"/>
    <w:multiLevelType w:val="multilevel"/>
    <w:tmpl w:val="AEFC9EA4"/>
    <w:lvl w:ilvl="0">
      <w:start w:val="1"/>
      <w:numFmt w:val="bullet"/>
      <w:lvlText w:val=""/>
      <w:lvlJc w:val="left"/>
      <w:pPr>
        <w:ind w:left="432" w:hanging="432"/>
      </w:pPr>
      <w:rPr>
        <w:rFonts w:ascii="Symbol" w:hAnsi="Symbol"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960" w:hanging="720"/>
      </w:pPr>
      <w:rPr>
        <w:rFonts w:hint="default"/>
        <w:sz w:val="32"/>
        <w:szCs w:val="32"/>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nsid w:val="6D923E5F"/>
    <w:multiLevelType w:val="multilevel"/>
    <w:tmpl w:val="083E9392"/>
    <w:lvl w:ilvl="0">
      <w:start w:val="1"/>
      <w:numFmt w:val="bullet"/>
      <w:lvlText w:val=""/>
      <w:lvlJc w:val="left"/>
      <w:pPr>
        <w:ind w:left="432" w:hanging="432"/>
      </w:pPr>
      <w:rPr>
        <w:rFonts w:ascii="Symbol" w:hAnsi="Symbol"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960" w:hanging="720"/>
      </w:pPr>
      <w:rPr>
        <w:rFonts w:hint="default"/>
        <w:sz w:val="32"/>
        <w:szCs w:val="32"/>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nsid w:val="6F7779A8"/>
    <w:multiLevelType w:val="hybridMultilevel"/>
    <w:tmpl w:val="0358BA42"/>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0D74490"/>
    <w:multiLevelType w:val="hybridMultilevel"/>
    <w:tmpl w:val="F600E928"/>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42F6D1A"/>
    <w:multiLevelType w:val="multilevel"/>
    <w:tmpl w:val="AC42CB9C"/>
    <w:lvl w:ilvl="0">
      <w:start w:val="1"/>
      <w:numFmt w:val="bullet"/>
      <w:lvlText w:val=""/>
      <w:lvlJc w:val="left"/>
      <w:pPr>
        <w:ind w:left="432" w:hanging="432"/>
      </w:pPr>
      <w:rPr>
        <w:rFonts w:ascii="Symbol" w:hAnsi="Symbol" w:hint="default"/>
      </w:rPr>
    </w:lvl>
    <w:lvl w:ilvl="1">
      <w:start w:val="1"/>
      <w:numFmt w:val="bullet"/>
      <w:lvlText w:val="o"/>
      <w:lvlJc w:val="left"/>
      <w:pPr>
        <w:ind w:left="576" w:hanging="576"/>
      </w:pPr>
      <w:rPr>
        <w:rFonts w:ascii="Courier New" w:hAnsi="Courier New" w:cs="Courier New" w:hint="default"/>
      </w:rPr>
    </w:lvl>
    <w:lvl w:ilvl="2">
      <w:start w:val="1"/>
      <w:numFmt w:val="decimal"/>
      <w:lvlText w:val="%1.%2.%3"/>
      <w:lvlJc w:val="left"/>
      <w:pPr>
        <w:ind w:left="960" w:hanging="720"/>
      </w:pPr>
      <w:rPr>
        <w:rFonts w:hint="default"/>
        <w:sz w:val="32"/>
        <w:szCs w:val="32"/>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746642BC"/>
    <w:multiLevelType w:val="multilevel"/>
    <w:tmpl w:val="B59E17DE"/>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decimal"/>
      <w:lvlText w:val="%1.%2.%3"/>
      <w:lvlJc w:val="left"/>
      <w:pPr>
        <w:ind w:left="960" w:hanging="720"/>
      </w:pPr>
      <w:rPr>
        <w:rFonts w:hint="default"/>
        <w:sz w:val="32"/>
        <w:szCs w:val="32"/>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nsid w:val="77A07542"/>
    <w:multiLevelType w:val="hybridMultilevel"/>
    <w:tmpl w:val="7024A8A0"/>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7E97CFF"/>
    <w:multiLevelType w:val="multilevel"/>
    <w:tmpl w:val="41B641A0"/>
    <w:lvl w:ilvl="0">
      <w:start w:val="1"/>
      <w:numFmt w:val="bullet"/>
      <w:lvlText w:val=""/>
      <w:lvlJc w:val="left"/>
      <w:pPr>
        <w:ind w:left="432" w:hanging="432"/>
      </w:pPr>
      <w:rPr>
        <w:rFonts w:ascii="Symbol" w:hAnsi="Symbol" w:hint="default"/>
      </w:rPr>
    </w:lvl>
    <w:lvl w:ilvl="1">
      <w:start w:val="1"/>
      <w:numFmt w:val="bullet"/>
      <w:lvlText w:val="o"/>
      <w:lvlJc w:val="left"/>
      <w:pPr>
        <w:ind w:left="576" w:hanging="576"/>
      </w:pPr>
      <w:rPr>
        <w:rFonts w:ascii="Courier New" w:hAnsi="Courier New" w:cs="Courier New" w:hint="default"/>
      </w:rPr>
    </w:lvl>
    <w:lvl w:ilvl="2">
      <w:start w:val="1"/>
      <w:numFmt w:val="decimal"/>
      <w:lvlText w:val="%1.%2.%3"/>
      <w:lvlJc w:val="left"/>
      <w:pPr>
        <w:ind w:left="960" w:hanging="720"/>
      </w:pPr>
      <w:rPr>
        <w:rFonts w:hint="default"/>
        <w:sz w:val="32"/>
        <w:szCs w:val="32"/>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nsid w:val="78CC7014"/>
    <w:multiLevelType w:val="multilevel"/>
    <w:tmpl w:val="14566EFA"/>
    <w:lvl w:ilvl="0">
      <w:start w:val="1"/>
      <w:numFmt w:val="bullet"/>
      <w:lvlText w:val=""/>
      <w:lvlJc w:val="left"/>
      <w:pPr>
        <w:ind w:left="432" w:hanging="432"/>
      </w:pPr>
      <w:rPr>
        <w:rFonts w:ascii="Symbol" w:hAnsi="Symbol"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960" w:hanging="720"/>
      </w:pPr>
      <w:rPr>
        <w:rFonts w:hint="default"/>
        <w:sz w:val="32"/>
        <w:szCs w:val="32"/>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nsid w:val="7B9C559C"/>
    <w:multiLevelType w:val="hybridMultilevel"/>
    <w:tmpl w:val="45EAB6B2"/>
    <w:lvl w:ilvl="0" w:tplc="08090001">
      <w:start w:val="1"/>
      <w:numFmt w:val="bullet"/>
      <w:lvlText w:val=""/>
      <w:lvlJc w:val="left"/>
      <w:pPr>
        <w:ind w:left="720" w:hanging="360"/>
      </w:pPr>
      <w:rPr>
        <w:rFonts w:ascii="Symbol" w:hAnsi="Symbol" w:hint="default"/>
      </w:rPr>
    </w:lvl>
    <w:lvl w:ilvl="1" w:tplc="57408858">
      <w:numFmt w:val="bullet"/>
      <w:lvlText w:val="•"/>
      <w:lvlJc w:val="left"/>
      <w:pPr>
        <w:ind w:left="1800" w:hanging="720"/>
      </w:pPr>
      <w:rPr>
        <w:rFonts w:ascii="Times New Roman" w:eastAsia="Calibr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FCD3F8F"/>
    <w:multiLevelType w:val="hybridMultilevel"/>
    <w:tmpl w:val="3780B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8"/>
  </w:num>
  <w:num w:numId="5">
    <w:abstractNumId w:val="24"/>
  </w:num>
  <w:num w:numId="6">
    <w:abstractNumId w:val="45"/>
  </w:num>
  <w:num w:numId="7">
    <w:abstractNumId w:val="22"/>
  </w:num>
  <w:num w:numId="8">
    <w:abstractNumId w:val="15"/>
  </w:num>
  <w:num w:numId="9">
    <w:abstractNumId w:val="26"/>
  </w:num>
  <w:num w:numId="10">
    <w:abstractNumId w:val="14"/>
  </w:num>
  <w:num w:numId="11">
    <w:abstractNumId w:val="31"/>
  </w:num>
  <w:num w:numId="12">
    <w:abstractNumId w:val="38"/>
  </w:num>
  <w:num w:numId="13">
    <w:abstractNumId w:val="41"/>
  </w:num>
  <w:num w:numId="14">
    <w:abstractNumId w:val="18"/>
  </w:num>
  <w:num w:numId="15">
    <w:abstractNumId w:val="32"/>
  </w:num>
  <w:num w:numId="16">
    <w:abstractNumId w:val="44"/>
  </w:num>
  <w:num w:numId="17">
    <w:abstractNumId w:val="17"/>
  </w:num>
  <w:num w:numId="18">
    <w:abstractNumId w:val="29"/>
  </w:num>
  <w:num w:numId="19">
    <w:abstractNumId w:val="7"/>
  </w:num>
  <w:num w:numId="20">
    <w:abstractNumId w:val="23"/>
  </w:num>
  <w:num w:numId="21">
    <w:abstractNumId w:val="13"/>
  </w:num>
  <w:num w:numId="22">
    <w:abstractNumId w:val="9"/>
  </w:num>
  <w:num w:numId="23">
    <w:abstractNumId w:val="28"/>
  </w:num>
  <w:num w:numId="24">
    <w:abstractNumId w:val="27"/>
  </w:num>
  <w:num w:numId="25">
    <w:abstractNumId w:val="19"/>
  </w:num>
  <w:num w:numId="26">
    <w:abstractNumId w:val="20"/>
  </w:num>
  <w:num w:numId="27">
    <w:abstractNumId w:val="40"/>
  </w:num>
  <w:num w:numId="28">
    <w:abstractNumId w:val="42"/>
  </w:num>
  <w:num w:numId="29">
    <w:abstractNumId w:val="39"/>
  </w:num>
  <w:num w:numId="30">
    <w:abstractNumId w:val="21"/>
  </w:num>
  <w:num w:numId="31">
    <w:abstractNumId w:val="12"/>
  </w:num>
  <w:num w:numId="32">
    <w:abstractNumId w:val="11"/>
  </w:num>
  <w:num w:numId="33">
    <w:abstractNumId w:val="1"/>
  </w:num>
  <w:num w:numId="34">
    <w:abstractNumId w:val="33"/>
  </w:num>
  <w:num w:numId="35">
    <w:abstractNumId w:val="37"/>
  </w:num>
  <w:num w:numId="36">
    <w:abstractNumId w:val="25"/>
  </w:num>
  <w:num w:numId="37">
    <w:abstractNumId w:val="30"/>
  </w:num>
  <w:num w:numId="38">
    <w:abstractNumId w:val="16"/>
  </w:num>
  <w:num w:numId="39">
    <w:abstractNumId w:val="35"/>
  </w:num>
  <w:num w:numId="40">
    <w:abstractNumId w:val="36"/>
  </w:num>
  <w:num w:numId="41">
    <w:abstractNumId w:val="43"/>
  </w:num>
  <w:num w:numId="42">
    <w:abstractNumId w:val="6"/>
  </w:num>
  <w:num w:numId="43">
    <w:abstractNumId w:val="5"/>
  </w:num>
  <w:num w:numId="44">
    <w:abstractNumId w:val="34"/>
  </w:num>
  <w:num w:numId="45">
    <w:abstractNumId w:val="4"/>
  </w:num>
  <w:num w:numId="46">
    <w:abstractNumId w:val="1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0"/>
  <w:activeWritingStyle w:appName="MSWord" w:lang="es-ES" w:vendorID="64" w:dllVersion="131078" w:nlCheck="1" w:checkStyle="0"/>
  <w:activeWritingStyle w:appName="MSWord" w:lang="fr-FR" w:vendorID="64" w:dllVersion="131078" w:nlCheck="1" w:checkStyle="0"/>
  <w:activeWritingStyle w:appName="MSWord" w:lang="fi-FI" w:vendorID="64" w:dllVersion="131078" w:nlCheck="1" w:checkStyle="0"/>
  <w:activeWritingStyle w:appName="MSWord" w:lang="it-IT" w:vendorID="64" w:dllVersion="131078" w:nlCheck="1" w:checkStyle="0"/>
  <w:activeWritingStyle w:appName="MSWord" w:lang="pt-PT" w:vendorID="64" w:dllVersion="131078" w:nlCheck="1" w:checkStyle="0"/>
  <w:activeWritingStyle w:appName="MSWord" w:lang="da-DK" w:vendorID="64" w:dllVersion="131078" w:nlCheck="1" w:checkStyle="0"/>
  <w:activeWritingStyle w:appName="MSWord" w:lang="en-IE" w:vendorID="64" w:dllVersion="131078" w:nlCheck="1" w:checkStyle="1"/>
  <w:revisionView w:markup="0"/>
  <w:defaultTabStop w:val="720"/>
  <w:hyphenationZone w:val="425"/>
  <w:characterSpacingControl w:val="doNotCompress"/>
  <w:hdrShapeDefaults>
    <o:shapedefaults v:ext="edit" spidmax="43009"/>
  </w:hdrShapeDefaults>
  <w:footnotePr>
    <w:numStart w:val="13"/>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2EC9AE63-AAA4-44F1-9417-D4737CA6A7F4"/>
    <w:docVar w:name="LW_COVERPAGE_TYPE" w:val="1"/>
    <w:docVar w:name="LW_CROSSREFERENCE" w:val="{COM(2020) 951 final}"/>
    <w:docVar w:name="LW_DocType" w:val="NORMAL"/>
    <w:docVar w:name="LW_EMISSION" w:val="14.10.2020"/>
    <w:docVar w:name="LW_EMISSION_ISODATE" w:val="2020-10-14"/>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Energy prices and costs in Europe"/>
    <w:docVar w:name="LW_PART_NBR" w:val="2"/>
    <w:docVar w:name="LW_PART_NBR_TOTAL" w:val="6"/>
    <w:docVar w:name="LW_REF.INST.NEW" w:val="SWD"/>
    <w:docVar w:name="LW_REF.INST.NEW_ADOPTED" w:val="final"/>
    <w:docVar w:name="LW_REF.INST.NEW_TEXT" w:val="(2020) 95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OUS.TITRE.OBJ.CP" w:val="&lt;UNUSED&gt;"/>
    <w:docVar w:name="LW_SUPERTITRE" w:val="&lt;UNUSED&gt;"/>
    <w:docVar w:name="LW_TITRE.OBJ.CP" w:val="&lt;UNUSED&gt;"/>
    <w:docVar w:name="LW_TYPE.DOC.CP" w:val="COMMISSION STAFF WORKING DOCUMENT"/>
    <w:docVar w:name="LW_TYPEACTEPRINCIPAL.CP" w:val="REPORT FROM THE COMMISSION TO THE EUROPEAN PARLIAMENT, THE COUNCIL, THE EUROPEAN ECONOMIC AND SOCIAL COMMITTEE AND THE COMMITTEE OF THE REGIONS"/>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qFormat="1"/>
    <w:lsdException w:name="List Bullet 3" w:uiPriority="0"/>
    <w:lsdException w:name="List Bullet 5"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jc w:val="both"/>
    </w:pPr>
    <w:rPr>
      <w:rFonts w:ascii="Times New Roman" w:hAnsi="Times New Roman"/>
      <w:sz w:val="22"/>
      <w:szCs w:val="22"/>
      <w:lang w:eastAsia="en-US"/>
    </w:rPr>
  </w:style>
  <w:style w:type="paragraph" w:styleId="Heading1">
    <w:name w:val="heading 1"/>
    <w:aliases w:val="(Section),MOVE-it 1,Heading 11,Hoofdstuk,Επικεφαλίδα 1 ΌΧΙ,Heading 1 - Main Heading of Document,F3 Heading 1 - Section,Numbered - 1,Section,Chapter Hdg,h1,CH TITLE 1,Chapter Heading,AChapter,Sub code header,Chapter,NEA1,1,Phare,section head"/>
    <w:basedOn w:val="Normal"/>
    <w:next w:val="Normal"/>
    <w:link w:val="Heading1Char"/>
    <w:qFormat/>
    <w:pPr>
      <w:keepNext/>
      <w:keepLines/>
      <w:spacing w:before="480" w:after="0"/>
      <w:ind w:left="432" w:hanging="432"/>
      <w:outlineLvl w:val="0"/>
    </w:pPr>
    <w:rPr>
      <w:rFonts w:eastAsia="Times New Roman"/>
      <w:b/>
      <w:bCs/>
      <w:color w:val="000000"/>
      <w:sz w:val="32"/>
      <w:szCs w:val="32"/>
    </w:rPr>
  </w:style>
  <w:style w:type="paragraph" w:styleId="Heading2">
    <w:name w:val="heading 2"/>
    <w:aliases w:val="Heading 2 Annex,2,Paragraaf,NEA2,14,H2,Se,Section1,Section2,Section3,NEA21,subhead 1,h2,subhead 11,h21,subhead 12,h22,subhead 13,h23,subhead 14,h24,subhead 15,h25,subhead 111,h211,subhead 121,h221,subhead 131,h231,subhead 141,h241,subhead 16"/>
    <w:basedOn w:val="Normal"/>
    <w:next w:val="Normal"/>
    <w:link w:val="Heading2Char"/>
    <w:unhideWhenUsed/>
    <w:qFormat/>
    <w:pPr>
      <w:keepNext/>
      <w:keepLines/>
      <w:spacing w:before="200" w:after="0"/>
      <w:outlineLvl w:val="1"/>
    </w:pPr>
    <w:rPr>
      <w:rFonts w:eastAsia="Times New Roman"/>
      <w:b/>
      <w:bCs/>
      <w:color w:val="000000"/>
      <w:sz w:val="32"/>
      <w:szCs w:val="32"/>
    </w:rPr>
  </w:style>
  <w:style w:type="paragraph" w:styleId="Heading3">
    <w:name w:val="heading 3"/>
    <w:aliases w:val="Heading 31,Heading 32,Heading 33,Heading 34,Heading 35,Heading 36,Heading 311,Heading 321,Heading 331,Heading 341,Heading 351,Heading 37,Heading 312,Heading 322,Heading 332,Heading 342,Heading 352,Heading 313,Heading 323,Heading 333,NEA3,h3"/>
    <w:basedOn w:val="Normal"/>
    <w:next w:val="Normal"/>
    <w:link w:val="Heading3Char"/>
    <w:unhideWhenUsed/>
    <w:qFormat/>
    <w:pPr>
      <w:keepNext/>
      <w:keepLines/>
      <w:spacing w:before="200" w:after="0"/>
      <w:ind w:left="720" w:hanging="720"/>
      <w:outlineLvl w:val="2"/>
    </w:pPr>
    <w:rPr>
      <w:rFonts w:eastAsia="Times New Roman"/>
      <w:b/>
      <w:bCs/>
      <w:color w:val="000000"/>
      <w:sz w:val="32"/>
      <w:szCs w:val="32"/>
    </w:rPr>
  </w:style>
  <w:style w:type="paragraph" w:styleId="Heading4">
    <w:name w:val="heading 4"/>
    <w:basedOn w:val="Normal"/>
    <w:next w:val="Normal"/>
    <w:link w:val="Heading4Char"/>
    <w:unhideWhenUsed/>
    <w:qFormat/>
    <w:pPr>
      <w:keepNext/>
      <w:keepLines/>
      <w:spacing w:before="200" w:after="0"/>
      <w:ind w:left="2880" w:hanging="360"/>
      <w:outlineLvl w:val="3"/>
    </w:pPr>
    <w:rPr>
      <w:rFonts w:eastAsia="Times New Roman"/>
      <w:b/>
      <w:bCs/>
      <w:iCs/>
      <w:color w:val="000000"/>
      <w:sz w:val="32"/>
      <w:szCs w:val="32"/>
    </w:rPr>
  </w:style>
  <w:style w:type="paragraph" w:styleId="Heading5">
    <w:name w:val="heading 5"/>
    <w:basedOn w:val="Heading3"/>
    <w:next w:val="Normal"/>
    <w:link w:val="Heading5Char"/>
    <w:qFormat/>
    <w:pPr>
      <w:keepLines w:val="0"/>
      <w:tabs>
        <w:tab w:val="left" w:pos="1134"/>
      </w:tabs>
      <w:spacing w:before="283" w:after="283" w:line="283" w:lineRule="exact"/>
      <w:ind w:left="3600" w:hanging="360"/>
      <w:outlineLvl w:val="4"/>
    </w:pPr>
    <w:rPr>
      <w:bCs w:val="0"/>
      <w:color w:val="auto"/>
      <w:kern w:val="32"/>
      <w:sz w:val="22"/>
      <w:szCs w:val="22"/>
      <w:lang w:val="de-DE" w:eastAsia="de-DE"/>
    </w:rPr>
  </w:style>
  <w:style w:type="paragraph" w:styleId="Heading6">
    <w:name w:val="heading 6"/>
    <w:basedOn w:val="Normal"/>
    <w:next w:val="Normal"/>
    <w:link w:val="Heading6Char"/>
    <w:qFormat/>
    <w:pPr>
      <w:tabs>
        <w:tab w:val="left" w:pos="1474"/>
      </w:tabs>
      <w:spacing w:after="283"/>
      <w:ind w:left="4320" w:hanging="180"/>
      <w:outlineLvl w:val="5"/>
    </w:pPr>
    <w:rPr>
      <w:rFonts w:ascii="Verdana" w:eastAsia="Times New Roman" w:hAnsi="Verdana"/>
      <w:b/>
      <w:lang w:eastAsia="de-DE"/>
    </w:rPr>
  </w:style>
  <w:style w:type="paragraph" w:styleId="Heading7">
    <w:name w:val="heading 7"/>
    <w:basedOn w:val="Normal"/>
    <w:next w:val="Normal"/>
    <w:link w:val="Heading7Char"/>
    <w:qFormat/>
    <w:pPr>
      <w:tabs>
        <w:tab w:val="left" w:pos="1701"/>
      </w:tabs>
      <w:spacing w:after="283" w:line="283" w:lineRule="atLeast"/>
      <w:ind w:left="5040" w:hanging="360"/>
      <w:outlineLvl w:val="6"/>
    </w:pPr>
    <w:rPr>
      <w:rFonts w:ascii="Verdana" w:eastAsia="Times New Roman" w:hAnsi="Verdana"/>
      <w:b/>
      <w:sz w:val="18"/>
      <w:szCs w:val="24"/>
      <w:lang w:val="de-DE" w:eastAsia="de-DE"/>
    </w:rPr>
  </w:style>
  <w:style w:type="paragraph" w:styleId="Heading8">
    <w:name w:val="heading 8"/>
    <w:basedOn w:val="Normal"/>
    <w:next w:val="Normal"/>
    <w:link w:val="Heading8Char"/>
    <w:qFormat/>
    <w:pPr>
      <w:tabs>
        <w:tab w:val="left" w:pos="2268"/>
      </w:tabs>
      <w:spacing w:after="283" w:line="283" w:lineRule="atLeast"/>
      <w:ind w:left="5760" w:hanging="360"/>
      <w:outlineLvl w:val="7"/>
    </w:pPr>
    <w:rPr>
      <w:rFonts w:ascii="Verdana" w:eastAsia="Times New Roman" w:hAnsi="Verdana"/>
      <w:b/>
      <w:iCs/>
      <w:sz w:val="18"/>
      <w:szCs w:val="24"/>
      <w:lang w:val="de-DE" w:eastAsia="de-DE"/>
    </w:rPr>
  </w:style>
  <w:style w:type="paragraph" w:styleId="Heading9">
    <w:name w:val="heading 9"/>
    <w:basedOn w:val="Normal"/>
    <w:next w:val="Normal"/>
    <w:link w:val="Heading9Char"/>
    <w:qFormat/>
    <w:pPr>
      <w:tabs>
        <w:tab w:val="left" w:pos="2551"/>
      </w:tabs>
      <w:spacing w:after="283" w:line="283" w:lineRule="atLeast"/>
      <w:ind w:left="6480" w:hanging="180"/>
      <w:outlineLvl w:val="8"/>
    </w:pPr>
    <w:rPr>
      <w:rFonts w:ascii="Verdana" w:eastAsia="Times New Roman" w:hAnsi="Verdana" w:cs="Arial"/>
      <w:b/>
      <w:sz w:val="18"/>
      <w:lang w:val="de-DE" w:eastAsia="de-D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MOVE-it 1 Char,Heading 11 Char,Hoofdstuk Char,Επικεφαλίδα 1 ΌΧΙ Char,Heading 1 - Main Heading of Document Char,F3 Heading 1 - Section Char,Numbered - 1 Char,Section Char,Chapter Hdg Char,h1 Char,CH TITLE 1 Char,Chapter Char"/>
    <w:link w:val="Heading1"/>
    <w:rPr>
      <w:rFonts w:ascii="Times New Roman" w:eastAsia="Times New Roman" w:hAnsi="Times New Roman"/>
      <w:b/>
      <w:bCs/>
      <w:color w:val="000000"/>
      <w:sz w:val="32"/>
      <w:szCs w:val="32"/>
      <w:lang w:eastAsia="en-US"/>
    </w:rPr>
  </w:style>
  <w:style w:type="character" w:customStyle="1" w:styleId="Heading2Char">
    <w:name w:val="Heading 2 Char"/>
    <w:aliases w:val="Heading 2 Annex Char,2 Char,Paragraaf Char,NEA2 Char,14 Char,H2 Char,Se Char,Section1 Char,Section2 Char,Section3 Char,NEA21 Char,subhead 1 Char,h2 Char,subhead 11 Char,h21 Char,subhead 12 Char,h22 Char,subhead 13 Char,h23 Char,h24 Char"/>
    <w:link w:val="Heading2"/>
    <w:rPr>
      <w:rFonts w:ascii="Times New Roman" w:eastAsia="Times New Roman" w:hAnsi="Times New Roman"/>
      <w:b/>
      <w:bCs/>
      <w:color w:val="000000"/>
      <w:sz w:val="32"/>
      <w:szCs w:val="32"/>
      <w:lang w:eastAsia="en-US"/>
    </w:rPr>
  </w:style>
  <w:style w:type="character" w:customStyle="1" w:styleId="Heading3Char">
    <w:name w:val="Heading 3 Char"/>
    <w:aliases w:val="Heading 31 Char,Heading 32 Char,Heading 33 Char,Heading 34 Char,Heading 35 Char,Heading 36 Char,Heading 311 Char,Heading 321 Char,Heading 331 Char,Heading 341 Char,Heading 351 Char,Heading 37 Char,Heading 312 Char,Heading 322 Char,h3 Char"/>
    <w:link w:val="Heading3"/>
    <w:rPr>
      <w:rFonts w:ascii="Times New Roman" w:eastAsia="Times New Roman" w:hAnsi="Times New Roman"/>
      <w:b/>
      <w:bCs/>
      <w:color w:val="000000"/>
      <w:sz w:val="32"/>
      <w:szCs w:val="32"/>
      <w:lang w:eastAsia="en-US"/>
    </w:rPr>
  </w:style>
  <w:style w:type="character" w:customStyle="1" w:styleId="Heading4Char">
    <w:name w:val="Heading 4 Char"/>
    <w:link w:val="Heading4"/>
    <w:rPr>
      <w:rFonts w:ascii="Times New Roman" w:eastAsia="Times New Roman" w:hAnsi="Times New Roman"/>
      <w:b/>
      <w:bCs/>
      <w:iCs/>
      <w:color w:val="000000"/>
      <w:sz w:val="32"/>
      <w:szCs w:val="32"/>
      <w:lang w:eastAsia="en-US"/>
    </w:rPr>
  </w:style>
  <w:style w:type="paragraph" w:styleId="TOCHeading">
    <w:name w:val="TOC Heading"/>
    <w:basedOn w:val="Heading1"/>
    <w:next w:val="Normal"/>
    <w:uiPriority w:val="39"/>
    <w:unhideWhenUsed/>
    <w:qFormat/>
    <w:pPr>
      <w:outlineLvl w:val="9"/>
    </w:pPr>
    <w:rPr>
      <w:color w:val="365F91"/>
      <w:lang w:val="en-US" w:eastAsia="ja-JP"/>
    </w:rPr>
  </w:style>
  <w:style w:type="paragraph" w:styleId="TOC1">
    <w:name w:val="toc 1"/>
    <w:basedOn w:val="Normal"/>
    <w:next w:val="Normal"/>
    <w:autoRedefine/>
    <w:uiPriority w:val="39"/>
    <w:unhideWhenUsed/>
    <w:qFormat/>
    <w:pPr>
      <w:tabs>
        <w:tab w:val="right" w:leader="dot" w:pos="9062"/>
      </w:tabs>
      <w:spacing w:after="0"/>
      <w:jc w:val="left"/>
    </w:pPr>
    <w:rPr>
      <w:rFonts w:asciiTheme="minorHAnsi" w:hAnsiTheme="minorHAnsi" w:cstheme="minorHAnsi"/>
      <w:b/>
      <w:bCs/>
      <w:caps/>
      <w:sz w:val="20"/>
      <w:szCs w:val="20"/>
    </w:rPr>
  </w:style>
  <w:style w:type="paragraph" w:styleId="TOC2">
    <w:name w:val="toc 2"/>
    <w:basedOn w:val="Normal"/>
    <w:next w:val="Normal"/>
    <w:autoRedefine/>
    <w:uiPriority w:val="39"/>
    <w:unhideWhenUsed/>
    <w:qFormat/>
    <w:pPr>
      <w:tabs>
        <w:tab w:val="left" w:pos="880"/>
        <w:tab w:val="right" w:leader="dot" w:pos="9062"/>
      </w:tabs>
      <w:spacing w:after="0"/>
      <w:ind w:left="221" w:firstLine="19"/>
      <w:jc w:val="left"/>
    </w:pPr>
    <w:rPr>
      <w:rFonts w:asciiTheme="minorHAnsi" w:hAnsiTheme="minorHAnsi" w:cstheme="minorHAnsi"/>
      <w:smallCaps/>
      <w:noProof/>
      <w:sz w:val="20"/>
      <w:szCs w:val="20"/>
    </w:rPr>
  </w:style>
  <w:style w:type="paragraph" w:styleId="TOC3">
    <w:name w:val="toc 3"/>
    <w:basedOn w:val="Normal"/>
    <w:next w:val="Normal"/>
    <w:autoRedefine/>
    <w:uiPriority w:val="39"/>
    <w:unhideWhenUsed/>
    <w:qFormat/>
    <w:pPr>
      <w:spacing w:after="0"/>
      <w:ind w:left="440"/>
      <w:jc w:val="left"/>
    </w:pPr>
    <w:rPr>
      <w:rFonts w:asciiTheme="minorHAnsi" w:hAnsiTheme="minorHAnsi" w:cstheme="minorHAnsi"/>
      <w:i/>
      <w:iCs/>
      <w:sz w:val="20"/>
      <w:szCs w:val="20"/>
    </w:rPr>
  </w:style>
  <w:style w:type="character" w:styleId="Hyperlink">
    <w:name w:val="Hyperlink"/>
    <w:uiPriority w:val="99"/>
    <w:unhideWhenUsed/>
    <w:rPr>
      <w:color w:val="0000FF"/>
      <w:u w:val="single"/>
    </w:rPr>
  </w:style>
  <w:style w:type="paragraph" w:styleId="FootnoteText">
    <w:name w:val="footnote text"/>
    <w:aliases w:val="Footnote text,Fußnote,Fu§notentext Char,Fu§notentext Char1 Char1,Fu§notentext Char Char Char Char,Fu§notentext Char1 Char Char Char,Fu§notentext Char Char,Fu§notentext Char Char Char Char Char Char,Footnote Text Char Char,stile 1,Footnot"/>
    <w:basedOn w:val="Normal"/>
    <w:link w:val="FootnoteTextChar"/>
    <w:uiPriority w:val="99"/>
    <w:qFormat/>
    <w:pPr>
      <w:spacing w:after="0"/>
    </w:pPr>
    <w:rPr>
      <w:rFonts w:eastAsia="Times New Roman"/>
      <w:color w:val="333333"/>
      <w:sz w:val="20"/>
      <w:szCs w:val="20"/>
      <w:lang w:eastAsia="en-GB"/>
    </w:rPr>
  </w:style>
  <w:style w:type="character" w:customStyle="1" w:styleId="FootnoteTextChar">
    <w:name w:val="Footnote Text Char"/>
    <w:aliases w:val="Footnote text Char,Fußnote Char,Fu§notentext Char Char1,Fu§notentext Char1 Char1 Char,Fu§notentext Char Char Char Char Char,Fu§notentext Char1 Char Char Char Char,Fu§notentext Char Char Char,Footnote Text Char Char Char,stile 1 Char"/>
    <w:link w:val="FootnoteText"/>
    <w:uiPriority w:val="99"/>
    <w:qFormat/>
    <w:rPr>
      <w:rFonts w:ascii="Times New Roman" w:eastAsia="Times New Roman" w:hAnsi="Times New Roman"/>
      <w:color w:val="333333"/>
    </w:rPr>
  </w:style>
  <w:style w:type="character" w:styleId="FootnoteReference">
    <w:name w:val="footnote reference"/>
    <w:aliases w:val="SUPERS,Footnote symbol,Footnote,Voetnootverwijzing,Footnote number,fr,o,Footnotemark,FR,Footnotemark1,Footnotemark2,FR1,Footnotemark3,FR2,Footnotemark4,FR3,Footnotemark5,FR4,Footnotemark6,Footnotemark7,Footnotemark8,FR5,Footnotemark11"/>
    <w:link w:val="SUPERSCharCharCharCharCharCharCharChar"/>
    <w:uiPriority w:val="99"/>
    <w:qFormat/>
    <w:rPr>
      <w:vertAlign w:val="superscript"/>
    </w:rPr>
  </w:style>
  <w:style w:type="paragraph" w:styleId="BodyText">
    <w:name w:val="Body Text"/>
    <w:aliases w:val="F4 Main Text,F2 Body Text,Document,Doc,Body Text2,doc,Standard paragraph,Text,1body,BodText,bt,body text,Body Txt,Body Text-10,Τίτλος Μελέτης,- TF,BodyText, (Norm),Body Text 12,gl,uvlaka 2,(Norm),heading3,Body Text - Level 2,Text Char1,b.,b..."/>
    <w:basedOn w:val="Normal"/>
    <w:link w:val="BodyTextChar"/>
    <w:qFormat/>
    <w:rPr>
      <w:rFonts w:ascii="Verdana" w:eastAsia="Times New Roman" w:hAnsi="Verdana"/>
      <w:color w:val="333333"/>
      <w:sz w:val="20"/>
      <w:szCs w:val="24"/>
      <w:lang w:eastAsia="en-GB"/>
    </w:rPr>
  </w:style>
  <w:style w:type="character" w:customStyle="1" w:styleId="BodyTextChar">
    <w:name w:val="Body Text Char"/>
    <w:aliases w:val="F4 Main Text Char,F2 Body Text Char,Document Char,Doc Char,Body Text2 Char,doc Char,Standard paragraph Char,Text Char,1body Char,BodText Char,bt Char,body text Char,Body Txt Char,Body Text-10 Char,Τίτλος Μελέτης Char,- TF Char,gl Char"/>
    <w:link w:val="BodyText"/>
    <w:qFormat/>
    <w:rPr>
      <w:rFonts w:ascii="Verdana" w:eastAsia="Times New Roman" w:hAnsi="Verdana" w:cs="Times New Roman"/>
      <w:color w:val="333333"/>
      <w:sz w:val="20"/>
      <w:szCs w:val="24"/>
      <w:lang w:eastAsia="en-GB"/>
    </w:rPr>
  </w:style>
  <w:style w:type="paragraph" w:styleId="ListParagraph">
    <w:name w:val="List Paragraph"/>
    <w:aliases w:val="1st level - Bullet List Paragraph,Lettre d'introduction,Paragrafo elenco,List Paragraph1,Medium Grid 1 - Accent 21,FooterText,Paragraphe de liste1,Heading 2_sj,Numbered Para 1,Dot pt,No Spacing1,List Paragraph Char Char Char,Bullet 1,lp1"/>
    <w:basedOn w:val="Normal"/>
    <w:link w:val="ListParagraphChar"/>
    <w:uiPriority w:val="34"/>
    <w:qFormat/>
    <w:pPr>
      <w:ind w:left="720"/>
      <w:contextualSpacing/>
    </w:pPr>
  </w:style>
  <w:style w:type="paragraph" w:styleId="Caption">
    <w:name w:val="caption"/>
    <w:aliases w:val="Caption-tables,Tasks,Beschriftung Char2,Beschriftung Char1 Char1,Beschriftung Char Char Char1,Beschriftung Char1 Char Char,Beschriftung Char Char Char Char,Beschriftung Char Char1 Char,Beschriftung Char Char2,Beschriftung Char1 Cha...,Eco,Legend"/>
    <w:basedOn w:val="Normal"/>
    <w:next w:val="Normal"/>
    <w:link w:val="CaptionChar"/>
    <w:autoRedefine/>
    <w:uiPriority w:val="35"/>
    <w:unhideWhenUsed/>
    <w:qFormat/>
    <w:pPr>
      <w:keepNext/>
      <w:tabs>
        <w:tab w:val="left" w:pos="7920"/>
      </w:tabs>
      <w:ind w:right="-142"/>
      <w:jc w:val="center"/>
    </w:pPr>
    <w:rPr>
      <w:b/>
      <w:bCs/>
      <w:noProof/>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pPr>
    <w:rPr>
      <w:sz w:val="24"/>
    </w:rPr>
  </w:style>
  <w:style w:type="paragraph" w:styleId="Header">
    <w:name w:val="header"/>
    <w:basedOn w:val="Normal"/>
    <w:link w:val="HeaderChar"/>
    <w:uiPriority w:val="99"/>
    <w:unhideWhenUsed/>
    <w:pPr>
      <w:tabs>
        <w:tab w:val="center" w:pos="4535"/>
        <w:tab w:val="right" w:pos="9071"/>
      </w:tabs>
    </w:pPr>
    <w:rPr>
      <w:rFonts w:eastAsiaTheme="minorHAnsi"/>
      <w:sz w:val="24"/>
    </w:rPr>
  </w:style>
  <w:style w:type="character" w:customStyle="1" w:styleId="HeaderChar">
    <w:name w:val="Header Char"/>
    <w:basedOn w:val="DefaultParagraphFont"/>
    <w:link w:val="Header"/>
    <w:uiPriority w:val="99"/>
    <w:rPr>
      <w:rFonts w:ascii="Times New Roman" w:eastAsiaTheme="minorHAnsi" w:hAnsi="Times New Roman"/>
      <w:sz w:val="24"/>
      <w:szCs w:val="22"/>
      <w:lang w:eastAsia="en-US"/>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 w:val="24"/>
    </w:rPr>
  </w:style>
  <w:style w:type="character" w:customStyle="1" w:styleId="FooterChar">
    <w:name w:val="Footer Char"/>
    <w:basedOn w:val="DefaultParagraphFont"/>
    <w:link w:val="Footer"/>
    <w:uiPriority w:val="99"/>
    <w:rPr>
      <w:rFonts w:ascii="Times New Roman" w:eastAsiaTheme="minorHAnsi" w:hAnsi="Times New Roman"/>
      <w:sz w:val="24"/>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sz w:val="24"/>
    </w:rPr>
  </w:style>
  <w:style w:type="character" w:customStyle="1" w:styleId="FooterCoverPageChar">
    <w:name w:val="Footer Cover Page Char"/>
    <w:link w:val="FooterCoverPage"/>
    <w:rPr>
      <w:rFonts w:ascii="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pPr>
    <w:rPr>
      <w:sz w:val="24"/>
    </w:rPr>
  </w:style>
  <w:style w:type="character" w:customStyle="1" w:styleId="HeaderCoverPageChar">
    <w:name w:val="Header Cover Page Char"/>
    <w:link w:val="HeaderCoverPage"/>
    <w:rPr>
      <w:rFonts w:ascii="Times New Roman" w:hAnsi="Times New Roman"/>
      <w:sz w:val="24"/>
      <w:szCs w:val="22"/>
      <w:lang w:eastAsia="en-US"/>
    </w:rPr>
  </w:style>
  <w:style w:type="paragraph" w:styleId="TOC4">
    <w:name w:val="toc 4"/>
    <w:basedOn w:val="Normal"/>
    <w:next w:val="Normal"/>
    <w:autoRedefine/>
    <w:uiPriority w:val="39"/>
    <w:unhideWhenUsed/>
    <w:pPr>
      <w:spacing w:after="0"/>
      <w:ind w:left="660"/>
      <w:jc w:val="left"/>
    </w:pPr>
    <w:rPr>
      <w:rFonts w:asciiTheme="minorHAnsi" w:hAnsiTheme="minorHAnsi" w:cstheme="minorHAnsi"/>
      <w:sz w:val="18"/>
      <w:szCs w:val="18"/>
    </w:rPr>
  </w:style>
  <w:style w:type="paragraph" w:styleId="NormalWeb">
    <w:name w:val="Normal (Web)"/>
    <w:basedOn w:val="Normal"/>
    <w:uiPriority w:val="99"/>
    <w:unhideWhenUsed/>
    <w:pPr>
      <w:spacing w:before="100" w:beforeAutospacing="1" w:after="100" w:afterAutospacing="1"/>
    </w:pPr>
    <w:rPr>
      <w:rFonts w:eastAsia="Times New Roman"/>
      <w:sz w:val="24"/>
      <w:szCs w:val="24"/>
      <w:lang w:eastAsia="en-GB"/>
    </w:rPr>
  </w:style>
  <w:style w:type="paragraph" w:styleId="BalloonText">
    <w:name w:val="Balloon Text"/>
    <w:basedOn w:val="Normal"/>
    <w:link w:val="BalloonTextChar"/>
    <w:uiPriority w:val="99"/>
    <w:unhideWhenUsed/>
    <w:pPr>
      <w:spacing w:after="0"/>
    </w:pPr>
    <w:rPr>
      <w:rFonts w:ascii="Tahoma" w:hAnsi="Tahoma" w:cs="Tahoma"/>
      <w:sz w:val="16"/>
      <w:szCs w:val="16"/>
    </w:rPr>
  </w:style>
  <w:style w:type="character" w:customStyle="1" w:styleId="BalloonTextChar">
    <w:name w:val="Balloon Text Char"/>
    <w:link w:val="BalloonText"/>
    <w:uiPriority w:val="99"/>
    <w:rPr>
      <w:rFonts w:ascii="Tahoma" w:hAnsi="Tahoma" w:cs="Tahoma"/>
      <w:sz w:val="16"/>
      <w:szCs w:val="16"/>
      <w:lang w:eastAsia="en-US"/>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rFonts w:ascii="Calibri" w:hAnsi="Calibri"/>
      <w:sz w:val="20"/>
      <w:szCs w:val="20"/>
    </w:rPr>
  </w:style>
  <w:style w:type="character" w:customStyle="1" w:styleId="CommentTextChar">
    <w:name w:val="Comment Text Char"/>
    <w:link w:val="CommentText"/>
    <w:uiPriority w:val="99"/>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en-US"/>
    </w:rPr>
  </w:style>
  <w:style w:type="paragraph" w:styleId="EndnoteText">
    <w:name w:val="endnote text"/>
    <w:basedOn w:val="Normal"/>
    <w:link w:val="EndnoteTextChar"/>
    <w:uiPriority w:val="99"/>
    <w:semiHidden/>
    <w:unhideWhenUsed/>
    <w:pPr>
      <w:spacing w:after="0"/>
    </w:pPr>
    <w:rPr>
      <w:rFonts w:ascii="Calibri" w:hAnsi="Calibri"/>
      <w:sz w:val="20"/>
      <w:szCs w:val="20"/>
    </w:rPr>
  </w:style>
  <w:style w:type="character" w:customStyle="1" w:styleId="EndnoteTextChar">
    <w:name w:val="Endnote Text Char"/>
    <w:link w:val="EndnoteText"/>
    <w:uiPriority w:val="99"/>
    <w:semiHidden/>
    <w:rPr>
      <w:lang w:eastAsia="en-US"/>
    </w:rPr>
  </w:style>
  <w:style w:type="character" w:styleId="EndnoteReference">
    <w:name w:val="endnote reference"/>
    <w:uiPriority w:val="99"/>
    <w:semiHidden/>
    <w:unhideWhenUsed/>
    <w:rPr>
      <w:vertAlign w:val="superscript"/>
    </w:rPr>
  </w:style>
  <w:style w:type="character" w:customStyle="1" w:styleId="ListParagraphChar">
    <w:name w:val="List Paragraph Char"/>
    <w:aliases w:val="1st level - Bullet List Paragraph Char,Lettre d'introduction Char,Paragrafo elenco Char,List Paragraph1 Char,Medium Grid 1 - Accent 21 Char,FooterText Char,Paragraphe de liste1 Char,Heading 2_sj Char,Numbered Para 1 Char,Dot pt Char"/>
    <w:link w:val="ListParagraph"/>
    <w:uiPriority w:val="34"/>
    <w:qFormat/>
    <w:locked/>
    <w:rPr>
      <w:sz w:val="22"/>
      <w:szCs w:val="22"/>
      <w:lang w:eastAsia="en-US"/>
    </w:rPr>
  </w:style>
  <w:style w:type="table" w:styleId="TableGrid">
    <w:name w:val="Table Grid"/>
    <w:basedOn w:val="TableNormal"/>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rPr>
      <w:rFonts w:ascii="Times New Roman" w:eastAsia="Times New Roman" w:hAnsi="Times New Roman"/>
      <w:b/>
      <w:kern w:val="32"/>
      <w:sz w:val="22"/>
      <w:szCs w:val="22"/>
      <w:lang w:val="de-DE" w:eastAsia="de-DE"/>
    </w:rPr>
  </w:style>
  <w:style w:type="character" w:customStyle="1" w:styleId="Heading6Char">
    <w:name w:val="Heading 6 Char"/>
    <w:link w:val="Heading6"/>
    <w:rPr>
      <w:rFonts w:ascii="Verdana" w:eastAsia="Times New Roman" w:hAnsi="Verdana"/>
      <w:b/>
      <w:sz w:val="22"/>
      <w:szCs w:val="22"/>
      <w:lang w:eastAsia="de-DE"/>
    </w:rPr>
  </w:style>
  <w:style w:type="character" w:customStyle="1" w:styleId="Heading7Char">
    <w:name w:val="Heading 7 Char"/>
    <w:link w:val="Heading7"/>
    <w:rPr>
      <w:rFonts w:ascii="Verdana" w:eastAsia="Times New Roman" w:hAnsi="Verdana"/>
      <w:b/>
      <w:sz w:val="18"/>
      <w:szCs w:val="24"/>
      <w:lang w:val="de-DE" w:eastAsia="de-DE"/>
    </w:rPr>
  </w:style>
  <w:style w:type="character" w:customStyle="1" w:styleId="Heading8Char">
    <w:name w:val="Heading 8 Char"/>
    <w:link w:val="Heading8"/>
    <w:rPr>
      <w:rFonts w:ascii="Verdana" w:eastAsia="Times New Roman" w:hAnsi="Verdana"/>
      <w:b/>
      <w:iCs/>
      <w:sz w:val="18"/>
      <w:szCs w:val="24"/>
      <w:lang w:val="de-DE" w:eastAsia="de-DE"/>
    </w:rPr>
  </w:style>
  <w:style w:type="character" w:customStyle="1" w:styleId="Heading9Char">
    <w:name w:val="Heading 9 Char"/>
    <w:link w:val="Heading9"/>
    <w:rPr>
      <w:rFonts w:ascii="Verdana" w:eastAsia="Times New Roman" w:hAnsi="Verdana" w:cs="Arial"/>
      <w:b/>
      <w:sz w:val="18"/>
      <w:szCs w:val="22"/>
      <w:lang w:val="de-DE" w:eastAsia="de-DE"/>
    </w:rPr>
  </w:style>
  <w:style w:type="paragraph" w:styleId="ListBullet3">
    <w:name w:val="List Bullet 3"/>
    <w:basedOn w:val="Normal"/>
    <w:pPr>
      <w:numPr>
        <w:numId w:val="2"/>
      </w:numPr>
      <w:spacing w:after="283" w:line="283" w:lineRule="atLeast"/>
    </w:pPr>
    <w:rPr>
      <w:rFonts w:ascii="Verdana" w:eastAsia="Times New Roman" w:hAnsi="Verdana"/>
      <w:sz w:val="18"/>
      <w:szCs w:val="24"/>
      <w:lang w:val="de-DE" w:eastAsia="de-DE"/>
    </w:rPr>
  </w:style>
  <w:style w:type="paragraph" w:styleId="ListBullet5">
    <w:name w:val="List Bullet 5"/>
    <w:basedOn w:val="Normal"/>
    <w:pPr>
      <w:tabs>
        <w:tab w:val="left" w:pos="1446"/>
        <w:tab w:val="num" w:pos="1492"/>
        <w:tab w:val="left" w:pos="5046"/>
        <w:tab w:val="left" w:pos="6691"/>
        <w:tab w:val="left" w:pos="8108"/>
      </w:tabs>
      <w:spacing w:after="283" w:line="283" w:lineRule="atLeast"/>
      <w:ind w:left="1492" w:hanging="360"/>
    </w:pPr>
    <w:rPr>
      <w:rFonts w:ascii="Verdana" w:eastAsia="Times New Roman" w:hAnsi="Verdana"/>
      <w:sz w:val="18"/>
      <w:szCs w:val="24"/>
      <w:lang w:val="de-DE" w:eastAsia="de-DE"/>
    </w:rPr>
  </w:style>
  <w:style w:type="character" w:customStyle="1" w:styleId="apple-converted-space">
    <w:name w:val="apple-converted-space"/>
  </w:style>
  <w:style w:type="character" w:customStyle="1" w:styleId="leaf">
    <w:name w:val="leaf"/>
  </w:style>
  <w:style w:type="paragraph" w:styleId="Title">
    <w:name w:val="Title"/>
    <w:basedOn w:val="Normal"/>
    <w:next w:val="Normal"/>
    <w:link w:val="TitleChar"/>
    <w:uiPriority w:val="10"/>
    <w:qFormat/>
    <w:pPr>
      <w:spacing w:before="240" w:after="60"/>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lang w:eastAsia="en-US"/>
    </w:rPr>
  </w:style>
  <w:style w:type="paragraph" w:styleId="TOC5">
    <w:name w:val="toc 5"/>
    <w:basedOn w:val="Normal"/>
    <w:next w:val="Normal"/>
    <w:autoRedefine/>
    <w:uiPriority w:val="39"/>
    <w:unhideWhenUsed/>
    <w:pPr>
      <w:tabs>
        <w:tab w:val="right" w:leader="dot" w:pos="9062"/>
      </w:tabs>
      <w:spacing w:after="0"/>
      <w:ind w:left="880"/>
      <w:jc w:val="left"/>
    </w:pPr>
    <w:rPr>
      <w:rFonts w:asciiTheme="minorHAnsi" w:hAnsiTheme="minorHAnsi" w:cstheme="minorHAnsi"/>
      <w:sz w:val="18"/>
      <w:szCs w:val="18"/>
    </w:rPr>
  </w:style>
  <w:style w:type="paragraph" w:styleId="TOC6">
    <w:name w:val="toc 6"/>
    <w:basedOn w:val="Normal"/>
    <w:next w:val="Normal"/>
    <w:autoRedefine/>
    <w:uiPriority w:val="39"/>
    <w:unhideWhenUsed/>
    <w:pPr>
      <w:spacing w:after="0"/>
      <w:ind w:left="1100"/>
      <w:jc w:val="left"/>
    </w:pPr>
    <w:rPr>
      <w:rFonts w:asciiTheme="minorHAnsi" w:hAnsiTheme="minorHAnsi" w:cstheme="minorHAnsi"/>
      <w:sz w:val="18"/>
      <w:szCs w:val="18"/>
    </w:rPr>
  </w:style>
  <w:style w:type="paragraph" w:styleId="TOC7">
    <w:name w:val="toc 7"/>
    <w:basedOn w:val="Normal"/>
    <w:next w:val="Normal"/>
    <w:autoRedefine/>
    <w:uiPriority w:val="39"/>
    <w:unhideWhenUsed/>
    <w:pPr>
      <w:spacing w:after="0"/>
      <w:ind w:left="1320"/>
      <w:jc w:val="left"/>
    </w:pPr>
    <w:rPr>
      <w:rFonts w:asciiTheme="minorHAnsi" w:hAnsiTheme="minorHAnsi" w:cstheme="minorHAnsi"/>
      <w:sz w:val="18"/>
      <w:szCs w:val="18"/>
    </w:rPr>
  </w:style>
  <w:style w:type="paragraph" w:styleId="TOC8">
    <w:name w:val="toc 8"/>
    <w:basedOn w:val="Normal"/>
    <w:next w:val="Normal"/>
    <w:autoRedefine/>
    <w:uiPriority w:val="39"/>
    <w:unhideWhenUsed/>
    <w:pPr>
      <w:spacing w:after="0"/>
      <w:ind w:left="1540"/>
      <w:jc w:val="left"/>
    </w:pPr>
    <w:rPr>
      <w:rFonts w:asciiTheme="minorHAnsi" w:hAnsiTheme="minorHAnsi" w:cstheme="minorHAnsi"/>
      <w:sz w:val="18"/>
      <w:szCs w:val="18"/>
    </w:rPr>
  </w:style>
  <w:style w:type="paragraph" w:styleId="TOC9">
    <w:name w:val="toc 9"/>
    <w:basedOn w:val="Normal"/>
    <w:next w:val="Normal"/>
    <w:autoRedefine/>
    <w:uiPriority w:val="39"/>
    <w:unhideWhenUsed/>
    <w:pPr>
      <w:spacing w:after="0"/>
      <w:ind w:left="1760"/>
      <w:jc w:val="left"/>
    </w:pPr>
    <w:rPr>
      <w:rFonts w:asciiTheme="minorHAnsi" w:hAnsiTheme="minorHAnsi" w:cstheme="minorHAnsi"/>
      <w:sz w:val="18"/>
      <w:szCs w:val="18"/>
    </w:rPr>
  </w:style>
  <w:style w:type="paragraph" w:styleId="Revision">
    <w:name w:val="Revision"/>
    <w:hidden/>
    <w:uiPriority w:val="99"/>
    <w:semiHidden/>
    <w:rPr>
      <w:rFonts w:ascii="Times New Roman" w:hAnsi="Times New Roman"/>
      <w:sz w:val="22"/>
      <w:szCs w:val="22"/>
      <w:lang w:eastAsia="en-US"/>
    </w:rPr>
  </w:style>
  <w:style w:type="table" w:customStyle="1" w:styleId="Tablestylegreen">
    <w:name w:val="Tablestyle_green"/>
    <w:basedOn w:val="TableNormal"/>
    <w:rPr>
      <w:rFonts w:ascii="Verdana" w:eastAsia="Times New Roman" w:hAnsi="Verdana"/>
      <w:color w:val="000000"/>
      <w:sz w:val="16"/>
      <w:lang w:val="de-DE" w:eastAsia="de-DE"/>
    </w:rPr>
    <w:tblPr>
      <w:tblStyleRowBandSize w:val="1"/>
      <w:tblInd w:w="108" w:type="dxa"/>
    </w:tblPr>
    <w:tcPr>
      <w:vAlign w:val="center"/>
    </w:tcPr>
    <w:tblStylePr w:type="firstRow">
      <w:rPr>
        <w:rFonts w:ascii="Cambria" w:hAnsi="Cambria"/>
        <w:b/>
        <w:color w:val="FFFFFF"/>
        <w:sz w:val="16"/>
      </w:rPr>
      <w:tblPr/>
      <w:tcPr>
        <w:tcBorders>
          <w:top w:val="single" w:sz="4" w:space="0" w:color="7AB800"/>
          <w:left w:val="single" w:sz="4" w:space="0" w:color="7AB800"/>
          <w:bottom w:val="single" w:sz="4" w:space="0" w:color="7AB800"/>
          <w:right w:val="single" w:sz="4" w:space="0" w:color="7AB800"/>
          <w:insideH w:val="single" w:sz="4" w:space="0" w:color="7AB800"/>
          <w:insideV w:val="single" w:sz="4" w:space="0" w:color="FFFFFF"/>
          <w:tl2br w:val="nil"/>
          <w:tr2bl w:val="nil"/>
        </w:tcBorders>
        <w:shd w:val="clear" w:color="auto" w:fill="7AB800"/>
      </w:tcPr>
    </w:tblStylePr>
    <w:tblStylePr w:type="lastRow">
      <w:rPr>
        <w:rFonts w:ascii="Cambria" w:hAnsi="Cambria"/>
        <w:sz w:val="16"/>
      </w:rPr>
      <w:tblPr/>
      <w:tcPr>
        <w:tcBorders>
          <w:top w:val="nil"/>
          <w:left w:val="single" w:sz="4" w:space="0" w:color="8B8D8E"/>
          <w:bottom w:val="single" w:sz="18" w:space="0" w:color="7AB800"/>
          <w:right w:val="single" w:sz="4" w:space="0" w:color="8B8D8E"/>
          <w:insideH w:val="nil"/>
          <w:insideV w:val="single" w:sz="4" w:space="0" w:color="8B8D8E"/>
          <w:tl2br w:val="nil"/>
          <w:tr2bl w:val="nil"/>
        </w:tcBorders>
      </w:tcPr>
    </w:tblStylePr>
    <w:tblStylePr w:type="band1Horz">
      <w:rPr>
        <w:rFonts w:ascii="Cambria" w:hAnsi="Cambria"/>
        <w:sz w:val="16"/>
      </w:rPr>
      <w:tblPr/>
      <w:tcPr>
        <w:tcBorders>
          <w:top w:val="nil"/>
          <w:left w:val="single" w:sz="4" w:space="0" w:color="8B8D8E"/>
          <w:bottom w:val="single" w:sz="4" w:space="0" w:color="8B8D8E"/>
          <w:right w:val="single" w:sz="4" w:space="0" w:color="8B8D8E"/>
          <w:insideH w:val="nil"/>
          <w:insideV w:val="single" w:sz="4" w:space="0" w:color="8B8D8E"/>
          <w:tl2br w:val="nil"/>
          <w:tr2bl w:val="nil"/>
        </w:tcBorders>
      </w:tcPr>
    </w:tblStylePr>
    <w:tblStylePr w:type="band2Horz">
      <w:rPr>
        <w:rFonts w:ascii="Cambria" w:hAnsi="Cambria"/>
        <w:sz w:val="16"/>
      </w:rPr>
      <w:tblPr/>
      <w:tcPr>
        <w:tcBorders>
          <w:top w:val="nil"/>
          <w:left w:val="single" w:sz="4" w:space="0" w:color="8B8D8E"/>
          <w:bottom w:val="single" w:sz="4" w:space="0" w:color="8B8D8E"/>
          <w:right w:val="single" w:sz="4" w:space="0" w:color="8B8D8E"/>
          <w:insideH w:val="nil"/>
          <w:insideV w:val="single" w:sz="4" w:space="0" w:color="8B8D8E"/>
          <w:tl2br w:val="nil"/>
          <w:tr2bl w:val="nil"/>
        </w:tcBorders>
      </w:tcPr>
    </w:tblStylePr>
  </w:style>
  <w:style w:type="paragraph" w:customStyle="1" w:styleId="SUPERSChar">
    <w:name w:val="SUPERS Char"/>
    <w:aliases w:val="EN Footnote Reference Char"/>
    <w:basedOn w:val="Normal"/>
    <w:uiPriority w:val="99"/>
    <w:pPr>
      <w:widowControl w:val="0"/>
      <w:adjustRightInd w:val="0"/>
      <w:spacing w:after="160" w:line="240" w:lineRule="exact"/>
      <w:textAlignment w:val="baseline"/>
    </w:pPr>
    <w:rPr>
      <w:rFonts w:ascii="Calibri" w:hAnsi="Calibri"/>
      <w:sz w:val="20"/>
      <w:szCs w:val="20"/>
      <w:vertAlign w:val="superscript"/>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GridTable4-Accent22">
    <w:name w:val="Grid Table 4 - Accent 22"/>
    <w:basedOn w:val="TableNormal"/>
    <w:next w:val="TableNormal"/>
    <w:uiPriority w:val="49"/>
    <w:rPr>
      <w:rFonts w:ascii="Times New Roman" w:eastAsia="Times New Roman" w:hAnsi="Times New Roman"/>
      <w:lang w:val="de-DE" w:eastAsia="de-DE"/>
    </w:rPr>
    <w:tblPr>
      <w:tblStyleRowBandSize w:val="1"/>
      <w:tblStyleColBandSize w:val="1"/>
      <w:tblBorders>
        <w:top w:val="single" w:sz="4" w:space="0" w:color="BDFF3B"/>
        <w:left w:val="single" w:sz="4" w:space="0" w:color="BDFF3B"/>
        <w:bottom w:val="single" w:sz="4" w:space="0" w:color="BDFF3B"/>
        <w:right w:val="single" w:sz="4" w:space="0" w:color="BDFF3B"/>
        <w:insideH w:val="single" w:sz="4" w:space="0" w:color="BDFF3B"/>
        <w:insideV w:val="single" w:sz="4" w:space="0" w:color="BDFF3B"/>
      </w:tblBorders>
    </w:tblPr>
    <w:tblStylePr w:type="firstRow">
      <w:rPr>
        <w:b/>
        <w:bCs/>
        <w:color w:val="FFFFFF"/>
      </w:rPr>
      <w:tblPr/>
      <w:tcPr>
        <w:tcBorders>
          <w:top w:val="single" w:sz="4" w:space="0" w:color="7AB800"/>
          <w:left w:val="single" w:sz="4" w:space="0" w:color="7AB800"/>
          <w:bottom w:val="single" w:sz="4" w:space="0" w:color="7AB800"/>
          <w:right w:val="single" w:sz="4" w:space="0" w:color="7AB800"/>
          <w:insideH w:val="nil"/>
          <w:insideV w:val="nil"/>
        </w:tcBorders>
        <w:shd w:val="clear" w:color="auto" w:fill="7AB800"/>
      </w:tcPr>
    </w:tblStylePr>
    <w:tblStylePr w:type="lastRow">
      <w:rPr>
        <w:b/>
        <w:bCs/>
      </w:rPr>
      <w:tblPr/>
      <w:tcPr>
        <w:tcBorders>
          <w:top w:val="double" w:sz="4" w:space="0" w:color="7AB800"/>
        </w:tcBorders>
      </w:tcPr>
    </w:tblStylePr>
    <w:tblStylePr w:type="firstCol">
      <w:rPr>
        <w:b/>
        <w:bCs/>
      </w:rPr>
    </w:tblStylePr>
    <w:tblStylePr w:type="lastCol">
      <w:rPr>
        <w:b/>
        <w:bCs/>
      </w:rPr>
    </w:tblStylePr>
    <w:tblStylePr w:type="band1Vert">
      <w:tblPr/>
      <w:tcPr>
        <w:shd w:val="clear" w:color="auto" w:fill="E8FFBD"/>
      </w:tcPr>
    </w:tblStylePr>
    <w:tblStylePr w:type="band1Horz">
      <w:tblPr/>
      <w:tcPr>
        <w:shd w:val="clear" w:color="auto" w:fill="E8FFBD"/>
      </w:tcPr>
    </w:tblStylePr>
  </w:style>
  <w:style w:type="paragraph" w:customStyle="1" w:styleId="Default">
    <w:name w:val="Default"/>
    <w:pPr>
      <w:autoSpaceDE w:val="0"/>
      <w:autoSpaceDN w:val="0"/>
      <w:adjustRightInd w:val="0"/>
    </w:pPr>
    <w:rPr>
      <w:rFonts w:ascii="Verdana" w:hAnsi="Verdana" w:cs="Verdana"/>
      <w:color w:val="000000"/>
      <w:sz w:val="24"/>
      <w:szCs w:val="24"/>
    </w:rPr>
  </w:style>
  <w:style w:type="character" w:customStyle="1" w:styleId="CaptionChar">
    <w:name w:val="Caption Char"/>
    <w:aliases w:val="Caption-tables Char,Tasks Char,Beschriftung Char2 Char,Beschriftung Char1 Char1 Char,Beschriftung Char Char Char1 Char,Beschriftung Char1 Char Char Char,Beschriftung Char Char Char Char Char,Beschriftung Char Char1 Char Char,Eco Char"/>
    <w:link w:val="Caption"/>
    <w:uiPriority w:val="35"/>
    <w:rPr>
      <w:rFonts w:ascii="Times New Roman" w:hAnsi="Times New Roman"/>
      <w:b/>
      <w:bCs/>
      <w:noProof/>
      <w:sz w:val="22"/>
      <w:szCs w:val="22"/>
      <w:lang w:eastAsia="en-US"/>
    </w:rPr>
  </w:style>
  <w:style w:type="paragraph" w:customStyle="1" w:styleId="Reference">
    <w:name w:val="Reference"/>
    <w:basedOn w:val="Normal"/>
    <w:pPr>
      <w:tabs>
        <w:tab w:val="left" w:pos="0"/>
      </w:tabs>
      <w:spacing w:before="180" w:after="0"/>
      <w:ind w:left="720" w:hanging="720"/>
      <w:jc w:val="left"/>
    </w:pPr>
    <w:rPr>
      <w:rFonts w:eastAsia="Times New Roman"/>
      <w:sz w:val="24"/>
      <w:szCs w:val="24"/>
      <w:lang w:eastAsia="en-GB"/>
    </w:rPr>
  </w:style>
  <w:style w:type="character" w:styleId="Emphasis">
    <w:name w:val="Emphasis"/>
    <w:basedOn w:val="DefaultParagraphFont"/>
    <w:uiPriority w:val="20"/>
    <w:qFormat/>
    <w:rPr>
      <w:i/>
      <w:iCs/>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lang w:eastAsia="en-US"/>
    </w:rPr>
  </w:style>
  <w:style w:type="paragraph" w:styleId="TableofFigures">
    <w:name w:val="table of figures"/>
    <w:basedOn w:val="Normal"/>
    <w:next w:val="Normal"/>
    <w:uiPriority w:val="99"/>
    <w:unhideWhenUsed/>
    <w:pPr>
      <w:spacing w:after="0"/>
      <w:jc w:val="left"/>
    </w:pPr>
    <w:rPr>
      <w:rFonts w:asciiTheme="minorHAnsi" w:hAnsiTheme="minorHAnsi"/>
      <w:i/>
      <w:iCs/>
      <w:sz w:val="20"/>
      <w:szCs w:val="20"/>
    </w:rPr>
  </w:style>
  <w:style w:type="character" w:styleId="BookTitle">
    <w:name w:val="Book Title"/>
    <w:basedOn w:val="DefaultParagraphFont"/>
    <w:uiPriority w:val="33"/>
    <w:qFormat/>
  </w:style>
  <w:style w:type="character" w:styleId="IntenseReference">
    <w:name w:val="Intense Reference"/>
    <w:basedOn w:val="DefaultParagraphFont"/>
    <w:uiPriority w:val="32"/>
    <w:qFormat/>
    <w:rPr>
      <w:b/>
      <w:bCs/>
      <w:smallCaps/>
      <w:color w:val="C0504D" w:themeColor="accent2"/>
      <w:spacing w:val="5"/>
      <w:u w:val="single"/>
    </w:rPr>
  </w:style>
  <w:style w:type="character" w:styleId="IntenseEmphasis">
    <w:name w:val="Intense Emphasis"/>
    <w:basedOn w:val="DefaultParagraphFont"/>
    <w:uiPriority w:val="21"/>
    <w:qFormat/>
    <w:rPr>
      <w:b/>
      <w:bCs/>
      <w:i/>
      <w:iCs/>
      <w:color w:val="4F81BD" w:themeColor="accen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rFonts w:ascii="Times New Roman" w:hAnsi="Times New Roman"/>
      <w:b/>
      <w:bCs/>
      <w:i/>
      <w:iCs/>
      <w:color w:val="4F81BD" w:themeColor="accent1"/>
      <w:sz w:val="22"/>
      <w:szCs w:val="22"/>
      <w:lang w:eastAsia="en-US"/>
    </w:rPr>
  </w:style>
  <w:style w:type="character" w:styleId="LineNumber">
    <w:name w:val="line number"/>
    <w:basedOn w:val="DefaultParagraphFont"/>
    <w:uiPriority w:val="99"/>
    <w:semiHidden/>
    <w:unhideWhenUsed/>
  </w:style>
  <w:style w:type="paragraph" w:customStyle="1" w:styleId="Declassification">
    <w:name w:val="Declassification"/>
    <w:basedOn w:val="Normal"/>
    <w:next w:val="Normal"/>
    <w:pPr>
      <w:spacing w:after="0"/>
    </w:pPr>
    <w:rPr>
      <w:rFonts w:eastAsiaTheme="minorHAnsi"/>
      <w:sz w:val="24"/>
    </w:rPr>
  </w:style>
  <w:style w:type="paragraph" w:customStyle="1" w:styleId="HeaderLandscape">
    <w:name w:val="HeaderLandscape"/>
    <w:basedOn w:val="Normal"/>
    <w:pPr>
      <w:tabs>
        <w:tab w:val="center" w:pos="7285"/>
        <w:tab w:val="right" w:pos="14003"/>
      </w:tabs>
    </w:pPr>
    <w:rPr>
      <w:rFonts w:eastAsiaTheme="minorHAnsi"/>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table" w:customStyle="1" w:styleId="Table1">
    <w:name w:val="Table 1"/>
    <w:basedOn w:val="TableNormal"/>
    <w:uiPriority w:val="99"/>
    <w:pPr>
      <w:jc w:val="center"/>
    </w:pPr>
    <w:rPr>
      <w:rFonts w:ascii="Trebuchet MS" w:hAnsi="Trebuchet MS"/>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foonote">
    <w:name w:val="foonote"/>
    <w:basedOn w:val="FootnoteText"/>
    <w:link w:val="foonoteChar"/>
    <w:qFormat/>
    <w:pPr>
      <w:ind w:left="567"/>
      <w:jc w:val="left"/>
    </w:pPr>
    <w:rPr>
      <w:rFonts w:ascii="Arial" w:eastAsiaTheme="minorHAnsi" w:hAnsi="Arial" w:cs="Arial"/>
      <w:color w:val="auto"/>
      <w:sz w:val="16"/>
      <w:szCs w:val="16"/>
      <w:lang w:eastAsia="en-US"/>
    </w:rPr>
  </w:style>
  <w:style w:type="character" w:customStyle="1" w:styleId="foonoteChar">
    <w:name w:val="foonote Char"/>
    <w:basedOn w:val="DefaultParagraphFont"/>
    <w:link w:val="foonote"/>
    <w:rPr>
      <w:rFonts w:ascii="Arial" w:eastAsiaTheme="minorHAnsi" w:hAnsi="Arial" w:cs="Arial"/>
      <w:sz w:val="16"/>
      <w:szCs w:val="16"/>
      <w:lang w:eastAsia="en-US"/>
    </w:rPr>
  </w:style>
  <w:style w:type="character" w:customStyle="1" w:styleId="AAAAAtextChar">
    <w:name w:val="AAAAAtext Char"/>
    <w:basedOn w:val="DefaultParagraphFont"/>
    <w:link w:val="AAAAAtext"/>
    <w:locked/>
    <w:rPr>
      <w:szCs w:val="24"/>
    </w:rPr>
  </w:style>
  <w:style w:type="paragraph" w:customStyle="1" w:styleId="AAAAAtext">
    <w:name w:val="AAAAAtext"/>
    <w:basedOn w:val="Normal"/>
    <w:link w:val="AAAAAtextChar"/>
    <w:qFormat/>
    <w:pPr>
      <w:spacing w:before="60" w:after="60" w:line="320" w:lineRule="atLeast"/>
    </w:pPr>
    <w:rPr>
      <w:rFonts w:ascii="Calibri" w:hAnsi="Calibri"/>
      <w:sz w:val="20"/>
      <w:szCs w:val="24"/>
      <w:lang w:eastAsia="en-GB"/>
    </w:rPr>
  </w:style>
  <w:style w:type="character" w:styleId="Strong">
    <w:name w:val="Strong"/>
    <w:basedOn w:val="DefaultParagraphFont"/>
    <w:uiPriority w:val="22"/>
    <w:qFormat/>
    <w:rPr>
      <w:b/>
      <w:bCs/>
    </w:rPr>
  </w:style>
  <w:style w:type="paragraph" w:customStyle="1" w:styleId="CM1">
    <w:name w:val="CM1"/>
    <w:basedOn w:val="Default"/>
    <w:next w:val="Default"/>
    <w:uiPriority w:val="99"/>
    <w:rPr>
      <w:rFonts w:ascii="EUAlbertina" w:eastAsiaTheme="minorHAnsi" w:hAnsi="EUAlbertina" w:cstheme="minorBidi"/>
      <w:color w:val="auto"/>
      <w:lang w:eastAsia="en-US"/>
    </w:rPr>
  </w:style>
  <w:style w:type="paragraph" w:customStyle="1" w:styleId="CM3">
    <w:name w:val="CM3"/>
    <w:basedOn w:val="Default"/>
    <w:next w:val="Default"/>
    <w:uiPriority w:val="99"/>
    <w:rPr>
      <w:rFonts w:ascii="EUAlbertina" w:eastAsiaTheme="minorHAnsi" w:hAnsi="EUAlbertina" w:cstheme="minorBidi"/>
      <w:color w:val="auto"/>
      <w:lang w:eastAsia="en-US"/>
    </w:rPr>
  </w:style>
  <w:style w:type="table" w:styleId="MediumGrid3-Accent1">
    <w:name w:val="Medium Grid 3 Accent 1"/>
    <w:basedOn w:val="TableNormal"/>
    <w:uiPriority w:val="69"/>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ext2">
    <w:name w:val="Text 2"/>
    <w:basedOn w:val="Normal"/>
    <w:pPr>
      <w:tabs>
        <w:tab w:val="left" w:pos="2160"/>
      </w:tabs>
      <w:spacing w:after="240"/>
      <w:ind w:left="1077"/>
    </w:pPr>
    <w:rPr>
      <w:rFonts w:eastAsia="Times New Roman"/>
      <w:sz w:val="24"/>
      <w:szCs w:val="20"/>
    </w:rPr>
  </w:style>
  <w:style w:type="paragraph" w:customStyle="1" w:styleId="Text1">
    <w:name w:val="Text 1"/>
    <w:basedOn w:val="Normal"/>
    <w:pPr>
      <w:spacing w:after="240"/>
      <w:ind w:left="482"/>
    </w:pPr>
    <w:rPr>
      <w:rFonts w:eastAsia="Times New Roman"/>
      <w:sz w:val="24"/>
      <w:szCs w:val="20"/>
    </w:rPr>
  </w:style>
  <w:style w:type="character" w:customStyle="1" w:styleId="rightside">
    <w:name w:val="right_side"/>
    <w:basedOn w:val="DefaultParagraphFont"/>
  </w:style>
  <w:style w:type="paragraph" w:customStyle="1" w:styleId="Sources">
    <w:name w:val="Sources"/>
    <w:basedOn w:val="Normal"/>
    <w:qFormat/>
    <w:rPr>
      <w:sz w:val="20"/>
    </w:rPr>
  </w:style>
  <w:style w:type="table" w:customStyle="1" w:styleId="Table17">
    <w:name w:val="Table 17"/>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paragraph" w:customStyle="1" w:styleId="Standard">
    <w:name w:val="Standard"/>
    <w:pPr>
      <w:suppressAutoHyphens/>
      <w:autoSpaceDN w:val="0"/>
      <w:textAlignment w:val="baseline"/>
    </w:pPr>
    <w:rPr>
      <w:rFonts w:ascii="Liberation Serif" w:eastAsia="SimSun" w:hAnsi="Liberation Serif" w:cs="Mangal"/>
      <w:kern w:val="3"/>
      <w:sz w:val="24"/>
      <w:szCs w:val="24"/>
      <w:lang w:val="fr-FR" w:eastAsia="zh-CN" w:bidi="hi-IN"/>
    </w:rPr>
  </w:style>
  <w:style w:type="paragraph" w:customStyle="1" w:styleId="NoteLevel1">
    <w:name w:val="Note Level 1"/>
    <w:basedOn w:val="Normal"/>
    <w:semiHidden/>
    <w:pPr>
      <w:keepNext/>
      <w:tabs>
        <w:tab w:val="num" w:pos="0"/>
      </w:tabs>
      <w:spacing w:after="0"/>
      <w:ind w:left="567"/>
      <w:contextualSpacing/>
      <w:jc w:val="left"/>
      <w:outlineLvl w:val="0"/>
    </w:pPr>
    <w:rPr>
      <w:rFonts w:ascii="Verdana" w:eastAsia="Times New Roman" w:hAnsi="Verdana"/>
      <w:sz w:val="18"/>
      <w:szCs w:val="18"/>
    </w:rPr>
  </w:style>
  <w:style w:type="paragraph" w:customStyle="1" w:styleId="NoteLevel2">
    <w:name w:val="Note Level 2"/>
    <w:basedOn w:val="Normal"/>
    <w:semiHidden/>
    <w:pPr>
      <w:keepNext/>
      <w:tabs>
        <w:tab w:val="num" w:pos="720"/>
      </w:tabs>
      <w:spacing w:after="0"/>
      <w:ind w:left="1080" w:hanging="360"/>
      <w:contextualSpacing/>
      <w:jc w:val="left"/>
      <w:outlineLvl w:val="1"/>
    </w:pPr>
    <w:rPr>
      <w:rFonts w:ascii="Verdana" w:eastAsia="Times New Roman" w:hAnsi="Verdana"/>
      <w:sz w:val="18"/>
      <w:szCs w:val="18"/>
    </w:rPr>
  </w:style>
  <w:style w:type="paragraph" w:customStyle="1" w:styleId="NoteLevel3">
    <w:name w:val="Note Level 3"/>
    <w:basedOn w:val="Normal"/>
    <w:semiHidden/>
    <w:pPr>
      <w:keepNext/>
      <w:tabs>
        <w:tab w:val="num" w:pos="1440"/>
      </w:tabs>
      <w:spacing w:after="0"/>
      <w:ind w:left="1800" w:hanging="360"/>
      <w:contextualSpacing/>
      <w:jc w:val="left"/>
      <w:outlineLvl w:val="2"/>
    </w:pPr>
    <w:rPr>
      <w:rFonts w:ascii="Verdana" w:eastAsia="Times New Roman" w:hAnsi="Verdana"/>
      <w:sz w:val="18"/>
      <w:szCs w:val="18"/>
    </w:rPr>
  </w:style>
  <w:style w:type="paragraph" w:customStyle="1" w:styleId="NoteLevel4">
    <w:name w:val="Note Level 4"/>
    <w:basedOn w:val="Normal"/>
    <w:semiHidden/>
    <w:pPr>
      <w:keepNext/>
      <w:tabs>
        <w:tab w:val="num" w:pos="2160"/>
      </w:tabs>
      <w:spacing w:after="0"/>
      <w:ind w:left="2520" w:hanging="360"/>
      <w:contextualSpacing/>
      <w:jc w:val="left"/>
      <w:outlineLvl w:val="3"/>
    </w:pPr>
    <w:rPr>
      <w:rFonts w:ascii="Verdana" w:eastAsia="Times New Roman" w:hAnsi="Verdana"/>
      <w:sz w:val="18"/>
      <w:szCs w:val="18"/>
    </w:rPr>
  </w:style>
  <w:style w:type="paragraph" w:customStyle="1" w:styleId="NoteLevel5">
    <w:name w:val="Note Level 5"/>
    <w:basedOn w:val="Normal"/>
    <w:semiHidden/>
    <w:pPr>
      <w:keepNext/>
      <w:tabs>
        <w:tab w:val="num" w:pos="2880"/>
      </w:tabs>
      <w:spacing w:after="0"/>
      <w:ind w:left="3240" w:hanging="360"/>
      <w:contextualSpacing/>
      <w:jc w:val="left"/>
      <w:outlineLvl w:val="4"/>
    </w:pPr>
    <w:rPr>
      <w:rFonts w:ascii="Verdana" w:eastAsia="Times New Roman" w:hAnsi="Verdana"/>
      <w:sz w:val="18"/>
      <w:szCs w:val="18"/>
    </w:rPr>
  </w:style>
  <w:style w:type="paragraph" w:customStyle="1" w:styleId="NoteLevel6">
    <w:name w:val="Note Level 6"/>
    <w:basedOn w:val="Normal"/>
    <w:semiHidden/>
    <w:pPr>
      <w:keepNext/>
      <w:tabs>
        <w:tab w:val="num" w:pos="3600"/>
      </w:tabs>
      <w:spacing w:after="0"/>
      <w:ind w:left="3960" w:hanging="360"/>
      <w:contextualSpacing/>
      <w:jc w:val="left"/>
      <w:outlineLvl w:val="5"/>
    </w:pPr>
    <w:rPr>
      <w:rFonts w:ascii="Verdana" w:eastAsia="Times New Roman" w:hAnsi="Verdana"/>
      <w:sz w:val="18"/>
      <w:szCs w:val="18"/>
    </w:rPr>
  </w:style>
  <w:style w:type="paragraph" w:customStyle="1" w:styleId="NoteLevel7">
    <w:name w:val="Note Level 7"/>
    <w:basedOn w:val="Normal"/>
    <w:semiHidden/>
    <w:pPr>
      <w:keepNext/>
      <w:tabs>
        <w:tab w:val="num" w:pos="4320"/>
      </w:tabs>
      <w:spacing w:after="0"/>
      <w:ind w:left="4680" w:hanging="360"/>
      <w:contextualSpacing/>
      <w:jc w:val="left"/>
      <w:outlineLvl w:val="6"/>
    </w:pPr>
    <w:rPr>
      <w:rFonts w:ascii="Verdana" w:eastAsia="Times New Roman" w:hAnsi="Verdana"/>
      <w:sz w:val="18"/>
      <w:szCs w:val="18"/>
    </w:rPr>
  </w:style>
  <w:style w:type="paragraph" w:customStyle="1" w:styleId="NoteLevel8">
    <w:name w:val="Note Level 8"/>
    <w:basedOn w:val="Normal"/>
    <w:semiHidden/>
    <w:pPr>
      <w:keepNext/>
      <w:tabs>
        <w:tab w:val="num" w:pos="5040"/>
      </w:tabs>
      <w:spacing w:after="0"/>
      <w:ind w:left="5400" w:hanging="360"/>
      <w:contextualSpacing/>
      <w:jc w:val="left"/>
      <w:outlineLvl w:val="7"/>
    </w:pPr>
    <w:rPr>
      <w:rFonts w:ascii="Verdana" w:eastAsia="Times New Roman" w:hAnsi="Verdana"/>
      <w:sz w:val="18"/>
      <w:szCs w:val="18"/>
    </w:rPr>
  </w:style>
  <w:style w:type="paragraph" w:customStyle="1" w:styleId="NoteLevel9">
    <w:name w:val="Note Level 9"/>
    <w:basedOn w:val="Normal"/>
    <w:semiHidden/>
    <w:pPr>
      <w:keepNext/>
      <w:tabs>
        <w:tab w:val="num" w:pos="5760"/>
      </w:tabs>
      <w:spacing w:after="0"/>
      <w:ind w:left="6120" w:hanging="360"/>
      <w:contextualSpacing/>
      <w:jc w:val="left"/>
      <w:outlineLvl w:val="8"/>
    </w:pPr>
    <w:rPr>
      <w:rFonts w:ascii="Verdana" w:eastAsia="Times New Roman" w:hAnsi="Verdana"/>
      <w:sz w:val="18"/>
      <w:szCs w:val="18"/>
    </w:rPr>
  </w:style>
  <w:style w:type="paragraph" w:styleId="NoSpacing">
    <w:name w:val="No Spacing"/>
    <w:link w:val="NoSpacingChar"/>
    <w:uiPriority w:val="1"/>
    <w:unhideWhenUsed/>
    <w:qFormat/>
    <w:rPr>
      <w:rFonts w:ascii="Trebuchet MS" w:eastAsiaTheme="minorHAnsi" w:hAnsi="Trebuchet MS" w:cstheme="minorBidi"/>
      <w:sz w:val="18"/>
      <w:szCs w:val="22"/>
      <w:lang w:eastAsia="en-US"/>
    </w:rPr>
  </w:style>
  <w:style w:type="numbering" w:customStyle="1" w:styleId="Style1">
    <w:name w:val="Style1"/>
    <w:uiPriority w:val="99"/>
    <w:pPr>
      <w:numPr>
        <w:numId w:val="17"/>
      </w:numPr>
    </w:pPr>
  </w:style>
  <w:style w:type="numbering" w:customStyle="1" w:styleId="Style2">
    <w:name w:val="Style2"/>
    <w:uiPriority w:val="99"/>
    <w:pPr>
      <w:numPr>
        <w:numId w:val="18"/>
      </w:numPr>
    </w:pPr>
  </w:style>
  <w:style w:type="paragraph" w:customStyle="1" w:styleId="broodtekst">
    <w:name w:val="broodtekst"/>
    <w:basedOn w:val="Normal"/>
    <w:link w:val="broodtekstChar"/>
    <w:uiPriority w:val="99"/>
    <w:pPr>
      <w:keepNext/>
      <w:spacing w:after="0"/>
      <w:ind w:left="360" w:hanging="360"/>
      <w:contextualSpacing/>
      <w:jc w:val="left"/>
      <w:outlineLvl w:val="0"/>
    </w:pPr>
    <w:rPr>
      <w:rFonts w:ascii="Trebuchet MS" w:eastAsia="Times New Roman" w:hAnsi="Trebuchet MS"/>
      <w:sz w:val="18"/>
      <w:szCs w:val="18"/>
    </w:rPr>
  </w:style>
  <w:style w:type="character" w:customStyle="1" w:styleId="broodtekstChar">
    <w:name w:val="broodtekst Char"/>
    <w:link w:val="broodtekst"/>
    <w:uiPriority w:val="99"/>
    <w:rPr>
      <w:rFonts w:ascii="Trebuchet MS" w:eastAsia="Times New Roman" w:hAnsi="Trebuchet MS"/>
      <w:sz w:val="18"/>
      <w:szCs w:val="18"/>
      <w:lang w:eastAsia="en-US"/>
    </w:rPr>
  </w:style>
  <w:style w:type="table" w:customStyle="1" w:styleId="table-style-blauw-040-none">
    <w:name w:val="table-style-blauw-040-none"/>
    <w:basedOn w:val="TableNormal"/>
    <w:uiPriority w:val="99"/>
    <w:pPr>
      <w:spacing w:line="280" w:lineRule="atLeast"/>
    </w:pPr>
    <w:rPr>
      <w:rFonts w:ascii="Arial" w:eastAsia="Times New Roman" w:hAnsi="Arial"/>
      <w:color w:val="000000"/>
      <w:sz w:val="16"/>
      <w:szCs w:val="18"/>
      <w:lang w:eastAsia="en-US"/>
    </w:rPr>
    <w:tblPr>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style>
  <w:style w:type="table" w:customStyle="1" w:styleId="table-style-blauw-040-none1">
    <w:name w:val="table-style-blauw-040-none1"/>
    <w:basedOn w:val="TableNormal"/>
    <w:uiPriority w:val="99"/>
    <w:pPr>
      <w:spacing w:line="280" w:lineRule="atLeast"/>
    </w:pPr>
    <w:rPr>
      <w:rFonts w:ascii="Arial" w:eastAsia="Times New Roman" w:hAnsi="Arial"/>
      <w:color w:val="000000"/>
      <w:sz w:val="16"/>
      <w:szCs w:val="18"/>
      <w:lang w:eastAsia="en-US"/>
    </w:rPr>
    <w:tblPr>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style>
  <w:style w:type="paragraph" w:customStyle="1" w:styleId="Tabeltekst">
    <w:name w:val="Tabeltekst"/>
    <w:basedOn w:val="Normal"/>
    <w:pPr>
      <w:spacing w:after="0"/>
      <w:jc w:val="left"/>
    </w:pPr>
    <w:rPr>
      <w:rFonts w:ascii="Arial" w:eastAsia="Times New Roman" w:hAnsi="Arial"/>
      <w:sz w:val="18"/>
      <w:szCs w:val="20"/>
    </w:rPr>
  </w:style>
  <w:style w:type="paragraph" w:customStyle="1" w:styleId="table-text">
    <w:name w:val="table-text"/>
    <w:basedOn w:val="broodtekst"/>
    <w:uiPriority w:val="99"/>
    <w:pPr>
      <w:keepNext w:val="0"/>
      <w:spacing w:line="280" w:lineRule="atLeast"/>
      <w:ind w:left="0" w:firstLine="0"/>
      <w:contextualSpacing w:val="0"/>
      <w:outlineLvl w:val="9"/>
    </w:pPr>
    <w:rPr>
      <w:rFonts w:ascii="Arial" w:hAnsi="Arial"/>
      <w:sz w:val="16"/>
      <w:szCs w:val="24"/>
      <w:lang w:val="nl-NL" w:eastAsia="nl-NL"/>
    </w:rPr>
  </w:style>
  <w:style w:type="paragraph" w:customStyle="1" w:styleId="tabelkop">
    <w:name w:val="tabelkop"/>
    <w:basedOn w:val="Normal"/>
    <w:pPr>
      <w:keepNext/>
      <w:keepLines/>
      <w:spacing w:after="0" w:line="280" w:lineRule="atLeast"/>
      <w:jc w:val="left"/>
    </w:pPr>
    <w:rPr>
      <w:rFonts w:ascii="Arial" w:eastAsia="Times New Roman" w:hAnsi="Arial"/>
      <w:b/>
      <w:color w:val="FFFFFF"/>
      <w:sz w:val="16"/>
      <w:szCs w:val="24"/>
      <w:lang w:val="nl-NL" w:eastAsia="nl-NL"/>
    </w:rPr>
  </w:style>
  <w:style w:type="table" w:customStyle="1" w:styleId="Table12">
    <w:name w:val="Table 12"/>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LightList-Accent212">
    <w:name w:val="Light List - Accent 212"/>
    <w:basedOn w:val="TableNormal"/>
    <w:next w:val="LightList-Accent2"/>
    <w:uiPriority w:val="61"/>
    <w:rPr>
      <w:rFonts w:asciiTheme="minorHAnsi" w:eastAsiaTheme="minorHAnsi" w:hAnsiTheme="minorHAnsi" w:cstheme="minorBidi"/>
      <w:sz w:val="22"/>
      <w:szCs w:val="22"/>
      <w:lang w:eastAsia="en-US"/>
    </w:rPr>
    <w:tblPr>
      <w:tblStyleRowBandSize w:val="1"/>
      <w:tblStyleColBandSize w:val="1"/>
      <w:tblBorders>
        <w:top w:val="single" w:sz="8" w:space="0" w:color="F04E30"/>
        <w:left w:val="single" w:sz="8" w:space="0" w:color="F04E30"/>
        <w:bottom w:val="single" w:sz="8" w:space="0" w:color="F04E30"/>
        <w:right w:val="single" w:sz="8" w:space="0" w:color="F04E30"/>
      </w:tblBorders>
    </w:tblPr>
    <w:tblStylePr w:type="firstRow">
      <w:pPr>
        <w:spacing w:before="0" w:after="0" w:line="240" w:lineRule="auto"/>
      </w:pPr>
      <w:rPr>
        <w:b/>
        <w:bCs/>
        <w:color w:val="FFFFFF"/>
      </w:rPr>
      <w:tblPr/>
      <w:tcPr>
        <w:shd w:val="clear" w:color="auto" w:fill="F04E30"/>
      </w:tcPr>
    </w:tblStylePr>
    <w:tblStylePr w:type="lastRow">
      <w:pPr>
        <w:spacing w:before="0" w:after="0" w:line="240" w:lineRule="auto"/>
      </w:pPr>
      <w:rPr>
        <w:b/>
        <w:bCs/>
      </w:rPr>
      <w:tblPr/>
      <w:tcPr>
        <w:tcBorders>
          <w:top w:val="double" w:sz="6" w:space="0" w:color="F04E30"/>
          <w:left w:val="single" w:sz="8" w:space="0" w:color="F04E30"/>
          <w:bottom w:val="single" w:sz="8" w:space="0" w:color="F04E30"/>
          <w:right w:val="single" w:sz="8" w:space="0" w:color="F04E30"/>
        </w:tcBorders>
      </w:tcPr>
    </w:tblStylePr>
    <w:tblStylePr w:type="firstCol">
      <w:rPr>
        <w:b/>
        <w:bCs/>
      </w:rPr>
    </w:tblStylePr>
    <w:tblStylePr w:type="lastCol">
      <w:rPr>
        <w:b/>
        <w:bCs/>
      </w:rPr>
    </w:tblStylePr>
    <w:tblStylePr w:type="band1Vert">
      <w:tblPr/>
      <w:tcPr>
        <w:tcBorders>
          <w:top w:val="single" w:sz="8" w:space="0" w:color="F04E30"/>
          <w:left w:val="single" w:sz="8" w:space="0" w:color="F04E30"/>
          <w:bottom w:val="single" w:sz="8" w:space="0" w:color="F04E30"/>
          <w:right w:val="single" w:sz="8" w:space="0" w:color="F04E30"/>
        </w:tcBorders>
      </w:tcPr>
    </w:tblStylePr>
    <w:tblStylePr w:type="band1Horz">
      <w:tblPr/>
      <w:tcPr>
        <w:tcBorders>
          <w:top w:val="single" w:sz="8" w:space="0" w:color="F04E30"/>
          <w:left w:val="single" w:sz="8" w:space="0" w:color="F04E30"/>
          <w:bottom w:val="single" w:sz="8" w:space="0" w:color="F04E30"/>
          <w:right w:val="single" w:sz="8" w:space="0" w:color="F04E30"/>
        </w:tcBorders>
      </w:tcPr>
    </w:tblStylePr>
  </w:style>
  <w:style w:type="table" w:styleId="LightList-Accent2">
    <w:name w:val="Light List Accent 2"/>
    <w:basedOn w:val="TableNormal"/>
    <w:uiPriority w:val="61"/>
    <w:unhideWhenUsed/>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2111">
    <w:name w:val="Light List - Accent 2111"/>
    <w:basedOn w:val="TableNormal"/>
    <w:next w:val="LightList-Accent2"/>
    <w:uiPriority w:val="61"/>
    <w:rPr>
      <w:rFonts w:asciiTheme="minorHAnsi" w:eastAsiaTheme="minorHAnsi" w:hAnsiTheme="minorHAnsi" w:cstheme="minorBidi"/>
      <w:sz w:val="22"/>
      <w:szCs w:val="22"/>
      <w:lang w:eastAsia="en-US"/>
    </w:rPr>
    <w:tblPr>
      <w:tblStyleRowBandSize w:val="1"/>
      <w:tblStyleColBandSize w:val="1"/>
      <w:tblBorders>
        <w:top w:val="single" w:sz="8" w:space="0" w:color="F04E30"/>
        <w:left w:val="single" w:sz="8" w:space="0" w:color="F04E30"/>
        <w:bottom w:val="single" w:sz="8" w:space="0" w:color="F04E30"/>
        <w:right w:val="single" w:sz="8" w:space="0" w:color="F04E30"/>
      </w:tblBorders>
    </w:tblPr>
    <w:tblStylePr w:type="firstRow">
      <w:pPr>
        <w:spacing w:before="0" w:after="0" w:line="240" w:lineRule="auto"/>
      </w:pPr>
      <w:rPr>
        <w:b/>
        <w:bCs/>
        <w:color w:val="FFFFFF"/>
      </w:rPr>
      <w:tblPr/>
      <w:tcPr>
        <w:shd w:val="clear" w:color="auto" w:fill="F04E30"/>
      </w:tcPr>
    </w:tblStylePr>
    <w:tblStylePr w:type="lastRow">
      <w:pPr>
        <w:spacing w:before="0" w:after="0" w:line="240" w:lineRule="auto"/>
      </w:pPr>
      <w:rPr>
        <w:b/>
        <w:bCs/>
      </w:rPr>
      <w:tblPr/>
      <w:tcPr>
        <w:tcBorders>
          <w:top w:val="double" w:sz="6" w:space="0" w:color="F04E30"/>
          <w:left w:val="single" w:sz="8" w:space="0" w:color="F04E30"/>
          <w:bottom w:val="single" w:sz="8" w:space="0" w:color="F04E30"/>
          <w:right w:val="single" w:sz="8" w:space="0" w:color="F04E30"/>
        </w:tcBorders>
      </w:tcPr>
    </w:tblStylePr>
    <w:tblStylePr w:type="firstCol">
      <w:rPr>
        <w:b/>
        <w:bCs/>
      </w:rPr>
    </w:tblStylePr>
    <w:tblStylePr w:type="lastCol">
      <w:rPr>
        <w:b/>
        <w:bCs/>
      </w:rPr>
    </w:tblStylePr>
    <w:tblStylePr w:type="band1Vert">
      <w:tblPr/>
      <w:tcPr>
        <w:tcBorders>
          <w:top w:val="single" w:sz="8" w:space="0" w:color="F04E30"/>
          <w:left w:val="single" w:sz="8" w:space="0" w:color="F04E30"/>
          <w:bottom w:val="single" w:sz="8" w:space="0" w:color="F04E30"/>
          <w:right w:val="single" w:sz="8" w:space="0" w:color="F04E30"/>
        </w:tcBorders>
      </w:tcPr>
    </w:tblStylePr>
    <w:tblStylePr w:type="band1Horz">
      <w:tblPr/>
      <w:tcPr>
        <w:tcBorders>
          <w:top w:val="single" w:sz="8" w:space="0" w:color="F04E30"/>
          <w:left w:val="single" w:sz="8" w:space="0" w:color="F04E30"/>
          <w:bottom w:val="single" w:sz="8" w:space="0" w:color="F04E30"/>
          <w:right w:val="single" w:sz="8" w:space="0" w:color="F04E30"/>
        </w:tcBorders>
      </w:tcPr>
    </w:tblStylePr>
  </w:style>
  <w:style w:type="table" w:customStyle="1" w:styleId="Table111">
    <w:name w:val="Table 1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Pa20">
    <w:name w:val="Pa20"/>
    <w:basedOn w:val="Default"/>
    <w:next w:val="Default"/>
    <w:uiPriority w:val="99"/>
    <w:pPr>
      <w:spacing w:line="171" w:lineRule="atLeast"/>
    </w:pPr>
    <w:rPr>
      <w:rFonts w:ascii="EC Square Sans Pro" w:eastAsiaTheme="minorHAnsi" w:hAnsi="EC Square Sans Pro" w:cstheme="minorBidi"/>
      <w:color w:val="auto"/>
      <w:lang w:eastAsia="en-US"/>
    </w:rPr>
  </w:style>
  <w:style w:type="table" w:customStyle="1" w:styleId="TableGrid1">
    <w:name w:val="Table Grid1"/>
    <w:basedOn w:val="TableNormal"/>
    <w:next w:val="TableGrid"/>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pPr>
      <w:spacing w:after="0"/>
      <w:jc w:val="left"/>
    </w:pPr>
    <w:rPr>
      <w:rFonts w:ascii="Calibri" w:hAnsi="Calibri"/>
      <w:sz w:val="20"/>
      <w:szCs w:val="21"/>
    </w:rPr>
  </w:style>
  <w:style w:type="character" w:customStyle="1" w:styleId="PlainTextChar">
    <w:name w:val="Plain Text Char"/>
    <w:basedOn w:val="DefaultParagraphFont"/>
    <w:link w:val="PlainText"/>
    <w:uiPriority w:val="99"/>
    <w:semiHidden/>
    <w:rPr>
      <w:szCs w:val="21"/>
      <w:lang w:eastAsia="en-US"/>
    </w:rPr>
  </w:style>
  <w:style w:type="character" w:customStyle="1" w:styleId="rStyle">
    <w:name w:val="rStyle"/>
    <w:rPr>
      <w:b/>
      <w:bCs w:val="0"/>
    </w:rPr>
  </w:style>
  <w:style w:type="table" w:customStyle="1" w:styleId="TableGrid2">
    <w:name w:val="Table Grid2"/>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Pr>
      <w:color w:val="0000FF"/>
      <w:u w:val="single"/>
    </w:rPr>
  </w:style>
  <w:style w:type="table" w:customStyle="1" w:styleId="TableGrid3">
    <w:name w:val="Table Grid3"/>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pPr>
      <w:spacing w:before="100" w:beforeAutospacing="1" w:after="100" w:afterAutospacing="1"/>
      <w:jc w:val="left"/>
    </w:pPr>
    <w:rPr>
      <w:rFonts w:eastAsia="Times New Roman"/>
      <w:sz w:val="24"/>
      <w:szCs w:val="24"/>
      <w:lang w:eastAsia="en-GB"/>
    </w:rPr>
  </w:style>
  <w:style w:type="character" w:customStyle="1" w:styleId="normaltextrun">
    <w:name w:val="normaltextrun"/>
    <w:basedOn w:val="DefaultParagraphFont"/>
  </w:style>
  <w:style w:type="character" w:customStyle="1" w:styleId="scx12335173">
    <w:name w:val="scx12335173"/>
    <w:basedOn w:val="DefaultParagraphFont"/>
  </w:style>
  <w:style w:type="character" w:customStyle="1" w:styleId="eop">
    <w:name w:val="eop"/>
    <w:basedOn w:val="DefaultParagraphFont"/>
  </w:style>
  <w:style w:type="character" w:customStyle="1" w:styleId="spellingerror">
    <w:name w:val="spellingerror"/>
    <w:basedOn w:val="DefaultParagraphFont"/>
  </w:style>
  <w:style w:type="table" w:customStyle="1" w:styleId="Table113">
    <w:name w:val="Table 113"/>
    <w:basedOn w:val="TableNormal"/>
    <w:uiPriority w:val="99"/>
    <w:pPr>
      <w:jc w:val="center"/>
    </w:pPr>
    <w:rPr>
      <w:rFonts w:ascii="Trebuchet MS" w:hAnsi="Trebuchet MS"/>
      <w:sz w:val="16"/>
      <w:szCs w:val="22"/>
      <w:lang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Trebuchet MS" w:hAnsi="Trebuchet MS" w:hint="default"/>
        <w:b/>
        <w:color w:val="FFFFFF" w:themeColor="background1"/>
        <w:sz w:val="16"/>
        <w:szCs w:val="16"/>
      </w:rPr>
      <w:tblPr/>
      <w:tcPr>
        <w:shd w:val="clear" w:color="auto" w:fill="005962"/>
      </w:tcPr>
    </w:tblStylePr>
    <w:tblStylePr w:type="firstCol">
      <w:pPr>
        <w:wordWrap/>
        <w:jc w:val="left"/>
        <w:outlineLvl w:val="9"/>
      </w:pPr>
    </w:tblStylePr>
  </w:style>
  <w:style w:type="paragraph" w:customStyle="1" w:styleId="ECVSectionBullet">
    <w:name w:val="_ECV_SectionBullet"/>
    <w:basedOn w:val="Normal"/>
    <w:pPr>
      <w:suppressLineNumbers/>
      <w:autoSpaceDE w:val="0"/>
      <w:spacing w:after="0" w:line="100" w:lineRule="atLeast"/>
      <w:jc w:val="left"/>
    </w:pPr>
    <w:rPr>
      <w:rFonts w:ascii="Arial" w:eastAsia="SimSun" w:hAnsi="Arial" w:cs="Mangal"/>
      <w:color w:val="3F3A38"/>
      <w:spacing w:val="-6"/>
      <w:kern w:val="2"/>
      <w:sz w:val="18"/>
      <w:szCs w:val="24"/>
      <w:lang w:eastAsia="zh-CN" w:bidi="hi-IN"/>
    </w:rPr>
  </w:style>
  <w:style w:type="table" w:customStyle="1" w:styleId="Table11">
    <w:name w:val="Table 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Table1111">
    <w:name w:val="Table 11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table" w:customStyle="1" w:styleId="Table13">
    <w:name w:val="Table 13"/>
    <w:basedOn w:val="TableNormal"/>
    <w:uiPriority w:val="99"/>
    <w:pPr>
      <w:jc w:val="center"/>
    </w:pPr>
    <w:rPr>
      <w:rFonts w:ascii="Trebuchet MS" w:eastAsiaTheme="minorHAnsi" w:hAnsi="Trebuchet MS" w:cstheme="minorBidi"/>
      <w:sz w:val="16"/>
      <w:szCs w:val="22"/>
      <w:lang w:val="nl-NL"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Trebuchet MS" w:hAnsi="Trebuchet MS" w:hint="default"/>
        <w:b/>
        <w:color w:val="FFFFFF" w:themeColor="background1"/>
        <w:sz w:val="16"/>
        <w:szCs w:val="16"/>
      </w:rPr>
      <w:tblPr/>
      <w:tcPr>
        <w:shd w:val="clear" w:color="auto" w:fill="005962"/>
      </w:tcPr>
    </w:tblStylePr>
    <w:tblStylePr w:type="firstCol">
      <w:pPr>
        <w:wordWrap/>
        <w:jc w:val="left"/>
        <w:outlineLvl w:val="9"/>
      </w:pPr>
    </w:tblStylePr>
  </w:style>
  <w:style w:type="table" w:customStyle="1" w:styleId="Table15">
    <w:name w:val="Table 15"/>
    <w:basedOn w:val="TableNormal"/>
    <w:uiPriority w:val="99"/>
    <w:pPr>
      <w:jc w:val="center"/>
    </w:pPr>
    <w:rPr>
      <w:rFonts w:ascii="Trebuchet MS" w:eastAsiaTheme="minorHAnsi" w:hAnsi="Trebuchet MS" w:cstheme="minorBidi"/>
      <w:sz w:val="16"/>
      <w:szCs w:val="22"/>
      <w:lang w:val="nl-NL"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EC Square Sans Pro" w:hAnsi="EC Square Sans Pro" w:cs="Times New Roman" w:hint="default"/>
        <w:b/>
        <w:color w:val="FFFFFF"/>
        <w:sz w:val="16"/>
        <w:szCs w:val="16"/>
      </w:rPr>
      <w:tblPr/>
      <w:tcPr>
        <w:shd w:val="clear" w:color="auto" w:fill="005962"/>
      </w:tcPr>
    </w:tblStylePr>
    <w:tblStylePr w:type="firstCol">
      <w:pPr>
        <w:wordWrap/>
        <w:jc w:val="left"/>
        <w:outlineLvl w:val="9"/>
      </w:pPr>
    </w:tblStylePr>
  </w:style>
  <w:style w:type="character" w:customStyle="1" w:styleId="Mention1">
    <w:name w:val="Mention1"/>
    <w:basedOn w:val="DefaultParagraphFont"/>
    <w:uiPriority w:val="99"/>
    <w:semiHidden/>
    <w:unhideWhenUsed/>
    <w:rPr>
      <w:color w:val="2B579A"/>
      <w:shd w:val="clear" w:color="auto" w:fill="E6E6E6"/>
    </w:rPr>
  </w:style>
  <w:style w:type="character" w:customStyle="1" w:styleId="UnresolvedMention1">
    <w:name w:val="Unresolved Mention1"/>
    <w:basedOn w:val="DefaultParagraphFont"/>
    <w:uiPriority w:val="99"/>
    <w:semiHidden/>
    <w:unhideWhenUsed/>
    <w:rPr>
      <w:color w:val="808080"/>
      <w:shd w:val="clear" w:color="auto" w:fill="E6E6E6"/>
    </w:rPr>
  </w:style>
  <w:style w:type="table" w:customStyle="1" w:styleId="TabelEcorys21">
    <w:name w:val="TabelEcorys21"/>
    <w:basedOn w:val="TableNormal"/>
    <w:uiPriority w:val="59"/>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TextChar">
    <w:name w:val="Default Text Char"/>
    <w:basedOn w:val="DefaultParagraphFont"/>
    <w:link w:val="DefaultText"/>
    <w:locked/>
    <w:rPr>
      <w:rFonts w:ascii="Arial" w:eastAsia="Times New Roman" w:hAnsi="Arial"/>
      <w:sz w:val="18"/>
      <w:szCs w:val="24"/>
      <w:lang w:eastAsia="nl-NL"/>
    </w:rPr>
  </w:style>
  <w:style w:type="paragraph" w:customStyle="1" w:styleId="DefaultText">
    <w:name w:val="Default Text"/>
    <w:basedOn w:val="Normal"/>
    <w:link w:val="DefaultTextChar"/>
    <w:qFormat/>
    <w:pPr>
      <w:spacing w:after="0" w:line="280" w:lineRule="atLeast"/>
    </w:pPr>
    <w:rPr>
      <w:rFonts w:ascii="Arial" w:eastAsia="Times New Roman" w:hAnsi="Arial"/>
      <w:sz w:val="18"/>
      <w:szCs w:val="24"/>
      <w:lang w:eastAsia="nl-NL"/>
    </w:rPr>
  </w:style>
  <w:style w:type="character" w:customStyle="1" w:styleId="TableTextChar">
    <w:name w:val="Table Text Char"/>
    <w:basedOn w:val="DefaultParagraphFont"/>
    <w:link w:val="TableText"/>
    <w:locked/>
    <w:rPr>
      <w:rFonts w:ascii="Arial" w:eastAsia="Times New Roman" w:hAnsi="Arial"/>
      <w:sz w:val="16"/>
      <w:szCs w:val="24"/>
    </w:rPr>
  </w:style>
  <w:style w:type="paragraph" w:customStyle="1" w:styleId="TableText">
    <w:name w:val="Table Text"/>
    <w:basedOn w:val="Normal"/>
    <w:link w:val="TableTextChar"/>
    <w:pPr>
      <w:spacing w:after="0" w:line="280" w:lineRule="atLeast"/>
      <w:jc w:val="left"/>
    </w:pPr>
    <w:rPr>
      <w:rFonts w:ascii="Arial" w:eastAsia="Times New Roman" w:hAnsi="Arial"/>
      <w:sz w:val="16"/>
      <w:szCs w:val="24"/>
      <w:lang w:eastAsia="en-GB"/>
    </w:rPr>
  </w:style>
  <w:style w:type="paragraph" w:styleId="ListBullet">
    <w:name w:val="List Bullet"/>
    <w:basedOn w:val="Normal"/>
    <w:uiPriority w:val="99"/>
    <w:unhideWhenUsed/>
    <w:qFormat/>
    <w:pPr>
      <w:spacing w:after="0" w:line="280" w:lineRule="exact"/>
      <w:ind w:left="284" w:hanging="284"/>
      <w:jc w:val="left"/>
    </w:pPr>
    <w:rPr>
      <w:rFonts w:eastAsia="Times New Roman"/>
    </w:rPr>
  </w:style>
  <w:style w:type="paragraph" w:customStyle="1" w:styleId="Tabhead">
    <w:name w:val="Tabhead"/>
    <w:basedOn w:val="Normal"/>
    <w:pPr>
      <w:snapToGrid w:val="0"/>
      <w:spacing w:after="0" w:line="280" w:lineRule="exact"/>
      <w:jc w:val="center"/>
    </w:pPr>
    <w:rPr>
      <w:rFonts w:eastAsia="Times New Roman"/>
      <w:b/>
      <w:bCs/>
      <w:color w:val="000000"/>
      <w:sz w:val="20"/>
      <w:szCs w:val="20"/>
      <w:lang w:val="en-US"/>
    </w:rPr>
  </w:style>
  <w:style w:type="paragraph" w:customStyle="1" w:styleId="Tabl">
    <w:name w:val="Tabl"/>
    <w:basedOn w:val="Normal"/>
    <w:pPr>
      <w:snapToGrid w:val="0"/>
      <w:spacing w:after="0" w:line="280" w:lineRule="exact"/>
      <w:ind w:firstLine="142"/>
      <w:jc w:val="left"/>
    </w:pPr>
    <w:rPr>
      <w:rFonts w:eastAsia="Times New Roman"/>
      <w:color w:val="000000"/>
      <w:sz w:val="18"/>
      <w:szCs w:val="18"/>
      <w:lang w:val="en-US"/>
    </w:rPr>
  </w:style>
  <w:style w:type="paragraph" w:customStyle="1" w:styleId="Tabfoot">
    <w:name w:val="Tabfoot"/>
    <w:basedOn w:val="Normal"/>
    <w:pPr>
      <w:tabs>
        <w:tab w:val="left" w:pos="851"/>
      </w:tabs>
      <w:snapToGrid w:val="0"/>
      <w:spacing w:after="0"/>
      <w:ind w:left="993" w:hanging="851"/>
      <w:jc w:val="left"/>
    </w:pPr>
    <w:rPr>
      <w:rFonts w:eastAsia="Times New Roman"/>
      <w:color w:val="000000"/>
      <w:sz w:val="16"/>
      <w:szCs w:val="16"/>
      <w:lang w:val="en-US"/>
    </w:rPr>
  </w:style>
  <w:style w:type="character" w:customStyle="1" w:styleId="ListBulletlastChar">
    <w:name w:val="List Bullet last Char"/>
    <w:link w:val="ListBulletlast"/>
    <w:locked/>
    <w:rPr>
      <w:rFonts w:ascii="Times New Roman" w:eastAsia="Times New Roman" w:hAnsi="Times New Roman"/>
    </w:rPr>
  </w:style>
  <w:style w:type="paragraph" w:customStyle="1" w:styleId="ListBulletlast">
    <w:name w:val="List Bullet last"/>
    <w:basedOn w:val="ListBullet"/>
    <w:link w:val="ListBulletlastChar"/>
    <w:pPr>
      <w:spacing w:after="120"/>
      <w:ind w:left="283" w:hanging="283"/>
    </w:pPr>
    <w:rPr>
      <w:sz w:val="20"/>
      <w:szCs w:val="20"/>
      <w:lang w:eastAsia="en-GB"/>
    </w:rPr>
  </w:style>
  <w:style w:type="table" w:customStyle="1" w:styleId="Table14">
    <w:name w:val="Table 14"/>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Table16">
    <w:name w:val="Table 16"/>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character" w:customStyle="1" w:styleId="leftside">
    <w:name w:val="left_side"/>
    <w:basedOn w:val="DefaultParagraphFont"/>
  </w:style>
  <w:style w:type="table" w:customStyle="1" w:styleId="ListTable4-Accent51">
    <w:name w:val="List Table 4 - Accent 5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112">
    <w:name w:val="Table 112"/>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msonormal0">
    <w:name w:val="msonormal"/>
    <w:basedOn w:val="Normal"/>
    <w:pPr>
      <w:spacing w:before="100" w:beforeAutospacing="1" w:after="100" w:afterAutospacing="1"/>
      <w:jc w:val="left"/>
    </w:pPr>
    <w:rPr>
      <w:rFonts w:eastAsia="Times New Roman"/>
      <w:sz w:val="24"/>
      <w:szCs w:val="24"/>
      <w:lang w:eastAsia="en-GB"/>
    </w:rPr>
  </w:style>
  <w:style w:type="paragraph" w:customStyle="1" w:styleId="xl112">
    <w:name w:val="xl112"/>
    <w:basedOn w:val="Normal"/>
    <w:pPr>
      <w:spacing w:before="100" w:beforeAutospacing="1" w:after="100" w:afterAutospacing="1"/>
      <w:jc w:val="left"/>
    </w:pPr>
    <w:rPr>
      <w:rFonts w:ascii="Trebuchet MS" w:eastAsia="Times New Roman" w:hAnsi="Trebuchet MS"/>
      <w:color w:val="000000"/>
      <w:lang w:eastAsia="en-GB"/>
    </w:rPr>
  </w:style>
  <w:style w:type="paragraph" w:customStyle="1" w:styleId="xl113">
    <w:name w:val="xl113"/>
    <w:basedOn w:val="Normal"/>
    <w:pPr>
      <w:pBdr>
        <w:top w:val="single" w:sz="12" w:space="0" w:color="auto"/>
        <w:lef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4">
    <w:name w:val="xl114"/>
    <w:basedOn w:val="Normal"/>
    <w:pPr>
      <w:pBdr>
        <w:top w:val="single" w:sz="12" w:space="0" w:color="auto"/>
        <w:left w:val="single" w:sz="12" w:space="0" w:color="auto"/>
        <w:righ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5">
    <w:name w:val="xl115"/>
    <w:basedOn w:val="Normal"/>
    <w:pPr>
      <w:pBdr>
        <w:top w:val="single" w:sz="12"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6">
    <w:name w:val="xl116"/>
    <w:basedOn w:val="Normal"/>
    <w:pPr>
      <w:pBdr>
        <w:top w:val="single" w:sz="12" w:space="0" w:color="auto"/>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7">
    <w:name w:val="xl117"/>
    <w:basedOn w:val="Normal"/>
    <w:pPr>
      <w:pBdr>
        <w:top w:val="single" w:sz="12"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8">
    <w:name w:val="xl118"/>
    <w:basedOn w:val="Normal"/>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9">
    <w:name w:val="xl119"/>
    <w:basedOn w:val="Normal"/>
    <w:pPr>
      <w:pBdr>
        <w:top w:val="single" w:sz="12"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0">
    <w:name w:val="xl120"/>
    <w:basedOn w:val="Normal"/>
    <w:pPr>
      <w:pBdr>
        <w:top w:val="single" w:sz="12"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1">
    <w:name w:val="xl121"/>
    <w:basedOn w:val="Normal"/>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2">
    <w:name w:val="xl122"/>
    <w:basedOn w:val="Normal"/>
    <w:pPr>
      <w:pBdr>
        <w:top w:val="single" w:sz="12"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3">
    <w:name w:val="xl12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4">
    <w:name w:val="xl124"/>
    <w:basedOn w:val="Normal"/>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5">
    <w:name w:val="xl125"/>
    <w:basedOn w:val="Normal"/>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6">
    <w:name w:val="xl1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7">
    <w:name w:val="xl127"/>
    <w:basedOn w:val="Normal"/>
    <w:pPr>
      <w:pBdr>
        <w:left w:val="single" w:sz="12" w:space="0" w:color="auto"/>
        <w:bottom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8">
    <w:name w:val="xl128"/>
    <w:basedOn w:val="Normal"/>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9">
    <w:name w:val="xl129"/>
    <w:basedOn w:val="Normal"/>
    <w:pPr>
      <w:pBdr>
        <w:lef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0">
    <w:name w:val="xl130"/>
    <w:basedOn w:val="Normal"/>
    <w:pPr>
      <w:pBdr>
        <w:top w:val="single" w:sz="4" w:space="0" w:color="auto"/>
        <w:left w:val="single" w:sz="12"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1">
    <w:name w:val="xl131"/>
    <w:basedOn w:val="Normal"/>
    <w:pPr>
      <w:pBdr>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2">
    <w:name w:val="xl132"/>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3">
    <w:name w:val="xl133"/>
    <w:basedOn w:val="Normal"/>
    <w:pPr>
      <w:pBdr>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4">
    <w:name w:val="xl134"/>
    <w:basedOn w:val="Normal"/>
    <w:pPr>
      <w:pBdr>
        <w:top w:val="single" w:sz="4" w:space="0" w:color="auto"/>
        <w:lef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5">
    <w:name w:val="xl135"/>
    <w:basedOn w:val="Normal"/>
    <w:pPr>
      <w:pBdr>
        <w:left w:val="single" w:sz="12"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36">
    <w:name w:val="xl136"/>
    <w:basedOn w:val="Normal"/>
    <w:pPr>
      <w:pBdr>
        <w:left w:val="single" w:sz="12" w:space="0" w:color="auto"/>
        <w:bottom w:val="single" w:sz="4" w:space="0" w:color="auto"/>
      </w:pBdr>
      <w:spacing w:before="100" w:beforeAutospacing="1" w:after="100" w:afterAutospacing="1"/>
      <w:jc w:val="left"/>
    </w:pPr>
    <w:rPr>
      <w:rFonts w:ascii="Trebuchet MS" w:eastAsia="Times New Roman" w:hAnsi="Trebuchet MS"/>
      <w:b/>
      <w:bCs/>
      <w:color w:val="000000"/>
      <w:sz w:val="20"/>
      <w:szCs w:val="20"/>
      <w:lang w:eastAsia="en-GB"/>
    </w:rPr>
  </w:style>
  <w:style w:type="paragraph" w:customStyle="1" w:styleId="xl137">
    <w:name w:val="xl13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38">
    <w:name w:val="xl138"/>
    <w:basedOn w:val="Normal"/>
    <w:pPr>
      <w:pBdr>
        <w:top w:val="single" w:sz="4" w:space="0" w:color="auto"/>
        <w:left w:val="single" w:sz="4" w:space="0" w:color="auto"/>
        <w:bottom w:val="single" w:sz="4" w:space="0" w:color="auto"/>
        <w:right w:val="single" w:sz="4" w:space="0" w:color="auto"/>
      </w:pBdr>
      <w:shd w:val="clear" w:color="000000" w:fill="E36C09"/>
      <w:spacing w:before="100" w:beforeAutospacing="1" w:after="100" w:afterAutospacing="1"/>
      <w:jc w:val="left"/>
    </w:pPr>
    <w:rPr>
      <w:rFonts w:ascii="Trebuchet MS" w:eastAsia="Times New Roman" w:hAnsi="Trebuchet MS"/>
      <w:sz w:val="20"/>
      <w:szCs w:val="20"/>
      <w:lang w:eastAsia="en-GB"/>
    </w:rPr>
  </w:style>
  <w:style w:type="paragraph" w:customStyle="1" w:styleId="xl139">
    <w:name w:val="xl139"/>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ascii="Trebuchet MS" w:eastAsia="Times New Roman" w:hAnsi="Trebuchet MS"/>
      <w:sz w:val="20"/>
      <w:szCs w:val="20"/>
      <w:lang w:eastAsia="en-GB"/>
    </w:rPr>
  </w:style>
  <w:style w:type="paragraph" w:customStyle="1" w:styleId="xl140">
    <w:name w:val="xl14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rebuchet MS" w:eastAsia="Times New Roman" w:hAnsi="Trebuchet MS"/>
      <w:sz w:val="20"/>
      <w:szCs w:val="20"/>
      <w:lang w:eastAsia="en-GB"/>
    </w:rPr>
  </w:style>
  <w:style w:type="paragraph" w:customStyle="1" w:styleId="xl141">
    <w:name w:val="xl14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42">
    <w:name w:val="xl142"/>
    <w:basedOn w:val="Normal"/>
    <w:pPr>
      <w:pBdr>
        <w:top w:val="single" w:sz="4" w:space="0" w:color="auto"/>
        <w:left w:val="single" w:sz="12"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43">
    <w:name w:val="xl143"/>
    <w:basedOn w:val="Normal"/>
    <w:pPr>
      <w:pBdr>
        <w:top w:val="single" w:sz="4" w:space="0" w:color="auto"/>
        <w:left w:val="single" w:sz="12" w:space="0" w:color="auto"/>
        <w:bottom w:val="single" w:sz="4" w:space="0" w:color="auto"/>
      </w:pBdr>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44">
    <w:name w:val="xl144"/>
    <w:basedOn w:val="Normal"/>
    <w:pPr>
      <w:pBdr>
        <w:top w:val="single" w:sz="4" w:space="0" w:color="auto"/>
        <w:left w:val="single" w:sz="12" w:space="0" w:color="auto"/>
        <w:bottom w:val="single" w:sz="4" w:space="0" w:color="auto"/>
      </w:pBdr>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5">
    <w:name w:val="xl14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6">
    <w:name w:val="xl146"/>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7">
    <w:name w:val="xl14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8">
    <w:name w:val="xl148"/>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49">
    <w:name w:val="xl149"/>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rebuchet MS" w:eastAsia="Times New Roman" w:hAnsi="Trebuchet MS"/>
      <w:sz w:val="20"/>
      <w:szCs w:val="20"/>
      <w:lang w:eastAsia="en-GB"/>
    </w:rPr>
  </w:style>
  <w:style w:type="paragraph" w:customStyle="1" w:styleId="xl150">
    <w:name w:val="xl150"/>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51">
    <w:name w:val="xl151"/>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52">
    <w:name w:val="xl152"/>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53">
    <w:name w:val="xl153"/>
    <w:basedOn w:val="Normal"/>
    <w:pPr>
      <w:pBdr>
        <w:top w:val="single" w:sz="4" w:space="0" w:color="auto"/>
        <w:left w:val="single" w:sz="12" w:space="0" w:color="auto"/>
        <w:bottom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4">
    <w:name w:val="xl154"/>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rebuchet MS" w:eastAsia="Times New Roman" w:hAnsi="Trebuchet MS"/>
      <w:color w:val="002C54"/>
      <w:sz w:val="20"/>
      <w:szCs w:val="20"/>
      <w:u w:val="single"/>
      <w:lang w:eastAsia="en-GB"/>
    </w:rPr>
  </w:style>
  <w:style w:type="paragraph" w:customStyle="1" w:styleId="xl155">
    <w:name w:val="xl15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color w:val="002C54"/>
      <w:sz w:val="20"/>
      <w:szCs w:val="20"/>
      <w:u w:val="single"/>
      <w:lang w:eastAsia="en-GB"/>
    </w:rPr>
  </w:style>
  <w:style w:type="paragraph" w:customStyle="1" w:styleId="xl156">
    <w:name w:val="xl15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7">
    <w:name w:val="xl157"/>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8">
    <w:name w:val="xl158"/>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59">
    <w:name w:val="xl159"/>
    <w:basedOn w:val="Normal"/>
    <w:pPr>
      <w:pBdr>
        <w:top w:val="single" w:sz="4"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0">
    <w:name w:val="xl160"/>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1">
    <w:name w:val="xl161"/>
    <w:basedOn w:val="Normal"/>
    <w:pPr>
      <w:pBdr>
        <w:top w:val="single" w:sz="4" w:space="0" w:color="auto"/>
        <w:bottom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62">
    <w:name w:val="xl162"/>
    <w:basedOn w:val="Normal"/>
    <w:pPr>
      <w:pBdr>
        <w:top w:val="single" w:sz="4"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3">
    <w:name w:val="xl163"/>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4">
    <w:name w:val="xl164"/>
    <w:basedOn w:val="Normal"/>
    <w:pPr>
      <w:pBdr>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65">
    <w:name w:val="xl165"/>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6">
    <w:name w:val="xl166"/>
    <w:basedOn w:val="Normal"/>
    <w:pPr>
      <w:pBdr>
        <w:left w:val="single" w:sz="12"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67">
    <w:name w:val="xl167"/>
    <w:basedOn w:val="Normal"/>
    <w:pPr>
      <w:pBdr>
        <w:left w:val="single" w:sz="12" w:space="0" w:color="auto"/>
        <w:bottom w:val="single" w:sz="12"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68">
    <w:name w:val="xl168"/>
    <w:basedOn w:val="Normal"/>
    <w:pPr>
      <w:pBdr>
        <w:left w:val="single" w:sz="12" w:space="0" w:color="auto"/>
        <w:bottom w:val="single" w:sz="12"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9">
    <w:name w:val="xl169"/>
    <w:basedOn w:val="Normal"/>
    <w:pPr>
      <w:pBdr>
        <w:top w:val="single" w:sz="4"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70">
    <w:name w:val="xl170"/>
    <w:basedOn w:val="Normal"/>
    <w:pPr>
      <w:pBdr>
        <w:top w:val="single" w:sz="4" w:space="0" w:color="auto"/>
        <w:bottom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table" w:customStyle="1" w:styleId="TableGrid5">
    <w:name w:val="Table Grid5"/>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numberstable">
    <w:name w:val="CE numbers table"/>
    <w:basedOn w:val="TableNormal"/>
    <w:uiPriority w:val="99"/>
    <w:rPr>
      <w:rFonts w:ascii="Arial" w:eastAsia="Times New Roman" w:hAnsi="Arial"/>
      <w:color w:val="002060"/>
      <w:sz w:val="18"/>
    </w:rPr>
    <w:tblPr>
      <w:tblStyleRowBandSize w:val="1"/>
      <w:tblBorders>
        <w:top w:val="single" w:sz="4" w:space="0" w:color="0085C0"/>
        <w:left w:val="single" w:sz="4" w:space="0" w:color="0085C0"/>
        <w:bottom w:val="single" w:sz="4" w:space="0" w:color="0085C0"/>
        <w:right w:val="single" w:sz="4" w:space="0" w:color="0085C0"/>
      </w:tblBorders>
    </w:tblPr>
    <w:tblStylePr w:type="firstRow">
      <w:pPr>
        <w:jc w:val="right"/>
      </w:pPr>
      <w:rPr>
        <w:rFonts w:ascii="Arial" w:hAnsi="Arial"/>
        <w:color w:val="FFFFFF"/>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6398"/>
      </w:tcPr>
    </w:tblStylePr>
    <w:tblStylePr w:type="lastRow">
      <w:rPr>
        <w:color w:val="auto"/>
      </w:rPr>
      <w:tblPr/>
      <w:tcPr>
        <w:tcBorders>
          <w:bottom w:val="single" w:sz="4" w:space="0" w:color="006398"/>
        </w:tcBorders>
      </w:tcPr>
    </w:tblStylePr>
    <w:tblStylePr w:type="firstCol">
      <w:pPr>
        <w:jc w:val="left"/>
      </w:pPr>
      <w:rPr>
        <w:rFonts w:ascii="Arial" w:hAnsi="Arial"/>
        <w:color w:val="FFFFFF"/>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6398"/>
      </w:tcPr>
    </w:tblStylePr>
    <w:tblStylePr w:type="lastCol">
      <w:tblPr/>
      <w:tcPr>
        <w:tcBorders>
          <w:right w:val="nil"/>
        </w:tcBorders>
      </w:tcPr>
    </w:tblStylePr>
    <w:tblStylePr w:type="band1Horz">
      <w:pPr>
        <w:jc w:val="right"/>
      </w:pPr>
      <w:rPr>
        <w:rFonts w:ascii="Arial" w:hAnsi="Arial"/>
        <w:color w:val="auto"/>
        <w:sz w:val="18"/>
      </w:rPr>
    </w:tblStylePr>
    <w:tblStylePr w:type="band2Horz">
      <w:pPr>
        <w:jc w:val="right"/>
      </w:pPr>
      <w:rPr>
        <w:color w:val="000000"/>
      </w:rPr>
    </w:tblStylePr>
  </w:style>
  <w:style w:type="paragraph" w:customStyle="1" w:styleId="xl77">
    <w:name w:val="xl77"/>
    <w:basedOn w:val="Normal"/>
    <w:pPr>
      <w:pBdr>
        <w:left w:val="single" w:sz="8" w:space="0" w:color="FFFFFF"/>
        <w:right w:val="single" w:sz="8" w:space="0" w:color="FFFFFF"/>
      </w:pBdr>
      <w:shd w:val="clear" w:color="000000" w:fill="00758F"/>
      <w:spacing w:before="100" w:beforeAutospacing="1" w:after="100" w:afterAutospacing="1"/>
      <w:jc w:val="left"/>
    </w:pPr>
    <w:rPr>
      <w:rFonts w:eastAsia="Times New Roman"/>
      <w:b/>
      <w:bCs/>
      <w:color w:val="FFFFFF"/>
      <w:sz w:val="24"/>
      <w:szCs w:val="24"/>
      <w:lang w:eastAsia="en-GB"/>
    </w:rPr>
  </w:style>
  <w:style w:type="paragraph" w:customStyle="1" w:styleId="xl78">
    <w:name w:val="xl78"/>
    <w:basedOn w:val="Normal"/>
    <w:pPr>
      <w:shd w:val="clear" w:color="000000" w:fill="FFFFFF"/>
      <w:spacing w:before="100" w:beforeAutospacing="1" w:after="100" w:afterAutospacing="1"/>
      <w:jc w:val="left"/>
    </w:pPr>
    <w:rPr>
      <w:rFonts w:eastAsia="Times New Roman"/>
      <w:sz w:val="24"/>
      <w:szCs w:val="24"/>
      <w:lang w:eastAsia="en-GB"/>
    </w:rPr>
  </w:style>
  <w:style w:type="paragraph" w:customStyle="1" w:styleId="xl79">
    <w:name w:val="xl79"/>
    <w:basedOn w:val="Normal"/>
    <w:pPr>
      <w:pBdr>
        <w:top w:val="single" w:sz="4" w:space="0" w:color="00758F"/>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0">
    <w:name w:val="xl80"/>
    <w:basedOn w:val="Normal"/>
    <w:pPr>
      <w:pBdr>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1">
    <w:name w:val="xl81"/>
    <w:basedOn w:val="Normal"/>
    <w:pPr>
      <w:pBdr>
        <w:top w:val="single" w:sz="8" w:space="0" w:color="00758F"/>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82">
    <w:name w:val="xl82"/>
    <w:basedOn w:val="Normal"/>
    <w:pPr>
      <w:pBdr>
        <w:top w:val="single" w:sz="8" w:space="0" w:color="00758F"/>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3">
    <w:name w:val="xl83"/>
    <w:basedOn w:val="Normal"/>
    <w:pPr>
      <w:pBdr>
        <w:top w:val="single" w:sz="4" w:space="0" w:color="00758F"/>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4">
    <w:name w:val="xl84"/>
    <w:basedOn w:val="Normal"/>
    <w:pPr>
      <w:pBdr>
        <w:top w:val="single" w:sz="4" w:space="0" w:color="00758F"/>
        <w:left w:val="single" w:sz="8" w:space="0" w:color="00758F"/>
        <w:bottom w:val="single" w:sz="8"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5">
    <w:name w:val="xl85"/>
    <w:basedOn w:val="Normal"/>
    <w:pPr>
      <w:pBdr>
        <w:top w:val="single" w:sz="4" w:space="0" w:color="00758F"/>
        <w:left w:val="single" w:sz="4" w:space="0" w:color="00758F"/>
        <w:bottom w:val="single" w:sz="8"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6">
    <w:name w:val="xl86"/>
    <w:basedOn w:val="Normal"/>
    <w:pPr>
      <w:pBdr>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87">
    <w:name w:val="xl87"/>
    <w:basedOn w:val="Normal"/>
    <w:pPr>
      <w:shd w:val="clear" w:color="000000" w:fill="FFFFFF"/>
      <w:spacing w:before="100" w:beforeAutospacing="1" w:after="100" w:afterAutospacing="1"/>
      <w:jc w:val="left"/>
    </w:pPr>
    <w:rPr>
      <w:rFonts w:eastAsia="Times New Roman"/>
      <w:sz w:val="24"/>
      <w:szCs w:val="24"/>
      <w:lang w:eastAsia="en-GB"/>
    </w:rPr>
  </w:style>
  <w:style w:type="paragraph" w:customStyle="1" w:styleId="xl88">
    <w:name w:val="xl88"/>
    <w:basedOn w:val="Normal"/>
    <w:pPr>
      <w:pBdr>
        <w:top w:val="single" w:sz="8"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9">
    <w:name w:val="xl89"/>
    <w:basedOn w:val="Normal"/>
    <w:pPr>
      <w:pBdr>
        <w:top w:val="single" w:sz="4"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0">
    <w:name w:val="xl90"/>
    <w:basedOn w:val="Normal"/>
    <w:pPr>
      <w:pBdr>
        <w:top w:val="single" w:sz="4" w:space="0" w:color="00758F"/>
        <w:left w:val="single" w:sz="4" w:space="0" w:color="00758F"/>
        <w:bottom w:val="single" w:sz="8"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1">
    <w:name w:val="xl91"/>
    <w:basedOn w:val="Normal"/>
    <w:pPr>
      <w:pBdr>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2">
    <w:name w:val="xl92"/>
    <w:basedOn w:val="Normal"/>
    <w:pPr>
      <w:pBdr>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3">
    <w:name w:val="xl93"/>
    <w:basedOn w:val="Normal"/>
    <w:pPr>
      <w:pBdr>
        <w:top w:val="single" w:sz="4" w:space="0" w:color="00758F"/>
        <w:left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4">
    <w:name w:val="xl94"/>
    <w:basedOn w:val="Normal"/>
    <w:pPr>
      <w:pBdr>
        <w:top w:val="single" w:sz="4"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color w:val="FF0000"/>
      <w:sz w:val="24"/>
      <w:szCs w:val="24"/>
      <w:lang w:eastAsia="en-GB"/>
    </w:rPr>
  </w:style>
  <w:style w:type="paragraph" w:customStyle="1" w:styleId="xl95">
    <w:name w:val="xl95"/>
    <w:basedOn w:val="Normal"/>
    <w:pPr>
      <w:pBdr>
        <w:top w:val="single" w:sz="4" w:space="0" w:color="00758F"/>
        <w:left w:val="single" w:sz="4" w:space="0" w:color="00758F"/>
        <w:bottom w:val="single" w:sz="8" w:space="0" w:color="00758F"/>
        <w:right w:val="single" w:sz="8" w:space="0" w:color="00758F"/>
      </w:pBdr>
      <w:shd w:val="clear" w:color="000000" w:fill="FFFFFF"/>
      <w:spacing w:before="100" w:beforeAutospacing="1" w:after="100" w:afterAutospacing="1"/>
      <w:jc w:val="left"/>
    </w:pPr>
    <w:rPr>
      <w:rFonts w:eastAsia="Times New Roman"/>
      <w:color w:val="FF0000"/>
      <w:sz w:val="24"/>
      <w:szCs w:val="24"/>
      <w:lang w:eastAsia="en-GB"/>
    </w:rPr>
  </w:style>
  <w:style w:type="paragraph" w:customStyle="1" w:styleId="xl96">
    <w:name w:val="xl96"/>
    <w:basedOn w:val="Normal"/>
    <w:pPr>
      <w:pBdr>
        <w:top w:val="single" w:sz="4" w:space="0" w:color="00758F"/>
        <w:left w:val="single" w:sz="4" w:space="0" w:color="00758F"/>
        <w:right w:val="single" w:sz="8" w:space="0" w:color="00758F"/>
      </w:pBdr>
      <w:shd w:val="clear" w:color="000000" w:fill="FFFFFF"/>
      <w:spacing w:before="100" w:beforeAutospacing="1" w:after="100" w:afterAutospacing="1"/>
      <w:jc w:val="left"/>
    </w:pPr>
    <w:rPr>
      <w:rFonts w:eastAsia="Times New Roman"/>
      <w:color w:val="C86D0B"/>
      <w:sz w:val="24"/>
      <w:szCs w:val="24"/>
      <w:lang w:eastAsia="en-GB"/>
    </w:rPr>
  </w:style>
  <w:style w:type="paragraph" w:customStyle="1" w:styleId="xl97">
    <w:name w:val="xl97"/>
    <w:basedOn w:val="Normal"/>
    <w:pPr>
      <w:pBdr>
        <w:top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98">
    <w:name w:val="xl98"/>
    <w:basedOn w:val="Normal"/>
    <w:pPr>
      <w:pBdr>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99">
    <w:name w:val="xl99"/>
    <w:basedOn w:val="Normal"/>
    <w:pPr>
      <w:pBdr>
        <w:left w:val="single" w:sz="8"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00">
    <w:name w:val="xl100"/>
    <w:basedOn w:val="Normal"/>
    <w:pPr>
      <w:pBdr>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01">
    <w:name w:val="xl101"/>
    <w:basedOn w:val="Normal"/>
    <w:pPr>
      <w:pBdr>
        <w:left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102">
    <w:name w:val="xl102"/>
    <w:basedOn w:val="Normal"/>
    <w:pPr>
      <w:pBdr>
        <w:left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103">
    <w:name w:val="xl103"/>
    <w:basedOn w:val="Normal"/>
    <w:pPr>
      <w:pBdr>
        <w:top w:val="single" w:sz="4" w:space="0" w:color="00758F"/>
        <w:left w:val="single" w:sz="8" w:space="7" w:color="00758F"/>
        <w:bottom w:val="single" w:sz="4" w:space="0" w:color="00758F"/>
        <w:right w:val="single" w:sz="4" w:space="0" w:color="00758F"/>
      </w:pBdr>
      <w:shd w:val="clear" w:color="000000" w:fill="FFFFFF"/>
      <w:spacing w:before="100" w:beforeAutospacing="1" w:after="100" w:afterAutospacing="1"/>
      <w:ind w:firstLineChars="100" w:firstLine="100"/>
      <w:jc w:val="left"/>
    </w:pPr>
    <w:rPr>
      <w:rFonts w:eastAsia="Times New Roman"/>
      <w:sz w:val="24"/>
      <w:szCs w:val="24"/>
      <w:lang w:eastAsia="en-GB"/>
    </w:rPr>
  </w:style>
  <w:style w:type="paragraph" w:customStyle="1" w:styleId="xl104">
    <w:name w:val="xl104"/>
    <w:basedOn w:val="Normal"/>
    <w:pPr>
      <w:pBdr>
        <w:top w:val="single" w:sz="4" w:space="0" w:color="00758F"/>
        <w:left w:val="single" w:sz="8" w:space="14" w:color="00758F"/>
        <w:bottom w:val="single" w:sz="4" w:space="0" w:color="00758F"/>
        <w:right w:val="single" w:sz="4"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5">
    <w:name w:val="xl105"/>
    <w:basedOn w:val="Normal"/>
    <w:pPr>
      <w:pBdr>
        <w:top w:val="single" w:sz="4" w:space="0" w:color="00758F"/>
        <w:left w:val="single" w:sz="8" w:space="14" w:color="00758F"/>
        <w:bottom w:val="single" w:sz="8" w:space="0" w:color="00758F"/>
        <w:right w:val="single" w:sz="4"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6">
    <w:name w:val="xl106"/>
    <w:basedOn w:val="Normal"/>
    <w:pPr>
      <w:pBdr>
        <w:top w:val="single" w:sz="4" w:space="0" w:color="00758F"/>
        <w:left w:val="single" w:sz="4" w:space="14" w:color="00758F"/>
        <w:bottom w:val="single" w:sz="4" w:space="0" w:color="00758F"/>
        <w:right w:val="single" w:sz="8"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7">
    <w:name w:val="xl107"/>
    <w:basedOn w:val="Normal"/>
    <w:pPr>
      <w:pBdr>
        <w:right w:val="single" w:sz="8"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8">
    <w:name w:val="xl108"/>
    <w:basedOn w:val="Normal"/>
    <w:pPr>
      <w:shd w:val="clear" w:color="000000" w:fill="FFFFFF"/>
      <w:spacing w:before="100" w:beforeAutospacing="1" w:after="100" w:afterAutospacing="1"/>
      <w:ind w:firstLineChars="100" w:firstLine="100"/>
      <w:jc w:val="left"/>
    </w:pPr>
    <w:rPr>
      <w:rFonts w:eastAsia="Times New Roman"/>
      <w:sz w:val="24"/>
      <w:szCs w:val="24"/>
      <w:u w:val="single"/>
      <w:lang w:eastAsia="en-GB"/>
    </w:rPr>
  </w:style>
  <w:style w:type="paragraph" w:customStyle="1" w:styleId="xl109">
    <w:name w:val="xl109"/>
    <w:basedOn w:val="Normal"/>
    <w:pPr>
      <w:shd w:val="clear" w:color="000000" w:fill="FFFFFF"/>
      <w:spacing w:before="100" w:beforeAutospacing="1" w:after="100" w:afterAutospacing="1"/>
      <w:jc w:val="left"/>
    </w:pPr>
    <w:rPr>
      <w:rFonts w:eastAsia="Times New Roman"/>
      <w:b/>
      <w:bCs/>
      <w:sz w:val="24"/>
      <w:szCs w:val="24"/>
      <w:lang w:eastAsia="en-GB"/>
    </w:rPr>
  </w:style>
  <w:style w:type="paragraph" w:customStyle="1" w:styleId="xl110">
    <w:name w:val="xl110"/>
    <w:basedOn w:val="Normal"/>
    <w:pPr>
      <w:pBdr>
        <w:top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11">
    <w:name w:val="xl111"/>
    <w:basedOn w:val="Normal"/>
    <w:pPr>
      <w:pBdr>
        <w:top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character" w:customStyle="1" w:styleId="UnresolvedMention2">
    <w:name w:val="Unresolved Mention2"/>
    <w:basedOn w:val="DefaultParagraphFont"/>
    <w:uiPriority w:val="99"/>
    <w:semiHidden/>
    <w:unhideWhenUsed/>
    <w:rPr>
      <w:color w:val="808080"/>
      <w:shd w:val="clear" w:color="auto" w:fill="E6E6E6"/>
    </w:rPr>
  </w:style>
  <w:style w:type="character" w:customStyle="1" w:styleId="UnresolvedMention3">
    <w:name w:val="Unresolved Mention3"/>
    <w:basedOn w:val="DefaultParagraphFont"/>
    <w:uiPriority w:val="99"/>
    <w:semiHidden/>
    <w:unhideWhenUsed/>
    <w:rPr>
      <w:color w:val="808080"/>
      <w:shd w:val="clear" w:color="auto" w:fill="E6E6E6"/>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29"/>
    <w:qFormat/>
    <w:pPr>
      <w:spacing w:before="120" w:line="259" w:lineRule="auto"/>
      <w:ind w:left="720"/>
      <w:jc w:val="left"/>
    </w:pPr>
    <w:rPr>
      <w:rFonts w:asciiTheme="minorHAnsi" w:eastAsiaTheme="minorEastAsia" w:hAnsiTheme="minorHAnsi" w:cstheme="minorBidi"/>
      <w:color w:val="1F497D" w:themeColor="text2"/>
      <w:sz w:val="24"/>
      <w:szCs w:val="24"/>
      <w:lang w:val="nl-NL"/>
    </w:rPr>
  </w:style>
  <w:style w:type="character" w:customStyle="1" w:styleId="QuoteChar">
    <w:name w:val="Quote Char"/>
    <w:basedOn w:val="DefaultParagraphFont"/>
    <w:link w:val="Quote"/>
    <w:uiPriority w:val="29"/>
    <w:rPr>
      <w:rFonts w:asciiTheme="minorHAnsi" w:eastAsiaTheme="minorEastAsia" w:hAnsiTheme="minorHAnsi" w:cstheme="minorBidi"/>
      <w:color w:val="1F497D" w:themeColor="text2"/>
      <w:sz w:val="24"/>
      <w:szCs w:val="24"/>
      <w:lang w:val="nl-NL" w:eastAsia="en-US"/>
    </w:rPr>
  </w:style>
  <w:style w:type="character" w:styleId="SubtleEmphasis">
    <w:name w:val="Subtle Emphasis"/>
    <w:basedOn w:val="DefaultParagraphFont"/>
    <w:uiPriority w:val="19"/>
    <w:qFormat/>
    <w:rPr>
      <w:i/>
      <w:iCs/>
      <w:color w:val="595959" w:themeColor="text1" w:themeTint="A6"/>
    </w:rPr>
  </w:style>
  <w:style w:type="character" w:styleId="SubtleReference">
    <w:name w:val="Subtle Reference"/>
    <w:basedOn w:val="DefaultParagraphFont"/>
    <w:uiPriority w:val="31"/>
    <w:qFormat/>
    <w:rPr>
      <w:smallCaps/>
      <w:color w:val="595959" w:themeColor="text1" w:themeTint="A6"/>
      <w:u w:val="none" w:color="7F7F7F" w:themeColor="text1" w:themeTint="80"/>
      <w:bdr w:val="none" w:sz="0" w:space="0" w:color="auto"/>
    </w:rPr>
  </w:style>
  <w:style w:type="character" w:customStyle="1" w:styleId="Mention2">
    <w:name w:val="Mention2"/>
    <w:basedOn w:val="DefaultParagraphFont"/>
    <w:uiPriority w:val="99"/>
    <w:semiHidden/>
    <w:unhideWhenUsed/>
    <w:rPr>
      <w:color w:val="2B579A"/>
      <w:shd w:val="clear" w:color="auto" w:fill="E6E6E6"/>
    </w:rPr>
  </w:style>
  <w:style w:type="table" w:customStyle="1" w:styleId="ListTable4-Accent52">
    <w:name w:val="List Table 4 - Accent 52"/>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entionnonrsolue1">
    <w:name w:val="Mention non résolue1"/>
    <w:basedOn w:val="DefaultParagraphFont"/>
    <w:uiPriority w:val="99"/>
    <w:semiHidden/>
    <w:unhideWhenUsed/>
    <w:rPr>
      <w:color w:val="808080"/>
      <w:shd w:val="clear" w:color="auto" w:fill="E6E6E6"/>
    </w:rPr>
  </w:style>
  <w:style w:type="character" w:customStyle="1" w:styleId="UnresolvedMention4">
    <w:name w:val="Unresolved Mention4"/>
    <w:basedOn w:val="DefaultParagraphFont"/>
    <w:uiPriority w:val="99"/>
    <w:semiHidden/>
    <w:unhideWhenUsed/>
    <w:rPr>
      <w:color w:val="808080"/>
      <w:shd w:val="clear" w:color="auto" w:fill="E6E6E6"/>
    </w:rPr>
  </w:style>
  <w:style w:type="character" w:customStyle="1" w:styleId="Heading1Char1">
    <w:name w:val="Heading 1 Char1"/>
    <w:aliases w:val="(Section) Char1,MOVE-it 1 Char1,Heading 11 Char1,Hoofdstuk Char1,Επικεφαλίδα 1 ΌΧΙ Char1,Heading 1 - Main Heading of Document Char1,F3 Heading 1 - Section Char1,Numbered - 1 Char1,Section Char1,Chapter Hdg Char1,h1 Char1,CH TITLE 1 Char1"/>
    <w:basedOn w:val="DefaultParagraphFont"/>
    <w:uiPriority w:val="9"/>
    <w:rPr>
      <w:rFonts w:asciiTheme="majorHAnsi" w:eastAsiaTheme="majorEastAsia" w:hAnsiTheme="majorHAnsi" w:cstheme="majorBidi"/>
      <w:color w:val="365F91" w:themeColor="accent1" w:themeShade="BF"/>
      <w:sz w:val="32"/>
      <w:szCs w:val="32"/>
    </w:rPr>
  </w:style>
  <w:style w:type="character" w:customStyle="1" w:styleId="Heading2Char1">
    <w:name w:val="Heading 2 Char1"/>
    <w:aliases w:val="2 Char1,Paragraaf Char1,NEA2 Char1,14 Char1,H2 Char1,Se Char1,Section1 Char1,Section2 Char1,Section3 Char1,NEA21 Char1,subhead 1 Char1,h2 Char1,subhead 11 Char1,h21 Char1,subhead 12 Char1,h22 Char1,subhead 13 Char1,h23 Char1,h24 Char1"/>
    <w:basedOn w:val="DefaultParagraphFont"/>
    <w:uiPriority w:val="9"/>
    <w:semiHidden/>
    <w:rPr>
      <w:rFonts w:asciiTheme="majorHAnsi" w:eastAsiaTheme="majorEastAsia" w:hAnsiTheme="majorHAnsi" w:cstheme="majorBidi"/>
      <w:color w:val="365F91" w:themeColor="accent1" w:themeShade="BF"/>
      <w:sz w:val="26"/>
      <w:szCs w:val="26"/>
    </w:rPr>
  </w:style>
  <w:style w:type="character" w:customStyle="1" w:styleId="Heading3Char1">
    <w:name w:val="Heading 3 Char1"/>
    <w:aliases w:val="Heading 31 Char1,Heading 32 Char1,Heading 33 Char1,Heading 34 Char1,Heading 35 Char1,Heading 36 Char1,Heading 311 Char1,Heading 321 Char1,Heading 331 Char1,Heading 341 Char1,Heading 351 Char1,Heading 37 Char1,Heading 312 Char1,NEA3 Char"/>
    <w:basedOn w:val="DefaultParagraphFont"/>
    <w:uiPriority w:val="9"/>
    <w:semiHidden/>
    <w:rPr>
      <w:rFonts w:asciiTheme="majorHAnsi" w:eastAsiaTheme="majorEastAsia" w:hAnsiTheme="majorHAnsi" w:cstheme="majorBidi"/>
      <w:color w:val="243F60" w:themeColor="accent1" w:themeShade="7F"/>
      <w:sz w:val="24"/>
      <w:szCs w:val="24"/>
    </w:rPr>
  </w:style>
  <w:style w:type="character" w:customStyle="1" w:styleId="FootnoteTextChar1">
    <w:name w:val="Footnote Text Char1"/>
    <w:aliases w:val="Fußnotentextf Char1,Fußnotentextr Char1,stile 1 Char1,Footnote Char1,Footnote1 Char1,Footnote2 Char1,Footnote3 Char1,Footnote4 Char1,Footnote5 Char1,Footnote6 Char1,Footnote7 Char1,Footnote8 Char1,Footnote9 Char1,Footnote10 Char1"/>
    <w:basedOn w:val="DefaultParagraphFont"/>
    <w:uiPriority w:val="99"/>
    <w:semiHidden/>
    <w:rPr>
      <w:rFonts w:ascii="Trebuchet MS" w:hAnsi="Trebuchet MS"/>
      <w:sz w:val="20"/>
      <w:szCs w:val="20"/>
    </w:rPr>
  </w:style>
  <w:style w:type="character" w:customStyle="1" w:styleId="BodyTextChar1">
    <w:name w:val="Body Text Char1"/>
    <w:aliases w:val="F4 Main Text Char1,F2 Body Text Char1,Document Char1,Doc Char1,Body Text2 Char1,doc Char1,Standard paragraph Char1,Text Char2,1body Char1,BodText Char1,bt Char1,body text Char1,Body Txt Char1,Body Text-10 Char1,Τίτλος Μελέτης Char1"/>
    <w:basedOn w:val="DefaultParagraphFont"/>
    <w:semiHidden/>
    <w:rPr>
      <w:rFonts w:ascii="Trebuchet MS" w:hAnsi="Trebuchet MS"/>
      <w:sz w:val="18"/>
    </w:rPr>
  </w:style>
  <w:style w:type="paragraph" w:customStyle="1" w:styleId="font5">
    <w:name w:val="font5"/>
    <w:basedOn w:val="Normal"/>
    <w:pPr>
      <w:spacing w:before="100" w:beforeAutospacing="1" w:after="100" w:afterAutospacing="1"/>
      <w:jc w:val="left"/>
    </w:pPr>
    <w:rPr>
      <w:rFonts w:ascii="Tahoma" w:eastAsia="Times New Roman" w:hAnsi="Tahoma" w:cs="Tahoma"/>
      <w:color w:val="000000"/>
      <w:sz w:val="18"/>
      <w:szCs w:val="18"/>
      <w:lang w:eastAsia="en-GB"/>
    </w:rPr>
  </w:style>
  <w:style w:type="paragraph" w:customStyle="1" w:styleId="font6">
    <w:name w:val="font6"/>
    <w:basedOn w:val="Normal"/>
    <w:pPr>
      <w:spacing w:before="100" w:beforeAutospacing="1" w:after="100" w:afterAutospacing="1"/>
      <w:jc w:val="left"/>
    </w:pPr>
    <w:rPr>
      <w:rFonts w:ascii="Tahoma" w:eastAsia="Times New Roman" w:hAnsi="Tahoma" w:cs="Tahoma"/>
      <w:b/>
      <w:bCs/>
      <w:color w:val="000000"/>
      <w:sz w:val="18"/>
      <w:szCs w:val="18"/>
      <w:lang w:eastAsia="en-GB"/>
    </w:rPr>
  </w:style>
  <w:style w:type="paragraph" w:customStyle="1" w:styleId="xl5527">
    <w:name w:val="xl5527"/>
    <w:basedOn w:val="Normal"/>
    <w:pPr>
      <w:spacing w:before="100" w:beforeAutospacing="1" w:after="100" w:afterAutospacing="1"/>
      <w:jc w:val="left"/>
    </w:pPr>
    <w:rPr>
      <w:rFonts w:eastAsia="Times New Roman"/>
      <w:sz w:val="24"/>
      <w:szCs w:val="24"/>
      <w:lang w:eastAsia="en-GB"/>
    </w:rPr>
  </w:style>
  <w:style w:type="paragraph" w:customStyle="1" w:styleId="xl5528">
    <w:name w:val="xl55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18"/>
      <w:szCs w:val="18"/>
      <w:lang w:eastAsia="en-GB"/>
    </w:rPr>
  </w:style>
  <w:style w:type="paragraph" w:customStyle="1" w:styleId="xl5529">
    <w:name w:val="xl552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lang w:eastAsia="en-GB"/>
    </w:rPr>
  </w:style>
  <w:style w:type="paragraph" w:customStyle="1" w:styleId="xl5530">
    <w:name w:val="xl553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1">
    <w:name w:val="xl553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2">
    <w:name w:val="xl5532"/>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color w:val="FFFFFF"/>
      <w:sz w:val="24"/>
      <w:szCs w:val="24"/>
      <w:lang w:eastAsia="en-GB"/>
    </w:rPr>
  </w:style>
  <w:style w:type="paragraph" w:customStyle="1" w:styleId="xl5533">
    <w:name w:val="xl5533"/>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sz w:val="24"/>
      <w:szCs w:val="24"/>
      <w:lang w:eastAsia="en-GB"/>
    </w:rPr>
  </w:style>
  <w:style w:type="paragraph" w:customStyle="1" w:styleId="xl5534">
    <w:name w:val="xl553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5">
    <w:name w:val="xl553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6">
    <w:name w:val="xl5536"/>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37">
    <w:name w:val="xl5537"/>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38">
    <w:name w:val="xl5538"/>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39">
    <w:name w:val="xl5539"/>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40">
    <w:name w:val="xl5540"/>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41">
    <w:name w:val="xl5541"/>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sz w:val="24"/>
      <w:szCs w:val="24"/>
      <w:lang w:eastAsia="en-GB"/>
    </w:rPr>
  </w:style>
  <w:style w:type="paragraph" w:customStyle="1" w:styleId="xl5542">
    <w:name w:val="xl5542"/>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3">
    <w:name w:val="xl5543"/>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4">
    <w:name w:val="xl5544"/>
    <w:basedOn w:val="Normal"/>
    <w:pPr>
      <w:pBdr>
        <w:top w:val="single" w:sz="4" w:space="0" w:color="auto"/>
        <w:left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5">
    <w:name w:val="xl5545"/>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46">
    <w:name w:val="xl5546"/>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47">
    <w:name w:val="xl5547"/>
    <w:basedOn w:val="Normal"/>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eastAsia="Times New Roman"/>
      <w:sz w:val="24"/>
      <w:szCs w:val="24"/>
      <w:lang w:eastAsia="en-GB"/>
    </w:rPr>
  </w:style>
  <w:style w:type="paragraph" w:customStyle="1" w:styleId="xl5548">
    <w:name w:val="xl5548"/>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49">
    <w:name w:val="xl5549"/>
    <w:basedOn w:val="Normal"/>
    <w:pPr>
      <w:pBdr>
        <w:top w:val="single" w:sz="4" w:space="0" w:color="auto"/>
        <w:left w:val="single" w:sz="4" w:space="0" w:color="auto"/>
        <w:bottom w:val="single" w:sz="4" w:space="0" w:color="auto"/>
        <w:right w:val="single" w:sz="4" w:space="0" w:color="auto"/>
      </w:pBdr>
      <w:shd w:val="clear" w:color="000000" w:fill="FFE3A6"/>
      <w:spacing w:before="100" w:beforeAutospacing="1" w:after="100" w:afterAutospacing="1"/>
      <w:jc w:val="left"/>
    </w:pPr>
    <w:rPr>
      <w:rFonts w:eastAsia="Times New Roman"/>
      <w:sz w:val="24"/>
      <w:szCs w:val="24"/>
      <w:lang w:eastAsia="en-GB"/>
    </w:rPr>
  </w:style>
  <w:style w:type="paragraph" w:customStyle="1" w:styleId="xl5550">
    <w:name w:val="xl5550"/>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1">
    <w:name w:val="xl5551"/>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2">
    <w:name w:val="xl555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553">
    <w:name w:val="xl555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554">
    <w:name w:val="xl5554"/>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55">
    <w:name w:val="xl5555"/>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6">
    <w:name w:val="xl5556"/>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57">
    <w:name w:val="xl555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58">
    <w:name w:val="xl555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59">
    <w:name w:val="xl555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560">
    <w:name w:val="xl5560"/>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1">
    <w:name w:val="xl5561"/>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2">
    <w:name w:val="xl5562"/>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3">
    <w:name w:val="xl556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4">
    <w:name w:val="xl5564"/>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5">
    <w:name w:val="xl556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566">
    <w:name w:val="xl55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7">
    <w:name w:val="xl556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8">
    <w:name w:val="xl556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9">
    <w:name w:val="xl5569"/>
    <w:basedOn w:val="Normal"/>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eastAsia="Times New Roman"/>
      <w:sz w:val="24"/>
      <w:szCs w:val="24"/>
      <w:lang w:eastAsia="en-GB"/>
    </w:rPr>
  </w:style>
  <w:style w:type="paragraph" w:customStyle="1" w:styleId="xl5570">
    <w:name w:val="xl5570"/>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1">
    <w:name w:val="xl5571"/>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2">
    <w:name w:val="xl5572"/>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3">
    <w:name w:val="xl557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74">
    <w:name w:val="xl5574"/>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numbering" w:customStyle="1" w:styleId="NoList1">
    <w:name w:val="No List1"/>
    <w:next w:val="NoList"/>
    <w:uiPriority w:val="99"/>
    <w:semiHidden/>
    <w:unhideWhenUsed/>
  </w:style>
  <w:style w:type="paragraph" w:customStyle="1" w:styleId="xmsonormal">
    <w:name w:val="x_msonormal"/>
    <w:basedOn w:val="Normal"/>
    <w:uiPriority w:val="99"/>
    <w:semiHidden/>
    <w:pPr>
      <w:spacing w:after="0"/>
      <w:jc w:val="left"/>
    </w:pPr>
    <w:rPr>
      <w:sz w:val="24"/>
      <w:szCs w:val="24"/>
      <w:lang w:eastAsia="en-GB"/>
    </w:rPr>
  </w:style>
  <w:style w:type="paragraph" w:customStyle="1" w:styleId="xxxmsonormal">
    <w:name w:val="x_xxmsonormal"/>
    <w:basedOn w:val="Normal"/>
    <w:uiPriority w:val="99"/>
    <w:semiHidden/>
    <w:pPr>
      <w:spacing w:after="0"/>
      <w:jc w:val="left"/>
    </w:pPr>
    <w:rPr>
      <w:sz w:val="24"/>
      <w:szCs w:val="24"/>
      <w:lang w:eastAsia="en-GB"/>
    </w:rPr>
  </w:style>
  <w:style w:type="character" w:customStyle="1" w:styleId="emailstyle21">
    <w:name w:val="emailstyle21"/>
    <w:basedOn w:val="DefaultParagraphFont"/>
    <w:semiHidden/>
    <w:rPr>
      <w:rFonts w:ascii="Calibri" w:hAnsi="Calibri" w:cs="Calibri" w:hint="default"/>
      <w:color w:val="1F497D"/>
    </w:rPr>
  </w:style>
  <w:style w:type="character" w:customStyle="1" w:styleId="emailstyle22">
    <w:name w:val="emailstyle22"/>
    <w:basedOn w:val="DefaultParagraphFont"/>
    <w:semiHidden/>
    <w:rPr>
      <w:rFonts w:ascii="Calibri" w:hAnsi="Calibri" w:cs="Calibri" w:hint="default"/>
      <w:color w:val="auto"/>
    </w:rPr>
  </w:style>
  <w:style w:type="character" w:customStyle="1" w:styleId="emailstyle23">
    <w:name w:val="emailstyle23"/>
    <w:basedOn w:val="DefaultParagraphFont"/>
    <w:semiHidden/>
    <w:rPr>
      <w:rFonts w:ascii="Calibri" w:hAnsi="Calibri" w:cs="Calibri" w:hint="default"/>
      <w:color w:val="1F497D"/>
    </w:rPr>
  </w:style>
  <w:style w:type="character" w:customStyle="1" w:styleId="emailstyle24">
    <w:name w:val="emailstyle24"/>
    <w:basedOn w:val="DefaultParagraphFont"/>
    <w:semiHidden/>
    <w:rPr>
      <w:rFonts w:ascii="Calibri" w:hAnsi="Calibri" w:cs="Calibri" w:hint="default"/>
      <w:color w:val="1F497D"/>
    </w:rPr>
  </w:style>
  <w:style w:type="character" w:customStyle="1" w:styleId="emailstyle25">
    <w:name w:val="emailstyle25"/>
    <w:basedOn w:val="DefaultParagraphFont"/>
    <w:semiHidden/>
    <w:rPr>
      <w:rFonts w:ascii="Calibri" w:hAnsi="Calibri" w:cs="Calibri" w:hint="default"/>
      <w:color w:val="auto"/>
    </w:rPr>
  </w:style>
  <w:style w:type="character" w:customStyle="1" w:styleId="ilfuvd">
    <w:name w:val="ilfuvd"/>
    <w:basedOn w:val="DefaultParagraphFont"/>
  </w:style>
  <w:style w:type="table" w:customStyle="1" w:styleId="GridTable5Dark-Accent11">
    <w:name w:val="Grid Table 5 Dark - Accent 11"/>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3-Accent31">
    <w:name w:val="Grid Table 3 - Accent 3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ListTable3-Accent11">
    <w:name w:val="List Table 3 - Accent 1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UnresolvedMention">
    <w:name w:val="Unresolved Mention"/>
    <w:basedOn w:val="DefaultParagraphFont"/>
    <w:uiPriority w:val="99"/>
    <w:semiHidden/>
    <w:unhideWhenUsed/>
    <w:rPr>
      <w:color w:val="605E5C"/>
      <w:shd w:val="clear" w:color="auto" w:fill="E1DFDD"/>
    </w:rPr>
  </w:style>
  <w:style w:type="character" w:customStyle="1" w:styleId="Mentionnonrsolue2">
    <w:name w:val="Mention non résolue2"/>
    <w:basedOn w:val="DefaultParagraphFont"/>
    <w:uiPriority w:val="99"/>
    <w:semiHidden/>
    <w:unhideWhenUsed/>
    <w:rPr>
      <w:color w:val="808080"/>
      <w:shd w:val="clear" w:color="auto" w:fill="E6E6E6"/>
    </w:rPr>
  </w:style>
  <w:style w:type="table" w:customStyle="1" w:styleId="TableauGrille5Fonc-Accentuation11">
    <w:name w:val="Tableau Grille 5 Foncé - Accentuation 11"/>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auGrille3-Accentuation31">
    <w:name w:val="Tableau Grille 3 - Accentuation 3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eauListe3-Accentuation11">
    <w:name w:val="Tableau Liste 3 - Accentuation 1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Mentionnonrsolue3">
    <w:name w:val="Mention non résolue3"/>
    <w:basedOn w:val="DefaultParagraphFont"/>
    <w:uiPriority w:val="99"/>
    <w:semiHidden/>
    <w:unhideWhenUsed/>
    <w:rPr>
      <w:color w:val="808080"/>
      <w:shd w:val="clear" w:color="auto" w:fill="E6E6E6"/>
    </w:rPr>
  </w:style>
  <w:style w:type="table" w:customStyle="1" w:styleId="TableauGrille4-Accentuation31">
    <w:name w:val="Tableau Grille 4 - Accentuation 3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ausimple21">
    <w:name w:val="Tableau simple 21"/>
    <w:basedOn w:val="TableNormal"/>
    <w:uiPriority w:val="42"/>
    <w:rPr>
      <w:rFonts w:asciiTheme="minorHAnsi" w:eastAsiaTheme="minorHAnsi" w:hAnsiTheme="minorHAnsi" w:cstheme="minorBidi"/>
      <w:sz w:val="22"/>
      <w:szCs w:val="22"/>
      <w:lang w:val="fr-FR" w:eastAsia="en-US"/>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
    <w:name w:val="Абзац списка"/>
    <w:basedOn w:val="Normal"/>
    <w:uiPriority w:val="34"/>
    <w:qFormat/>
    <w:pPr>
      <w:spacing w:after="160" w:line="259" w:lineRule="auto"/>
      <w:ind w:left="720"/>
      <w:contextualSpacing/>
      <w:jc w:val="left"/>
    </w:pPr>
    <w:rPr>
      <w:rFonts w:ascii="Calibri" w:hAnsi="Calibri"/>
      <w:lang w:val="en-CA"/>
    </w:rPr>
  </w:style>
  <w:style w:type="table" w:customStyle="1" w:styleId="Tableausimple11">
    <w:name w:val="Tableau simple 11"/>
    <w:basedOn w:val="TableNormal"/>
    <w:uiPriority w:val="41"/>
    <w:rPr>
      <w:rFonts w:asciiTheme="minorHAnsi" w:eastAsiaTheme="minorHAnsi" w:hAnsiTheme="minorHAnsi" w:cstheme="minorBidi"/>
      <w:sz w:val="22"/>
      <w:szCs w:val="22"/>
      <w:lang w:val="fr-FR"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5">
    <w:name w:val="Unresolved Mention5"/>
    <w:basedOn w:val="DefaultParagraphFont"/>
    <w:uiPriority w:val="99"/>
    <w:semiHidden/>
    <w:unhideWhenUsed/>
    <w:rPr>
      <w:color w:val="605E5C"/>
      <w:shd w:val="clear" w:color="auto" w:fill="E1DFDD"/>
    </w:rPr>
  </w:style>
  <w:style w:type="character" w:customStyle="1" w:styleId="UnresolvedMention40">
    <w:name w:val="Unresolved Mention40"/>
    <w:basedOn w:val="DefaultParagraphFont"/>
    <w:uiPriority w:val="99"/>
    <w:semiHidden/>
    <w:unhideWhenUsed/>
    <w:rPr>
      <w:color w:val="808080"/>
      <w:shd w:val="clear" w:color="auto" w:fill="E6E6E6"/>
    </w:rPr>
  </w:style>
  <w:style w:type="paragraph" w:customStyle="1" w:styleId="xl54550">
    <w:name w:val="xl5455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lang w:eastAsia="en-GB"/>
    </w:rPr>
  </w:style>
  <w:style w:type="paragraph" w:customStyle="1" w:styleId="xl54551">
    <w:name w:val="xl5455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2">
    <w:name w:val="xl5455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3">
    <w:name w:val="xl5455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4">
    <w:name w:val="xl5455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4555">
    <w:name w:val="xl5455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4556">
    <w:name w:val="xl5455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7">
    <w:name w:val="xl5455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8">
    <w:name w:val="xl5455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9">
    <w:name w:val="xl5455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Segoe UI" w:eastAsia="Times New Roman" w:hAnsi="Segoe UI" w:cs="Segoe UI"/>
      <w:color w:val="000000"/>
      <w:sz w:val="20"/>
      <w:szCs w:val="20"/>
      <w:lang w:eastAsia="en-GB"/>
    </w:rPr>
  </w:style>
  <w:style w:type="paragraph" w:customStyle="1" w:styleId="xl54560">
    <w:name w:val="xl54560"/>
    <w:basedOn w:val="Normal"/>
    <w:pPr>
      <w:spacing w:before="100" w:beforeAutospacing="1" w:after="100" w:afterAutospacing="1"/>
      <w:jc w:val="left"/>
    </w:pPr>
    <w:rPr>
      <w:rFonts w:eastAsia="Times New Roman"/>
      <w:sz w:val="24"/>
      <w:szCs w:val="24"/>
      <w:lang w:eastAsia="en-GB"/>
    </w:rPr>
  </w:style>
  <w:style w:type="paragraph" w:customStyle="1" w:styleId="xl54561">
    <w:name w:val="xl5456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2">
    <w:name w:val="xl5456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3">
    <w:name w:val="xl5456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4">
    <w:name w:val="xl5456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5">
    <w:name w:val="xl54565"/>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4566">
    <w:name w:val="xl545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7">
    <w:name w:val="xl5456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4568">
    <w:name w:val="xl54568"/>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b/>
      <w:bCs/>
      <w:sz w:val="24"/>
      <w:szCs w:val="24"/>
      <w:lang w:eastAsia="en-GB"/>
    </w:rPr>
  </w:style>
  <w:style w:type="paragraph" w:customStyle="1" w:styleId="xl54569">
    <w:name w:val="xl5456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0">
    <w:name w:val="xl54570"/>
    <w:basedOn w:val="Normal"/>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left"/>
    </w:pPr>
    <w:rPr>
      <w:rFonts w:eastAsia="Times New Roman"/>
      <w:b/>
      <w:bCs/>
      <w:sz w:val="24"/>
      <w:szCs w:val="24"/>
      <w:lang w:eastAsia="en-GB"/>
    </w:rPr>
  </w:style>
  <w:style w:type="paragraph" w:customStyle="1" w:styleId="xl54571">
    <w:name w:val="xl54571"/>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2">
    <w:name w:val="xl54572"/>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3">
    <w:name w:val="xl54573"/>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4">
    <w:name w:val="xl54574"/>
    <w:basedOn w:val="Normal"/>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eastAsia="Times New Roman"/>
      <w:b/>
      <w:bCs/>
      <w:sz w:val="24"/>
      <w:szCs w:val="24"/>
      <w:lang w:eastAsia="en-GB"/>
    </w:rPr>
  </w:style>
  <w:style w:type="paragraph" w:customStyle="1" w:styleId="xl54575">
    <w:name w:val="xl545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6">
    <w:name w:val="xl5457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olor w:val="0563C1"/>
      <w:sz w:val="24"/>
      <w:szCs w:val="24"/>
      <w:u w:val="single"/>
      <w:lang w:eastAsia="en-GB"/>
    </w:rPr>
  </w:style>
  <w:style w:type="paragraph" w:customStyle="1" w:styleId="xl54577">
    <w:name w:val="xl545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8">
    <w:name w:val="xl5457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9">
    <w:name w:val="xl5457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80">
    <w:name w:val="xl5458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character" w:customStyle="1" w:styleId="highlight">
    <w:name w:val="highlight"/>
    <w:basedOn w:val="DefaultParagraphFont"/>
  </w:style>
  <w:style w:type="character" w:customStyle="1" w:styleId="fontstyle01">
    <w:name w:val="fontstyle01"/>
    <w:basedOn w:val="DefaultParagraphFont"/>
    <w:rPr>
      <w:rFonts w:ascii="Times-Roman" w:hAnsi="Times-Roman" w:hint="default"/>
      <w:b w:val="0"/>
      <w:bCs w:val="0"/>
      <w:i w:val="0"/>
      <w:iCs w:val="0"/>
      <w:color w:val="000000"/>
      <w:sz w:val="24"/>
      <w:szCs w:val="24"/>
    </w:rPr>
  </w:style>
  <w:style w:type="character" w:customStyle="1" w:styleId="UnresolvedMention400">
    <w:name w:val="Unresolved Mention400"/>
    <w:basedOn w:val="DefaultParagraphFont"/>
    <w:uiPriority w:val="99"/>
    <w:semiHidden/>
    <w:unhideWhenUsed/>
    <w:rPr>
      <w:color w:val="808080"/>
      <w:shd w:val="clear" w:color="auto" w:fill="E6E6E6"/>
    </w:rPr>
  </w:style>
  <w:style w:type="character" w:customStyle="1" w:styleId="UnresolvedMention4000">
    <w:name w:val="Unresolved Mention4000"/>
    <w:basedOn w:val="DefaultParagraphFont"/>
    <w:uiPriority w:val="99"/>
    <w:semiHidden/>
    <w:unhideWhenUsed/>
    <w:rPr>
      <w:color w:val="808080"/>
      <w:shd w:val="clear" w:color="auto" w:fill="E6E6E6"/>
    </w:rPr>
  </w:style>
  <w:style w:type="character" w:customStyle="1" w:styleId="UnresolvedMention40000">
    <w:name w:val="Unresolved Mention40000"/>
    <w:basedOn w:val="DefaultParagraphFont"/>
    <w:uiPriority w:val="99"/>
    <w:semiHidden/>
    <w:unhideWhenUsed/>
    <w:rPr>
      <w:color w:val="808080"/>
      <w:shd w:val="clear" w:color="auto" w:fill="E6E6E6"/>
    </w:rPr>
  </w:style>
  <w:style w:type="character" w:customStyle="1" w:styleId="UnresolvedMention400000">
    <w:name w:val="Unresolved Mention400000"/>
    <w:basedOn w:val="DefaultParagraphFont"/>
    <w:uiPriority w:val="99"/>
    <w:semiHidden/>
    <w:unhideWhenUsed/>
    <w:rPr>
      <w:color w:val="808080"/>
      <w:shd w:val="clear" w:color="auto" w:fill="E6E6E6"/>
    </w:rPr>
  </w:style>
  <w:style w:type="character" w:customStyle="1" w:styleId="UnresolvedMention4000000">
    <w:name w:val="Unresolved Mention4000000"/>
    <w:basedOn w:val="DefaultParagraphFont"/>
    <w:uiPriority w:val="99"/>
    <w:semiHidden/>
    <w:unhideWhenUsed/>
    <w:rPr>
      <w:color w:val="808080"/>
      <w:shd w:val="clear" w:color="auto" w:fill="E6E6E6"/>
    </w:rPr>
  </w:style>
  <w:style w:type="character" w:customStyle="1" w:styleId="UnresolvedMention40000000">
    <w:name w:val="Unresolved Mention40000000"/>
    <w:basedOn w:val="DefaultParagraphFont"/>
    <w:uiPriority w:val="99"/>
    <w:semiHidden/>
    <w:unhideWhenUsed/>
    <w:rPr>
      <w:color w:val="808080"/>
      <w:shd w:val="clear" w:color="auto" w:fill="E6E6E6"/>
    </w:rPr>
  </w:style>
  <w:style w:type="character" w:customStyle="1" w:styleId="UnresolvedMention400000000">
    <w:name w:val="Unresolved Mention400000000"/>
    <w:basedOn w:val="DefaultParagraphFont"/>
    <w:uiPriority w:val="99"/>
    <w:semiHidden/>
    <w:unhideWhenUsed/>
    <w:rPr>
      <w:color w:val="808080"/>
      <w:shd w:val="clear" w:color="auto" w:fill="E6E6E6"/>
    </w:rPr>
  </w:style>
  <w:style w:type="character" w:customStyle="1" w:styleId="UnresolvedMention4000000000">
    <w:name w:val="Unresolved Mention4000000000"/>
    <w:basedOn w:val="DefaultParagraphFont"/>
    <w:uiPriority w:val="99"/>
    <w:semiHidden/>
    <w:unhideWhenUsed/>
    <w:rPr>
      <w:color w:val="808080"/>
      <w:shd w:val="clear" w:color="auto" w:fill="E6E6E6"/>
    </w:rPr>
  </w:style>
  <w:style w:type="character" w:customStyle="1" w:styleId="UnresolvedMention40000000000">
    <w:name w:val="Unresolved Mention40000000000"/>
    <w:basedOn w:val="DefaultParagraphFont"/>
    <w:uiPriority w:val="99"/>
    <w:semiHidden/>
    <w:unhideWhenUsed/>
    <w:rPr>
      <w:color w:val="808080"/>
      <w:shd w:val="clear" w:color="auto" w:fill="E6E6E6"/>
    </w:rPr>
  </w:style>
  <w:style w:type="character" w:customStyle="1" w:styleId="UnresolvedMention400000000000">
    <w:name w:val="Unresolved Mention400000000000"/>
    <w:basedOn w:val="DefaultParagraphFont"/>
    <w:uiPriority w:val="99"/>
    <w:semiHidden/>
    <w:unhideWhenUsed/>
    <w:rPr>
      <w:color w:val="808080"/>
      <w:shd w:val="clear" w:color="auto" w:fill="E6E6E6"/>
    </w:rPr>
  </w:style>
  <w:style w:type="character" w:customStyle="1" w:styleId="UnresolvedMention4000000000000">
    <w:name w:val="Unresolved Mention4000000000000"/>
    <w:basedOn w:val="DefaultParagraphFont"/>
    <w:uiPriority w:val="99"/>
    <w:semiHidden/>
    <w:unhideWhenUsed/>
    <w:rPr>
      <w:color w:val="808080"/>
      <w:shd w:val="clear" w:color="auto" w:fill="E6E6E6"/>
    </w:rPr>
  </w:style>
  <w:style w:type="character" w:customStyle="1" w:styleId="UnresolvedMention40000000000000">
    <w:name w:val="Unresolved Mention40000000000000"/>
    <w:basedOn w:val="DefaultParagraphFont"/>
    <w:uiPriority w:val="99"/>
    <w:semiHidden/>
    <w:unhideWhenUsed/>
    <w:rPr>
      <w:color w:val="808080"/>
      <w:shd w:val="clear" w:color="auto" w:fill="E6E6E6"/>
    </w:rPr>
  </w:style>
  <w:style w:type="character" w:customStyle="1" w:styleId="UnresolvedMention400000000000000">
    <w:name w:val="Unresolved Mention400000000000000"/>
    <w:basedOn w:val="DefaultParagraphFont"/>
    <w:uiPriority w:val="99"/>
    <w:semiHidden/>
    <w:unhideWhenUsed/>
    <w:rPr>
      <w:color w:val="808080"/>
      <w:shd w:val="clear" w:color="auto" w:fill="E6E6E6"/>
    </w:rPr>
  </w:style>
  <w:style w:type="character" w:customStyle="1" w:styleId="UnresolvedMention4000000000000000">
    <w:name w:val="Unresolved Mention4000000000000000"/>
    <w:basedOn w:val="DefaultParagraphFont"/>
    <w:uiPriority w:val="99"/>
    <w:semiHidden/>
    <w:unhideWhenUsed/>
    <w:rPr>
      <w:color w:val="808080"/>
      <w:shd w:val="clear" w:color="auto" w:fill="E6E6E6"/>
    </w:rPr>
  </w:style>
  <w:style w:type="character" w:customStyle="1" w:styleId="UnresolvedMention40000000000000000">
    <w:name w:val="Unresolved Mention40000000000000000"/>
    <w:basedOn w:val="DefaultParagraphFont"/>
    <w:uiPriority w:val="99"/>
    <w:semiHidden/>
    <w:unhideWhenUsed/>
    <w:rPr>
      <w:color w:val="808080"/>
      <w:shd w:val="clear" w:color="auto" w:fill="E6E6E6"/>
    </w:rPr>
  </w:style>
  <w:style w:type="character" w:customStyle="1" w:styleId="UnresolvedMention400000000000000000">
    <w:name w:val="Unresolved Mention400000000000000000"/>
    <w:basedOn w:val="DefaultParagraphFont"/>
    <w:uiPriority w:val="99"/>
    <w:semiHidden/>
    <w:unhideWhenUsed/>
    <w:rPr>
      <w:color w:val="808080"/>
      <w:shd w:val="clear" w:color="auto" w:fill="E6E6E6"/>
    </w:rPr>
  </w:style>
  <w:style w:type="character" w:customStyle="1" w:styleId="UnresolvedMention4000000000000000000">
    <w:name w:val="Unresolved Mention4000000000000000000"/>
    <w:basedOn w:val="DefaultParagraphFont"/>
    <w:uiPriority w:val="99"/>
    <w:semiHidden/>
    <w:unhideWhenUsed/>
    <w:rPr>
      <w:color w:val="808080"/>
      <w:shd w:val="clear" w:color="auto" w:fill="E6E6E6"/>
    </w:rPr>
  </w:style>
  <w:style w:type="character" w:customStyle="1" w:styleId="UnresolvedMention40000000000000000000">
    <w:name w:val="Unresolved Mention40000000000000000000"/>
    <w:basedOn w:val="DefaultParagraphFont"/>
    <w:uiPriority w:val="99"/>
    <w:semiHidden/>
    <w:unhideWhenUsed/>
    <w:rPr>
      <w:color w:val="808080"/>
      <w:shd w:val="clear" w:color="auto" w:fill="E6E6E6"/>
    </w:rPr>
  </w:style>
  <w:style w:type="character" w:customStyle="1" w:styleId="UnresolvedMention400000000000000000000">
    <w:name w:val="Unresolved Mention400000000000000000000"/>
    <w:basedOn w:val="DefaultParagraphFont"/>
    <w:uiPriority w:val="99"/>
    <w:semiHidden/>
    <w:unhideWhenUsed/>
    <w:rPr>
      <w:color w:val="808080"/>
      <w:shd w:val="clear" w:color="auto" w:fill="E6E6E6"/>
    </w:rPr>
  </w:style>
  <w:style w:type="character" w:customStyle="1" w:styleId="UnresolvedMention4000000000000000000000">
    <w:name w:val="Unresolved Mention4000000000000000000000"/>
    <w:basedOn w:val="DefaultParagraphFont"/>
    <w:uiPriority w:val="99"/>
    <w:semiHidden/>
    <w:unhideWhenUsed/>
    <w:rPr>
      <w:color w:val="808080"/>
      <w:shd w:val="clear" w:color="auto" w:fill="E6E6E6"/>
    </w:rPr>
  </w:style>
  <w:style w:type="character" w:customStyle="1" w:styleId="UnresolvedMention40000000000000000000000">
    <w:name w:val="Unresolved Mention40000000000000000000000"/>
    <w:basedOn w:val="DefaultParagraphFont"/>
    <w:uiPriority w:val="99"/>
    <w:semiHidden/>
    <w:unhideWhenUsed/>
    <w:rPr>
      <w:color w:val="808080"/>
      <w:shd w:val="clear" w:color="auto" w:fill="E6E6E6"/>
    </w:rPr>
  </w:style>
  <w:style w:type="character" w:customStyle="1" w:styleId="UnresolvedMention400000000000000000000000">
    <w:name w:val="Unresolved Mention400000000000000000000000"/>
    <w:basedOn w:val="DefaultParagraphFont"/>
    <w:uiPriority w:val="99"/>
    <w:semiHidden/>
    <w:unhideWhenUsed/>
    <w:rPr>
      <w:color w:val="808080"/>
      <w:shd w:val="clear" w:color="auto" w:fill="E6E6E6"/>
    </w:rPr>
  </w:style>
  <w:style w:type="character" w:customStyle="1" w:styleId="UnresolvedMention4000000000000000000000000">
    <w:name w:val="Unresolved Mention4000000000000000000000000"/>
    <w:basedOn w:val="DefaultParagraphFont"/>
    <w:uiPriority w:val="99"/>
    <w:semiHidden/>
    <w:unhideWhenUsed/>
    <w:rPr>
      <w:color w:val="808080"/>
      <w:shd w:val="clear" w:color="auto" w:fill="E6E6E6"/>
    </w:rPr>
  </w:style>
  <w:style w:type="character" w:customStyle="1" w:styleId="UnresolvedMention40000000000000000000000000">
    <w:name w:val="Unresolved Mention40000000000000000000000000"/>
    <w:basedOn w:val="DefaultParagraphFont"/>
    <w:uiPriority w:val="99"/>
    <w:semiHidden/>
    <w:unhideWhenUsed/>
    <w:rPr>
      <w:color w:val="808080"/>
      <w:shd w:val="clear" w:color="auto" w:fill="E6E6E6"/>
    </w:rPr>
  </w:style>
  <w:style w:type="character" w:customStyle="1" w:styleId="UnresolvedMention400000000000000000000000000">
    <w:name w:val="Unresolved Mention400000000000000000000000000"/>
    <w:basedOn w:val="DefaultParagraphFont"/>
    <w:uiPriority w:val="99"/>
    <w:semiHidden/>
    <w:unhideWhenUsed/>
    <w:rPr>
      <w:color w:val="808080"/>
      <w:shd w:val="clear" w:color="auto" w:fill="E6E6E6"/>
    </w:rPr>
  </w:style>
  <w:style w:type="character" w:customStyle="1" w:styleId="UnresolvedMention4000000000000000000000000000">
    <w:name w:val="Unresolved Mention4000000000000000000000000000"/>
    <w:basedOn w:val="DefaultParagraphFont"/>
    <w:uiPriority w:val="99"/>
    <w:semiHidden/>
    <w:unhideWhenUsed/>
    <w:rPr>
      <w:color w:val="808080"/>
      <w:shd w:val="clear" w:color="auto" w:fill="E6E6E6"/>
    </w:rPr>
  </w:style>
  <w:style w:type="character" w:customStyle="1" w:styleId="UnresolvedMention40000000000000000000000000000">
    <w:name w:val="Unresolved Mention40000000000000000000000000000"/>
    <w:basedOn w:val="DefaultParagraphFont"/>
    <w:uiPriority w:val="99"/>
    <w:semiHidden/>
    <w:unhideWhenUsed/>
    <w:rPr>
      <w:color w:val="808080"/>
      <w:shd w:val="clear" w:color="auto" w:fill="E6E6E6"/>
    </w:rPr>
  </w:style>
  <w:style w:type="character" w:customStyle="1" w:styleId="UnresolvedMention400000000000000000000000000000">
    <w:name w:val="Unresolved Mention400000000000000000000000000000"/>
    <w:basedOn w:val="DefaultParagraphFont"/>
    <w:uiPriority w:val="99"/>
    <w:semiHidden/>
    <w:unhideWhenUsed/>
    <w:rPr>
      <w:color w:val="808080"/>
      <w:shd w:val="clear" w:color="auto" w:fill="E6E6E6"/>
    </w:rPr>
  </w:style>
  <w:style w:type="character" w:customStyle="1" w:styleId="UnresolvedMention4000000000000000000000000000000">
    <w:name w:val="Unresolved Mention4000000000000000000000000000000"/>
    <w:basedOn w:val="DefaultParagraphFont"/>
    <w:uiPriority w:val="99"/>
    <w:semiHidden/>
    <w:unhideWhenUsed/>
    <w:rPr>
      <w:color w:val="808080"/>
      <w:shd w:val="clear" w:color="auto" w:fill="E6E6E6"/>
    </w:rPr>
  </w:style>
  <w:style w:type="character" w:customStyle="1" w:styleId="UnresolvedMention40000000000000000000000000000000">
    <w:name w:val="Unresolved Mention40000000000000000000000000000000"/>
    <w:basedOn w:val="DefaultParagraphFont"/>
    <w:uiPriority w:val="99"/>
    <w:semiHidden/>
    <w:unhideWhenUsed/>
    <w:rPr>
      <w:color w:val="808080"/>
      <w:shd w:val="clear" w:color="auto" w:fill="E6E6E6"/>
    </w:rPr>
  </w:style>
  <w:style w:type="character" w:customStyle="1" w:styleId="UnresolvedMention400000000000000000000000000000000">
    <w:name w:val="Unresolved Mention400000000000000000000000000000000"/>
    <w:basedOn w:val="DefaultParagraphFont"/>
    <w:uiPriority w:val="99"/>
    <w:semiHidden/>
    <w:unhideWhenUsed/>
    <w:rPr>
      <w:color w:val="808080"/>
      <w:shd w:val="clear" w:color="auto" w:fill="E6E6E6"/>
    </w:rPr>
  </w:style>
  <w:style w:type="character" w:customStyle="1" w:styleId="UnresolvedMention4000000000000000000000000000000000">
    <w:name w:val="Unresolved Mention4000000000000000000000000000000000"/>
    <w:basedOn w:val="DefaultParagraphFont"/>
    <w:uiPriority w:val="99"/>
    <w:semiHidden/>
    <w:unhideWhenUsed/>
    <w:rPr>
      <w:color w:val="808080"/>
      <w:shd w:val="clear" w:color="auto" w:fill="E6E6E6"/>
    </w:rPr>
  </w:style>
  <w:style w:type="table" w:customStyle="1" w:styleId="GridTable5Dark-Accent12">
    <w:name w:val="Grid Table 5 Dark - Accent 12"/>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6">
    <w:name w:val="Table Grid6"/>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te">
    <w:name w:val="Note"/>
    <w:basedOn w:val="Normal"/>
    <w:link w:val="NoteChar"/>
    <w:qFormat/>
    <w:pPr>
      <w:spacing w:after="0"/>
      <w:jc w:val="center"/>
    </w:pPr>
    <w:rPr>
      <w:rFonts w:ascii="Verdana" w:eastAsia="Times New Roman" w:hAnsi="Verdana"/>
      <w:i/>
      <w:sz w:val="20"/>
      <w:szCs w:val="20"/>
    </w:rPr>
  </w:style>
  <w:style w:type="character" w:customStyle="1" w:styleId="NoteChar">
    <w:name w:val="Note Char"/>
    <w:link w:val="Note"/>
    <w:rPr>
      <w:rFonts w:ascii="Verdana" w:eastAsia="Times New Roman" w:hAnsi="Verdana"/>
      <w:i/>
      <w:lang w:eastAsia="en-US"/>
    </w:rPr>
  </w:style>
  <w:style w:type="table" w:customStyle="1" w:styleId="TableGrid11">
    <w:name w:val="Table Grid11"/>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TableGrid12">
    <w:name w:val="Table Grid12"/>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2">
    <w:name w:val="Imported Style 2"/>
    <w:pPr>
      <w:numPr>
        <w:numId w:val="25"/>
      </w:numPr>
    </w:pPr>
  </w:style>
  <w:style w:type="paragraph" w:customStyle="1" w:styleId="ZFlag">
    <w:name w:val="Z_Flag"/>
    <w:basedOn w:val="Normal"/>
    <w:next w:val="Normal"/>
    <w:uiPriority w:val="99"/>
    <w:semiHidden/>
    <w:pPr>
      <w:widowControl w:val="0"/>
      <w:spacing w:after="0"/>
      <w:ind w:right="85"/>
    </w:pPr>
    <w:rPr>
      <w:rFonts w:ascii="Arial" w:eastAsia="Times New Roman" w:hAnsi="Arial"/>
      <w:sz w:val="24"/>
      <w:szCs w:val="20"/>
      <w:lang w:eastAsia="en-GB"/>
    </w:rPr>
  </w:style>
  <w:style w:type="paragraph" w:customStyle="1" w:styleId="ZCom">
    <w:name w:val="Z_Com"/>
    <w:basedOn w:val="Normal"/>
    <w:next w:val="Normal"/>
    <w:uiPriority w:val="99"/>
    <w:semiHidden/>
    <w:pPr>
      <w:widowControl w:val="0"/>
      <w:spacing w:before="90" w:after="0"/>
      <w:ind w:right="85"/>
    </w:pPr>
    <w:rPr>
      <w:rFonts w:ascii="Arial" w:eastAsia="Times New Roman" w:hAnsi="Arial"/>
      <w:sz w:val="24"/>
      <w:szCs w:val="20"/>
      <w:lang w:eastAsia="en-GB"/>
    </w:rPr>
  </w:style>
  <w:style w:type="paragraph" w:customStyle="1" w:styleId="ZDGName">
    <w:name w:val="Z_DGName"/>
    <w:basedOn w:val="Normal"/>
    <w:uiPriority w:val="99"/>
    <w:semiHidden/>
    <w:pPr>
      <w:widowControl w:val="0"/>
      <w:spacing w:after="0"/>
      <w:ind w:right="85"/>
      <w:jc w:val="left"/>
    </w:pPr>
    <w:rPr>
      <w:rFonts w:ascii="Arial" w:eastAsia="Times New Roman" w:hAnsi="Arial"/>
      <w:sz w:val="16"/>
      <w:szCs w:val="20"/>
      <w:lang w:eastAsia="en-GB"/>
    </w:rPr>
  </w:style>
  <w:style w:type="table" w:customStyle="1" w:styleId="TableLetterhead">
    <w:name w:val="Table Letterhead"/>
    <w:basedOn w:val="TableNormal"/>
    <w:uiPriority w:val="99"/>
    <w:rPr>
      <w:rFonts w:ascii="Times New Roman" w:eastAsia="Times New Roman" w:hAnsi="Times New Roman"/>
      <w:sz w:val="24"/>
    </w:rPr>
    <w:tblPr>
      <w:tblCellMar>
        <w:left w:w="0" w:type="dxa"/>
        <w:bottom w:w="340" w:type="dxa"/>
        <w:right w:w="0" w:type="dxa"/>
      </w:tblCellMar>
    </w:tblPr>
  </w:style>
  <w:style w:type="paragraph" w:styleId="Date">
    <w:name w:val="Date"/>
    <w:basedOn w:val="Normal"/>
    <w:next w:val="References"/>
    <w:link w:val="DateChar"/>
    <w:pPr>
      <w:spacing w:after="0"/>
      <w:ind w:left="5102" w:right="-567"/>
      <w:jc w:val="left"/>
    </w:pPr>
    <w:rPr>
      <w:rFonts w:eastAsia="Times New Roman"/>
      <w:sz w:val="24"/>
      <w:szCs w:val="20"/>
      <w:lang w:eastAsia="en-GB"/>
    </w:rPr>
  </w:style>
  <w:style w:type="character" w:customStyle="1" w:styleId="DateChar">
    <w:name w:val="Date Char"/>
    <w:basedOn w:val="DefaultParagraphFont"/>
    <w:link w:val="Date"/>
    <w:rPr>
      <w:rFonts w:ascii="Times New Roman" w:eastAsia="Times New Roman" w:hAnsi="Times New Roman"/>
      <w:sz w:val="24"/>
    </w:rPr>
  </w:style>
  <w:style w:type="paragraph" w:customStyle="1" w:styleId="References">
    <w:name w:val="References"/>
    <w:basedOn w:val="Normal"/>
    <w:next w:val="Normal"/>
    <w:pPr>
      <w:spacing w:after="240"/>
      <w:ind w:left="5102"/>
      <w:jc w:val="left"/>
    </w:pPr>
    <w:rPr>
      <w:rFonts w:eastAsia="Times New Roman"/>
      <w:sz w:val="20"/>
      <w:szCs w:val="20"/>
      <w:lang w:eastAsia="en-GB"/>
    </w:rPr>
  </w:style>
  <w:style w:type="table" w:customStyle="1" w:styleId="GridTable1LightAccent1">
    <w:name w:val="Grid Table 1 Light Accent 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ecurityMarking">
    <w:name w:val="SecurityMarking"/>
    <w:basedOn w:val="Normal"/>
    <w:pPr>
      <w:spacing w:after="0" w:line="276" w:lineRule="auto"/>
      <w:ind w:left="5103"/>
      <w:jc w:val="left"/>
    </w:pPr>
    <w:rPr>
      <w:rFonts w:eastAsiaTheme="minorHAnsi"/>
      <w:sz w:val="28"/>
    </w:rPr>
  </w:style>
  <w:style w:type="paragraph" w:customStyle="1" w:styleId="DateMarking">
    <w:name w:val="DateMarking"/>
    <w:basedOn w:val="Normal"/>
    <w:pPr>
      <w:spacing w:after="0" w:line="276" w:lineRule="auto"/>
      <w:ind w:left="5103"/>
      <w:jc w:val="left"/>
    </w:pPr>
    <w:rPr>
      <w:rFonts w:eastAsiaTheme="minorHAnsi"/>
      <w:i/>
      <w:sz w:val="28"/>
    </w:rPr>
  </w:style>
  <w:style w:type="paragraph" w:customStyle="1" w:styleId="ReleasableTo">
    <w:name w:val="ReleasableTo"/>
    <w:basedOn w:val="Normal"/>
    <w:pPr>
      <w:spacing w:after="0" w:line="276" w:lineRule="auto"/>
      <w:ind w:left="5103"/>
      <w:jc w:val="left"/>
    </w:pPr>
    <w:rPr>
      <w:rFonts w:eastAsiaTheme="minorHAnsi"/>
      <w:i/>
      <w:sz w:val="28"/>
    </w:rPr>
  </w:style>
  <w:style w:type="paragraph" w:customStyle="1" w:styleId="HeaderSensitivityRight">
    <w:name w:val="Header Sensitivity Right"/>
    <w:basedOn w:val="Normal"/>
    <w:pPr>
      <w:jc w:val="right"/>
    </w:pPr>
    <w:rPr>
      <w:sz w:val="28"/>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uiPriority w:val="99"/>
    <w:pPr>
      <w:spacing w:after="160" w:line="240" w:lineRule="exact"/>
      <w:jc w:val="left"/>
    </w:pPr>
    <w:rPr>
      <w:rFonts w:ascii="Calibri" w:hAnsi="Calibri"/>
      <w:sz w:val="20"/>
      <w:szCs w:val="20"/>
      <w:vertAlign w:val="superscript"/>
      <w:lang w:eastAsia="en-GB"/>
    </w:rPr>
  </w:style>
  <w:style w:type="table" w:customStyle="1" w:styleId="Table161">
    <w:name w:val="Table 16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Aparajita" w:hAnsi="Aparajita"/>
        <w:b/>
        <w:color w:val="FFFFFF"/>
        <w:sz w:val="16"/>
      </w:rPr>
      <w:tblPr/>
      <w:tcPr>
        <w:shd w:val="clear" w:color="auto" w:fill="005962"/>
      </w:tcPr>
    </w:tblStylePr>
    <w:tblStylePr w:type="firstCol">
      <w:pPr>
        <w:wordWrap/>
        <w:jc w:val="left"/>
        <w:outlineLvl w:val="9"/>
      </w:pPr>
    </w:tblStylePr>
  </w:style>
  <w:style w:type="table" w:customStyle="1" w:styleId="GridTable5DarkAccent3">
    <w:name w:val="Grid Table 5 Dark Accent 3"/>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NoSpacingChar">
    <w:name w:val="No Spacing Char"/>
    <w:basedOn w:val="DefaultParagraphFont"/>
    <w:link w:val="NoSpacing"/>
    <w:uiPriority w:val="1"/>
    <w:rPr>
      <w:rFonts w:ascii="Trebuchet MS" w:eastAsiaTheme="minorHAnsi" w:hAnsi="Trebuchet MS" w:cstheme="minorBidi"/>
      <w:sz w:val="18"/>
      <w:szCs w:val="22"/>
      <w:lang w:eastAsia="en-US"/>
    </w:rPr>
  </w:style>
  <w:style w:type="paragraph" w:styleId="Index1">
    <w:name w:val="index 1"/>
    <w:basedOn w:val="Normal"/>
    <w:next w:val="Normal"/>
    <w:autoRedefine/>
    <w:uiPriority w:val="99"/>
    <w:unhideWhenUsed/>
    <w:pPr>
      <w:spacing w:after="0"/>
      <w:ind w:left="240" w:hanging="240"/>
      <w:jc w:val="left"/>
    </w:pPr>
    <w:rPr>
      <w:rFonts w:asciiTheme="minorHAnsi" w:eastAsia="Times New Roman" w:hAnsiTheme="minorHAnsi" w:cstheme="minorHAnsi"/>
      <w:sz w:val="18"/>
      <w:szCs w:val="18"/>
      <w:lang w:eastAsia="en-GB"/>
    </w:rPr>
  </w:style>
  <w:style w:type="paragraph" w:styleId="Index2">
    <w:name w:val="index 2"/>
    <w:basedOn w:val="Normal"/>
    <w:next w:val="Normal"/>
    <w:autoRedefine/>
    <w:uiPriority w:val="99"/>
    <w:unhideWhenUsed/>
    <w:pPr>
      <w:spacing w:after="0"/>
      <w:ind w:left="480" w:hanging="240"/>
      <w:jc w:val="left"/>
    </w:pPr>
    <w:rPr>
      <w:rFonts w:asciiTheme="minorHAnsi" w:eastAsia="Times New Roman" w:hAnsiTheme="minorHAnsi" w:cstheme="minorHAnsi"/>
      <w:sz w:val="18"/>
      <w:szCs w:val="18"/>
      <w:lang w:eastAsia="en-GB"/>
    </w:rPr>
  </w:style>
  <w:style w:type="paragraph" w:styleId="Index3">
    <w:name w:val="index 3"/>
    <w:basedOn w:val="Normal"/>
    <w:next w:val="Normal"/>
    <w:autoRedefine/>
    <w:uiPriority w:val="99"/>
    <w:unhideWhenUsed/>
    <w:pPr>
      <w:spacing w:after="0"/>
      <w:ind w:left="720" w:hanging="240"/>
      <w:jc w:val="left"/>
    </w:pPr>
    <w:rPr>
      <w:rFonts w:asciiTheme="minorHAnsi" w:eastAsia="Times New Roman" w:hAnsiTheme="minorHAnsi" w:cstheme="minorHAnsi"/>
      <w:sz w:val="18"/>
      <w:szCs w:val="18"/>
      <w:lang w:eastAsia="en-GB"/>
    </w:rPr>
  </w:style>
  <w:style w:type="paragraph" w:styleId="Index4">
    <w:name w:val="index 4"/>
    <w:basedOn w:val="Normal"/>
    <w:next w:val="Normal"/>
    <w:autoRedefine/>
    <w:uiPriority w:val="99"/>
    <w:unhideWhenUsed/>
    <w:pPr>
      <w:spacing w:after="0"/>
      <w:ind w:left="960" w:hanging="240"/>
      <w:jc w:val="left"/>
    </w:pPr>
    <w:rPr>
      <w:rFonts w:asciiTheme="minorHAnsi" w:eastAsia="Times New Roman" w:hAnsiTheme="minorHAnsi" w:cstheme="minorHAnsi"/>
      <w:sz w:val="18"/>
      <w:szCs w:val="18"/>
      <w:lang w:eastAsia="en-GB"/>
    </w:rPr>
  </w:style>
  <w:style w:type="paragraph" w:styleId="Index5">
    <w:name w:val="index 5"/>
    <w:basedOn w:val="Normal"/>
    <w:next w:val="Normal"/>
    <w:autoRedefine/>
    <w:uiPriority w:val="99"/>
    <w:unhideWhenUsed/>
    <w:pPr>
      <w:spacing w:after="0"/>
      <w:ind w:left="1200" w:hanging="240"/>
      <w:jc w:val="left"/>
    </w:pPr>
    <w:rPr>
      <w:rFonts w:asciiTheme="minorHAnsi" w:eastAsia="Times New Roman" w:hAnsiTheme="minorHAnsi" w:cstheme="minorHAnsi"/>
      <w:sz w:val="18"/>
      <w:szCs w:val="18"/>
      <w:lang w:eastAsia="en-GB"/>
    </w:rPr>
  </w:style>
  <w:style w:type="paragraph" w:styleId="Index6">
    <w:name w:val="index 6"/>
    <w:basedOn w:val="Normal"/>
    <w:next w:val="Normal"/>
    <w:autoRedefine/>
    <w:uiPriority w:val="99"/>
    <w:unhideWhenUsed/>
    <w:pPr>
      <w:spacing w:after="0"/>
      <w:ind w:left="1440" w:hanging="240"/>
      <w:jc w:val="left"/>
    </w:pPr>
    <w:rPr>
      <w:rFonts w:asciiTheme="minorHAnsi" w:eastAsia="Times New Roman" w:hAnsiTheme="minorHAnsi" w:cstheme="minorHAnsi"/>
      <w:sz w:val="18"/>
      <w:szCs w:val="18"/>
      <w:lang w:eastAsia="en-GB"/>
    </w:rPr>
  </w:style>
  <w:style w:type="paragraph" w:styleId="Index7">
    <w:name w:val="index 7"/>
    <w:basedOn w:val="Normal"/>
    <w:next w:val="Normal"/>
    <w:autoRedefine/>
    <w:uiPriority w:val="99"/>
    <w:unhideWhenUsed/>
    <w:pPr>
      <w:spacing w:after="0"/>
      <w:ind w:left="1680" w:hanging="240"/>
      <w:jc w:val="left"/>
    </w:pPr>
    <w:rPr>
      <w:rFonts w:asciiTheme="minorHAnsi" w:eastAsia="Times New Roman" w:hAnsiTheme="minorHAnsi" w:cstheme="minorHAnsi"/>
      <w:sz w:val="18"/>
      <w:szCs w:val="18"/>
      <w:lang w:eastAsia="en-GB"/>
    </w:rPr>
  </w:style>
  <w:style w:type="paragraph" w:styleId="Index8">
    <w:name w:val="index 8"/>
    <w:basedOn w:val="Normal"/>
    <w:next w:val="Normal"/>
    <w:autoRedefine/>
    <w:uiPriority w:val="99"/>
    <w:unhideWhenUsed/>
    <w:pPr>
      <w:spacing w:after="0"/>
      <w:ind w:left="1920" w:hanging="240"/>
      <w:jc w:val="left"/>
    </w:pPr>
    <w:rPr>
      <w:rFonts w:asciiTheme="minorHAnsi" w:eastAsia="Times New Roman" w:hAnsiTheme="minorHAnsi" w:cstheme="minorHAnsi"/>
      <w:sz w:val="18"/>
      <w:szCs w:val="18"/>
      <w:lang w:eastAsia="en-GB"/>
    </w:rPr>
  </w:style>
  <w:style w:type="paragraph" w:styleId="Index9">
    <w:name w:val="index 9"/>
    <w:basedOn w:val="Normal"/>
    <w:next w:val="Normal"/>
    <w:autoRedefine/>
    <w:uiPriority w:val="99"/>
    <w:unhideWhenUsed/>
    <w:pPr>
      <w:spacing w:after="0"/>
      <w:ind w:left="2160" w:hanging="240"/>
      <w:jc w:val="left"/>
    </w:pPr>
    <w:rPr>
      <w:rFonts w:asciiTheme="minorHAnsi" w:eastAsia="Times New Roman" w:hAnsiTheme="minorHAnsi" w:cstheme="minorHAnsi"/>
      <w:sz w:val="18"/>
      <w:szCs w:val="18"/>
      <w:lang w:eastAsia="en-GB"/>
    </w:rPr>
  </w:style>
  <w:style w:type="paragraph" w:styleId="IndexHeading">
    <w:name w:val="index heading"/>
    <w:basedOn w:val="Normal"/>
    <w:next w:val="Index1"/>
    <w:uiPriority w:val="99"/>
    <w:unhideWhenUsed/>
    <w:pPr>
      <w:spacing w:before="240"/>
      <w:jc w:val="center"/>
    </w:pPr>
    <w:rPr>
      <w:rFonts w:asciiTheme="minorHAnsi" w:eastAsia="Times New Roman" w:hAnsiTheme="minorHAnsi" w:cstheme="minorHAnsi"/>
      <w:b/>
      <w:bCs/>
      <w:sz w:val="26"/>
      <w:szCs w:val="26"/>
      <w:lang w:eastAsia="en-GB"/>
    </w:rPr>
  </w:style>
  <w:style w:type="character" w:customStyle="1" w:styleId="FooterSensitivityChar">
    <w:name w:val="Footer Sensitivity Char"/>
    <w:basedOn w:val="DefaultParagraphFont"/>
    <w:link w:val="FooterSensitivity"/>
    <w:rPr>
      <w:rFonts w:ascii="Times New Roman" w:hAnsi="Times New Roman"/>
      <w:b/>
      <w:sz w:val="32"/>
      <w:szCs w:val="22"/>
      <w:lang w:eastAsia="en-US"/>
    </w:rPr>
  </w:style>
  <w:style w:type="character" w:customStyle="1" w:styleId="HeaderSensitivityChar">
    <w:name w:val="Header Sensitivity Char"/>
    <w:basedOn w:val="DefaultParagraphFont"/>
    <w:link w:val="HeaderSensitivity"/>
    <w:rPr>
      <w:rFonts w:ascii="Times New Roman" w:hAnsi="Times New Roman"/>
      <w:b/>
      <w:sz w:val="3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qFormat="1"/>
    <w:lsdException w:name="List Bullet 3" w:uiPriority="0"/>
    <w:lsdException w:name="List Bullet 5"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jc w:val="both"/>
    </w:pPr>
    <w:rPr>
      <w:rFonts w:ascii="Times New Roman" w:hAnsi="Times New Roman"/>
      <w:sz w:val="22"/>
      <w:szCs w:val="22"/>
      <w:lang w:eastAsia="en-US"/>
    </w:rPr>
  </w:style>
  <w:style w:type="paragraph" w:styleId="Heading1">
    <w:name w:val="heading 1"/>
    <w:aliases w:val="(Section),MOVE-it 1,Heading 11,Hoofdstuk,Επικεφαλίδα 1 ΌΧΙ,Heading 1 - Main Heading of Document,F3 Heading 1 - Section,Numbered - 1,Section,Chapter Hdg,h1,CH TITLE 1,Chapter Heading,AChapter,Sub code header,Chapter,NEA1,1,Phare,section head"/>
    <w:basedOn w:val="Normal"/>
    <w:next w:val="Normal"/>
    <w:link w:val="Heading1Char"/>
    <w:qFormat/>
    <w:pPr>
      <w:keepNext/>
      <w:keepLines/>
      <w:spacing w:before="480" w:after="0"/>
      <w:ind w:left="432" w:hanging="432"/>
      <w:outlineLvl w:val="0"/>
    </w:pPr>
    <w:rPr>
      <w:rFonts w:eastAsia="Times New Roman"/>
      <w:b/>
      <w:bCs/>
      <w:color w:val="000000"/>
      <w:sz w:val="32"/>
      <w:szCs w:val="32"/>
    </w:rPr>
  </w:style>
  <w:style w:type="paragraph" w:styleId="Heading2">
    <w:name w:val="heading 2"/>
    <w:aliases w:val="Heading 2 Annex,2,Paragraaf,NEA2,14,H2,Se,Section1,Section2,Section3,NEA21,subhead 1,h2,subhead 11,h21,subhead 12,h22,subhead 13,h23,subhead 14,h24,subhead 15,h25,subhead 111,h211,subhead 121,h221,subhead 131,h231,subhead 141,h241,subhead 16"/>
    <w:basedOn w:val="Normal"/>
    <w:next w:val="Normal"/>
    <w:link w:val="Heading2Char"/>
    <w:unhideWhenUsed/>
    <w:qFormat/>
    <w:pPr>
      <w:keepNext/>
      <w:keepLines/>
      <w:spacing w:before="200" w:after="0"/>
      <w:outlineLvl w:val="1"/>
    </w:pPr>
    <w:rPr>
      <w:rFonts w:eastAsia="Times New Roman"/>
      <w:b/>
      <w:bCs/>
      <w:color w:val="000000"/>
      <w:sz w:val="32"/>
      <w:szCs w:val="32"/>
    </w:rPr>
  </w:style>
  <w:style w:type="paragraph" w:styleId="Heading3">
    <w:name w:val="heading 3"/>
    <w:aliases w:val="Heading 31,Heading 32,Heading 33,Heading 34,Heading 35,Heading 36,Heading 311,Heading 321,Heading 331,Heading 341,Heading 351,Heading 37,Heading 312,Heading 322,Heading 332,Heading 342,Heading 352,Heading 313,Heading 323,Heading 333,NEA3,h3"/>
    <w:basedOn w:val="Normal"/>
    <w:next w:val="Normal"/>
    <w:link w:val="Heading3Char"/>
    <w:unhideWhenUsed/>
    <w:qFormat/>
    <w:pPr>
      <w:keepNext/>
      <w:keepLines/>
      <w:spacing w:before="200" w:after="0"/>
      <w:ind w:left="720" w:hanging="720"/>
      <w:outlineLvl w:val="2"/>
    </w:pPr>
    <w:rPr>
      <w:rFonts w:eastAsia="Times New Roman"/>
      <w:b/>
      <w:bCs/>
      <w:color w:val="000000"/>
      <w:sz w:val="32"/>
      <w:szCs w:val="32"/>
    </w:rPr>
  </w:style>
  <w:style w:type="paragraph" w:styleId="Heading4">
    <w:name w:val="heading 4"/>
    <w:basedOn w:val="Normal"/>
    <w:next w:val="Normal"/>
    <w:link w:val="Heading4Char"/>
    <w:unhideWhenUsed/>
    <w:qFormat/>
    <w:pPr>
      <w:keepNext/>
      <w:keepLines/>
      <w:spacing w:before="200" w:after="0"/>
      <w:ind w:left="2880" w:hanging="360"/>
      <w:outlineLvl w:val="3"/>
    </w:pPr>
    <w:rPr>
      <w:rFonts w:eastAsia="Times New Roman"/>
      <w:b/>
      <w:bCs/>
      <w:iCs/>
      <w:color w:val="000000"/>
      <w:sz w:val="32"/>
      <w:szCs w:val="32"/>
    </w:rPr>
  </w:style>
  <w:style w:type="paragraph" w:styleId="Heading5">
    <w:name w:val="heading 5"/>
    <w:basedOn w:val="Heading3"/>
    <w:next w:val="Normal"/>
    <w:link w:val="Heading5Char"/>
    <w:qFormat/>
    <w:pPr>
      <w:keepLines w:val="0"/>
      <w:tabs>
        <w:tab w:val="left" w:pos="1134"/>
      </w:tabs>
      <w:spacing w:before="283" w:after="283" w:line="283" w:lineRule="exact"/>
      <w:ind w:left="3600" w:hanging="360"/>
      <w:outlineLvl w:val="4"/>
    </w:pPr>
    <w:rPr>
      <w:bCs w:val="0"/>
      <w:color w:val="auto"/>
      <w:kern w:val="32"/>
      <w:sz w:val="22"/>
      <w:szCs w:val="22"/>
      <w:lang w:val="de-DE" w:eastAsia="de-DE"/>
    </w:rPr>
  </w:style>
  <w:style w:type="paragraph" w:styleId="Heading6">
    <w:name w:val="heading 6"/>
    <w:basedOn w:val="Normal"/>
    <w:next w:val="Normal"/>
    <w:link w:val="Heading6Char"/>
    <w:qFormat/>
    <w:pPr>
      <w:tabs>
        <w:tab w:val="left" w:pos="1474"/>
      </w:tabs>
      <w:spacing w:after="283"/>
      <w:ind w:left="4320" w:hanging="180"/>
      <w:outlineLvl w:val="5"/>
    </w:pPr>
    <w:rPr>
      <w:rFonts w:ascii="Verdana" w:eastAsia="Times New Roman" w:hAnsi="Verdana"/>
      <w:b/>
      <w:lang w:eastAsia="de-DE"/>
    </w:rPr>
  </w:style>
  <w:style w:type="paragraph" w:styleId="Heading7">
    <w:name w:val="heading 7"/>
    <w:basedOn w:val="Normal"/>
    <w:next w:val="Normal"/>
    <w:link w:val="Heading7Char"/>
    <w:qFormat/>
    <w:pPr>
      <w:tabs>
        <w:tab w:val="left" w:pos="1701"/>
      </w:tabs>
      <w:spacing w:after="283" w:line="283" w:lineRule="atLeast"/>
      <w:ind w:left="5040" w:hanging="360"/>
      <w:outlineLvl w:val="6"/>
    </w:pPr>
    <w:rPr>
      <w:rFonts w:ascii="Verdana" w:eastAsia="Times New Roman" w:hAnsi="Verdana"/>
      <w:b/>
      <w:sz w:val="18"/>
      <w:szCs w:val="24"/>
      <w:lang w:val="de-DE" w:eastAsia="de-DE"/>
    </w:rPr>
  </w:style>
  <w:style w:type="paragraph" w:styleId="Heading8">
    <w:name w:val="heading 8"/>
    <w:basedOn w:val="Normal"/>
    <w:next w:val="Normal"/>
    <w:link w:val="Heading8Char"/>
    <w:qFormat/>
    <w:pPr>
      <w:tabs>
        <w:tab w:val="left" w:pos="2268"/>
      </w:tabs>
      <w:spacing w:after="283" w:line="283" w:lineRule="atLeast"/>
      <w:ind w:left="5760" w:hanging="360"/>
      <w:outlineLvl w:val="7"/>
    </w:pPr>
    <w:rPr>
      <w:rFonts w:ascii="Verdana" w:eastAsia="Times New Roman" w:hAnsi="Verdana"/>
      <w:b/>
      <w:iCs/>
      <w:sz w:val="18"/>
      <w:szCs w:val="24"/>
      <w:lang w:val="de-DE" w:eastAsia="de-DE"/>
    </w:rPr>
  </w:style>
  <w:style w:type="paragraph" w:styleId="Heading9">
    <w:name w:val="heading 9"/>
    <w:basedOn w:val="Normal"/>
    <w:next w:val="Normal"/>
    <w:link w:val="Heading9Char"/>
    <w:qFormat/>
    <w:pPr>
      <w:tabs>
        <w:tab w:val="left" w:pos="2551"/>
      </w:tabs>
      <w:spacing w:after="283" w:line="283" w:lineRule="atLeast"/>
      <w:ind w:left="6480" w:hanging="180"/>
      <w:outlineLvl w:val="8"/>
    </w:pPr>
    <w:rPr>
      <w:rFonts w:ascii="Verdana" w:eastAsia="Times New Roman" w:hAnsi="Verdana" w:cs="Arial"/>
      <w:b/>
      <w:sz w:val="18"/>
      <w:lang w:val="de-DE" w:eastAsia="de-D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MOVE-it 1 Char,Heading 11 Char,Hoofdstuk Char,Επικεφαλίδα 1 ΌΧΙ Char,Heading 1 - Main Heading of Document Char,F3 Heading 1 - Section Char,Numbered - 1 Char,Section Char,Chapter Hdg Char,h1 Char,CH TITLE 1 Char,Chapter Char"/>
    <w:link w:val="Heading1"/>
    <w:rPr>
      <w:rFonts w:ascii="Times New Roman" w:eastAsia="Times New Roman" w:hAnsi="Times New Roman"/>
      <w:b/>
      <w:bCs/>
      <w:color w:val="000000"/>
      <w:sz w:val="32"/>
      <w:szCs w:val="32"/>
      <w:lang w:eastAsia="en-US"/>
    </w:rPr>
  </w:style>
  <w:style w:type="character" w:customStyle="1" w:styleId="Heading2Char">
    <w:name w:val="Heading 2 Char"/>
    <w:aliases w:val="Heading 2 Annex Char,2 Char,Paragraaf Char,NEA2 Char,14 Char,H2 Char,Se Char,Section1 Char,Section2 Char,Section3 Char,NEA21 Char,subhead 1 Char,h2 Char,subhead 11 Char,h21 Char,subhead 12 Char,h22 Char,subhead 13 Char,h23 Char,h24 Char"/>
    <w:link w:val="Heading2"/>
    <w:rPr>
      <w:rFonts w:ascii="Times New Roman" w:eastAsia="Times New Roman" w:hAnsi="Times New Roman"/>
      <w:b/>
      <w:bCs/>
      <w:color w:val="000000"/>
      <w:sz w:val="32"/>
      <w:szCs w:val="32"/>
      <w:lang w:eastAsia="en-US"/>
    </w:rPr>
  </w:style>
  <w:style w:type="character" w:customStyle="1" w:styleId="Heading3Char">
    <w:name w:val="Heading 3 Char"/>
    <w:aliases w:val="Heading 31 Char,Heading 32 Char,Heading 33 Char,Heading 34 Char,Heading 35 Char,Heading 36 Char,Heading 311 Char,Heading 321 Char,Heading 331 Char,Heading 341 Char,Heading 351 Char,Heading 37 Char,Heading 312 Char,Heading 322 Char,h3 Char"/>
    <w:link w:val="Heading3"/>
    <w:rPr>
      <w:rFonts w:ascii="Times New Roman" w:eastAsia="Times New Roman" w:hAnsi="Times New Roman"/>
      <w:b/>
      <w:bCs/>
      <w:color w:val="000000"/>
      <w:sz w:val="32"/>
      <w:szCs w:val="32"/>
      <w:lang w:eastAsia="en-US"/>
    </w:rPr>
  </w:style>
  <w:style w:type="character" w:customStyle="1" w:styleId="Heading4Char">
    <w:name w:val="Heading 4 Char"/>
    <w:link w:val="Heading4"/>
    <w:rPr>
      <w:rFonts w:ascii="Times New Roman" w:eastAsia="Times New Roman" w:hAnsi="Times New Roman"/>
      <w:b/>
      <w:bCs/>
      <w:iCs/>
      <w:color w:val="000000"/>
      <w:sz w:val="32"/>
      <w:szCs w:val="32"/>
      <w:lang w:eastAsia="en-US"/>
    </w:rPr>
  </w:style>
  <w:style w:type="paragraph" w:styleId="TOCHeading">
    <w:name w:val="TOC Heading"/>
    <w:basedOn w:val="Heading1"/>
    <w:next w:val="Normal"/>
    <w:uiPriority w:val="39"/>
    <w:unhideWhenUsed/>
    <w:qFormat/>
    <w:pPr>
      <w:outlineLvl w:val="9"/>
    </w:pPr>
    <w:rPr>
      <w:color w:val="365F91"/>
      <w:lang w:val="en-US" w:eastAsia="ja-JP"/>
    </w:rPr>
  </w:style>
  <w:style w:type="paragraph" w:styleId="TOC1">
    <w:name w:val="toc 1"/>
    <w:basedOn w:val="Normal"/>
    <w:next w:val="Normal"/>
    <w:autoRedefine/>
    <w:uiPriority w:val="39"/>
    <w:unhideWhenUsed/>
    <w:qFormat/>
    <w:pPr>
      <w:tabs>
        <w:tab w:val="right" w:leader="dot" w:pos="9062"/>
      </w:tabs>
      <w:spacing w:after="0"/>
      <w:jc w:val="left"/>
    </w:pPr>
    <w:rPr>
      <w:rFonts w:asciiTheme="minorHAnsi" w:hAnsiTheme="minorHAnsi" w:cstheme="minorHAnsi"/>
      <w:b/>
      <w:bCs/>
      <w:caps/>
      <w:sz w:val="20"/>
      <w:szCs w:val="20"/>
    </w:rPr>
  </w:style>
  <w:style w:type="paragraph" w:styleId="TOC2">
    <w:name w:val="toc 2"/>
    <w:basedOn w:val="Normal"/>
    <w:next w:val="Normal"/>
    <w:autoRedefine/>
    <w:uiPriority w:val="39"/>
    <w:unhideWhenUsed/>
    <w:qFormat/>
    <w:pPr>
      <w:tabs>
        <w:tab w:val="left" w:pos="880"/>
        <w:tab w:val="right" w:leader="dot" w:pos="9062"/>
      </w:tabs>
      <w:spacing w:after="0"/>
      <w:ind w:left="221" w:firstLine="19"/>
      <w:jc w:val="left"/>
    </w:pPr>
    <w:rPr>
      <w:rFonts w:asciiTheme="minorHAnsi" w:hAnsiTheme="minorHAnsi" w:cstheme="minorHAnsi"/>
      <w:smallCaps/>
      <w:noProof/>
      <w:sz w:val="20"/>
      <w:szCs w:val="20"/>
    </w:rPr>
  </w:style>
  <w:style w:type="paragraph" w:styleId="TOC3">
    <w:name w:val="toc 3"/>
    <w:basedOn w:val="Normal"/>
    <w:next w:val="Normal"/>
    <w:autoRedefine/>
    <w:uiPriority w:val="39"/>
    <w:unhideWhenUsed/>
    <w:qFormat/>
    <w:pPr>
      <w:spacing w:after="0"/>
      <w:ind w:left="440"/>
      <w:jc w:val="left"/>
    </w:pPr>
    <w:rPr>
      <w:rFonts w:asciiTheme="minorHAnsi" w:hAnsiTheme="minorHAnsi" w:cstheme="minorHAnsi"/>
      <w:i/>
      <w:iCs/>
      <w:sz w:val="20"/>
      <w:szCs w:val="20"/>
    </w:rPr>
  </w:style>
  <w:style w:type="character" w:styleId="Hyperlink">
    <w:name w:val="Hyperlink"/>
    <w:uiPriority w:val="99"/>
    <w:unhideWhenUsed/>
    <w:rPr>
      <w:color w:val="0000FF"/>
      <w:u w:val="single"/>
    </w:rPr>
  </w:style>
  <w:style w:type="paragraph" w:styleId="FootnoteText">
    <w:name w:val="footnote text"/>
    <w:aliases w:val="Footnote text,Fußnote,Fu§notentext Char,Fu§notentext Char1 Char1,Fu§notentext Char Char Char Char,Fu§notentext Char1 Char Char Char,Fu§notentext Char Char,Fu§notentext Char Char Char Char Char Char,Footnote Text Char Char,stile 1,Footnot"/>
    <w:basedOn w:val="Normal"/>
    <w:link w:val="FootnoteTextChar"/>
    <w:uiPriority w:val="99"/>
    <w:qFormat/>
    <w:pPr>
      <w:spacing w:after="0"/>
    </w:pPr>
    <w:rPr>
      <w:rFonts w:eastAsia="Times New Roman"/>
      <w:color w:val="333333"/>
      <w:sz w:val="20"/>
      <w:szCs w:val="20"/>
      <w:lang w:eastAsia="en-GB"/>
    </w:rPr>
  </w:style>
  <w:style w:type="character" w:customStyle="1" w:styleId="FootnoteTextChar">
    <w:name w:val="Footnote Text Char"/>
    <w:aliases w:val="Footnote text Char,Fußnote Char,Fu§notentext Char Char1,Fu§notentext Char1 Char1 Char,Fu§notentext Char Char Char Char Char,Fu§notentext Char1 Char Char Char Char,Fu§notentext Char Char Char,Footnote Text Char Char Char,stile 1 Char"/>
    <w:link w:val="FootnoteText"/>
    <w:uiPriority w:val="99"/>
    <w:qFormat/>
    <w:rPr>
      <w:rFonts w:ascii="Times New Roman" w:eastAsia="Times New Roman" w:hAnsi="Times New Roman"/>
      <w:color w:val="333333"/>
    </w:rPr>
  </w:style>
  <w:style w:type="character" w:styleId="FootnoteReference">
    <w:name w:val="footnote reference"/>
    <w:aliases w:val="SUPERS,Footnote symbol,Footnote,Voetnootverwijzing,Footnote number,fr,o,Footnotemark,FR,Footnotemark1,Footnotemark2,FR1,Footnotemark3,FR2,Footnotemark4,FR3,Footnotemark5,FR4,Footnotemark6,Footnotemark7,Footnotemark8,FR5,Footnotemark11"/>
    <w:link w:val="SUPERSCharCharCharCharCharCharCharChar"/>
    <w:uiPriority w:val="99"/>
    <w:qFormat/>
    <w:rPr>
      <w:vertAlign w:val="superscript"/>
    </w:rPr>
  </w:style>
  <w:style w:type="paragraph" w:styleId="BodyText">
    <w:name w:val="Body Text"/>
    <w:aliases w:val="F4 Main Text,F2 Body Text,Document,Doc,Body Text2,doc,Standard paragraph,Text,1body,BodText,bt,body text,Body Txt,Body Text-10,Τίτλος Μελέτης,- TF,BodyText, (Norm),Body Text 12,gl,uvlaka 2,(Norm),heading3,Body Text - Level 2,Text Char1,b.,b..."/>
    <w:basedOn w:val="Normal"/>
    <w:link w:val="BodyTextChar"/>
    <w:qFormat/>
    <w:rPr>
      <w:rFonts w:ascii="Verdana" w:eastAsia="Times New Roman" w:hAnsi="Verdana"/>
      <w:color w:val="333333"/>
      <w:sz w:val="20"/>
      <w:szCs w:val="24"/>
      <w:lang w:eastAsia="en-GB"/>
    </w:rPr>
  </w:style>
  <w:style w:type="character" w:customStyle="1" w:styleId="BodyTextChar">
    <w:name w:val="Body Text Char"/>
    <w:aliases w:val="F4 Main Text Char,F2 Body Text Char,Document Char,Doc Char,Body Text2 Char,doc Char,Standard paragraph Char,Text Char,1body Char,BodText Char,bt Char,body text Char,Body Txt Char,Body Text-10 Char,Τίτλος Μελέτης Char,- TF Char,gl Char"/>
    <w:link w:val="BodyText"/>
    <w:qFormat/>
    <w:rPr>
      <w:rFonts w:ascii="Verdana" w:eastAsia="Times New Roman" w:hAnsi="Verdana" w:cs="Times New Roman"/>
      <w:color w:val="333333"/>
      <w:sz w:val="20"/>
      <w:szCs w:val="24"/>
      <w:lang w:eastAsia="en-GB"/>
    </w:rPr>
  </w:style>
  <w:style w:type="paragraph" w:styleId="ListParagraph">
    <w:name w:val="List Paragraph"/>
    <w:aliases w:val="1st level - Bullet List Paragraph,Lettre d'introduction,Paragrafo elenco,List Paragraph1,Medium Grid 1 - Accent 21,FooterText,Paragraphe de liste1,Heading 2_sj,Numbered Para 1,Dot pt,No Spacing1,List Paragraph Char Char Char,Bullet 1,lp1"/>
    <w:basedOn w:val="Normal"/>
    <w:link w:val="ListParagraphChar"/>
    <w:uiPriority w:val="34"/>
    <w:qFormat/>
    <w:pPr>
      <w:ind w:left="720"/>
      <w:contextualSpacing/>
    </w:pPr>
  </w:style>
  <w:style w:type="paragraph" w:styleId="Caption">
    <w:name w:val="caption"/>
    <w:aliases w:val="Caption-tables,Tasks,Beschriftung Char2,Beschriftung Char1 Char1,Beschriftung Char Char Char1,Beschriftung Char1 Char Char,Beschriftung Char Char Char Char,Beschriftung Char Char1 Char,Beschriftung Char Char2,Beschriftung Char1 Cha...,Eco,Legend"/>
    <w:basedOn w:val="Normal"/>
    <w:next w:val="Normal"/>
    <w:link w:val="CaptionChar"/>
    <w:autoRedefine/>
    <w:uiPriority w:val="35"/>
    <w:unhideWhenUsed/>
    <w:qFormat/>
    <w:pPr>
      <w:keepNext/>
      <w:tabs>
        <w:tab w:val="left" w:pos="7920"/>
      </w:tabs>
      <w:ind w:right="-142"/>
      <w:jc w:val="center"/>
    </w:pPr>
    <w:rPr>
      <w:b/>
      <w:bCs/>
      <w:noProof/>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pPr>
    <w:rPr>
      <w:sz w:val="24"/>
    </w:rPr>
  </w:style>
  <w:style w:type="paragraph" w:styleId="Header">
    <w:name w:val="header"/>
    <w:basedOn w:val="Normal"/>
    <w:link w:val="HeaderChar"/>
    <w:uiPriority w:val="99"/>
    <w:unhideWhenUsed/>
    <w:pPr>
      <w:tabs>
        <w:tab w:val="center" w:pos="4535"/>
        <w:tab w:val="right" w:pos="9071"/>
      </w:tabs>
    </w:pPr>
    <w:rPr>
      <w:rFonts w:eastAsiaTheme="minorHAnsi"/>
      <w:sz w:val="24"/>
    </w:rPr>
  </w:style>
  <w:style w:type="character" w:customStyle="1" w:styleId="HeaderChar">
    <w:name w:val="Header Char"/>
    <w:basedOn w:val="DefaultParagraphFont"/>
    <w:link w:val="Header"/>
    <w:uiPriority w:val="99"/>
    <w:rPr>
      <w:rFonts w:ascii="Times New Roman" w:eastAsiaTheme="minorHAnsi" w:hAnsi="Times New Roman"/>
      <w:sz w:val="24"/>
      <w:szCs w:val="22"/>
      <w:lang w:eastAsia="en-US"/>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 w:val="24"/>
    </w:rPr>
  </w:style>
  <w:style w:type="character" w:customStyle="1" w:styleId="FooterChar">
    <w:name w:val="Footer Char"/>
    <w:basedOn w:val="DefaultParagraphFont"/>
    <w:link w:val="Footer"/>
    <w:uiPriority w:val="99"/>
    <w:rPr>
      <w:rFonts w:ascii="Times New Roman" w:eastAsiaTheme="minorHAnsi" w:hAnsi="Times New Roman"/>
      <w:sz w:val="24"/>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sz w:val="24"/>
    </w:rPr>
  </w:style>
  <w:style w:type="character" w:customStyle="1" w:styleId="FooterCoverPageChar">
    <w:name w:val="Footer Cover Page Char"/>
    <w:link w:val="FooterCoverPage"/>
    <w:rPr>
      <w:rFonts w:ascii="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pPr>
    <w:rPr>
      <w:sz w:val="24"/>
    </w:rPr>
  </w:style>
  <w:style w:type="character" w:customStyle="1" w:styleId="HeaderCoverPageChar">
    <w:name w:val="Header Cover Page Char"/>
    <w:link w:val="HeaderCoverPage"/>
    <w:rPr>
      <w:rFonts w:ascii="Times New Roman" w:hAnsi="Times New Roman"/>
      <w:sz w:val="24"/>
      <w:szCs w:val="22"/>
      <w:lang w:eastAsia="en-US"/>
    </w:rPr>
  </w:style>
  <w:style w:type="paragraph" w:styleId="TOC4">
    <w:name w:val="toc 4"/>
    <w:basedOn w:val="Normal"/>
    <w:next w:val="Normal"/>
    <w:autoRedefine/>
    <w:uiPriority w:val="39"/>
    <w:unhideWhenUsed/>
    <w:pPr>
      <w:spacing w:after="0"/>
      <w:ind w:left="660"/>
      <w:jc w:val="left"/>
    </w:pPr>
    <w:rPr>
      <w:rFonts w:asciiTheme="minorHAnsi" w:hAnsiTheme="minorHAnsi" w:cstheme="minorHAnsi"/>
      <w:sz w:val="18"/>
      <w:szCs w:val="18"/>
    </w:rPr>
  </w:style>
  <w:style w:type="paragraph" w:styleId="NormalWeb">
    <w:name w:val="Normal (Web)"/>
    <w:basedOn w:val="Normal"/>
    <w:uiPriority w:val="99"/>
    <w:unhideWhenUsed/>
    <w:pPr>
      <w:spacing w:before="100" w:beforeAutospacing="1" w:after="100" w:afterAutospacing="1"/>
    </w:pPr>
    <w:rPr>
      <w:rFonts w:eastAsia="Times New Roman"/>
      <w:sz w:val="24"/>
      <w:szCs w:val="24"/>
      <w:lang w:eastAsia="en-GB"/>
    </w:rPr>
  </w:style>
  <w:style w:type="paragraph" w:styleId="BalloonText">
    <w:name w:val="Balloon Text"/>
    <w:basedOn w:val="Normal"/>
    <w:link w:val="BalloonTextChar"/>
    <w:uiPriority w:val="99"/>
    <w:unhideWhenUsed/>
    <w:pPr>
      <w:spacing w:after="0"/>
    </w:pPr>
    <w:rPr>
      <w:rFonts w:ascii="Tahoma" w:hAnsi="Tahoma" w:cs="Tahoma"/>
      <w:sz w:val="16"/>
      <w:szCs w:val="16"/>
    </w:rPr>
  </w:style>
  <w:style w:type="character" w:customStyle="1" w:styleId="BalloonTextChar">
    <w:name w:val="Balloon Text Char"/>
    <w:link w:val="BalloonText"/>
    <w:uiPriority w:val="99"/>
    <w:rPr>
      <w:rFonts w:ascii="Tahoma" w:hAnsi="Tahoma" w:cs="Tahoma"/>
      <w:sz w:val="16"/>
      <w:szCs w:val="16"/>
      <w:lang w:eastAsia="en-US"/>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rFonts w:ascii="Calibri" w:hAnsi="Calibri"/>
      <w:sz w:val="20"/>
      <w:szCs w:val="20"/>
    </w:rPr>
  </w:style>
  <w:style w:type="character" w:customStyle="1" w:styleId="CommentTextChar">
    <w:name w:val="Comment Text Char"/>
    <w:link w:val="CommentText"/>
    <w:uiPriority w:val="99"/>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en-US"/>
    </w:rPr>
  </w:style>
  <w:style w:type="paragraph" w:styleId="EndnoteText">
    <w:name w:val="endnote text"/>
    <w:basedOn w:val="Normal"/>
    <w:link w:val="EndnoteTextChar"/>
    <w:uiPriority w:val="99"/>
    <w:semiHidden/>
    <w:unhideWhenUsed/>
    <w:pPr>
      <w:spacing w:after="0"/>
    </w:pPr>
    <w:rPr>
      <w:rFonts w:ascii="Calibri" w:hAnsi="Calibri"/>
      <w:sz w:val="20"/>
      <w:szCs w:val="20"/>
    </w:rPr>
  </w:style>
  <w:style w:type="character" w:customStyle="1" w:styleId="EndnoteTextChar">
    <w:name w:val="Endnote Text Char"/>
    <w:link w:val="EndnoteText"/>
    <w:uiPriority w:val="99"/>
    <w:semiHidden/>
    <w:rPr>
      <w:lang w:eastAsia="en-US"/>
    </w:rPr>
  </w:style>
  <w:style w:type="character" w:styleId="EndnoteReference">
    <w:name w:val="endnote reference"/>
    <w:uiPriority w:val="99"/>
    <w:semiHidden/>
    <w:unhideWhenUsed/>
    <w:rPr>
      <w:vertAlign w:val="superscript"/>
    </w:rPr>
  </w:style>
  <w:style w:type="character" w:customStyle="1" w:styleId="ListParagraphChar">
    <w:name w:val="List Paragraph Char"/>
    <w:aliases w:val="1st level - Bullet List Paragraph Char,Lettre d'introduction Char,Paragrafo elenco Char,List Paragraph1 Char,Medium Grid 1 - Accent 21 Char,FooterText Char,Paragraphe de liste1 Char,Heading 2_sj Char,Numbered Para 1 Char,Dot pt Char"/>
    <w:link w:val="ListParagraph"/>
    <w:uiPriority w:val="34"/>
    <w:qFormat/>
    <w:locked/>
    <w:rPr>
      <w:sz w:val="22"/>
      <w:szCs w:val="22"/>
      <w:lang w:eastAsia="en-US"/>
    </w:rPr>
  </w:style>
  <w:style w:type="table" w:styleId="TableGrid">
    <w:name w:val="Table Grid"/>
    <w:basedOn w:val="TableNormal"/>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rPr>
      <w:rFonts w:ascii="Times New Roman" w:eastAsia="Times New Roman" w:hAnsi="Times New Roman"/>
      <w:b/>
      <w:kern w:val="32"/>
      <w:sz w:val="22"/>
      <w:szCs w:val="22"/>
      <w:lang w:val="de-DE" w:eastAsia="de-DE"/>
    </w:rPr>
  </w:style>
  <w:style w:type="character" w:customStyle="1" w:styleId="Heading6Char">
    <w:name w:val="Heading 6 Char"/>
    <w:link w:val="Heading6"/>
    <w:rPr>
      <w:rFonts w:ascii="Verdana" w:eastAsia="Times New Roman" w:hAnsi="Verdana"/>
      <w:b/>
      <w:sz w:val="22"/>
      <w:szCs w:val="22"/>
      <w:lang w:eastAsia="de-DE"/>
    </w:rPr>
  </w:style>
  <w:style w:type="character" w:customStyle="1" w:styleId="Heading7Char">
    <w:name w:val="Heading 7 Char"/>
    <w:link w:val="Heading7"/>
    <w:rPr>
      <w:rFonts w:ascii="Verdana" w:eastAsia="Times New Roman" w:hAnsi="Verdana"/>
      <w:b/>
      <w:sz w:val="18"/>
      <w:szCs w:val="24"/>
      <w:lang w:val="de-DE" w:eastAsia="de-DE"/>
    </w:rPr>
  </w:style>
  <w:style w:type="character" w:customStyle="1" w:styleId="Heading8Char">
    <w:name w:val="Heading 8 Char"/>
    <w:link w:val="Heading8"/>
    <w:rPr>
      <w:rFonts w:ascii="Verdana" w:eastAsia="Times New Roman" w:hAnsi="Verdana"/>
      <w:b/>
      <w:iCs/>
      <w:sz w:val="18"/>
      <w:szCs w:val="24"/>
      <w:lang w:val="de-DE" w:eastAsia="de-DE"/>
    </w:rPr>
  </w:style>
  <w:style w:type="character" w:customStyle="1" w:styleId="Heading9Char">
    <w:name w:val="Heading 9 Char"/>
    <w:link w:val="Heading9"/>
    <w:rPr>
      <w:rFonts w:ascii="Verdana" w:eastAsia="Times New Roman" w:hAnsi="Verdana" w:cs="Arial"/>
      <w:b/>
      <w:sz w:val="18"/>
      <w:szCs w:val="22"/>
      <w:lang w:val="de-DE" w:eastAsia="de-DE"/>
    </w:rPr>
  </w:style>
  <w:style w:type="paragraph" w:styleId="ListBullet3">
    <w:name w:val="List Bullet 3"/>
    <w:basedOn w:val="Normal"/>
    <w:pPr>
      <w:numPr>
        <w:numId w:val="2"/>
      </w:numPr>
      <w:spacing w:after="283" w:line="283" w:lineRule="atLeast"/>
    </w:pPr>
    <w:rPr>
      <w:rFonts w:ascii="Verdana" w:eastAsia="Times New Roman" w:hAnsi="Verdana"/>
      <w:sz w:val="18"/>
      <w:szCs w:val="24"/>
      <w:lang w:val="de-DE" w:eastAsia="de-DE"/>
    </w:rPr>
  </w:style>
  <w:style w:type="paragraph" w:styleId="ListBullet5">
    <w:name w:val="List Bullet 5"/>
    <w:basedOn w:val="Normal"/>
    <w:pPr>
      <w:tabs>
        <w:tab w:val="left" w:pos="1446"/>
        <w:tab w:val="num" w:pos="1492"/>
        <w:tab w:val="left" w:pos="5046"/>
        <w:tab w:val="left" w:pos="6691"/>
        <w:tab w:val="left" w:pos="8108"/>
      </w:tabs>
      <w:spacing w:after="283" w:line="283" w:lineRule="atLeast"/>
      <w:ind w:left="1492" w:hanging="360"/>
    </w:pPr>
    <w:rPr>
      <w:rFonts w:ascii="Verdana" w:eastAsia="Times New Roman" w:hAnsi="Verdana"/>
      <w:sz w:val="18"/>
      <w:szCs w:val="24"/>
      <w:lang w:val="de-DE" w:eastAsia="de-DE"/>
    </w:rPr>
  </w:style>
  <w:style w:type="character" w:customStyle="1" w:styleId="apple-converted-space">
    <w:name w:val="apple-converted-space"/>
  </w:style>
  <w:style w:type="character" w:customStyle="1" w:styleId="leaf">
    <w:name w:val="leaf"/>
  </w:style>
  <w:style w:type="paragraph" w:styleId="Title">
    <w:name w:val="Title"/>
    <w:basedOn w:val="Normal"/>
    <w:next w:val="Normal"/>
    <w:link w:val="TitleChar"/>
    <w:uiPriority w:val="10"/>
    <w:qFormat/>
    <w:pPr>
      <w:spacing w:before="240" w:after="60"/>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lang w:eastAsia="en-US"/>
    </w:rPr>
  </w:style>
  <w:style w:type="paragraph" w:styleId="TOC5">
    <w:name w:val="toc 5"/>
    <w:basedOn w:val="Normal"/>
    <w:next w:val="Normal"/>
    <w:autoRedefine/>
    <w:uiPriority w:val="39"/>
    <w:unhideWhenUsed/>
    <w:pPr>
      <w:tabs>
        <w:tab w:val="right" w:leader="dot" w:pos="9062"/>
      </w:tabs>
      <w:spacing w:after="0"/>
      <w:ind w:left="880"/>
      <w:jc w:val="left"/>
    </w:pPr>
    <w:rPr>
      <w:rFonts w:asciiTheme="minorHAnsi" w:hAnsiTheme="minorHAnsi" w:cstheme="minorHAnsi"/>
      <w:sz w:val="18"/>
      <w:szCs w:val="18"/>
    </w:rPr>
  </w:style>
  <w:style w:type="paragraph" w:styleId="TOC6">
    <w:name w:val="toc 6"/>
    <w:basedOn w:val="Normal"/>
    <w:next w:val="Normal"/>
    <w:autoRedefine/>
    <w:uiPriority w:val="39"/>
    <w:unhideWhenUsed/>
    <w:pPr>
      <w:spacing w:after="0"/>
      <w:ind w:left="1100"/>
      <w:jc w:val="left"/>
    </w:pPr>
    <w:rPr>
      <w:rFonts w:asciiTheme="minorHAnsi" w:hAnsiTheme="minorHAnsi" w:cstheme="minorHAnsi"/>
      <w:sz w:val="18"/>
      <w:szCs w:val="18"/>
    </w:rPr>
  </w:style>
  <w:style w:type="paragraph" w:styleId="TOC7">
    <w:name w:val="toc 7"/>
    <w:basedOn w:val="Normal"/>
    <w:next w:val="Normal"/>
    <w:autoRedefine/>
    <w:uiPriority w:val="39"/>
    <w:unhideWhenUsed/>
    <w:pPr>
      <w:spacing w:after="0"/>
      <w:ind w:left="1320"/>
      <w:jc w:val="left"/>
    </w:pPr>
    <w:rPr>
      <w:rFonts w:asciiTheme="minorHAnsi" w:hAnsiTheme="minorHAnsi" w:cstheme="minorHAnsi"/>
      <w:sz w:val="18"/>
      <w:szCs w:val="18"/>
    </w:rPr>
  </w:style>
  <w:style w:type="paragraph" w:styleId="TOC8">
    <w:name w:val="toc 8"/>
    <w:basedOn w:val="Normal"/>
    <w:next w:val="Normal"/>
    <w:autoRedefine/>
    <w:uiPriority w:val="39"/>
    <w:unhideWhenUsed/>
    <w:pPr>
      <w:spacing w:after="0"/>
      <w:ind w:left="1540"/>
      <w:jc w:val="left"/>
    </w:pPr>
    <w:rPr>
      <w:rFonts w:asciiTheme="minorHAnsi" w:hAnsiTheme="minorHAnsi" w:cstheme="minorHAnsi"/>
      <w:sz w:val="18"/>
      <w:szCs w:val="18"/>
    </w:rPr>
  </w:style>
  <w:style w:type="paragraph" w:styleId="TOC9">
    <w:name w:val="toc 9"/>
    <w:basedOn w:val="Normal"/>
    <w:next w:val="Normal"/>
    <w:autoRedefine/>
    <w:uiPriority w:val="39"/>
    <w:unhideWhenUsed/>
    <w:pPr>
      <w:spacing w:after="0"/>
      <w:ind w:left="1760"/>
      <w:jc w:val="left"/>
    </w:pPr>
    <w:rPr>
      <w:rFonts w:asciiTheme="minorHAnsi" w:hAnsiTheme="minorHAnsi" w:cstheme="minorHAnsi"/>
      <w:sz w:val="18"/>
      <w:szCs w:val="18"/>
    </w:rPr>
  </w:style>
  <w:style w:type="paragraph" w:styleId="Revision">
    <w:name w:val="Revision"/>
    <w:hidden/>
    <w:uiPriority w:val="99"/>
    <w:semiHidden/>
    <w:rPr>
      <w:rFonts w:ascii="Times New Roman" w:hAnsi="Times New Roman"/>
      <w:sz w:val="22"/>
      <w:szCs w:val="22"/>
      <w:lang w:eastAsia="en-US"/>
    </w:rPr>
  </w:style>
  <w:style w:type="table" w:customStyle="1" w:styleId="Tablestylegreen">
    <w:name w:val="Tablestyle_green"/>
    <w:basedOn w:val="TableNormal"/>
    <w:rPr>
      <w:rFonts w:ascii="Verdana" w:eastAsia="Times New Roman" w:hAnsi="Verdana"/>
      <w:color w:val="000000"/>
      <w:sz w:val="16"/>
      <w:lang w:val="de-DE" w:eastAsia="de-DE"/>
    </w:rPr>
    <w:tblPr>
      <w:tblStyleRowBandSize w:val="1"/>
      <w:tblInd w:w="108" w:type="dxa"/>
    </w:tblPr>
    <w:tcPr>
      <w:vAlign w:val="center"/>
    </w:tcPr>
    <w:tblStylePr w:type="firstRow">
      <w:rPr>
        <w:rFonts w:ascii="Cambria" w:hAnsi="Cambria"/>
        <w:b/>
        <w:color w:val="FFFFFF"/>
        <w:sz w:val="16"/>
      </w:rPr>
      <w:tblPr/>
      <w:tcPr>
        <w:tcBorders>
          <w:top w:val="single" w:sz="4" w:space="0" w:color="7AB800"/>
          <w:left w:val="single" w:sz="4" w:space="0" w:color="7AB800"/>
          <w:bottom w:val="single" w:sz="4" w:space="0" w:color="7AB800"/>
          <w:right w:val="single" w:sz="4" w:space="0" w:color="7AB800"/>
          <w:insideH w:val="single" w:sz="4" w:space="0" w:color="7AB800"/>
          <w:insideV w:val="single" w:sz="4" w:space="0" w:color="FFFFFF"/>
          <w:tl2br w:val="nil"/>
          <w:tr2bl w:val="nil"/>
        </w:tcBorders>
        <w:shd w:val="clear" w:color="auto" w:fill="7AB800"/>
      </w:tcPr>
    </w:tblStylePr>
    <w:tblStylePr w:type="lastRow">
      <w:rPr>
        <w:rFonts w:ascii="Cambria" w:hAnsi="Cambria"/>
        <w:sz w:val="16"/>
      </w:rPr>
      <w:tblPr/>
      <w:tcPr>
        <w:tcBorders>
          <w:top w:val="nil"/>
          <w:left w:val="single" w:sz="4" w:space="0" w:color="8B8D8E"/>
          <w:bottom w:val="single" w:sz="18" w:space="0" w:color="7AB800"/>
          <w:right w:val="single" w:sz="4" w:space="0" w:color="8B8D8E"/>
          <w:insideH w:val="nil"/>
          <w:insideV w:val="single" w:sz="4" w:space="0" w:color="8B8D8E"/>
          <w:tl2br w:val="nil"/>
          <w:tr2bl w:val="nil"/>
        </w:tcBorders>
      </w:tcPr>
    </w:tblStylePr>
    <w:tblStylePr w:type="band1Horz">
      <w:rPr>
        <w:rFonts w:ascii="Cambria" w:hAnsi="Cambria"/>
        <w:sz w:val="16"/>
      </w:rPr>
      <w:tblPr/>
      <w:tcPr>
        <w:tcBorders>
          <w:top w:val="nil"/>
          <w:left w:val="single" w:sz="4" w:space="0" w:color="8B8D8E"/>
          <w:bottom w:val="single" w:sz="4" w:space="0" w:color="8B8D8E"/>
          <w:right w:val="single" w:sz="4" w:space="0" w:color="8B8D8E"/>
          <w:insideH w:val="nil"/>
          <w:insideV w:val="single" w:sz="4" w:space="0" w:color="8B8D8E"/>
          <w:tl2br w:val="nil"/>
          <w:tr2bl w:val="nil"/>
        </w:tcBorders>
      </w:tcPr>
    </w:tblStylePr>
    <w:tblStylePr w:type="band2Horz">
      <w:rPr>
        <w:rFonts w:ascii="Cambria" w:hAnsi="Cambria"/>
        <w:sz w:val="16"/>
      </w:rPr>
      <w:tblPr/>
      <w:tcPr>
        <w:tcBorders>
          <w:top w:val="nil"/>
          <w:left w:val="single" w:sz="4" w:space="0" w:color="8B8D8E"/>
          <w:bottom w:val="single" w:sz="4" w:space="0" w:color="8B8D8E"/>
          <w:right w:val="single" w:sz="4" w:space="0" w:color="8B8D8E"/>
          <w:insideH w:val="nil"/>
          <w:insideV w:val="single" w:sz="4" w:space="0" w:color="8B8D8E"/>
          <w:tl2br w:val="nil"/>
          <w:tr2bl w:val="nil"/>
        </w:tcBorders>
      </w:tcPr>
    </w:tblStylePr>
  </w:style>
  <w:style w:type="paragraph" w:customStyle="1" w:styleId="SUPERSChar">
    <w:name w:val="SUPERS Char"/>
    <w:aliases w:val="EN Footnote Reference Char"/>
    <w:basedOn w:val="Normal"/>
    <w:uiPriority w:val="99"/>
    <w:pPr>
      <w:widowControl w:val="0"/>
      <w:adjustRightInd w:val="0"/>
      <w:spacing w:after="160" w:line="240" w:lineRule="exact"/>
      <w:textAlignment w:val="baseline"/>
    </w:pPr>
    <w:rPr>
      <w:rFonts w:ascii="Calibri" w:hAnsi="Calibri"/>
      <w:sz w:val="20"/>
      <w:szCs w:val="20"/>
      <w:vertAlign w:val="superscript"/>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GridTable4-Accent22">
    <w:name w:val="Grid Table 4 - Accent 22"/>
    <w:basedOn w:val="TableNormal"/>
    <w:next w:val="TableNormal"/>
    <w:uiPriority w:val="49"/>
    <w:rPr>
      <w:rFonts w:ascii="Times New Roman" w:eastAsia="Times New Roman" w:hAnsi="Times New Roman"/>
      <w:lang w:val="de-DE" w:eastAsia="de-DE"/>
    </w:rPr>
    <w:tblPr>
      <w:tblStyleRowBandSize w:val="1"/>
      <w:tblStyleColBandSize w:val="1"/>
      <w:tblBorders>
        <w:top w:val="single" w:sz="4" w:space="0" w:color="BDFF3B"/>
        <w:left w:val="single" w:sz="4" w:space="0" w:color="BDFF3B"/>
        <w:bottom w:val="single" w:sz="4" w:space="0" w:color="BDFF3B"/>
        <w:right w:val="single" w:sz="4" w:space="0" w:color="BDFF3B"/>
        <w:insideH w:val="single" w:sz="4" w:space="0" w:color="BDFF3B"/>
        <w:insideV w:val="single" w:sz="4" w:space="0" w:color="BDFF3B"/>
      </w:tblBorders>
    </w:tblPr>
    <w:tblStylePr w:type="firstRow">
      <w:rPr>
        <w:b/>
        <w:bCs/>
        <w:color w:val="FFFFFF"/>
      </w:rPr>
      <w:tblPr/>
      <w:tcPr>
        <w:tcBorders>
          <w:top w:val="single" w:sz="4" w:space="0" w:color="7AB800"/>
          <w:left w:val="single" w:sz="4" w:space="0" w:color="7AB800"/>
          <w:bottom w:val="single" w:sz="4" w:space="0" w:color="7AB800"/>
          <w:right w:val="single" w:sz="4" w:space="0" w:color="7AB800"/>
          <w:insideH w:val="nil"/>
          <w:insideV w:val="nil"/>
        </w:tcBorders>
        <w:shd w:val="clear" w:color="auto" w:fill="7AB800"/>
      </w:tcPr>
    </w:tblStylePr>
    <w:tblStylePr w:type="lastRow">
      <w:rPr>
        <w:b/>
        <w:bCs/>
      </w:rPr>
      <w:tblPr/>
      <w:tcPr>
        <w:tcBorders>
          <w:top w:val="double" w:sz="4" w:space="0" w:color="7AB800"/>
        </w:tcBorders>
      </w:tcPr>
    </w:tblStylePr>
    <w:tblStylePr w:type="firstCol">
      <w:rPr>
        <w:b/>
        <w:bCs/>
      </w:rPr>
    </w:tblStylePr>
    <w:tblStylePr w:type="lastCol">
      <w:rPr>
        <w:b/>
        <w:bCs/>
      </w:rPr>
    </w:tblStylePr>
    <w:tblStylePr w:type="band1Vert">
      <w:tblPr/>
      <w:tcPr>
        <w:shd w:val="clear" w:color="auto" w:fill="E8FFBD"/>
      </w:tcPr>
    </w:tblStylePr>
    <w:tblStylePr w:type="band1Horz">
      <w:tblPr/>
      <w:tcPr>
        <w:shd w:val="clear" w:color="auto" w:fill="E8FFBD"/>
      </w:tcPr>
    </w:tblStylePr>
  </w:style>
  <w:style w:type="paragraph" w:customStyle="1" w:styleId="Default">
    <w:name w:val="Default"/>
    <w:pPr>
      <w:autoSpaceDE w:val="0"/>
      <w:autoSpaceDN w:val="0"/>
      <w:adjustRightInd w:val="0"/>
    </w:pPr>
    <w:rPr>
      <w:rFonts w:ascii="Verdana" w:hAnsi="Verdana" w:cs="Verdana"/>
      <w:color w:val="000000"/>
      <w:sz w:val="24"/>
      <w:szCs w:val="24"/>
    </w:rPr>
  </w:style>
  <w:style w:type="character" w:customStyle="1" w:styleId="CaptionChar">
    <w:name w:val="Caption Char"/>
    <w:aliases w:val="Caption-tables Char,Tasks Char,Beschriftung Char2 Char,Beschriftung Char1 Char1 Char,Beschriftung Char Char Char1 Char,Beschriftung Char1 Char Char Char,Beschriftung Char Char Char Char Char,Beschriftung Char Char1 Char Char,Eco Char"/>
    <w:link w:val="Caption"/>
    <w:uiPriority w:val="35"/>
    <w:rPr>
      <w:rFonts w:ascii="Times New Roman" w:hAnsi="Times New Roman"/>
      <w:b/>
      <w:bCs/>
      <w:noProof/>
      <w:sz w:val="22"/>
      <w:szCs w:val="22"/>
      <w:lang w:eastAsia="en-US"/>
    </w:rPr>
  </w:style>
  <w:style w:type="paragraph" w:customStyle="1" w:styleId="Reference">
    <w:name w:val="Reference"/>
    <w:basedOn w:val="Normal"/>
    <w:pPr>
      <w:tabs>
        <w:tab w:val="left" w:pos="0"/>
      </w:tabs>
      <w:spacing w:before="180" w:after="0"/>
      <w:ind w:left="720" w:hanging="720"/>
      <w:jc w:val="left"/>
    </w:pPr>
    <w:rPr>
      <w:rFonts w:eastAsia="Times New Roman"/>
      <w:sz w:val="24"/>
      <w:szCs w:val="24"/>
      <w:lang w:eastAsia="en-GB"/>
    </w:rPr>
  </w:style>
  <w:style w:type="character" w:styleId="Emphasis">
    <w:name w:val="Emphasis"/>
    <w:basedOn w:val="DefaultParagraphFont"/>
    <w:uiPriority w:val="20"/>
    <w:qFormat/>
    <w:rPr>
      <w:i/>
      <w:iCs/>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lang w:eastAsia="en-US"/>
    </w:rPr>
  </w:style>
  <w:style w:type="paragraph" w:styleId="TableofFigures">
    <w:name w:val="table of figures"/>
    <w:basedOn w:val="Normal"/>
    <w:next w:val="Normal"/>
    <w:uiPriority w:val="99"/>
    <w:unhideWhenUsed/>
    <w:pPr>
      <w:spacing w:after="0"/>
      <w:jc w:val="left"/>
    </w:pPr>
    <w:rPr>
      <w:rFonts w:asciiTheme="minorHAnsi" w:hAnsiTheme="minorHAnsi"/>
      <w:i/>
      <w:iCs/>
      <w:sz w:val="20"/>
      <w:szCs w:val="20"/>
    </w:rPr>
  </w:style>
  <w:style w:type="character" w:styleId="BookTitle">
    <w:name w:val="Book Title"/>
    <w:basedOn w:val="DefaultParagraphFont"/>
    <w:uiPriority w:val="33"/>
    <w:qFormat/>
  </w:style>
  <w:style w:type="character" w:styleId="IntenseReference">
    <w:name w:val="Intense Reference"/>
    <w:basedOn w:val="DefaultParagraphFont"/>
    <w:uiPriority w:val="32"/>
    <w:qFormat/>
    <w:rPr>
      <w:b/>
      <w:bCs/>
      <w:smallCaps/>
      <w:color w:val="C0504D" w:themeColor="accent2"/>
      <w:spacing w:val="5"/>
      <w:u w:val="single"/>
    </w:rPr>
  </w:style>
  <w:style w:type="character" w:styleId="IntenseEmphasis">
    <w:name w:val="Intense Emphasis"/>
    <w:basedOn w:val="DefaultParagraphFont"/>
    <w:uiPriority w:val="21"/>
    <w:qFormat/>
    <w:rPr>
      <w:b/>
      <w:bCs/>
      <w:i/>
      <w:iCs/>
      <w:color w:val="4F81BD" w:themeColor="accen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rFonts w:ascii="Times New Roman" w:hAnsi="Times New Roman"/>
      <w:b/>
      <w:bCs/>
      <w:i/>
      <w:iCs/>
      <w:color w:val="4F81BD" w:themeColor="accent1"/>
      <w:sz w:val="22"/>
      <w:szCs w:val="22"/>
      <w:lang w:eastAsia="en-US"/>
    </w:rPr>
  </w:style>
  <w:style w:type="character" w:styleId="LineNumber">
    <w:name w:val="line number"/>
    <w:basedOn w:val="DefaultParagraphFont"/>
    <w:uiPriority w:val="99"/>
    <w:semiHidden/>
    <w:unhideWhenUsed/>
  </w:style>
  <w:style w:type="paragraph" w:customStyle="1" w:styleId="Declassification">
    <w:name w:val="Declassification"/>
    <w:basedOn w:val="Normal"/>
    <w:next w:val="Normal"/>
    <w:pPr>
      <w:spacing w:after="0"/>
    </w:pPr>
    <w:rPr>
      <w:rFonts w:eastAsiaTheme="minorHAnsi"/>
      <w:sz w:val="24"/>
    </w:rPr>
  </w:style>
  <w:style w:type="paragraph" w:customStyle="1" w:styleId="HeaderLandscape">
    <w:name w:val="HeaderLandscape"/>
    <w:basedOn w:val="Normal"/>
    <w:pPr>
      <w:tabs>
        <w:tab w:val="center" w:pos="7285"/>
        <w:tab w:val="right" w:pos="14003"/>
      </w:tabs>
    </w:pPr>
    <w:rPr>
      <w:rFonts w:eastAsiaTheme="minorHAnsi"/>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table" w:customStyle="1" w:styleId="Table1">
    <w:name w:val="Table 1"/>
    <w:basedOn w:val="TableNormal"/>
    <w:uiPriority w:val="99"/>
    <w:pPr>
      <w:jc w:val="center"/>
    </w:pPr>
    <w:rPr>
      <w:rFonts w:ascii="Trebuchet MS" w:hAnsi="Trebuchet MS"/>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foonote">
    <w:name w:val="foonote"/>
    <w:basedOn w:val="FootnoteText"/>
    <w:link w:val="foonoteChar"/>
    <w:qFormat/>
    <w:pPr>
      <w:ind w:left="567"/>
      <w:jc w:val="left"/>
    </w:pPr>
    <w:rPr>
      <w:rFonts w:ascii="Arial" w:eastAsiaTheme="minorHAnsi" w:hAnsi="Arial" w:cs="Arial"/>
      <w:color w:val="auto"/>
      <w:sz w:val="16"/>
      <w:szCs w:val="16"/>
      <w:lang w:eastAsia="en-US"/>
    </w:rPr>
  </w:style>
  <w:style w:type="character" w:customStyle="1" w:styleId="foonoteChar">
    <w:name w:val="foonote Char"/>
    <w:basedOn w:val="DefaultParagraphFont"/>
    <w:link w:val="foonote"/>
    <w:rPr>
      <w:rFonts w:ascii="Arial" w:eastAsiaTheme="minorHAnsi" w:hAnsi="Arial" w:cs="Arial"/>
      <w:sz w:val="16"/>
      <w:szCs w:val="16"/>
      <w:lang w:eastAsia="en-US"/>
    </w:rPr>
  </w:style>
  <w:style w:type="character" w:customStyle="1" w:styleId="AAAAAtextChar">
    <w:name w:val="AAAAAtext Char"/>
    <w:basedOn w:val="DefaultParagraphFont"/>
    <w:link w:val="AAAAAtext"/>
    <w:locked/>
    <w:rPr>
      <w:szCs w:val="24"/>
    </w:rPr>
  </w:style>
  <w:style w:type="paragraph" w:customStyle="1" w:styleId="AAAAAtext">
    <w:name w:val="AAAAAtext"/>
    <w:basedOn w:val="Normal"/>
    <w:link w:val="AAAAAtextChar"/>
    <w:qFormat/>
    <w:pPr>
      <w:spacing w:before="60" w:after="60" w:line="320" w:lineRule="atLeast"/>
    </w:pPr>
    <w:rPr>
      <w:rFonts w:ascii="Calibri" w:hAnsi="Calibri"/>
      <w:sz w:val="20"/>
      <w:szCs w:val="24"/>
      <w:lang w:eastAsia="en-GB"/>
    </w:rPr>
  </w:style>
  <w:style w:type="character" w:styleId="Strong">
    <w:name w:val="Strong"/>
    <w:basedOn w:val="DefaultParagraphFont"/>
    <w:uiPriority w:val="22"/>
    <w:qFormat/>
    <w:rPr>
      <w:b/>
      <w:bCs/>
    </w:rPr>
  </w:style>
  <w:style w:type="paragraph" w:customStyle="1" w:styleId="CM1">
    <w:name w:val="CM1"/>
    <w:basedOn w:val="Default"/>
    <w:next w:val="Default"/>
    <w:uiPriority w:val="99"/>
    <w:rPr>
      <w:rFonts w:ascii="EUAlbertina" w:eastAsiaTheme="minorHAnsi" w:hAnsi="EUAlbertina" w:cstheme="minorBidi"/>
      <w:color w:val="auto"/>
      <w:lang w:eastAsia="en-US"/>
    </w:rPr>
  </w:style>
  <w:style w:type="paragraph" w:customStyle="1" w:styleId="CM3">
    <w:name w:val="CM3"/>
    <w:basedOn w:val="Default"/>
    <w:next w:val="Default"/>
    <w:uiPriority w:val="99"/>
    <w:rPr>
      <w:rFonts w:ascii="EUAlbertina" w:eastAsiaTheme="minorHAnsi" w:hAnsi="EUAlbertina" w:cstheme="minorBidi"/>
      <w:color w:val="auto"/>
      <w:lang w:eastAsia="en-US"/>
    </w:rPr>
  </w:style>
  <w:style w:type="table" w:styleId="MediumGrid3-Accent1">
    <w:name w:val="Medium Grid 3 Accent 1"/>
    <w:basedOn w:val="TableNormal"/>
    <w:uiPriority w:val="69"/>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ext2">
    <w:name w:val="Text 2"/>
    <w:basedOn w:val="Normal"/>
    <w:pPr>
      <w:tabs>
        <w:tab w:val="left" w:pos="2160"/>
      </w:tabs>
      <w:spacing w:after="240"/>
      <w:ind w:left="1077"/>
    </w:pPr>
    <w:rPr>
      <w:rFonts w:eastAsia="Times New Roman"/>
      <w:sz w:val="24"/>
      <w:szCs w:val="20"/>
    </w:rPr>
  </w:style>
  <w:style w:type="paragraph" w:customStyle="1" w:styleId="Text1">
    <w:name w:val="Text 1"/>
    <w:basedOn w:val="Normal"/>
    <w:pPr>
      <w:spacing w:after="240"/>
      <w:ind w:left="482"/>
    </w:pPr>
    <w:rPr>
      <w:rFonts w:eastAsia="Times New Roman"/>
      <w:sz w:val="24"/>
      <w:szCs w:val="20"/>
    </w:rPr>
  </w:style>
  <w:style w:type="character" w:customStyle="1" w:styleId="rightside">
    <w:name w:val="right_side"/>
    <w:basedOn w:val="DefaultParagraphFont"/>
  </w:style>
  <w:style w:type="paragraph" w:customStyle="1" w:styleId="Sources">
    <w:name w:val="Sources"/>
    <w:basedOn w:val="Normal"/>
    <w:qFormat/>
    <w:rPr>
      <w:sz w:val="20"/>
    </w:rPr>
  </w:style>
  <w:style w:type="table" w:customStyle="1" w:styleId="Table17">
    <w:name w:val="Table 17"/>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paragraph" w:customStyle="1" w:styleId="Standard">
    <w:name w:val="Standard"/>
    <w:pPr>
      <w:suppressAutoHyphens/>
      <w:autoSpaceDN w:val="0"/>
      <w:textAlignment w:val="baseline"/>
    </w:pPr>
    <w:rPr>
      <w:rFonts w:ascii="Liberation Serif" w:eastAsia="SimSun" w:hAnsi="Liberation Serif" w:cs="Mangal"/>
      <w:kern w:val="3"/>
      <w:sz w:val="24"/>
      <w:szCs w:val="24"/>
      <w:lang w:val="fr-FR" w:eastAsia="zh-CN" w:bidi="hi-IN"/>
    </w:rPr>
  </w:style>
  <w:style w:type="paragraph" w:customStyle="1" w:styleId="NoteLevel1">
    <w:name w:val="Note Level 1"/>
    <w:basedOn w:val="Normal"/>
    <w:semiHidden/>
    <w:pPr>
      <w:keepNext/>
      <w:tabs>
        <w:tab w:val="num" w:pos="0"/>
      </w:tabs>
      <w:spacing w:after="0"/>
      <w:ind w:left="567"/>
      <w:contextualSpacing/>
      <w:jc w:val="left"/>
      <w:outlineLvl w:val="0"/>
    </w:pPr>
    <w:rPr>
      <w:rFonts w:ascii="Verdana" w:eastAsia="Times New Roman" w:hAnsi="Verdana"/>
      <w:sz w:val="18"/>
      <w:szCs w:val="18"/>
    </w:rPr>
  </w:style>
  <w:style w:type="paragraph" w:customStyle="1" w:styleId="NoteLevel2">
    <w:name w:val="Note Level 2"/>
    <w:basedOn w:val="Normal"/>
    <w:semiHidden/>
    <w:pPr>
      <w:keepNext/>
      <w:tabs>
        <w:tab w:val="num" w:pos="720"/>
      </w:tabs>
      <w:spacing w:after="0"/>
      <w:ind w:left="1080" w:hanging="360"/>
      <w:contextualSpacing/>
      <w:jc w:val="left"/>
      <w:outlineLvl w:val="1"/>
    </w:pPr>
    <w:rPr>
      <w:rFonts w:ascii="Verdana" w:eastAsia="Times New Roman" w:hAnsi="Verdana"/>
      <w:sz w:val="18"/>
      <w:szCs w:val="18"/>
    </w:rPr>
  </w:style>
  <w:style w:type="paragraph" w:customStyle="1" w:styleId="NoteLevel3">
    <w:name w:val="Note Level 3"/>
    <w:basedOn w:val="Normal"/>
    <w:semiHidden/>
    <w:pPr>
      <w:keepNext/>
      <w:tabs>
        <w:tab w:val="num" w:pos="1440"/>
      </w:tabs>
      <w:spacing w:after="0"/>
      <w:ind w:left="1800" w:hanging="360"/>
      <w:contextualSpacing/>
      <w:jc w:val="left"/>
      <w:outlineLvl w:val="2"/>
    </w:pPr>
    <w:rPr>
      <w:rFonts w:ascii="Verdana" w:eastAsia="Times New Roman" w:hAnsi="Verdana"/>
      <w:sz w:val="18"/>
      <w:szCs w:val="18"/>
    </w:rPr>
  </w:style>
  <w:style w:type="paragraph" w:customStyle="1" w:styleId="NoteLevel4">
    <w:name w:val="Note Level 4"/>
    <w:basedOn w:val="Normal"/>
    <w:semiHidden/>
    <w:pPr>
      <w:keepNext/>
      <w:tabs>
        <w:tab w:val="num" w:pos="2160"/>
      </w:tabs>
      <w:spacing w:after="0"/>
      <w:ind w:left="2520" w:hanging="360"/>
      <w:contextualSpacing/>
      <w:jc w:val="left"/>
      <w:outlineLvl w:val="3"/>
    </w:pPr>
    <w:rPr>
      <w:rFonts w:ascii="Verdana" w:eastAsia="Times New Roman" w:hAnsi="Verdana"/>
      <w:sz w:val="18"/>
      <w:szCs w:val="18"/>
    </w:rPr>
  </w:style>
  <w:style w:type="paragraph" w:customStyle="1" w:styleId="NoteLevel5">
    <w:name w:val="Note Level 5"/>
    <w:basedOn w:val="Normal"/>
    <w:semiHidden/>
    <w:pPr>
      <w:keepNext/>
      <w:tabs>
        <w:tab w:val="num" w:pos="2880"/>
      </w:tabs>
      <w:spacing w:after="0"/>
      <w:ind w:left="3240" w:hanging="360"/>
      <w:contextualSpacing/>
      <w:jc w:val="left"/>
      <w:outlineLvl w:val="4"/>
    </w:pPr>
    <w:rPr>
      <w:rFonts w:ascii="Verdana" w:eastAsia="Times New Roman" w:hAnsi="Verdana"/>
      <w:sz w:val="18"/>
      <w:szCs w:val="18"/>
    </w:rPr>
  </w:style>
  <w:style w:type="paragraph" w:customStyle="1" w:styleId="NoteLevel6">
    <w:name w:val="Note Level 6"/>
    <w:basedOn w:val="Normal"/>
    <w:semiHidden/>
    <w:pPr>
      <w:keepNext/>
      <w:tabs>
        <w:tab w:val="num" w:pos="3600"/>
      </w:tabs>
      <w:spacing w:after="0"/>
      <w:ind w:left="3960" w:hanging="360"/>
      <w:contextualSpacing/>
      <w:jc w:val="left"/>
      <w:outlineLvl w:val="5"/>
    </w:pPr>
    <w:rPr>
      <w:rFonts w:ascii="Verdana" w:eastAsia="Times New Roman" w:hAnsi="Verdana"/>
      <w:sz w:val="18"/>
      <w:szCs w:val="18"/>
    </w:rPr>
  </w:style>
  <w:style w:type="paragraph" w:customStyle="1" w:styleId="NoteLevel7">
    <w:name w:val="Note Level 7"/>
    <w:basedOn w:val="Normal"/>
    <w:semiHidden/>
    <w:pPr>
      <w:keepNext/>
      <w:tabs>
        <w:tab w:val="num" w:pos="4320"/>
      </w:tabs>
      <w:spacing w:after="0"/>
      <w:ind w:left="4680" w:hanging="360"/>
      <w:contextualSpacing/>
      <w:jc w:val="left"/>
      <w:outlineLvl w:val="6"/>
    </w:pPr>
    <w:rPr>
      <w:rFonts w:ascii="Verdana" w:eastAsia="Times New Roman" w:hAnsi="Verdana"/>
      <w:sz w:val="18"/>
      <w:szCs w:val="18"/>
    </w:rPr>
  </w:style>
  <w:style w:type="paragraph" w:customStyle="1" w:styleId="NoteLevel8">
    <w:name w:val="Note Level 8"/>
    <w:basedOn w:val="Normal"/>
    <w:semiHidden/>
    <w:pPr>
      <w:keepNext/>
      <w:tabs>
        <w:tab w:val="num" w:pos="5040"/>
      </w:tabs>
      <w:spacing w:after="0"/>
      <w:ind w:left="5400" w:hanging="360"/>
      <w:contextualSpacing/>
      <w:jc w:val="left"/>
      <w:outlineLvl w:val="7"/>
    </w:pPr>
    <w:rPr>
      <w:rFonts w:ascii="Verdana" w:eastAsia="Times New Roman" w:hAnsi="Verdana"/>
      <w:sz w:val="18"/>
      <w:szCs w:val="18"/>
    </w:rPr>
  </w:style>
  <w:style w:type="paragraph" w:customStyle="1" w:styleId="NoteLevel9">
    <w:name w:val="Note Level 9"/>
    <w:basedOn w:val="Normal"/>
    <w:semiHidden/>
    <w:pPr>
      <w:keepNext/>
      <w:tabs>
        <w:tab w:val="num" w:pos="5760"/>
      </w:tabs>
      <w:spacing w:after="0"/>
      <w:ind w:left="6120" w:hanging="360"/>
      <w:contextualSpacing/>
      <w:jc w:val="left"/>
      <w:outlineLvl w:val="8"/>
    </w:pPr>
    <w:rPr>
      <w:rFonts w:ascii="Verdana" w:eastAsia="Times New Roman" w:hAnsi="Verdana"/>
      <w:sz w:val="18"/>
      <w:szCs w:val="18"/>
    </w:rPr>
  </w:style>
  <w:style w:type="paragraph" w:styleId="NoSpacing">
    <w:name w:val="No Spacing"/>
    <w:link w:val="NoSpacingChar"/>
    <w:uiPriority w:val="1"/>
    <w:unhideWhenUsed/>
    <w:qFormat/>
    <w:rPr>
      <w:rFonts w:ascii="Trebuchet MS" w:eastAsiaTheme="minorHAnsi" w:hAnsi="Trebuchet MS" w:cstheme="minorBidi"/>
      <w:sz w:val="18"/>
      <w:szCs w:val="22"/>
      <w:lang w:eastAsia="en-US"/>
    </w:rPr>
  </w:style>
  <w:style w:type="numbering" w:customStyle="1" w:styleId="Style1">
    <w:name w:val="Style1"/>
    <w:uiPriority w:val="99"/>
    <w:pPr>
      <w:numPr>
        <w:numId w:val="17"/>
      </w:numPr>
    </w:pPr>
  </w:style>
  <w:style w:type="numbering" w:customStyle="1" w:styleId="Style2">
    <w:name w:val="Style2"/>
    <w:uiPriority w:val="99"/>
    <w:pPr>
      <w:numPr>
        <w:numId w:val="18"/>
      </w:numPr>
    </w:pPr>
  </w:style>
  <w:style w:type="paragraph" w:customStyle="1" w:styleId="broodtekst">
    <w:name w:val="broodtekst"/>
    <w:basedOn w:val="Normal"/>
    <w:link w:val="broodtekstChar"/>
    <w:uiPriority w:val="99"/>
    <w:pPr>
      <w:keepNext/>
      <w:spacing w:after="0"/>
      <w:ind w:left="360" w:hanging="360"/>
      <w:contextualSpacing/>
      <w:jc w:val="left"/>
      <w:outlineLvl w:val="0"/>
    </w:pPr>
    <w:rPr>
      <w:rFonts w:ascii="Trebuchet MS" w:eastAsia="Times New Roman" w:hAnsi="Trebuchet MS"/>
      <w:sz w:val="18"/>
      <w:szCs w:val="18"/>
    </w:rPr>
  </w:style>
  <w:style w:type="character" w:customStyle="1" w:styleId="broodtekstChar">
    <w:name w:val="broodtekst Char"/>
    <w:link w:val="broodtekst"/>
    <w:uiPriority w:val="99"/>
    <w:rPr>
      <w:rFonts w:ascii="Trebuchet MS" w:eastAsia="Times New Roman" w:hAnsi="Trebuchet MS"/>
      <w:sz w:val="18"/>
      <w:szCs w:val="18"/>
      <w:lang w:eastAsia="en-US"/>
    </w:rPr>
  </w:style>
  <w:style w:type="table" w:customStyle="1" w:styleId="table-style-blauw-040-none">
    <w:name w:val="table-style-blauw-040-none"/>
    <w:basedOn w:val="TableNormal"/>
    <w:uiPriority w:val="99"/>
    <w:pPr>
      <w:spacing w:line="280" w:lineRule="atLeast"/>
    </w:pPr>
    <w:rPr>
      <w:rFonts w:ascii="Arial" w:eastAsia="Times New Roman" w:hAnsi="Arial"/>
      <w:color w:val="000000"/>
      <w:sz w:val="16"/>
      <w:szCs w:val="18"/>
      <w:lang w:eastAsia="en-US"/>
    </w:rPr>
    <w:tblPr>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style>
  <w:style w:type="table" w:customStyle="1" w:styleId="table-style-blauw-040-none1">
    <w:name w:val="table-style-blauw-040-none1"/>
    <w:basedOn w:val="TableNormal"/>
    <w:uiPriority w:val="99"/>
    <w:pPr>
      <w:spacing w:line="280" w:lineRule="atLeast"/>
    </w:pPr>
    <w:rPr>
      <w:rFonts w:ascii="Arial" w:eastAsia="Times New Roman" w:hAnsi="Arial"/>
      <w:color w:val="000000"/>
      <w:sz w:val="16"/>
      <w:szCs w:val="18"/>
      <w:lang w:eastAsia="en-US"/>
    </w:rPr>
    <w:tblPr>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style>
  <w:style w:type="paragraph" w:customStyle="1" w:styleId="Tabeltekst">
    <w:name w:val="Tabeltekst"/>
    <w:basedOn w:val="Normal"/>
    <w:pPr>
      <w:spacing w:after="0"/>
      <w:jc w:val="left"/>
    </w:pPr>
    <w:rPr>
      <w:rFonts w:ascii="Arial" w:eastAsia="Times New Roman" w:hAnsi="Arial"/>
      <w:sz w:val="18"/>
      <w:szCs w:val="20"/>
    </w:rPr>
  </w:style>
  <w:style w:type="paragraph" w:customStyle="1" w:styleId="table-text">
    <w:name w:val="table-text"/>
    <w:basedOn w:val="broodtekst"/>
    <w:uiPriority w:val="99"/>
    <w:pPr>
      <w:keepNext w:val="0"/>
      <w:spacing w:line="280" w:lineRule="atLeast"/>
      <w:ind w:left="0" w:firstLine="0"/>
      <w:contextualSpacing w:val="0"/>
      <w:outlineLvl w:val="9"/>
    </w:pPr>
    <w:rPr>
      <w:rFonts w:ascii="Arial" w:hAnsi="Arial"/>
      <w:sz w:val="16"/>
      <w:szCs w:val="24"/>
      <w:lang w:val="nl-NL" w:eastAsia="nl-NL"/>
    </w:rPr>
  </w:style>
  <w:style w:type="paragraph" w:customStyle="1" w:styleId="tabelkop">
    <w:name w:val="tabelkop"/>
    <w:basedOn w:val="Normal"/>
    <w:pPr>
      <w:keepNext/>
      <w:keepLines/>
      <w:spacing w:after="0" w:line="280" w:lineRule="atLeast"/>
      <w:jc w:val="left"/>
    </w:pPr>
    <w:rPr>
      <w:rFonts w:ascii="Arial" w:eastAsia="Times New Roman" w:hAnsi="Arial"/>
      <w:b/>
      <w:color w:val="FFFFFF"/>
      <w:sz w:val="16"/>
      <w:szCs w:val="24"/>
      <w:lang w:val="nl-NL" w:eastAsia="nl-NL"/>
    </w:rPr>
  </w:style>
  <w:style w:type="table" w:customStyle="1" w:styleId="Table12">
    <w:name w:val="Table 12"/>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LightList-Accent212">
    <w:name w:val="Light List - Accent 212"/>
    <w:basedOn w:val="TableNormal"/>
    <w:next w:val="LightList-Accent2"/>
    <w:uiPriority w:val="61"/>
    <w:rPr>
      <w:rFonts w:asciiTheme="minorHAnsi" w:eastAsiaTheme="minorHAnsi" w:hAnsiTheme="minorHAnsi" w:cstheme="minorBidi"/>
      <w:sz w:val="22"/>
      <w:szCs w:val="22"/>
      <w:lang w:eastAsia="en-US"/>
    </w:rPr>
    <w:tblPr>
      <w:tblStyleRowBandSize w:val="1"/>
      <w:tblStyleColBandSize w:val="1"/>
      <w:tblBorders>
        <w:top w:val="single" w:sz="8" w:space="0" w:color="F04E30"/>
        <w:left w:val="single" w:sz="8" w:space="0" w:color="F04E30"/>
        <w:bottom w:val="single" w:sz="8" w:space="0" w:color="F04E30"/>
        <w:right w:val="single" w:sz="8" w:space="0" w:color="F04E30"/>
      </w:tblBorders>
    </w:tblPr>
    <w:tblStylePr w:type="firstRow">
      <w:pPr>
        <w:spacing w:before="0" w:after="0" w:line="240" w:lineRule="auto"/>
      </w:pPr>
      <w:rPr>
        <w:b/>
        <w:bCs/>
        <w:color w:val="FFFFFF"/>
      </w:rPr>
      <w:tblPr/>
      <w:tcPr>
        <w:shd w:val="clear" w:color="auto" w:fill="F04E30"/>
      </w:tcPr>
    </w:tblStylePr>
    <w:tblStylePr w:type="lastRow">
      <w:pPr>
        <w:spacing w:before="0" w:after="0" w:line="240" w:lineRule="auto"/>
      </w:pPr>
      <w:rPr>
        <w:b/>
        <w:bCs/>
      </w:rPr>
      <w:tblPr/>
      <w:tcPr>
        <w:tcBorders>
          <w:top w:val="double" w:sz="6" w:space="0" w:color="F04E30"/>
          <w:left w:val="single" w:sz="8" w:space="0" w:color="F04E30"/>
          <w:bottom w:val="single" w:sz="8" w:space="0" w:color="F04E30"/>
          <w:right w:val="single" w:sz="8" w:space="0" w:color="F04E30"/>
        </w:tcBorders>
      </w:tcPr>
    </w:tblStylePr>
    <w:tblStylePr w:type="firstCol">
      <w:rPr>
        <w:b/>
        <w:bCs/>
      </w:rPr>
    </w:tblStylePr>
    <w:tblStylePr w:type="lastCol">
      <w:rPr>
        <w:b/>
        <w:bCs/>
      </w:rPr>
    </w:tblStylePr>
    <w:tblStylePr w:type="band1Vert">
      <w:tblPr/>
      <w:tcPr>
        <w:tcBorders>
          <w:top w:val="single" w:sz="8" w:space="0" w:color="F04E30"/>
          <w:left w:val="single" w:sz="8" w:space="0" w:color="F04E30"/>
          <w:bottom w:val="single" w:sz="8" w:space="0" w:color="F04E30"/>
          <w:right w:val="single" w:sz="8" w:space="0" w:color="F04E30"/>
        </w:tcBorders>
      </w:tcPr>
    </w:tblStylePr>
    <w:tblStylePr w:type="band1Horz">
      <w:tblPr/>
      <w:tcPr>
        <w:tcBorders>
          <w:top w:val="single" w:sz="8" w:space="0" w:color="F04E30"/>
          <w:left w:val="single" w:sz="8" w:space="0" w:color="F04E30"/>
          <w:bottom w:val="single" w:sz="8" w:space="0" w:color="F04E30"/>
          <w:right w:val="single" w:sz="8" w:space="0" w:color="F04E30"/>
        </w:tcBorders>
      </w:tcPr>
    </w:tblStylePr>
  </w:style>
  <w:style w:type="table" w:styleId="LightList-Accent2">
    <w:name w:val="Light List Accent 2"/>
    <w:basedOn w:val="TableNormal"/>
    <w:uiPriority w:val="61"/>
    <w:unhideWhenUsed/>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2111">
    <w:name w:val="Light List - Accent 2111"/>
    <w:basedOn w:val="TableNormal"/>
    <w:next w:val="LightList-Accent2"/>
    <w:uiPriority w:val="61"/>
    <w:rPr>
      <w:rFonts w:asciiTheme="minorHAnsi" w:eastAsiaTheme="minorHAnsi" w:hAnsiTheme="minorHAnsi" w:cstheme="minorBidi"/>
      <w:sz w:val="22"/>
      <w:szCs w:val="22"/>
      <w:lang w:eastAsia="en-US"/>
    </w:rPr>
    <w:tblPr>
      <w:tblStyleRowBandSize w:val="1"/>
      <w:tblStyleColBandSize w:val="1"/>
      <w:tblBorders>
        <w:top w:val="single" w:sz="8" w:space="0" w:color="F04E30"/>
        <w:left w:val="single" w:sz="8" w:space="0" w:color="F04E30"/>
        <w:bottom w:val="single" w:sz="8" w:space="0" w:color="F04E30"/>
        <w:right w:val="single" w:sz="8" w:space="0" w:color="F04E30"/>
      </w:tblBorders>
    </w:tblPr>
    <w:tblStylePr w:type="firstRow">
      <w:pPr>
        <w:spacing w:before="0" w:after="0" w:line="240" w:lineRule="auto"/>
      </w:pPr>
      <w:rPr>
        <w:b/>
        <w:bCs/>
        <w:color w:val="FFFFFF"/>
      </w:rPr>
      <w:tblPr/>
      <w:tcPr>
        <w:shd w:val="clear" w:color="auto" w:fill="F04E30"/>
      </w:tcPr>
    </w:tblStylePr>
    <w:tblStylePr w:type="lastRow">
      <w:pPr>
        <w:spacing w:before="0" w:after="0" w:line="240" w:lineRule="auto"/>
      </w:pPr>
      <w:rPr>
        <w:b/>
        <w:bCs/>
      </w:rPr>
      <w:tblPr/>
      <w:tcPr>
        <w:tcBorders>
          <w:top w:val="double" w:sz="6" w:space="0" w:color="F04E30"/>
          <w:left w:val="single" w:sz="8" w:space="0" w:color="F04E30"/>
          <w:bottom w:val="single" w:sz="8" w:space="0" w:color="F04E30"/>
          <w:right w:val="single" w:sz="8" w:space="0" w:color="F04E30"/>
        </w:tcBorders>
      </w:tcPr>
    </w:tblStylePr>
    <w:tblStylePr w:type="firstCol">
      <w:rPr>
        <w:b/>
        <w:bCs/>
      </w:rPr>
    </w:tblStylePr>
    <w:tblStylePr w:type="lastCol">
      <w:rPr>
        <w:b/>
        <w:bCs/>
      </w:rPr>
    </w:tblStylePr>
    <w:tblStylePr w:type="band1Vert">
      <w:tblPr/>
      <w:tcPr>
        <w:tcBorders>
          <w:top w:val="single" w:sz="8" w:space="0" w:color="F04E30"/>
          <w:left w:val="single" w:sz="8" w:space="0" w:color="F04E30"/>
          <w:bottom w:val="single" w:sz="8" w:space="0" w:color="F04E30"/>
          <w:right w:val="single" w:sz="8" w:space="0" w:color="F04E30"/>
        </w:tcBorders>
      </w:tcPr>
    </w:tblStylePr>
    <w:tblStylePr w:type="band1Horz">
      <w:tblPr/>
      <w:tcPr>
        <w:tcBorders>
          <w:top w:val="single" w:sz="8" w:space="0" w:color="F04E30"/>
          <w:left w:val="single" w:sz="8" w:space="0" w:color="F04E30"/>
          <w:bottom w:val="single" w:sz="8" w:space="0" w:color="F04E30"/>
          <w:right w:val="single" w:sz="8" w:space="0" w:color="F04E30"/>
        </w:tcBorders>
      </w:tcPr>
    </w:tblStylePr>
  </w:style>
  <w:style w:type="table" w:customStyle="1" w:styleId="Table111">
    <w:name w:val="Table 1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Pa20">
    <w:name w:val="Pa20"/>
    <w:basedOn w:val="Default"/>
    <w:next w:val="Default"/>
    <w:uiPriority w:val="99"/>
    <w:pPr>
      <w:spacing w:line="171" w:lineRule="atLeast"/>
    </w:pPr>
    <w:rPr>
      <w:rFonts w:ascii="EC Square Sans Pro" w:eastAsiaTheme="minorHAnsi" w:hAnsi="EC Square Sans Pro" w:cstheme="minorBidi"/>
      <w:color w:val="auto"/>
      <w:lang w:eastAsia="en-US"/>
    </w:rPr>
  </w:style>
  <w:style w:type="table" w:customStyle="1" w:styleId="TableGrid1">
    <w:name w:val="Table Grid1"/>
    <w:basedOn w:val="TableNormal"/>
    <w:next w:val="TableGrid"/>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pPr>
      <w:spacing w:after="0"/>
      <w:jc w:val="left"/>
    </w:pPr>
    <w:rPr>
      <w:rFonts w:ascii="Calibri" w:hAnsi="Calibri"/>
      <w:sz w:val="20"/>
      <w:szCs w:val="21"/>
    </w:rPr>
  </w:style>
  <w:style w:type="character" w:customStyle="1" w:styleId="PlainTextChar">
    <w:name w:val="Plain Text Char"/>
    <w:basedOn w:val="DefaultParagraphFont"/>
    <w:link w:val="PlainText"/>
    <w:uiPriority w:val="99"/>
    <w:semiHidden/>
    <w:rPr>
      <w:szCs w:val="21"/>
      <w:lang w:eastAsia="en-US"/>
    </w:rPr>
  </w:style>
  <w:style w:type="character" w:customStyle="1" w:styleId="rStyle">
    <w:name w:val="rStyle"/>
    <w:rPr>
      <w:b/>
      <w:bCs w:val="0"/>
    </w:rPr>
  </w:style>
  <w:style w:type="table" w:customStyle="1" w:styleId="TableGrid2">
    <w:name w:val="Table Grid2"/>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Pr>
      <w:color w:val="0000FF"/>
      <w:u w:val="single"/>
    </w:rPr>
  </w:style>
  <w:style w:type="table" w:customStyle="1" w:styleId="TableGrid3">
    <w:name w:val="Table Grid3"/>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pPr>
      <w:spacing w:before="100" w:beforeAutospacing="1" w:after="100" w:afterAutospacing="1"/>
      <w:jc w:val="left"/>
    </w:pPr>
    <w:rPr>
      <w:rFonts w:eastAsia="Times New Roman"/>
      <w:sz w:val="24"/>
      <w:szCs w:val="24"/>
      <w:lang w:eastAsia="en-GB"/>
    </w:rPr>
  </w:style>
  <w:style w:type="character" w:customStyle="1" w:styleId="normaltextrun">
    <w:name w:val="normaltextrun"/>
    <w:basedOn w:val="DefaultParagraphFont"/>
  </w:style>
  <w:style w:type="character" w:customStyle="1" w:styleId="scx12335173">
    <w:name w:val="scx12335173"/>
    <w:basedOn w:val="DefaultParagraphFont"/>
  </w:style>
  <w:style w:type="character" w:customStyle="1" w:styleId="eop">
    <w:name w:val="eop"/>
    <w:basedOn w:val="DefaultParagraphFont"/>
  </w:style>
  <w:style w:type="character" w:customStyle="1" w:styleId="spellingerror">
    <w:name w:val="spellingerror"/>
    <w:basedOn w:val="DefaultParagraphFont"/>
  </w:style>
  <w:style w:type="table" w:customStyle="1" w:styleId="Table113">
    <w:name w:val="Table 113"/>
    <w:basedOn w:val="TableNormal"/>
    <w:uiPriority w:val="99"/>
    <w:pPr>
      <w:jc w:val="center"/>
    </w:pPr>
    <w:rPr>
      <w:rFonts w:ascii="Trebuchet MS" w:hAnsi="Trebuchet MS"/>
      <w:sz w:val="16"/>
      <w:szCs w:val="22"/>
      <w:lang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Trebuchet MS" w:hAnsi="Trebuchet MS" w:hint="default"/>
        <w:b/>
        <w:color w:val="FFFFFF" w:themeColor="background1"/>
        <w:sz w:val="16"/>
        <w:szCs w:val="16"/>
      </w:rPr>
      <w:tblPr/>
      <w:tcPr>
        <w:shd w:val="clear" w:color="auto" w:fill="005962"/>
      </w:tcPr>
    </w:tblStylePr>
    <w:tblStylePr w:type="firstCol">
      <w:pPr>
        <w:wordWrap/>
        <w:jc w:val="left"/>
        <w:outlineLvl w:val="9"/>
      </w:pPr>
    </w:tblStylePr>
  </w:style>
  <w:style w:type="paragraph" w:customStyle="1" w:styleId="ECVSectionBullet">
    <w:name w:val="_ECV_SectionBullet"/>
    <w:basedOn w:val="Normal"/>
    <w:pPr>
      <w:suppressLineNumbers/>
      <w:autoSpaceDE w:val="0"/>
      <w:spacing w:after="0" w:line="100" w:lineRule="atLeast"/>
      <w:jc w:val="left"/>
    </w:pPr>
    <w:rPr>
      <w:rFonts w:ascii="Arial" w:eastAsia="SimSun" w:hAnsi="Arial" w:cs="Mangal"/>
      <w:color w:val="3F3A38"/>
      <w:spacing w:val="-6"/>
      <w:kern w:val="2"/>
      <w:sz w:val="18"/>
      <w:szCs w:val="24"/>
      <w:lang w:eastAsia="zh-CN" w:bidi="hi-IN"/>
    </w:rPr>
  </w:style>
  <w:style w:type="table" w:customStyle="1" w:styleId="Table11">
    <w:name w:val="Table 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Table1111">
    <w:name w:val="Table 11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table" w:customStyle="1" w:styleId="Table13">
    <w:name w:val="Table 13"/>
    <w:basedOn w:val="TableNormal"/>
    <w:uiPriority w:val="99"/>
    <w:pPr>
      <w:jc w:val="center"/>
    </w:pPr>
    <w:rPr>
      <w:rFonts w:ascii="Trebuchet MS" w:eastAsiaTheme="minorHAnsi" w:hAnsi="Trebuchet MS" w:cstheme="minorBidi"/>
      <w:sz w:val="16"/>
      <w:szCs w:val="22"/>
      <w:lang w:val="nl-NL"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Trebuchet MS" w:hAnsi="Trebuchet MS" w:hint="default"/>
        <w:b/>
        <w:color w:val="FFFFFF" w:themeColor="background1"/>
        <w:sz w:val="16"/>
        <w:szCs w:val="16"/>
      </w:rPr>
      <w:tblPr/>
      <w:tcPr>
        <w:shd w:val="clear" w:color="auto" w:fill="005962"/>
      </w:tcPr>
    </w:tblStylePr>
    <w:tblStylePr w:type="firstCol">
      <w:pPr>
        <w:wordWrap/>
        <w:jc w:val="left"/>
        <w:outlineLvl w:val="9"/>
      </w:pPr>
    </w:tblStylePr>
  </w:style>
  <w:style w:type="table" w:customStyle="1" w:styleId="Table15">
    <w:name w:val="Table 15"/>
    <w:basedOn w:val="TableNormal"/>
    <w:uiPriority w:val="99"/>
    <w:pPr>
      <w:jc w:val="center"/>
    </w:pPr>
    <w:rPr>
      <w:rFonts w:ascii="Trebuchet MS" w:eastAsiaTheme="minorHAnsi" w:hAnsi="Trebuchet MS" w:cstheme="minorBidi"/>
      <w:sz w:val="16"/>
      <w:szCs w:val="22"/>
      <w:lang w:val="nl-NL"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EC Square Sans Pro" w:hAnsi="EC Square Sans Pro" w:cs="Times New Roman" w:hint="default"/>
        <w:b/>
        <w:color w:val="FFFFFF"/>
        <w:sz w:val="16"/>
        <w:szCs w:val="16"/>
      </w:rPr>
      <w:tblPr/>
      <w:tcPr>
        <w:shd w:val="clear" w:color="auto" w:fill="005962"/>
      </w:tcPr>
    </w:tblStylePr>
    <w:tblStylePr w:type="firstCol">
      <w:pPr>
        <w:wordWrap/>
        <w:jc w:val="left"/>
        <w:outlineLvl w:val="9"/>
      </w:pPr>
    </w:tblStylePr>
  </w:style>
  <w:style w:type="character" w:customStyle="1" w:styleId="Mention1">
    <w:name w:val="Mention1"/>
    <w:basedOn w:val="DefaultParagraphFont"/>
    <w:uiPriority w:val="99"/>
    <w:semiHidden/>
    <w:unhideWhenUsed/>
    <w:rPr>
      <w:color w:val="2B579A"/>
      <w:shd w:val="clear" w:color="auto" w:fill="E6E6E6"/>
    </w:rPr>
  </w:style>
  <w:style w:type="character" w:customStyle="1" w:styleId="UnresolvedMention1">
    <w:name w:val="Unresolved Mention1"/>
    <w:basedOn w:val="DefaultParagraphFont"/>
    <w:uiPriority w:val="99"/>
    <w:semiHidden/>
    <w:unhideWhenUsed/>
    <w:rPr>
      <w:color w:val="808080"/>
      <w:shd w:val="clear" w:color="auto" w:fill="E6E6E6"/>
    </w:rPr>
  </w:style>
  <w:style w:type="table" w:customStyle="1" w:styleId="TabelEcorys21">
    <w:name w:val="TabelEcorys21"/>
    <w:basedOn w:val="TableNormal"/>
    <w:uiPriority w:val="59"/>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TextChar">
    <w:name w:val="Default Text Char"/>
    <w:basedOn w:val="DefaultParagraphFont"/>
    <w:link w:val="DefaultText"/>
    <w:locked/>
    <w:rPr>
      <w:rFonts w:ascii="Arial" w:eastAsia="Times New Roman" w:hAnsi="Arial"/>
      <w:sz w:val="18"/>
      <w:szCs w:val="24"/>
      <w:lang w:eastAsia="nl-NL"/>
    </w:rPr>
  </w:style>
  <w:style w:type="paragraph" w:customStyle="1" w:styleId="DefaultText">
    <w:name w:val="Default Text"/>
    <w:basedOn w:val="Normal"/>
    <w:link w:val="DefaultTextChar"/>
    <w:qFormat/>
    <w:pPr>
      <w:spacing w:after="0" w:line="280" w:lineRule="atLeast"/>
    </w:pPr>
    <w:rPr>
      <w:rFonts w:ascii="Arial" w:eastAsia="Times New Roman" w:hAnsi="Arial"/>
      <w:sz w:val="18"/>
      <w:szCs w:val="24"/>
      <w:lang w:eastAsia="nl-NL"/>
    </w:rPr>
  </w:style>
  <w:style w:type="character" w:customStyle="1" w:styleId="TableTextChar">
    <w:name w:val="Table Text Char"/>
    <w:basedOn w:val="DefaultParagraphFont"/>
    <w:link w:val="TableText"/>
    <w:locked/>
    <w:rPr>
      <w:rFonts w:ascii="Arial" w:eastAsia="Times New Roman" w:hAnsi="Arial"/>
      <w:sz w:val="16"/>
      <w:szCs w:val="24"/>
    </w:rPr>
  </w:style>
  <w:style w:type="paragraph" w:customStyle="1" w:styleId="TableText">
    <w:name w:val="Table Text"/>
    <w:basedOn w:val="Normal"/>
    <w:link w:val="TableTextChar"/>
    <w:pPr>
      <w:spacing w:after="0" w:line="280" w:lineRule="atLeast"/>
      <w:jc w:val="left"/>
    </w:pPr>
    <w:rPr>
      <w:rFonts w:ascii="Arial" w:eastAsia="Times New Roman" w:hAnsi="Arial"/>
      <w:sz w:val="16"/>
      <w:szCs w:val="24"/>
      <w:lang w:eastAsia="en-GB"/>
    </w:rPr>
  </w:style>
  <w:style w:type="paragraph" w:styleId="ListBullet">
    <w:name w:val="List Bullet"/>
    <w:basedOn w:val="Normal"/>
    <w:uiPriority w:val="99"/>
    <w:unhideWhenUsed/>
    <w:qFormat/>
    <w:pPr>
      <w:spacing w:after="0" w:line="280" w:lineRule="exact"/>
      <w:ind w:left="284" w:hanging="284"/>
      <w:jc w:val="left"/>
    </w:pPr>
    <w:rPr>
      <w:rFonts w:eastAsia="Times New Roman"/>
    </w:rPr>
  </w:style>
  <w:style w:type="paragraph" w:customStyle="1" w:styleId="Tabhead">
    <w:name w:val="Tabhead"/>
    <w:basedOn w:val="Normal"/>
    <w:pPr>
      <w:snapToGrid w:val="0"/>
      <w:spacing w:after="0" w:line="280" w:lineRule="exact"/>
      <w:jc w:val="center"/>
    </w:pPr>
    <w:rPr>
      <w:rFonts w:eastAsia="Times New Roman"/>
      <w:b/>
      <w:bCs/>
      <w:color w:val="000000"/>
      <w:sz w:val="20"/>
      <w:szCs w:val="20"/>
      <w:lang w:val="en-US"/>
    </w:rPr>
  </w:style>
  <w:style w:type="paragraph" w:customStyle="1" w:styleId="Tabl">
    <w:name w:val="Tabl"/>
    <w:basedOn w:val="Normal"/>
    <w:pPr>
      <w:snapToGrid w:val="0"/>
      <w:spacing w:after="0" w:line="280" w:lineRule="exact"/>
      <w:ind w:firstLine="142"/>
      <w:jc w:val="left"/>
    </w:pPr>
    <w:rPr>
      <w:rFonts w:eastAsia="Times New Roman"/>
      <w:color w:val="000000"/>
      <w:sz w:val="18"/>
      <w:szCs w:val="18"/>
      <w:lang w:val="en-US"/>
    </w:rPr>
  </w:style>
  <w:style w:type="paragraph" w:customStyle="1" w:styleId="Tabfoot">
    <w:name w:val="Tabfoot"/>
    <w:basedOn w:val="Normal"/>
    <w:pPr>
      <w:tabs>
        <w:tab w:val="left" w:pos="851"/>
      </w:tabs>
      <w:snapToGrid w:val="0"/>
      <w:spacing w:after="0"/>
      <w:ind w:left="993" w:hanging="851"/>
      <w:jc w:val="left"/>
    </w:pPr>
    <w:rPr>
      <w:rFonts w:eastAsia="Times New Roman"/>
      <w:color w:val="000000"/>
      <w:sz w:val="16"/>
      <w:szCs w:val="16"/>
      <w:lang w:val="en-US"/>
    </w:rPr>
  </w:style>
  <w:style w:type="character" w:customStyle="1" w:styleId="ListBulletlastChar">
    <w:name w:val="List Bullet last Char"/>
    <w:link w:val="ListBulletlast"/>
    <w:locked/>
    <w:rPr>
      <w:rFonts w:ascii="Times New Roman" w:eastAsia="Times New Roman" w:hAnsi="Times New Roman"/>
    </w:rPr>
  </w:style>
  <w:style w:type="paragraph" w:customStyle="1" w:styleId="ListBulletlast">
    <w:name w:val="List Bullet last"/>
    <w:basedOn w:val="ListBullet"/>
    <w:link w:val="ListBulletlastChar"/>
    <w:pPr>
      <w:spacing w:after="120"/>
      <w:ind w:left="283" w:hanging="283"/>
    </w:pPr>
    <w:rPr>
      <w:sz w:val="20"/>
      <w:szCs w:val="20"/>
      <w:lang w:eastAsia="en-GB"/>
    </w:rPr>
  </w:style>
  <w:style w:type="table" w:customStyle="1" w:styleId="Table14">
    <w:name w:val="Table 14"/>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Table16">
    <w:name w:val="Table 16"/>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character" w:customStyle="1" w:styleId="leftside">
    <w:name w:val="left_side"/>
    <w:basedOn w:val="DefaultParagraphFont"/>
  </w:style>
  <w:style w:type="table" w:customStyle="1" w:styleId="ListTable4-Accent51">
    <w:name w:val="List Table 4 - Accent 5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112">
    <w:name w:val="Table 112"/>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msonormal0">
    <w:name w:val="msonormal"/>
    <w:basedOn w:val="Normal"/>
    <w:pPr>
      <w:spacing w:before="100" w:beforeAutospacing="1" w:after="100" w:afterAutospacing="1"/>
      <w:jc w:val="left"/>
    </w:pPr>
    <w:rPr>
      <w:rFonts w:eastAsia="Times New Roman"/>
      <w:sz w:val="24"/>
      <w:szCs w:val="24"/>
      <w:lang w:eastAsia="en-GB"/>
    </w:rPr>
  </w:style>
  <w:style w:type="paragraph" w:customStyle="1" w:styleId="xl112">
    <w:name w:val="xl112"/>
    <w:basedOn w:val="Normal"/>
    <w:pPr>
      <w:spacing w:before="100" w:beforeAutospacing="1" w:after="100" w:afterAutospacing="1"/>
      <w:jc w:val="left"/>
    </w:pPr>
    <w:rPr>
      <w:rFonts w:ascii="Trebuchet MS" w:eastAsia="Times New Roman" w:hAnsi="Trebuchet MS"/>
      <w:color w:val="000000"/>
      <w:lang w:eastAsia="en-GB"/>
    </w:rPr>
  </w:style>
  <w:style w:type="paragraph" w:customStyle="1" w:styleId="xl113">
    <w:name w:val="xl113"/>
    <w:basedOn w:val="Normal"/>
    <w:pPr>
      <w:pBdr>
        <w:top w:val="single" w:sz="12" w:space="0" w:color="auto"/>
        <w:lef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4">
    <w:name w:val="xl114"/>
    <w:basedOn w:val="Normal"/>
    <w:pPr>
      <w:pBdr>
        <w:top w:val="single" w:sz="12" w:space="0" w:color="auto"/>
        <w:left w:val="single" w:sz="12" w:space="0" w:color="auto"/>
        <w:righ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5">
    <w:name w:val="xl115"/>
    <w:basedOn w:val="Normal"/>
    <w:pPr>
      <w:pBdr>
        <w:top w:val="single" w:sz="12"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6">
    <w:name w:val="xl116"/>
    <w:basedOn w:val="Normal"/>
    <w:pPr>
      <w:pBdr>
        <w:top w:val="single" w:sz="12" w:space="0" w:color="auto"/>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7">
    <w:name w:val="xl117"/>
    <w:basedOn w:val="Normal"/>
    <w:pPr>
      <w:pBdr>
        <w:top w:val="single" w:sz="12"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8">
    <w:name w:val="xl118"/>
    <w:basedOn w:val="Normal"/>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9">
    <w:name w:val="xl119"/>
    <w:basedOn w:val="Normal"/>
    <w:pPr>
      <w:pBdr>
        <w:top w:val="single" w:sz="12"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0">
    <w:name w:val="xl120"/>
    <w:basedOn w:val="Normal"/>
    <w:pPr>
      <w:pBdr>
        <w:top w:val="single" w:sz="12"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1">
    <w:name w:val="xl121"/>
    <w:basedOn w:val="Normal"/>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2">
    <w:name w:val="xl122"/>
    <w:basedOn w:val="Normal"/>
    <w:pPr>
      <w:pBdr>
        <w:top w:val="single" w:sz="12"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3">
    <w:name w:val="xl12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4">
    <w:name w:val="xl124"/>
    <w:basedOn w:val="Normal"/>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5">
    <w:name w:val="xl125"/>
    <w:basedOn w:val="Normal"/>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6">
    <w:name w:val="xl1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7">
    <w:name w:val="xl127"/>
    <w:basedOn w:val="Normal"/>
    <w:pPr>
      <w:pBdr>
        <w:left w:val="single" w:sz="12" w:space="0" w:color="auto"/>
        <w:bottom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8">
    <w:name w:val="xl128"/>
    <w:basedOn w:val="Normal"/>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9">
    <w:name w:val="xl129"/>
    <w:basedOn w:val="Normal"/>
    <w:pPr>
      <w:pBdr>
        <w:lef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0">
    <w:name w:val="xl130"/>
    <w:basedOn w:val="Normal"/>
    <w:pPr>
      <w:pBdr>
        <w:top w:val="single" w:sz="4" w:space="0" w:color="auto"/>
        <w:left w:val="single" w:sz="12"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1">
    <w:name w:val="xl131"/>
    <w:basedOn w:val="Normal"/>
    <w:pPr>
      <w:pBdr>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2">
    <w:name w:val="xl132"/>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3">
    <w:name w:val="xl133"/>
    <w:basedOn w:val="Normal"/>
    <w:pPr>
      <w:pBdr>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4">
    <w:name w:val="xl134"/>
    <w:basedOn w:val="Normal"/>
    <w:pPr>
      <w:pBdr>
        <w:top w:val="single" w:sz="4" w:space="0" w:color="auto"/>
        <w:lef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5">
    <w:name w:val="xl135"/>
    <w:basedOn w:val="Normal"/>
    <w:pPr>
      <w:pBdr>
        <w:left w:val="single" w:sz="12"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36">
    <w:name w:val="xl136"/>
    <w:basedOn w:val="Normal"/>
    <w:pPr>
      <w:pBdr>
        <w:left w:val="single" w:sz="12" w:space="0" w:color="auto"/>
        <w:bottom w:val="single" w:sz="4" w:space="0" w:color="auto"/>
      </w:pBdr>
      <w:spacing w:before="100" w:beforeAutospacing="1" w:after="100" w:afterAutospacing="1"/>
      <w:jc w:val="left"/>
    </w:pPr>
    <w:rPr>
      <w:rFonts w:ascii="Trebuchet MS" w:eastAsia="Times New Roman" w:hAnsi="Trebuchet MS"/>
      <w:b/>
      <w:bCs/>
      <w:color w:val="000000"/>
      <w:sz w:val="20"/>
      <w:szCs w:val="20"/>
      <w:lang w:eastAsia="en-GB"/>
    </w:rPr>
  </w:style>
  <w:style w:type="paragraph" w:customStyle="1" w:styleId="xl137">
    <w:name w:val="xl13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38">
    <w:name w:val="xl138"/>
    <w:basedOn w:val="Normal"/>
    <w:pPr>
      <w:pBdr>
        <w:top w:val="single" w:sz="4" w:space="0" w:color="auto"/>
        <w:left w:val="single" w:sz="4" w:space="0" w:color="auto"/>
        <w:bottom w:val="single" w:sz="4" w:space="0" w:color="auto"/>
        <w:right w:val="single" w:sz="4" w:space="0" w:color="auto"/>
      </w:pBdr>
      <w:shd w:val="clear" w:color="000000" w:fill="E36C09"/>
      <w:spacing w:before="100" w:beforeAutospacing="1" w:after="100" w:afterAutospacing="1"/>
      <w:jc w:val="left"/>
    </w:pPr>
    <w:rPr>
      <w:rFonts w:ascii="Trebuchet MS" w:eastAsia="Times New Roman" w:hAnsi="Trebuchet MS"/>
      <w:sz w:val="20"/>
      <w:szCs w:val="20"/>
      <w:lang w:eastAsia="en-GB"/>
    </w:rPr>
  </w:style>
  <w:style w:type="paragraph" w:customStyle="1" w:styleId="xl139">
    <w:name w:val="xl139"/>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ascii="Trebuchet MS" w:eastAsia="Times New Roman" w:hAnsi="Trebuchet MS"/>
      <w:sz w:val="20"/>
      <w:szCs w:val="20"/>
      <w:lang w:eastAsia="en-GB"/>
    </w:rPr>
  </w:style>
  <w:style w:type="paragraph" w:customStyle="1" w:styleId="xl140">
    <w:name w:val="xl14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rebuchet MS" w:eastAsia="Times New Roman" w:hAnsi="Trebuchet MS"/>
      <w:sz w:val="20"/>
      <w:szCs w:val="20"/>
      <w:lang w:eastAsia="en-GB"/>
    </w:rPr>
  </w:style>
  <w:style w:type="paragraph" w:customStyle="1" w:styleId="xl141">
    <w:name w:val="xl14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42">
    <w:name w:val="xl142"/>
    <w:basedOn w:val="Normal"/>
    <w:pPr>
      <w:pBdr>
        <w:top w:val="single" w:sz="4" w:space="0" w:color="auto"/>
        <w:left w:val="single" w:sz="12"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43">
    <w:name w:val="xl143"/>
    <w:basedOn w:val="Normal"/>
    <w:pPr>
      <w:pBdr>
        <w:top w:val="single" w:sz="4" w:space="0" w:color="auto"/>
        <w:left w:val="single" w:sz="12" w:space="0" w:color="auto"/>
        <w:bottom w:val="single" w:sz="4" w:space="0" w:color="auto"/>
      </w:pBdr>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44">
    <w:name w:val="xl144"/>
    <w:basedOn w:val="Normal"/>
    <w:pPr>
      <w:pBdr>
        <w:top w:val="single" w:sz="4" w:space="0" w:color="auto"/>
        <w:left w:val="single" w:sz="12" w:space="0" w:color="auto"/>
        <w:bottom w:val="single" w:sz="4" w:space="0" w:color="auto"/>
      </w:pBdr>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5">
    <w:name w:val="xl14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6">
    <w:name w:val="xl146"/>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7">
    <w:name w:val="xl14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8">
    <w:name w:val="xl148"/>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49">
    <w:name w:val="xl149"/>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rebuchet MS" w:eastAsia="Times New Roman" w:hAnsi="Trebuchet MS"/>
      <w:sz w:val="20"/>
      <w:szCs w:val="20"/>
      <w:lang w:eastAsia="en-GB"/>
    </w:rPr>
  </w:style>
  <w:style w:type="paragraph" w:customStyle="1" w:styleId="xl150">
    <w:name w:val="xl150"/>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51">
    <w:name w:val="xl151"/>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52">
    <w:name w:val="xl152"/>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53">
    <w:name w:val="xl153"/>
    <w:basedOn w:val="Normal"/>
    <w:pPr>
      <w:pBdr>
        <w:top w:val="single" w:sz="4" w:space="0" w:color="auto"/>
        <w:left w:val="single" w:sz="12" w:space="0" w:color="auto"/>
        <w:bottom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4">
    <w:name w:val="xl154"/>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rebuchet MS" w:eastAsia="Times New Roman" w:hAnsi="Trebuchet MS"/>
      <w:color w:val="002C54"/>
      <w:sz w:val="20"/>
      <w:szCs w:val="20"/>
      <w:u w:val="single"/>
      <w:lang w:eastAsia="en-GB"/>
    </w:rPr>
  </w:style>
  <w:style w:type="paragraph" w:customStyle="1" w:styleId="xl155">
    <w:name w:val="xl15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color w:val="002C54"/>
      <w:sz w:val="20"/>
      <w:szCs w:val="20"/>
      <w:u w:val="single"/>
      <w:lang w:eastAsia="en-GB"/>
    </w:rPr>
  </w:style>
  <w:style w:type="paragraph" w:customStyle="1" w:styleId="xl156">
    <w:name w:val="xl15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7">
    <w:name w:val="xl157"/>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8">
    <w:name w:val="xl158"/>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59">
    <w:name w:val="xl159"/>
    <w:basedOn w:val="Normal"/>
    <w:pPr>
      <w:pBdr>
        <w:top w:val="single" w:sz="4"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0">
    <w:name w:val="xl160"/>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1">
    <w:name w:val="xl161"/>
    <w:basedOn w:val="Normal"/>
    <w:pPr>
      <w:pBdr>
        <w:top w:val="single" w:sz="4" w:space="0" w:color="auto"/>
        <w:bottom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62">
    <w:name w:val="xl162"/>
    <w:basedOn w:val="Normal"/>
    <w:pPr>
      <w:pBdr>
        <w:top w:val="single" w:sz="4"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3">
    <w:name w:val="xl163"/>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4">
    <w:name w:val="xl164"/>
    <w:basedOn w:val="Normal"/>
    <w:pPr>
      <w:pBdr>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65">
    <w:name w:val="xl165"/>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6">
    <w:name w:val="xl166"/>
    <w:basedOn w:val="Normal"/>
    <w:pPr>
      <w:pBdr>
        <w:left w:val="single" w:sz="12"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67">
    <w:name w:val="xl167"/>
    <w:basedOn w:val="Normal"/>
    <w:pPr>
      <w:pBdr>
        <w:left w:val="single" w:sz="12" w:space="0" w:color="auto"/>
        <w:bottom w:val="single" w:sz="12"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68">
    <w:name w:val="xl168"/>
    <w:basedOn w:val="Normal"/>
    <w:pPr>
      <w:pBdr>
        <w:left w:val="single" w:sz="12" w:space="0" w:color="auto"/>
        <w:bottom w:val="single" w:sz="12"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9">
    <w:name w:val="xl169"/>
    <w:basedOn w:val="Normal"/>
    <w:pPr>
      <w:pBdr>
        <w:top w:val="single" w:sz="4"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70">
    <w:name w:val="xl170"/>
    <w:basedOn w:val="Normal"/>
    <w:pPr>
      <w:pBdr>
        <w:top w:val="single" w:sz="4" w:space="0" w:color="auto"/>
        <w:bottom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table" w:customStyle="1" w:styleId="TableGrid5">
    <w:name w:val="Table Grid5"/>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numberstable">
    <w:name w:val="CE numbers table"/>
    <w:basedOn w:val="TableNormal"/>
    <w:uiPriority w:val="99"/>
    <w:rPr>
      <w:rFonts w:ascii="Arial" w:eastAsia="Times New Roman" w:hAnsi="Arial"/>
      <w:color w:val="002060"/>
      <w:sz w:val="18"/>
    </w:rPr>
    <w:tblPr>
      <w:tblStyleRowBandSize w:val="1"/>
      <w:tblBorders>
        <w:top w:val="single" w:sz="4" w:space="0" w:color="0085C0"/>
        <w:left w:val="single" w:sz="4" w:space="0" w:color="0085C0"/>
        <w:bottom w:val="single" w:sz="4" w:space="0" w:color="0085C0"/>
        <w:right w:val="single" w:sz="4" w:space="0" w:color="0085C0"/>
      </w:tblBorders>
    </w:tblPr>
    <w:tblStylePr w:type="firstRow">
      <w:pPr>
        <w:jc w:val="right"/>
      </w:pPr>
      <w:rPr>
        <w:rFonts w:ascii="Arial" w:hAnsi="Arial"/>
        <w:color w:val="FFFFFF"/>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6398"/>
      </w:tcPr>
    </w:tblStylePr>
    <w:tblStylePr w:type="lastRow">
      <w:rPr>
        <w:color w:val="auto"/>
      </w:rPr>
      <w:tblPr/>
      <w:tcPr>
        <w:tcBorders>
          <w:bottom w:val="single" w:sz="4" w:space="0" w:color="006398"/>
        </w:tcBorders>
      </w:tcPr>
    </w:tblStylePr>
    <w:tblStylePr w:type="firstCol">
      <w:pPr>
        <w:jc w:val="left"/>
      </w:pPr>
      <w:rPr>
        <w:rFonts w:ascii="Arial" w:hAnsi="Arial"/>
        <w:color w:val="FFFFFF"/>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6398"/>
      </w:tcPr>
    </w:tblStylePr>
    <w:tblStylePr w:type="lastCol">
      <w:tblPr/>
      <w:tcPr>
        <w:tcBorders>
          <w:right w:val="nil"/>
        </w:tcBorders>
      </w:tcPr>
    </w:tblStylePr>
    <w:tblStylePr w:type="band1Horz">
      <w:pPr>
        <w:jc w:val="right"/>
      </w:pPr>
      <w:rPr>
        <w:rFonts w:ascii="Arial" w:hAnsi="Arial"/>
        <w:color w:val="auto"/>
        <w:sz w:val="18"/>
      </w:rPr>
    </w:tblStylePr>
    <w:tblStylePr w:type="band2Horz">
      <w:pPr>
        <w:jc w:val="right"/>
      </w:pPr>
      <w:rPr>
        <w:color w:val="000000"/>
      </w:rPr>
    </w:tblStylePr>
  </w:style>
  <w:style w:type="paragraph" w:customStyle="1" w:styleId="xl77">
    <w:name w:val="xl77"/>
    <w:basedOn w:val="Normal"/>
    <w:pPr>
      <w:pBdr>
        <w:left w:val="single" w:sz="8" w:space="0" w:color="FFFFFF"/>
        <w:right w:val="single" w:sz="8" w:space="0" w:color="FFFFFF"/>
      </w:pBdr>
      <w:shd w:val="clear" w:color="000000" w:fill="00758F"/>
      <w:spacing w:before="100" w:beforeAutospacing="1" w:after="100" w:afterAutospacing="1"/>
      <w:jc w:val="left"/>
    </w:pPr>
    <w:rPr>
      <w:rFonts w:eastAsia="Times New Roman"/>
      <w:b/>
      <w:bCs/>
      <w:color w:val="FFFFFF"/>
      <w:sz w:val="24"/>
      <w:szCs w:val="24"/>
      <w:lang w:eastAsia="en-GB"/>
    </w:rPr>
  </w:style>
  <w:style w:type="paragraph" w:customStyle="1" w:styleId="xl78">
    <w:name w:val="xl78"/>
    <w:basedOn w:val="Normal"/>
    <w:pPr>
      <w:shd w:val="clear" w:color="000000" w:fill="FFFFFF"/>
      <w:spacing w:before="100" w:beforeAutospacing="1" w:after="100" w:afterAutospacing="1"/>
      <w:jc w:val="left"/>
    </w:pPr>
    <w:rPr>
      <w:rFonts w:eastAsia="Times New Roman"/>
      <w:sz w:val="24"/>
      <w:szCs w:val="24"/>
      <w:lang w:eastAsia="en-GB"/>
    </w:rPr>
  </w:style>
  <w:style w:type="paragraph" w:customStyle="1" w:styleId="xl79">
    <w:name w:val="xl79"/>
    <w:basedOn w:val="Normal"/>
    <w:pPr>
      <w:pBdr>
        <w:top w:val="single" w:sz="4" w:space="0" w:color="00758F"/>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0">
    <w:name w:val="xl80"/>
    <w:basedOn w:val="Normal"/>
    <w:pPr>
      <w:pBdr>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1">
    <w:name w:val="xl81"/>
    <w:basedOn w:val="Normal"/>
    <w:pPr>
      <w:pBdr>
        <w:top w:val="single" w:sz="8" w:space="0" w:color="00758F"/>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82">
    <w:name w:val="xl82"/>
    <w:basedOn w:val="Normal"/>
    <w:pPr>
      <w:pBdr>
        <w:top w:val="single" w:sz="8" w:space="0" w:color="00758F"/>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3">
    <w:name w:val="xl83"/>
    <w:basedOn w:val="Normal"/>
    <w:pPr>
      <w:pBdr>
        <w:top w:val="single" w:sz="4" w:space="0" w:color="00758F"/>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4">
    <w:name w:val="xl84"/>
    <w:basedOn w:val="Normal"/>
    <w:pPr>
      <w:pBdr>
        <w:top w:val="single" w:sz="4" w:space="0" w:color="00758F"/>
        <w:left w:val="single" w:sz="8" w:space="0" w:color="00758F"/>
        <w:bottom w:val="single" w:sz="8"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5">
    <w:name w:val="xl85"/>
    <w:basedOn w:val="Normal"/>
    <w:pPr>
      <w:pBdr>
        <w:top w:val="single" w:sz="4" w:space="0" w:color="00758F"/>
        <w:left w:val="single" w:sz="4" w:space="0" w:color="00758F"/>
        <w:bottom w:val="single" w:sz="8"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6">
    <w:name w:val="xl86"/>
    <w:basedOn w:val="Normal"/>
    <w:pPr>
      <w:pBdr>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87">
    <w:name w:val="xl87"/>
    <w:basedOn w:val="Normal"/>
    <w:pPr>
      <w:shd w:val="clear" w:color="000000" w:fill="FFFFFF"/>
      <w:spacing w:before="100" w:beforeAutospacing="1" w:after="100" w:afterAutospacing="1"/>
      <w:jc w:val="left"/>
    </w:pPr>
    <w:rPr>
      <w:rFonts w:eastAsia="Times New Roman"/>
      <w:sz w:val="24"/>
      <w:szCs w:val="24"/>
      <w:lang w:eastAsia="en-GB"/>
    </w:rPr>
  </w:style>
  <w:style w:type="paragraph" w:customStyle="1" w:styleId="xl88">
    <w:name w:val="xl88"/>
    <w:basedOn w:val="Normal"/>
    <w:pPr>
      <w:pBdr>
        <w:top w:val="single" w:sz="8"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9">
    <w:name w:val="xl89"/>
    <w:basedOn w:val="Normal"/>
    <w:pPr>
      <w:pBdr>
        <w:top w:val="single" w:sz="4"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0">
    <w:name w:val="xl90"/>
    <w:basedOn w:val="Normal"/>
    <w:pPr>
      <w:pBdr>
        <w:top w:val="single" w:sz="4" w:space="0" w:color="00758F"/>
        <w:left w:val="single" w:sz="4" w:space="0" w:color="00758F"/>
        <w:bottom w:val="single" w:sz="8"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1">
    <w:name w:val="xl91"/>
    <w:basedOn w:val="Normal"/>
    <w:pPr>
      <w:pBdr>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2">
    <w:name w:val="xl92"/>
    <w:basedOn w:val="Normal"/>
    <w:pPr>
      <w:pBdr>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3">
    <w:name w:val="xl93"/>
    <w:basedOn w:val="Normal"/>
    <w:pPr>
      <w:pBdr>
        <w:top w:val="single" w:sz="4" w:space="0" w:color="00758F"/>
        <w:left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4">
    <w:name w:val="xl94"/>
    <w:basedOn w:val="Normal"/>
    <w:pPr>
      <w:pBdr>
        <w:top w:val="single" w:sz="4"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color w:val="FF0000"/>
      <w:sz w:val="24"/>
      <w:szCs w:val="24"/>
      <w:lang w:eastAsia="en-GB"/>
    </w:rPr>
  </w:style>
  <w:style w:type="paragraph" w:customStyle="1" w:styleId="xl95">
    <w:name w:val="xl95"/>
    <w:basedOn w:val="Normal"/>
    <w:pPr>
      <w:pBdr>
        <w:top w:val="single" w:sz="4" w:space="0" w:color="00758F"/>
        <w:left w:val="single" w:sz="4" w:space="0" w:color="00758F"/>
        <w:bottom w:val="single" w:sz="8" w:space="0" w:color="00758F"/>
        <w:right w:val="single" w:sz="8" w:space="0" w:color="00758F"/>
      </w:pBdr>
      <w:shd w:val="clear" w:color="000000" w:fill="FFFFFF"/>
      <w:spacing w:before="100" w:beforeAutospacing="1" w:after="100" w:afterAutospacing="1"/>
      <w:jc w:val="left"/>
    </w:pPr>
    <w:rPr>
      <w:rFonts w:eastAsia="Times New Roman"/>
      <w:color w:val="FF0000"/>
      <w:sz w:val="24"/>
      <w:szCs w:val="24"/>
      <w:lang w:eastAsia="en-GB"/>
    </w:rPr>
  </w:style>
  <w:style w:type="paragraph" w:customStyle="1" w:styleId="xl96">
    <w:name w:val="xl96"/>
    <w:basedOn w:val="Normal"/>
    <w:pPr>
      <w:pBdr>
        <w:top w:val="single" w:sz="4" w:space="0" w:color="00758F"/>
        <w:left w:val="single" w:sz="4" w:space="0" w:color="00758F"/>
        <w:right w:val="single" w:sz="8" w:space="0" w:color="00758F"/>
      </w:pBdr>
      <w:shd w:val="clear" w:color="000000" w:fill="FFFFFF"/>
      <w:spacing w:before="100" w:beforeAutospacing="1" w:after="100" w:afterAutospacing="1"/>
      <w:jc w:val="left"/>
    </w:pPr>
    <w:rPr>
      <w:rFonts w:eastAsia="Times New Roman"/>
      <w:color w:val="C86D0B"/>
      <w:sz w:val="24"/>
      <w:szCs w:val="24"/>
      <w:lang w:eastAsia="en-GB"/>
    </w:rPr>
  </w:style>
  <w:style w:type="paragraph" w:customStyle="1" w:styleId="xl97">
    <w:name w:val="xl97"/>
    <w:basedOn w:val="Normal"/>
    <w:pPr>
      <w:pBdr>
        <w:top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98">
    <w:name w:val="xl98"/>
    <w:basedOn w:val="Normal"/>
    <w:pPr>
      <w:pBdr>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99">
    <w:name w:val="xl99"/>
    <w:basedOn w:val="Normal"/>
    <w:pPr>
      <w:pBdr>
        <w:left w:val="single" w:sz="8"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00">
    <w:name w:val="xl100"/>
    <w:basedOn w:val="Normal"/>
    <w:pPr>
      <w:pBdr>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01">
    <w:name w:val="xl101"/>
    <w:basedOn w:val="Normal"/>
    <w:pPr>
      <w:pBdr>
        <w:left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102">
    <w:name w:val="xl102"/>
    <w:basedOn w:val="Normal"/>
    <w:pPr>
      <w:pBdr>
        <w:left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103">
    <w:name w:val="xl103"/>
    <w:basedOn w:val="Normal"/>
    <w:pPr>
      <w:pBdr>
        <w:top w:val="single" w:sz="4" w:space="0" w:color="00758F"/>
        <w:left w:val="single" w:sz="8" w:space="7" w:color="00758F"/>
        <w:bottom w:val="single" w:sz="4" w:space="0" w:color="00758F"/>
        <w:right w:val="single" w:sz="4" w:space="0" w:color="00758F"/>
      </w:pBdr>
      <w:shd w:val="clear" w:color="000000" w:fill="FFFFFF"/>
      <w:spacing w:before="100" w:beforeAutospacing="1" w:after="100" w:afterAutospacing="1"/>
      <w:ind w:firstLineChars="100" w:firstLine="100"/>
      <w:jc w:val="left"/>
    </w:pPr>
    <w:rPr>
      <w:rFonts w:eastAsia="Times New Roman"/>
      <w:sz w:val="24"/>
      <w:szCs w:val="24"/>
      <w:lang w:eastAsia="en-GB"/>
    </w:rPr>
  </w:style>
  <w:style w:type="paragraph" w:customStyle="1" w:styleId="xl104">
    <w:name w:val="xl104"/>
    <w:basedOn w:val="Normal"/>
    <w:pPr>
      <w:pBdr>
        <w:top w:val="single" w:sz="4" w:space="0" w:color="00758F"/>
        <w:left w:val="single" w:sz="8" w:space="14" w:color="00758F"/>
        <w:bottom w:val="single" w:sz="4" w:space="0" w:color="00758F"/>
        <w:right w:val="single" w:sz="4"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5">
    <w:name w:val="xl105"/>
    <w:basedOn w:val="Normal"/>
    <w:pPr>
      <w:pBdr>
        <w:top w:val="single" w:sz="4" w:space="0" w:color="00758F"/>
        <w:left w:val="single" w:sz="8" w:space="14" w:color="00758F"/>
        <w:bottom w:val="single" w:sz="8" w:space="0" w:color="00758F"/>
        <w:right w:val="single" w:sz="4"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6">
    <w:name w:val="xl106"/>
    <w:basedOn w:val="Normal"/>
    <w:pPr>
      <w:pBdr>
        <w:top w:val="single" w:sz="4" w:space="0" w:color="00758F"/>
        <w:left w:val="single" w:sz="4" w:space="14" w:color="00758F"/>
        <w:bottom w:val="single" w:sz="4" w:space="0" w:color="00758F"/>
        <w:right w:val="single" w:sz="8"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7">
    <w:name w:val="xl107"/>
    <w:basedOn w:val="Normal"/>
    <w:pPr>
      <w:pBdr>
        <w:right w:val="single" w:sz="8"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8">
    <w:name w:val="xl108"/>
    <w:basedOn w:val="Normal"/>
    <w:pPr>
      <w:shd w:val="clear" w:color="000000" w:fill="FFFFFF"/>
      <w:spacing w:before="100" w:beforeAutospacing="1" w:after="100" w:afterAutospacing="1"/>
      <w:ind w:firstLineChars="100" w:firstLine="100"/>
      <w:jc w:val="left"/>
    </w:pPr>
    <w:rPr>
      <w:rFonts w:eastAsia="Times New Roman"/>
      <w:sz w:val="24"/>
      <w:szCs w:val="24"/>
      <w:u w:val="single"/>
      <w:lang w:eastAsia="en-GB"/>
    </w:rPr>
  </w:style>
  <w:style w:type="paragraph" w:customStyle="1" w:styleId="xl109">
    <w:name w:val="xl109"/>
    <w:basedOn w:val="Normal"/>
    <w:pPr>
      <w:shd w:val="clear" w:color="000000" w:fill="FFFFFF"/>
      <w:spacing w:before="100" w:beforeAutospacing="1" w:after="100" w:afterAutospacing="1"/>
      <w:jc w:val="left"/>
    </w:pPr>
    <w:rPr>
      <w:rFonts w:eastAsia="Times New Roman"/>
      <w:b/>
      <w:bCs/>
      <w:sz w:val="24"/>
      <w:szCs w:val="24"/>
      <w:lang w:eastAsia="en-GB"/>
    </w:rPr>
  </w:style>
  <w:style w:type="paragraph" w:customStyle="1" w:styleId="xl110">
    <w:name w:val="xl110"/>
    <w:basedOn w:val="Normal"/>
    <w:pPr>
      <w:pBdr>
        <w:top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11">
    <w:name w:val="xl111"/>
    <w:basedOn w:val="Normal"/>
    <w:pPr>
      <w:pBdr>
        <w:top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character" w:customStyle="1" w:styleId="UnresolvedMention2">
    <w:name w:val="Unresolved Mention2"/>
    <w:basedOn w:val="DefaultParagraphFont"/>
    <w:uiPriority w:val="99"/>
    <w:semiHidden/>
    <w:unhideWhenUsed/>
    <w:rPr>
      <w:color w:val="808080"/>
      <w:shd w:val="clear" w:color="auto" w:fill="E6E6E6"/>
    </w:rPr>
  </w:style>
  <w:style w:type="character" w:customStyle="1" w:styleId="UnresolvedMention3">
    <w:name w:val="Unresolved Mention3"/>
    <w:basedOn w:val="DefaultParagraphFont"/>
    <w:uiPriority w:val="99"/>
    <w:semiHidden/>
    <w:unhideWhenUsed/>
    <w:rPr>
      <w:color w:val="808080"/>
      <w:shd w:val="clear" w:color="auto" w:fill="E6E6E6"/>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29"/>
    <w:qFormat/>
    <w:pPr>
      <w:spacing w:before="120" w:line="259" w:lineRule="auto"/>
      <w:ind w:left="720"/>
      <w:jc w:val="left"/>
    </w:pPr>
    <w:rPr>
      <w:rFonts w:asciiTheme="minorHAnsi" w:eastAsiaTheme="minorEastAsia" w:hAnsiTheme="minorHAnsi" w:cstheme="minorBidi"/>
      <w:color w:val="1F497D" w:themeColor="text2"/>
      <w:sz w:val="24"/>
      <w:szCs w:val="24"/>
      <w:lang w:val="nl-NL"/>
    </w:rPr>
  </w:style>
  <w:style w:type="character" w:customStyle="1" w:styleId="QuoteChar">
    <w:name w:val="Quote Char"/>
    <w:basedOn w:val="DefaultParagraphFont"/>
    <w:link w:val="Quote"/>
    <w:uiPriority w:val="29"/>
    <w:rPr>
      <w:rFonts w:asciiTheme="minorHAnsi" w:eastAsiaTheme="minorEastAsia" w:hAnsiTheme="minorHAnsi" w:cstheme="minorBidi"/>
      <w:color w:val="1F497D" w:themeColor="text2"/>
      <w:sz w:val="24"/>
      <w:szCs w:val="24"/>
      <w:lang w:val="nl-NL" w:eastAsia="en-US"/>
    </w:rPr>
  </w:style>
  <w:style w:type="character" w:styleId="SubtleEmphasis">
    <w:name w:val="Subtle Emphasis"/>
    <w:basedOn w:val="DefaultParagraphFont"/>
    <w:uiPriority w:val="19"/>
    <w:qFormat/>
    <w:rPr>
      <w:i/>
      <w:iCs/>
      <w:color w:val="595959" w:themeColor="text1" w:themeTint="A6"/>
    </w:rPr>
  </w:style>
  <w:style w:type="character" w:styleId="SubtleReference">
    <w:name w:val="Subtle Reference"/>
    <w:basedOn w:val="DefaultParagraphFont"/>
    <w:uiPriority w:val="31"/>
    <w:qFormat/>
    <w:rPr>
      <w:smallCaps/>
      <w:color w:val="595959" w:themeColor="text1" w:themeTint="A6"/>
      <w:u w:val="none" w:color="7F7F7F" w:themeColor="text1" w:themeTint="80"/>
      <w:bdr w:val="none" w:sz="0" w:space="0" w:color="auto"/>
    </w:rPr>
  </w:style>
  <w:style w:type="character" w:customStyle="1" w:styleId="Mention2">
    <w:name w:val="Mention2"/>
    <w:basedOn w:val="DefaultParagraphFont"/>
    <w:uiPriority w:val="99"/>
    <w:semiHidden/>
    <w:unhideWhenUsed/>
    <w:rPr>
      <w:color w:val="2B579A"/>
      <w:shd w:val="clear" w:color="auto" w:fill="E6E6E6"/>
    </w:rPr>
  </w:style>
  <w:style w:type="table" w:customStyle="1" w:styleId="ListTable4-Accent52">
    <w:name w:val="List Table 4 - Accent 52"/>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entionnonrsolue1">
    <w:name w:val="Mention non résolue1"/>
    <w:basedOn w:val="DefaultParagraphFont"/>
    <w:uiPriority w:val="99"/>
    <w:semiHidden/>
    <w:unhideWhenUsed/>
    <w:rPr>
      <w:color w:val="808080"/>
      <w:shd w:val="clear" w:color="auto" w:fill="E6E6E6"/>
    </w:rPr>
  </w:style>
  <w:style w:type="character" w:customStyle="1" w:styleId="UnresolvedMention4">
    <w:name w:val="Unresolved Mention4"/>
    <w:basedOn w:val="DefaultParagraphFont"/>
    <w:uiPriority w:val="99"/>
    <w:semiHidden/>
    <w:unhideWhenUsed/>
    <w:rPr>
      <w:color w:val="808080"/>
      <w:shd w:val="clear" w:color="auto" w:fill="E6E6E6"/>
    </w:rPr>
  </w:style>
  <w:style w:type="character" w:customStyle="1" w:styleId="Heading1Char1">
    <w:name w:val="Heading 1 Char1"/>
    <w:aliases w:val="(Section) Char1,MOVE-it 1 Char1,Heading 11 Char1,Hoofdstuk Char1,Επικεφαλίδα 1 ΌΧΙ Char1,Heading 1 - Main Heading of Document Char1,F3 Heading 1 - Section Char1,Numbered - 1 Char1,Section Char1,Chapter Hdg Char1,h1 Char1,CH TITLE 1 Char1"/>
    <w:basedOn w:val="DefaultParagraphFont"/>
    <w:uiPriority w:val="9"/>
    <w:rPr>
      <w:rFonts w:asciiTheme="majorHAnsi" w:eastAsiaTheme="majorEastAsia" w:hAnsiTheme="majorHAnsi" w:cstheme="majorBidi"/>
      <w:color w:val="365F91" w:themeColor="accent1" w:themeShade="BF"/>
      <w:sz w:val="32"/>
      <w:szCs w:val="32"/>
    </w:rPr>
  </w:style>
  <w:style w:type="character" w:customStyle="1" w:styleId="Heading2Char1">
    <w:name w:val="Heading 2 Char1"/>
    <w:aliases w:val="2 Char1,Paragraaf Char1,NEA2 Char1,14 Char1,H2 Char1,Se Char1,Section1 Char1,Section2 Char1,Section3 Char1,NEA21 Char1,subhead 1 Char1,h2 Char1,subhead 11 Char1,h21 Char1,subhead 12 Char1,h22 Char1,subhead 13 Char1,h23 Char1,h24 Char1"/>
    <w:basedOn w:val="DefaultParagraphFont"/>
    <w:uiPriority w:val="9"/>
    <w:semiHidden/>
    <w:rPr>
      <w:rFonts w:asciiTheme="majorHAnsi" w:eastAsiaTheme="majorEastAsia" w:hAnsiTheme="majorHAnsi" w:cstheme="majorBidi"/>
      <w:color w:val="365F91" w:themeColor="accent1" w:themeShade="BF"/>
      <w:sz w:val="26"/>
      <w:szCs w:val="26"/>
    </w:rPr>
  </w:style>
  <w:style w:type="character" w:customStyle="1" w:styleId="Heading3Char1">
    <w:name w:val="Heading 3 Char1"/>
    <w:aliases w:val="Heading 31 Char1,Heading 32 Char1,Heading 33 Char1,Heading 34 Char1,Heading 35 Char1,Heading 36 Char1,Heading 311 Char1,Heading 321 Char1,Heading 331 Char1,Heading 341 Char1,Heading 351 Char1,Heading 37 Char1,Heading 312 Char1,NEA3 Char"/>
    <w:basedOn w:val="DefaultParagraphFont"/>
    <w:uiPriority w:val="9"/>
    <w:semiHidden/>
    <w:rPr>
      <w:rFonts w:asciiTheme="majorHAnsi" w:eastAsiaTheme="majorEastAsia" w:hAnsiTheme="majorHAnsi" w:cstheme="majorBidi"/>
      <w:color w:val="243F60" w:themeColor="accent1" w:themeShade="7F"/>
      <w:sz w:val="24"/>
      <w:szCs w:val="24"/>
    </w:rPr>
  </w:style>
  <w:style w:type="character" w:customStyle="1" w:styleId="FootnoteTextChar1">
    <w:name w:val="Footnote Text Char1"/>
    <w:aliases w:val="Fußnotentextf Char1,Fußnotentextr Char1,stile 1 Char1,Footnote Char1,Footnote1 Char1,Footnote2 Char1,Footnote3 Char1,Footnote4 Char1,Footnote5 Char1,Footnote6 Char1,Footnote7 Char1,Footnote8 Char1,Footnote9 Char1,Footnote10 Char1"/>
    <w:basedOn w:val="DefaultParagraphFont"/>
    <w:uiPriority w:val="99"/>
    <w:semiHidden/>
    <w:rPr>
      <w:rFonts w:ascii="Trebuchet MS" w:hAnsi="Trebuchet MS"/>
      <w:sz w:val="20"/>
      <w:szCs w:val="20"/>
    </w:rPr>
  </w:style>
  <w:style w:type="character" w:customStyle="1" w:styleId="BodyTextChar1">
    <w:name w:val="Body Text Char1"/>
    <w:aliases w:val="F4 Main Text Char1,F2 Body Text Char1,Document Char1,Doc Char1,Body Text2 Char1,doc Char1,Standard paragraph Char1,Text Char2,1body Char1,BodText Char1,bt Char1,body text Char1,Body Txt Char1,Body Text-10 Char1,Τίτλος Μελέτης Char1"/>
    <w:basedOn w:val="DefaultParagraphFont"/>
    <w:semiHidden/>
    <w:rPr>
      <w:rFonts w:ascii="Trebuchet MS" w:hAnsi="Trebuchet MS"/>
      <w:sz w:val="18"/>
    </w:rPr>
  </w:style>
  <w:style w:type="paragraph" w:customStyle="1" w:styleId="font5">
    <w:name w:val="font5"/>
    <w:basedOn w:val="Normal"/>
    <w:pPr>
      <w:spacing w:before="100" w:beforeAutospacing="1" w:after="100" w:afterAutospacing="1"/>
      <w:jc w:val="left"/>
    </w:pPr>
    <w:rPr>
      <w:rFonts w:ascii="Tahoma" w:eastAsia="Times New Roman" w:hAnsi="Tahoma" w:cs="Tahoma"/>
      <w:color w:val="000000"/>
      <w:sz w:val="18"/>
      <w:szCs w:val="18"/>
      <w:lang w:eastAsia="en-GB"/>
    </w:rPr>
  </w:style>
  <w:style w:type="paragraph" w:customStyle="1" w:styleId="font6">
    <w:name w:val="font6"/>
    <w:basedOn w:val="Normal"/>
    <w:pPr>
      <w:spacing w:before="100" w:beforeAutospacing="1" w:after="100" w:afterAutospacing="1"/>
      <w:jc w:val="left"/>
    </w:pPr>
    <w:rPr>
      <w:rFonts w:ascii="Tahoma" w:eastAsia="Times New Roman" w:hAnsi="Tahoma" w:cs="Tahoma"/>
      <w:b/>
      <w:bCs/>
      <w:color w:val="000000"/>
      <w:sz w:val="18"/>
      <w:szCs w:val="18"/>
      <w:lang w:eastAsia="en-GB"/>
    </w:rPr>
  </w:style>
  <w:style w:type="paragraph" w:customStyle="1" w:styleId="xl5527">
    <w:name w:val="xl5527"/>
    <w:basedOn w:val="Normal"/>
    <w:pPr>
      <w:spacing w:before="100" w:beforeAutospacing="1" w:after="100" w:afterAutospacing="1"/>
      <w:jc w:val="left"/>
    </w:pPr>
    <w:rPr>
      <w:rFonts w:eastAsia="Times New Roman"/>
      <w:sz w:val="24"/>
      <w:szCs w:val="24"/>
      <w:lang w:eastAsia="en-GB"/>
    </w:rPr>
  </w:style>
  <w:style w:type="paragraph" w:customStyle="1" w:styleId="xl5528">
    <w:name w:val="xl55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18"/>
      <w:szCs w:val="18"/>
      <w:lang w:eastAsia="en-GB"/>
    </w:rPr>
  </w:style>
  <w:style w:type="paragraph" w:customStyle="1" w:styleId="xl5529">
    <w:name w:val="xl552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lang w:eastAsia="en-GB"/>
    </w:rPr>
  </w:style>
  <w:style w:type="paragraph" w:customStyle="1" w:styleId="xl5530">
    <w:name w:val="xl553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1">
    <w:name w:val="xl553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2">
    <w:name w:val="xl5532"/>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color w:val="FFFFFF"/>
      <w:sz w:val="24"/>
      <w:szCs w:val="24"/>
      <w:lang w:eastAsia="en-GB"/>
    </w:rPr>
  </w:style>
  <w:style w:type="paragraph" w:customStyle="1" w:styleId="xl5533">
    <w:name w:val="xl5533"/>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sz w:val="24"/>
      <w:szCs w:val="24"/>
      <w:lang w:eastAsia="en-GB"/>
    </w:rPr>
  </w:style>
  <w:style w:type="paragraph" w:customStyle="1" w:styleId="xl5534">
    <w:name w:val="xl553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5">
    <w:name w:val="xl553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6">
    <w:name w:val="xl5536"/>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37">
    <w:name w:val="xl5537"/>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38">
    <w:name w:val="xl5538"/>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39">
    <w:name w:val="xl5539"/>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40">
    <w:name w:val="xl5540"/>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41">
    <w:name w:val="xl5541"/>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sz w:val="24"/>
      <w:szCs w:val="24"/>
      <w:lang w:eastAsia="en-GB"/>
    </w:rPr>
  </w:style>
  <w:style w:type="paragraph" w:customStyle="1" w:styleId="xl5542">
    <w:name w:val="xl5542"/>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3">
    <w:name w:val="xl5543"/>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4">
    <w:name w:val="xl5544"/>
    <w:basedOn w:val="Normal"/>
    <w:pPr>
      <w:pBdr>
        <w:top w:val="single" w:sz="4" w:space="0" w:color="auto"/>
        <w:left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5">
    <w:name w:val="xl5545"/>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46">
    <w:name w:val="xl5546"/>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47">
    <w:name w:val="xl5547"/>
    <w:basedOn w:val="Normal"/>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eastAsia="Times New Roman"/>
      <w:sz w:val="24"/>
      <w:szCs w:val="24"/>
      <w:lang w:eastAsia="en-GB"/>
    </w:rPr>
  </w:style>
  <w:style w:type="paragraph" w:customStyle="1" w:styleId="xl5548">
    <w:name w:val="xl5548"/>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49">
    <w:name w:val="xl5549"/>
    <w:basedOn w:val="Normal"/>
    <w:pPr>
      <w:pBdr>
        <w:top w:val="single" w:sz="4" w:space="0" w:color="auto"/>
        <w:left w:val="single" w:sz="4" w:space="0" w:color="auto"/>
        <w:bottom w:val="single" w:sz="4" w:space="0" w:color="auto"/>
        <w:right w:val="single" w:sz="4" w:space="0" w:color="auto"/>
      </w:pBdr>
      <w:shd w:val="clear" w:color="000000" w:fill="FFE3A6"/>
      <w:spacing w:before="100" w:beforeAutospacing="1" w:after="100" w:afterAutospacing="1"/>
      <w:jc w:val="left"/>
    </w:pPr>
    <w:rPr>
      <w:rFonts w:eastAsia="Times New Roman"/>
      <w:sz w:val="24"/>
      <w:szCs w:val="24"/>
      <w:lang w:eastAsia="en-GB"/>
    </w:rPr>
  </w:style>
  <w:style w:type="paragraph" w:customStyle="1" w:styleId="xl5550">
    <w:name w:val="xl5550"/>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1">
    <w:name w:val="xl5551"/>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2">
    <w:name w:val="xl555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553">
    <w:name w:val="xl555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554">
    <w:name w:val="xl5554"/>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55">
    <w:name w:val="xl5555"/>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6">
    <w:name w:val="xl5556"/>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57">
    <w:name w:val="xl555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58">
    <w:name w:val="xl555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59">
    <w:name w:val="xl555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560">
    <w:name w:val="xl5560"/>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1">
    <w:name w:val="xl5561"/>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2">
    <w:name w:val="xl5562"/>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3">
    <w:name w:val="xl556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4">
    <w:name w:val="xl5564"/>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5">
    <w:name w:val="xl556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566">
    <w:name w:val="xl55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7">
    <w:name w:val="xl556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8">
    <w:name w:val="xl556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9">
    <w:name w:val="xl5569"/>
    <w:basedOn w:val="Normal"/>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eastAsia="Times New Roman"/>
      <w:sz w:val="24"/>
      <w:szCs w:val="24"/>
      <w:lang w:eastAsia="en-GB"/>
    </w:rPr>
  </w:style>
  <w:style w:type="paragraph" w:customStyle="1" w:styleId="xl5570">
    <w:name w:val="xl5570"/>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1">
    <w:name w:val="xl5571"/>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2">
    <w:name w:val="xl5572"/>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3">
    <w:name w:val="xl557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74">
    <w:name w:val="xl5574"/>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numbering" w:customStyle="1" w:styleId="NoList1">
    <w:name w:val="No List1"/>
    <w:next w:val="NoList"/>
    <w:uiPriority w:val="99"/>
    <w:semiHidden/>
    <w:unhideWhenUsed/>
  </w:style>
  <w:style w:type="paragraph" w:customStyle="1" w:styleId="xmsonormal">
    <w:name w:val="x_msonormal"/>
    <w:basedOn w:val="Normal"/>
    <w:uiPriority w:val="99"/>
    <w:semiHidden/>
    <w:pPr>
      <w:spacing w:after="0"/>
      <w:jc w:val="left"/>
    </w:pPr>
    <w:rPr>
      <w:sz w:val="24"/>
      <w:szCs w:val="24"/>
      <w:lang w:eastAsia="en-GB"/>
    </w:rPr>
  </w:style>
  <w:style w:type="paragraph" w:customStyle="1" w:styleId="xxxmsonormal">
    <w:name w:val="x_xxmsonormal"/>
    <w:basedOn w:val="Normal"/>
    <w:uiPriority w:val="99"/>
    <w:semiHidden/>
    <w:pPr>
      <w:spacing w:after="0"/>
      <w:jc w:val="left"/>
    </w:pPr>
    <w:rPr>
      <w:sz w:val="24"/>
      <w:szCs w:val="24"/>
      <w:lang w:eastAsia="en-GB"/>
    </w:rPr>
  </w:style>
  <w:style w:type="character" w:customStyle="1" w:styleId="emailstyle21">
    <w:name w:val="emailstyle21"/>
    <w:basedOn w:val="DefaultParagraphFont"/>
    <w:semiHidden/>
    <w:rPr>
      <w:rFonts w:ascii="Calibri" w:hAnsi="Calibri" w:cs="Calibri" w:hint="default"/>
      <w:color w:val="1F497D"/>
    </w:rPr>
  </w:style>
  <w:style w:type="character" w:customStyle="1" w:styleId="emailstyle22">
    <w:name w:val="emailstyle22"/>
    <w:basedOn w:val="DefaultParagraphFont"/>
    <w:semiHidden/>
    <w:rPr>
      <w:rFonts w:ascii="Calibri" w:hAnsi="Calibri" w:cs="Calibri" w:hint="default"/>
      <w:color w:val="auto"/>
    </w:rPr>
  </w:style>
  <w:style w:type="character" w:customStyle="1" w:styleId="emailstyle23">
    <w:name w:val="emailstyle23"/>
    <w:basedOn w:val="DefaultParagraphFont"/>
    <w:semiHidden/>
    <w:rPr>
      <w:rFonts w:ascii="Calibri" w:hAnsi="Calibri" w:cs="Calibri" w:hint="default"/>
      <w:color w:val="1F497D"/>
    </w:rPr>
  </w:style>
  <w:style w:type="character" w:customStyle="1" w:styleId="emailstyle24">
    <w:name w:val="emailstyle24"/>
    <w:basedOn w:val="DefaultParagraphFont"/>
    <w:semiHidden/>
    <w:rPr>
      <w:rFonts w:ascii="Calibri" w:hAnsi="Calibri" w:cs="Calibri" w:hint="default"/>
      <w:color w:val="1F497D"/>
    </w:rPr>
  </w:style>
  <w:style w:type="character" w:customStyle="1" w:styleId="emailstyle25">
    <w:name w:val="emailstyle25"/>
    <w:basedOn w:val="DefaultParagraphFont"/>
    <w:semiHidden/>
    <w:rPr>
      <w:rFonts w:ascii="Calibri" w:hAnsi="Calibri" w:cs="Calibri" w:hint="default"/>
      <w:color w:val="auto"/>
    </w:rPr>
  </w:style>
  <w:style w:type="character" w:customStyle="1" w:styleId="ilfuvd">
    <w:name w:val="ilfuvd"/>
    <w:basedOn w:val="DefaultParagraphFont"/>
  </w:style>
  <w:style w:type="table" w:customStyle="1" w:styleId="GridTable5Dark-Accent11">
    <w:name w:val="Grid Table 5 Dark - Accent 11"/>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3-Accent31">
    <w:name w:val="Grid Table 3 - Accent 3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ListTable3-Accent11">
    <w:name w:val="List Table 3 - Accent 1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UnresolvedMention">
    <w:name w:val="Unresolved Mention"/>
    <w:basedOn w:val="DefaultParagraphFont"/>
    <w:uiPriority w:val="99"/>
    <w:semiHidden/>
    <w:unhideWhenUsed/>
    <w:rPr>
      <w:color w:val="605E5C"/>
      <w:shd w:val="clear" w:color="auto" w:fill="E1DFDD"/>
    </w:rPr>
  </w:style>
  <w:style w:type="character" w:customStyle="1" w:styleId="Mentionnonrsolue2">
    <w:name w:val="Mention non résolue2"/>
    <w:basedOn w:val="DefaultParagraphFont"/>
    <w:uiPriority w:val="99"/>
    <w:semiHidden/>
    <w:unhideWhenUsed/>
    <w:rPr>
      <w:color w:val="808080"/>
      <w:shd w:val="clear" w:color="auto" w:fill="E6E6E6"/>
    </w:rPr>
  </w:style>
  <w:style w:type="table" w:customStyle="1" w:styleId="TableauGrille5Fonc-Accentuation11">
    <w:name w:val="Tableau Grille 5 Foncé - Accentuation 11"/>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auGrille3-Accentuation31">
    <w:name w:val="Tableau Grille 3 - Accentuation 3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eauListe3-Accentuation11">
    <w:name w:val="Tableau Liste 3 - Accentuation 1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Mentionnonrsolue3">
    <w:name w:val="Mention non résolue3"/>
    <w:basedOn w:val="DefaultParagraphFont"/>
    <w:uiPriority w:val="99"/>
    <w:semiHidden/>
    <w:unhideWhenUsed/>
    <w:rPr>
      <w:color w:val="808080"/>
      <w:shd w:val="clear" w:color="auto" w:fill="E6E6E6"/>
    </w:rPr>
  </w:style>
  <w:style w:type="table" w:customStyle="1" w:styleId="TableauGrille4-Accentuation31">
    <w:name w:val="Tableau Grille 4 - Accentuation 3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ausimple21">
    <w:name w:val="Tableau simple 21"/>
    <w:basedOn w:val="TableNormal"/>
    <w:uiPriority w:val="42"/>
    <w:rPr>
      <w:rFonts w:asciiTheme="minorHAnsi" w:eastAsiaTheme="minorHAnsi" w:hAnsiTheme="minorHAnsi" w:cstheme="minorBidi"/>
      <w:sz w:val="22"/>
      <w:szCs w:val="22"/>
      <w:lang w:val="fr-FR" w:eastAsia="en-US"/>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
    <w:name w:val="Абзац списка"/>
    <w:basedOn w:val="Normal"/>
    <w:uiPriority w:val="34"/>
    <w:qFormat/>
    <w:pPr>
      <w:spacing w:after="160" w:line="259" w:lineRule="auto"/>
      <w:ind w:left="720"/>
      <w:contextualSpacing/>
      <w:jc w:val="left"/>
    </w:pPr>
    <w:rPr>
      <w:rFonts w:ascii="Calibri" w:hAnsi="Calibri"/>
      <w:lang w:val="en-CA"/>
    </w:rPr>
  </w:style>
  <w:style w:type="table" w:customStyle="1" w:styleId="Tableausimple11">
    <w:name w:val="Tableau simple 11"/>
    <w:basedOn w:val="TableNormal"/>
    <w:uiPriority w:val="41"/>
    <w:rPr>
      <w:rFonts w:asciiTheme="minorHAnsi" w:eastAsiaTheme="minorHAnsi" w:hAnsiTheme="minorHAnsi" w:cstheme="minorBidi"/>
      <w:sz w:val="22"/>
      <w:szCs w:val="22"/>
      <w:lang w:val="fr-FR"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5">
    <w:name w:val="Unresolved Mention5"/>
    <w:basedOn w:val="DefaultParagraphFont"/>
    <w:uiPriority w:val="99"/>
    <w:semiHidden/>
    <w:unhideWhenUsed/>
    <w:rPr>
      <w:color w:val="605E5C"/>
      <w:shd w:val="clear" w:color="auto" w:fill="E1DFDD"/>
    </w:rPr>
  </w:style>
  <w:style w:type="character" w:customStyle="1" w:styleId="UnresolvedMention40">
    <w:name w:val="Unresolved Mention40"/>
    <w:basedOn w:val="DefaultParagraphFont"/>
    <w:uiPriority w:val="99"/>
    <w:semiHidden/>
    <w:unhideWhenUsed/>
    <w:rPr>
      <w:color w:val="808080"/>
      <w:shd w:val="clear" w:color="auto" w:fill="E6E6E6"/>
    </w:rPr>
  </w:style>
  <w:style w:type="paragraph" w:customStyle="1" w:styleId="xl54550">
    <w:name w:val="xl5455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lang w:eastAsia="en-GB"/>
    </w:rPr>
  </w:style>
  <w:style w:type="paragraph" w:customStyle="1" w:styleId="xl54551">
    <w:name w:val="xl5455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2">
    <w:name w:val="xl5455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3">
    <w:name w:val="xl5455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4">
    <w:name w:val="xl5455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4555">
    <w:name w:val="xl5455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4556">
    <w:name w:val="xl5455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7">
    <w:name w:val="xl5455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8">
    <w:name w:val="xl5455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9">
    <w:name w:val="xl5455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Segoe UI" w:eastAsia="Times New Roman" w:hAnsi="Segoe UI" w:cs="Segoe UI"/>
      <w:color w:val="000000"/>
      <w:sz w:val="20"/>
      <w:szCs w:val="20"/>
      <w:lang w:eastAsia="en-GB"/>
    </w:rPr>
  </w:style>
  <w:style w:type="paragraph" w:customStyle="1" w:styleId="xl54560">
    <w:name w:val="xl54560"/>
    <w:basedOn w:val="Normal"/>
    <w:pPr>
      <w:spacing w:before="100" w:beforeAutospacing="1" w:after="100" w:afterAutospacing="1"/>
      <w:jc w:val="left"/>
    </w:pPr>
    <w:rPr>
      <w:rFonts w:eastAsia="Times New Roman"/>
      <w:sz w:val="24"/>
      <w:szCs w:val="24"/>
      <w:lang w:eastAsia="en-GB"/>
    </w:rPr>
  </w:style>
  <w:style w:type="paragraph" w:customStyle="1" w:styleId="xl54561">
    <w:name w:val="xl5456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2">
    <w:name w:val="xl5456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3">
    <w:name w:val="xl5456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4">
    <w:name w:val="xl5456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5">
    <w:name w:val="xl54565"/>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4566">
    <w:name w:val="xl545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7">
    <w:name w:val="xl5456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4568">
    <w:name w:val="xl54568"/>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b/>
      <w:bCs/>
      <w:sz w:val="24"/>
      <w:szCs w:val="24"/>
      <w:lang w:eastAsia="en-GB"/>
    </w:rPr>
  </w:style>
  <w:style w:type="paragraph" w:customStyle="1" w:styleId="xl54569">
    <w:name w:val="xl5456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0">
    <w:name w:val="xl54570"/>
    <w:basedOn w:val="Normal"/>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left"/>
    </w:pPr>
    <w:rPr>
      <w:rFonts w:eastAsia="Times New Roman"/>
      <w:b/>
      <w:bCs/>
      <w:sz w:val="24"/>
      <w:szCs w:val="24"/>
      <w:lang w:eastAsia="en-GB"/>
    </w:rPr>
  </w:style>
  <w:style w:type="paragraph" w:customStyle="1" w:styleId="xl54571">
    <w:name w:val="xl54571"/>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2">
    <w:name w:val="xl54572"/>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3">
    <w:name w:val="xl54573"/>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4">
    <w:name w:val="xl54574"/>
    <w:basedOn w:val="Normal"/>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eastAsia="Times New Roman"/>
      <w:b/>
      <w:bCs/>
      <w:sz w:val="24"/>
      <w:szCs w:val="24"/>
      <w:lang w:eastAsia="en-GB"/>
    </w:rPr>
  </w:style>
  <w:style w:type="paragraph" w:customStyle="1" w:styleId="xl54575">
    <w:name w:val="xl545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6">
    <w:name w:val="xl5457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olor w:val="0563C1"/>
      <w:sz w:val="24"/>
      <w:szCs w:val="24"/>
      <w:u w:val="single"/>
      <w:lang w:eastAsia="en-GB"/>
    </w:rPr>
  </w:style>
  <w:style w:type="paragraph" w:customStyle="1" w:styleId="xl54577">
    <w:name w:val="xl545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8">
    <w:name w:val="xl5457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9">
    <w:name w:val="xl5457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80">
    <w:name w:val="xl5458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character" w:customStyle="1" w:styleId="highlight">
    <w:name w:val="highlight"/>
    <w:basedOn w:val="DefaultParagraphFont"/>
  </w:style>
  <w:style w:type="character" w:customStyle="1" w:styleId="fontstyle01">
    <w:name w:val="fontstyle01"/>
    <w:basedOn w:val="DefaultParagraphFont"/>
    <w:rPr>
      <w:rFonts w:ascii="Times-Roman" w:hAnsi="Times-Roman" w:hint="default"/>
      <w:b w:val="0"/>
      <w:bCs w:val="0"/>
      <w:i w:val="0"/>
      <w:iCs w:val="0"/>
      <w:color w:val="000000"/>
      <w:sz w:val="24"/>
      <w:szCs w:val="24"/>
    </w:rPr>
  </w:style>
  <w:style w:type="character" w:customStyle="1" w:styleId="UnresolvedMention400">
    <w:name w:val="Unresolved Mention400"/>
    <w:basedOn w:val="DefaultParagraphFont"/>
    <w:uiPriority w:val="99"/>
    <w:semiHidden/>
    <w:unhideWhenUsed/>
    <w:rPr>
      <w:color w:val="808080"/>
      <w:shd w:val="clear" w:color="auto" w:fill="E6E6E6"/>
    </w:rPr>
  </w:style>
  <w:style w:type="character" w:customStyle="1" w:styleId="UnresolvedMention4000">
    <w:name w:val="Unresolved Mention4000"/>
    <w:basedOn w:val="DefaultParagraphFont"/>
    <w:uiPriority w:val="99"/>
    <w:semiHidden/>
    <w:unhideWhenUsed/>
    <w:rPr>
      <w:color w:val="808080"/>
      <w:shd w:val="clear" w:color="auto" w:fill="E6E6E6"/>
    </w:rPr>
  </w:style>
  <w:style w:type="character" w:customStyle="1" w:styleId="UnresolvedMention40000">
    <w:name w:val="Unresolved Mention40000"/>
    <w:basedOn w:val="DefaultParagraphFont"/>
    <w:uiPriority w:val="99"/>
    <w:semiHidden/>
    <w:unhideWhenUsed/>
    <w:rPr>
      <w:color w:val="808080"/>
      <w:shd w:val="clear" w:color="auto" w:fill="E6E6E6"/>
    </w:rPr>
  </w:style>
  <w:style w:type="character" w:customStyle="1" w:styleId="UnresolvedMention400000">
    <w:name w:val="Unresolved Mention400000"/>
    <w:basedOn w:val="DefaultParagraphFont"/>
    <w:uiPriority w:val="99"/>
    <w:semiHidden/>
    <w:unhideWhenUsed/>
    <w:rPr>
      <w:color w:val="808080"/>
      <w:shd w:val="clear" w:color="auto" w:fill="E6E6E6"/>
    </w:rPr>
  </w:style>
  <w:style w:type="character" w:customStyle="1" w:styleId="UnresolvedMention4000000">
    <w:name w:val="Unresolved Mention4000000"/>
    <w:basedOn w:val="DefaultParagraphFont"/>
    <w:uiPriority w:val="99"/>
    <w:semiHidden/>
    <w:unhideWhenUsed/>
    <w:rPr>
      <w:color w:val="808080"/>
      <w:shd w:val="clear" w:color="auto" w:fill="E6E6E6"/>
    </w:rPr>
  </w:style>
  <w:style w:type="character" w:customStyle="1" w:styleId="UnresolvedMention40000000">
    <w:name w:val="Unresolved Mention40000000"/>
    <w:basedOn w:val="DefaultParagraphFont"/>
    <w:uiPriority w:val="99"/>
    <w:semiHidden/>
    <w:unhideWhenUsed/>
    <w:rPr>
      <w:color w:val="808080"/>
      <w:shd w:val="clear" w:color="auto" w:fill="E6E6E6"/>
    </w:rPr>
  </w:style>
  <w:style w:type="character" w:customStyle="1" w:styleId="UnresolvedMention400000000">
    <w:name w:val="Unresolved Mention400000000"/>
    <w:basedOn w:val="DefaultParagraphFont"/>
    <w:uiPriority w:val="99"/>
    <w:semiHidden/>
    <w:unhideWhenUsed/>
    <w:rPr>
      <w:color w:val="808080"/>
      <w:shd w:val="clear" w:color="auto" w:fill="E6E6E6"/>
    </w:rPr>
  </w:style>
  <w:style w:type="character" w:customStyle="1" w:styleId="UnresolvedMention4000000000">
    <w:name w:val="Unresolved Mention4000000000"/>
    <w:basedOn w:val="DefaultParagraphFont"/>
    <w:uiPriority w:val="99"/>
    <w:semiHidden/>
    <w:unhideWhenUsed/>
    <w:rPr>
      <w:color w:val="808080"/>
      <w:shd w:val="clear" w:color="auto" w:fill="E6E6E6"/>
    </w:rPr>
  </w:style>
  <w:style w:type="character" w:customStyle="1" w:styleId="UnresolvedMention40000000000">
    <w:name w:val="Unresolved Mention40000000000"/>
    <w:basedOn w:val="DefaultParagraphFont"/>
    <w:uiPriority w:val="99"/>
    <w:semiHidden/>
    <w:unhideWhenUsed/>
    <w:rPr>
      <w:color w:val="808080"/>
      <w:shd w:val="clear" w:color="auto" w:fill="E6E6E6"/>
    </w:rPr>
  </w:style>
  <w:style w:type="character" w:customStyle="1" w:styleId="UnresolvedMention400000000000">
    <w:name w:val="Unresolved Mention400000000000"/>
    <w:basedOn w:val="DefaultParagraphFont"/>
    <w:uiPriority w:val="99"/>
    <w:semiHidden/>
    <w:unhideWhenUsed/>
    <w:rPr>
      <w:color w:val="808080"/>
      <w:shd w:val="clear" w:color="auto" w:fill="E6E6E6"/>
    </w:rPr>
  </w:style>
  <w:style w:type="character" w:customStyle="1" w:styleId="UnresolvedMention4000000000000">
    <w:name w:val="Unresolved Mention4000000000000"/>
    <w:basedOn w:val="DefaultParagraphFont"/>
    <w:uiPriority w:val="99"/>
    <w:semiHidden/>
    <w:unhideWhenUsed/>
    <w:rPr>
      <w:color w:val="808080"/>
      <w:shd w:val="clear" w:color="auto" w:fill="E6E6E6"/>
    </w:rPr>
  </w:style>
  <w:style w:type="character" w:customStyle="1" w:styleId="UnresolvedMention40000000000000">
    <w:name w:val="Unresolved Mention40000000000000"/>
    <w:basedOn w:val="DefaultParagraphFont"/>
    <w:uiPriority w:val="99"/>
    <w:semiHidden/>
    <w:unhideWhenUsed/>
    <w:rPr>
      <w:color w:val="808080"/>
      <w:shd w:val="clear" w:color="auto" w:fill="E6E6E6"/>
    </w:rPr>
  </w:style>
  <w:style w:type="character" w:customStyle="1" w:styleId="UnresolvedMention400000000000000">
    <w:name w:val="Unresolved Mention400000000000000"/>
    <w:basedOn w:val="DefaultParagraphFont"/>
    <w:uiPriority w:val="99"/>
    <w:semiHidden/>
    <w:unhideWhenUsed/>
    <w:rPr>
      <w:color w:val="808080"/>
      <w:shd w:val="clear" w:color="auto" w:fill="E6E6E6"/>
    </w:rPr>
  </w:style>
  <w:style w:type="character" w:customStyle="1" w:styleId="UnresolvedMention4000000000000000">
    <w:name w:val="Unresolved Mention4000000000000000"/>
    <w:basedOn w:val="DefaultParagraphFont"/>
    <w:uiPriority w:val="99"/>
    <w:semiHidden/>
    <w:unhideWhenUsed/>
    <w:rPr>
      <w:color w:val="808080"/>
      <w:shd w:val="clear" w:color="auto" w:fill="E6E6E6"/>
    </w:rPr>
  </w:style>
  <w:style w:type="character" w:customStyle="1" w:styleId="UnresolvedMention40000000000000000">
    <w:name w:val="Unresolved Mention40000000000000000"/>
    <w:basedOn w:val="DefaultParagraphFont"/>
    <w:uiPriority w:val="99"/>
    <w:semiHidden/>
    <w:unhideWhenUsed/>
    <w:rPr>
      <w:color w:val="808080"/>
      <w:shd w:val="clear" w:color="auto" w:fill="E6E6E6"/>
    </w:rPr>
  </w:style>
  <w:style w:type="character" w:customStyle="1" w:styleId="UnresolvedMention400000000000000000">
    <w:name w:val="Unresolved Mention400000000000000000"/>
    <w:basedOn w:val="DefaultParagraphFont"/>
    <w:uiPriority w:val="99"/>
    <w:semiHidden/>
    <w:unhideWhenUsed/>
    <w:rPr>
      <w:color w:val="808080"/>
      <w:shd w:val="clear" w:color="auto" w:fill="E6E6E6"/>
    </w:rPr>
  </w:style>
  <w:style w:type="character" w:customStyle="1" w:styleId="UnresolvedMention4000000000000000000">
    <w:name w:val="Unresolved Mention4000000000000000000"/>
    <w:basedOn w:val="DefaultParagraphFont"/>
    <w:uiPriority w:val="99"/>
    <w:semiHidden/>
    <w:unhideWhenUsed/>
    <w:rPr>
      <w:color w:val="808080"/>
      <w:shd w:val="clear" w:color="auto" w:fill="E6E6E6"/>
    </w:rPr>
  </w:style>
  <w:style w:type="character" w:customStyle="1" w:styleId="UnresolvedMention40000000000000000000">
    <w:name w:val="Unresolved Mention40000000000000000000"/>
    <w:basedOn w:val="DefaultParagraphFont"/>
    <w:uiPriority w:val="99"/>
    <w:semiHidden/>
    <w:unhideWhenUsed/>
    <w:rPr>
      <w:color w:val="808080"/>
      <w:shd w:val="clear" w:color="auto" w:fill="E6E6E6"/>
    </w:rPr>
  </w:style>
  <w:style w:type="character" w:customStyle="1" w:styleId="UnresolvedMention400000000000000000000">
    <w:name w:val="Unresolved Mention400000000000000000000"/>
    <w:basedOn w:val="DefaultParagraphFont"/>
    <w:uiPriority w:val="99"/>
    <w:semiHidden/>
    <w:unhideWhenUsed/>
    <w:rPr>
      <w:color w:val="808080"/>
      <w:shd w:val="clear" w:color="auto" w:fill="E6E6E6"/>
    </w:rPr>
  </w:style>
  <w:style w:type="character" w:customStyle="1" w:styleId="UnresolvedMention4000000000000000000000">
    <w:name w:val="Unresolved Mention4000000000000000000000"/>
    <w:basedOn w:val="DefaultParagraphFont"/>
    <w:uiPriority w:val="99"/>
    <w:semiHidden/>
    <w:unhideWhenUsed/>
    <w:rPr>
      <w:color w:val="808080"/>
      <w:shd w:val="clear" w:color="auto" w:fill="E6E6E6"/>
    </w:rPr>
  </w:style>
  <w:style w:type="character" w:customStyle="1" w:styleId="UnresolvedMention40000000000000000000000">
    <w:name w:val="Unresolved Mention40000000000000000000000"/>
    <w:basedOn w:val="DefaultParagraphFont"/>
    <w:uiPriority w:val="99"/>
    <w:semiHidden/>
    <w:unhideWhenUsed/>
    <w:rPr>
      <w:color w:val="808080"/>
      <w:shd w:val="clear" w:color="auto" w:fill="E6E6E6"/>
    </w:rPr>
  </w:style>
  <w:style w:type="character" w:customStyle="1" w:styleId="UnresolvedMention400000000000000000000000">
    <w:name w:val="Unresolved Mention400000000000000000000000"/>
    <w:basedOn w:val="DefaultParagraphFont"/>
    <w:uiPriority w:val="99"/>
    <w:semiHidden/>
    <w:unhideWhenUsed/>
    <w:rPr>
      <w:color w:val="808080"/>
      <w:shd w:val="clear" w:color="auto" w:fill="E6E6E6"/>
    </w:rPr>
  </w:style>
  <w:style w:type="character" w:customStyle="1" w:styleId="UnresolvedMention4000000000000000000000000">
    <w:name w:val="Unresolved Mention4000000000000000000000000"/>
    <w:basedOn w:val="DefaultParagraphFont"/>
    <w:uiPriority w:val="99"/>
    <w:semiHidden/>
    <w:unhideWhenUsed/>
    <w:rPr>
      <w:color w:val="808080"/>
      <w:shd w:val="clear" w:color="auto" w:fill="E6E6E6"/>
    </w:rPr>
  </w:style>
  <w:style w:type="character" w:customStyle="1" w:styleId="UnresolvedMention40000000000000000000000000">
    <w:name w:val="Unresolved Mention40000000000000000000000000"/>
    <w:basedOn w:val="DefaultParagraphFont"/>
    <w:uiPriority w:val="99"/>
    <w:semiHidden/>
    <w:unhideWhenUsed/>
    <w:rPr>
      <w:color w:val="808080"/>
      <w:shd w:val="clear" w:color="auto" w:fill="E6E6E6"/>
    </w:rPr>
  </w:style>
  <w:style w:type="character" w:customStyle="1" w:styleId="UnresolvedMention400000000000000000000000000">
    <w:name w:val="Unresolved Mention400000000000000000000000000"/>
    <w:basedOn w:val="DefaultParagraphFont"/>
    <w:uiPriority w:val="99"/>
    <w:semiHidden/>
    <w:unhideWhenUsed/>
    <w:rPr>
      <w:color w:val="808080"/>
      <w:shd w:val="clear" w:color="auto" w:fill="E6E6E6"/>
    </w:rPr>
  </w:style>
  <w:style w:type="character" w:customStyle="1" w:styleId="UnresolvedMention4000000000000000000000000000">
    <w:name w:val="Unresolved Mention4000000000000000000000000000"/>
    <w:basedOn w:val="DefaultParagraphFont"/>
    <w:uiPriority w:val="99"/>
    <w:semiHidden/>
    <w:unhideWhenUsed/>
    <w:rPr>
      <w:color w:val="808080"/>
      <w:shd w:val="clear" w:color="auto" w:fill="E6E6E6"/>
    </w:rPr>
  </w:style>
  <w:style w:type="character" w:customStyle="1" w:styleId="UnresolvedMention40000000000000000000000000000">
    <w:name w:val="Unresolved Mention40000000000000000000000000000"/>
    <w:basedOn w:val="DefaultParagraphFont"/>
    <w:uiPriority w:val="99"/>
    <w:semiHidden/>
    <w:unhideWhenUsed/>
    <w:rPr>
      <w:color w:val="808080"/>
      <w:shd w:val="clear" w:color="auto" w:fill="E6E6E6"/>
    </w:rPr>
  </w:style>
  <w:style w:type="character" w:customStyle="1" w:styleId="UnresolvedMention400000000000000000000000000000">
    <w:name w:val="Unresolved Mention400000000000000000000000000000"/>
    <w:basedOn w:val="DefaultParagraphFont"/>
    <w:uiPriority w:val="99"/>
    <w:semiHidden/>
    <w:unhideWhenUsed/>
    <w:rPr>
      <w:color w:val="808080"/>
      <w:shd w:val="clear" w:color="auto" w:fill="E6E6E6"/>
    </w:rPr>
  </w:style>
  <w:style w:type="character" w:customStyle="1" w:styleId="UnresolvedMention4000000000000000000000000000000">
    <w:name w:val="Unresolved Mention4000000000000000000000000000000"/>
    <w:basedOn w:val="DefaultParagraphFont"/>
    <w:uiPriority w:val="99"/>
    <w:semiHidden/>
    <w:unhideWhenUsed/>
    <w:rPr>
      <w:color w:val="808080"/>
      <w:shd w:val="clear" w:color="auto" w:fill="E6E6E6"/>
    </w:rPr>
  </w:style>
  <w:style w:type="character" w:customStyle="1" w:styleId="UnresolvedMention40000000000000000000000000000000">
    <w:name w:val="Unresolved Mention40000000000000000000000000000000"/>
    <w:basedOn w:val="DefaultParagraphFont"/>
    <w:uiPriority w:val="99"/>
    <w:semiHidden/>
    <w:unhideWhenUsed/>
    <w:rPr>
      <w:color w:val="808080"/>
      <w:shd w:val="clear" w:color="auto" w:fill="E6E6E6"/>
    </w:rPr>
  </w:style>
  <w:style w:type="character" w:customStyle="1" w:styleId="UnresolvedMention400000000000000000000000000000000">
    <w:name w:val="Unresolved Mention400000000000000000000000000000000"/>
    <w:basedOn w:val="DefaultParagraphFont"/>
    <w:uiPriority w:val="99"/>
    <w:semiHidden/>
    <w:unhideWhenUsed/>
    <w:rPr>
      <w:color w:val="808080"/>
      <w:shd w:val="clear" w:color="auto" w:fill="E6E6E6"/>
    </w:rPr>
  </w:style>
  <w:style w:type="character" w:customStyle="1" w:styleId="UnresolvedMention4000000000000000000000000000000000">
    <w:name w:val="Unresolved Mention4000000000000000000000000000000000"/>
    <w:basedOn w:val="DefaultParagraphFont"/>
    <w:uiPriority w:val="99"/>
    <w:semiHidden/>
    <w:unhideWhenUsed/>
    <w:rPr>
      <w:color w:val="808080"/>
      <w:shd w:val="clear" w:color="auto" w:fill="E6E6E6"/>
    </w:rPr>
  </w:style>
  <w:style w:type="table" w:customStyle="1" w:styleId="GridTable5Dark-Accent12">
    <w:name w:val="Grid Table 5 Dark - Accent 12"/>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6">
    <w:name w:val="Table Grid6"/>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te">
    <w:name w:val="Note"/>
    <w:basedOn w:val="Normal"/>
    <w:link w:val="NoteChar"/>
    <w:qFormat/>
    <w:pPr>
      <w:spacing w:after="0"/>
      <w:jc w:val="center"/>
    </w:pPr>
    <w:rPr>
      <w:rFonts w:ascii="Verdana" w:eastAsia="Times New Roman" w:hAnsi="Verdana"/>
      <w:i/>
      <w:sz w:val="20"/>
      <w:szCs w:val="20"/>
    </w:rPr>
  </w:style>
  <w:style w:type="character" w:customStyle="1" w:styleId="NoteChar">
    <w:name w:val="Note Char"/>
    <w:link w:val="Note"/>
    <w:rPr>
      <w:rFonts w:ascii="Verdana" w:eastAsia="Times New Roman" w:hAnsi="Verdana"/>
      <w:i/>
      <w:lang w:eastAsia="en-US"/>
    </w:rPr>
  </w:style>
  <w:style w:type="table" w:customStyle="1" w:styleId="TableGrid11">
    <w:name w:val="Table Grid11"/>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TableGrid12">
    <w:name w:val="Table Grid12"/>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2">
    <w:name w:val="Imported Style 2"/>
    <w:pPr>
      <w:numPr>
        <w:numId w:val="25"/>
      </w:numPr>
    </w:pPr>
  </w:style>
  <w:style w:type="paragraph" w:customStyle="1" w:styleId="ZFlag">
    <w:name w:val="Z_Flag"/>
    <w:basedOn w:val="Normal"/>
    <w:next w:val="Normal"/>
    <w:uiPriority w:val="99"/>
    <w:semiHidden/>
    <w:pPr>
      <w:widowControl w:val="0"/>
      <w:spacing w:after="0"/>
      <w:ind w:right="85"/>
    </w:pPr>
    <w:rPr>
      <w:rFonts w:ascii="Arial" w:eastAsia="Times New Roman" w:hAnsi="Arial"/>
      <w:sz w:val="24"/>
      <w:szCs w:val="20"/>
      <w:lang w:eastAsia="en-GB"/>
    </w:rPr>
  </w:style>
  <w:style w:type="paragraph" w:customStyle="1" w:styleId="ZCom">
    <w:name w:val="Z_Com"/>
    <w:basedOn w:val="Normal"/>
    <w:next w:val="Normal"/>
    <w:uiPriority w:val="99"/>
    <w:semiHidden/>
    <w:pPr>
      <w:widowControl w:val="0"/>
      <w:spacing w:before="90" w:after="0"/>
      <w:ind w:right="85"/>
    </w:pPr>
    <w:rPr>
      <w:rFonts w:ascii="Arial" w:eastAsia="Times New Roman" w:hAnsi="Arial"/>
      <w:sz w:val="24"/>
      <w:szCs w:val="20"/>
      <w:lang w:eastAsia="en-GB"/>
    </w:rPr>
  </w:style>
  <w:style w:type="paragraph" w:customStyle="1" w:styleId="ZDGName">
    <w:name w:val="Z_DGName"/>
    <w:basedOn w:val="Normal"/>
    <w:uiPriority w:val="99"/>
    <w:semiHidden/>
    <w:pPr>
      <w:widowControl w:val="0"/>
      <w:spacing w:after="0"/>
      <w:ind w:right="85"/>
      <w:jc w:val="left"/>
    </w:pPr>
    <w:rPr>
      <w:rFonts w:ascii="Arial" w:eastAsia="Times New Roman" w:hAnsi="Arial"/>
      <w:sz w:val="16"/>
      <w:szCs w:val="20"/>
      <w:lang w:eastAsia="en-GB"/>
    </w:rPr>
  </w:style>
  <w:style w:type="table" w:customStyle="1" w:styleId="TableLetterhead">
    <w:name w:val="Table Letterhead"/>
    <w:basedOn w:val="TableNormal"/>
    <w:uiPriority w:val="99"/>
    <w:rPr>
      <w:rFonts w:ascii="Times New Roman" w:eastAsia="Times New Roman" w:hAnsi="Times New Roman"/>
      <w:sz w:val="24"/>
    </w:rPr>
    <w:tblPr>
      <w:tblCellMar>
        <w:left w:w="0" w:type="dxa"/>
        <w:bottom w:w="340" w:type="dxa"/>
        <w:right w:w="0" w:type="dxa"/>
      </w:tblCellMar>
    </w:tblPr>
  </w:style>
  <w:style w:type="paragraph" w:styleId="Date">
    <w:name w:val="Date"/>
    <w:basedOn w:val="Normal"/>
    <w:next w:val="References"/>
    <w:link w:val="DateChar"/>
    <w:pPr>
      <w:spacing w:after="0"/>
      <w:ind w:left="5102" w:right="-567"/>
      <w:jc w:val="left"/>
    </w:pPr>
    <w:rPr>
      <w:rFonts w:eastAsia="Times New Roman"/>
      <w:sz w:val="24"/>
      <w:szCs w:val="20"/>
      <w:lang w:eastAsia="en-GB"/>
    </w:rPr>
  </w:style>
  <w:style w:type="character" w:customStyle="1" w:styleId="DateChar">
    <w:name w:val="Date Char"/>
    <w:basedOn w:val="DefaultParagraphFont"/>
    <w:link w:val="Date"/>
    <w:rPr>
      <w:rFonts w:ascii="Times New Roman" w:eastAsia="Times New Roman" w:hAnsi="Times New Roman"/>
      <w:sz w:val="24"/>
    </w:rPr>
  </w:style>
  <w:style w:type="paragraph" w:customStyle="1" w:styleId="References">
    <w:name w:val="References"/>
    <w:basedOn w:val="Normal"/>
    <w:next w:val="Normal"/>
    <w:pPr>
      <w:spacing w:after="240"/>
      <w:ind w:left="5102"/>
      <w:jc w:val="left"/>
    </w:pPr>
    <w:rPr>
      <w:rFonts w:eastAsia="Times New Roman"/>
      <w:sz w:val="20"/>
      <w:szCs w:val="20"/>
      <w:lang w:eastAsia="en-GB"/>
    </w:rPr>
  </w:style>
  <w:style w:type="table" w:customStyle="1" w:styleId="GridTable1LightAccent1">
    <w:name w:val="Grid Table 1 Light Accent 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ecurityMarking">
    <w:name w:val="SecurityMarking"/>
    <w:basedOn w:val="Normal"/>
    <w:pPr>
      <w:spacing w:after="0" w:line="276" w:lineRule="auto"/>
      <w:ind w:left="5103"/>
      <w:jc w:val="left"/>
    </w:pPr>
    <w:rPr>
      <w:rFonts w:eastAsiaTheme="minorHAnsi"/>
      <w:sz w:val="28"/>
    </w:rPr>
  </w:style>
  <w:style w:type="paragraph" w:customStyle="1" w:styleId="DateMarking">
    <w:name w:val="DateMarking"/>
    <w:basedOn w:val="Normal"/>
    <w:pPr>
      <w:spacing w:after="0" w:line="276" w:lineRule="auto"/>
      <w:ind w:left="5103"/>
      <w:jc w:val="left"/>
    </w:pPr>
    <w:rPr>
      <w:rFonts w:eastAsiaTheme="minorHAnsi"/>
      <w:i/>
      <w:sz w:val="28"/>
    </w:rPr>
  </w:style>
  <w:style w:type="paragraph" w:customStyle="1" w:styleId="ReleasableTo">
    <w:name w:val="ReleasableTo"/>
    <w:basedOn w:val="Normal"/>
    <w:pPr>
      <w:spacing w:after="0" w:line="276" w:lineRule="auto"/>
      <w:ind w:left="5103"/>
      <w:jc w:val="left"/>
    </w:pPr>
    <w:rPr>
      <w:rFonts w:eastAsiaTheme="minorHAnsi"/>
      <w:i/>
      <w:sz w:val="28"/>
    </w:rPr>
  </w:style>
  <w:style w:type="paragraph" w:customStyle="1" w:styleId="HeaderSensitivityRight">
    <w:name w:val="Header Sensitivity Right"/>
    <w:basedOn w:val="Normal"/>
    <w:pPr>
      <w:jc w:val="right"/>
    </w:pPr>
    <w:rPr>
      <w:sz w:val="28"/>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uiPriority w:val="99"/>
    <w:pPr>
      <w:spacing w:after="160" w:line="240" w:lineRule="exact"/>
      <w:jc w:val="left"/>
    </w:pPr>
    <w:rPr>
      <w:rFonts w:ascii="Calibri" w:hAnsi="Calibri"/>
      <w:sz w:val="20"/>
      <w:szCs w:val="20"/>
      <w:vertAlign w:val="superscript"/>
      <w:lang w:eastAsia="en-GB"/>
    </w:rPr>
  </w:style>
  <w:style w:type="table" w:customStyle="1" w:styleId="Table161">
    <w:name w:val="Table 16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Aparajita" w:hAnsi="Aparajita"/>
        <w:b/>
        <w:color w:val="FFFFFF"/>
        <w:sz w:val="16"/>
      </w:rPr>
      <w:tblPr/>
      <w:tcPr>
        <w:shd w:val="clear" w:color="auto" w:fill="005962"/>
      </w:tcPr>
    </w:tblStylePr>
    <w:tblStylePr w:type="firstCol">
      <w:pPr>
        <w:wordWrap/>
        <w:jc w:val="left"/>
        <w:outlineLvl w:val="9"/>
      </w:pPr>
    </w:tblStylePr>
  </w:style>
  <w:style w:type="table" w:customStyle="1" w:styleId="GridTable5DarkAccent3">
    <w:name w:val="Grid Table 5 Dark Accent 3"/>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NoSpacingChar">
    <w:name w:val="No Spacing Char"/>
    <w:basedOn w:val="DefaultParagraphFont"/>
    <w:link w:val="NoSpacing"/>
    <w:uiPriority w:val="1"/>
    <w:rPr>
      <w:rFonts w:ascii="Trebuchet MS" w:eastAsiaTheme="minorHAnsi" w:hAnsi="Trebuchet MS" w:cstheme="minorBidi"/>
      <w:sz w:val="18"/>
      <w:szCs w:val="22"/>
      <w:lang w:eastAsia="en-US"/>
    </w:rPr>
  </w:style>
  <w:style w:type="paragraph" w:styleId="Index1">
    <w:name w:val="index 1"/>
    <w:basedOn w:val="Normal"/>
    <w:next w:val="Normal"/>
    <w:autoRedefine/>
    <w:uiPriority w:val="99"/>
    <w:unhideWhenUsed/>
    <w:pPr>
      <w:spacing w:after="0"/>
      <w:ind w:left="240" w:hanging="240"/>
      <w:jc w:val="left"/>
    </w:pPr>
    <w:rPr>
      <w:rFonts w:asciiTheme="minorHAnsi" w:eastAsia="Times New Roman" w:hAnsiTheme="minorHAnsi" w:cstheme="minorHAnsi"/>
      <w:sz w:val="18"/>
      <w:szCs w:val="18"/>
      <w:lang w:eastAsia="en-GB"/>
    </w:rPr>
  </w:style>
  <w:style w:type="paragraph" w:styleId="Index2">
    <w:name w:val="index 2"/>
    <w:basedOn w:val="Normal"/>
    <w:next w:val="Normal"/>
    <w:autoRedefine/>
    <w:uiPriority w:val="99"/>
    <w:unhideWhenUsed/>
    <w:pPr>
      <w:spacing w:after="0"/>
      <w:ind w:left="480" w:hanging="240"/>
      <w:jc w:val="left"/>
    </w:pPr>
    <w:rPr>
      <w:rFonts w:asciiTheme="minorHAnsi" w:eastAsia="Times New Roman" w:hAnsiTheme="minorHAnsi" w:cstheme="minorHAnsi"/>
      <w:sz w:val="18"/>
      <w:szCs w:val="18"/>
      <w:lang w:eastAsia="en-GB"/>
    </w:rPr>
  </w:style>
  <w:style w:type="paragraph" w:styleId="Index3">
    <w:name w:val="index 3"/>
    <w:basedOn w:val="Normal"/>
    <w:next w:val="Normal"/>
    <w:autoRedefine/>
    <w:uiPriority w:val="99"/>
    <w:unhideWhenUsed/>
    <w:pPr>
      <w:spacing w:after="0"/>
      <w:ind w:left="720" w:hanging="240"/>
      <w:jc w:val="left"/>
    </w:pPr>
    <w:rPr>
      <w:rFonts w:asciiTheme="minorHAnsi" w:eastAsia="Times New Roman" w:hAnsiTheme="minorHAnsi" w:cstheme="minorHAnsi"/>
      <w:sz w:val="18"/>
      <w:szCs w:val="18"/>
      <w:lang w:eastAsia="en-GB"/>
    </w:rPr>
  </w:style>
  <w:style w:type="paragraph" w:styleId="Index4">
    <w:name w:val="index 4"/>
    <w:basedOn w:val="Normal"/>
    <w:next w:val="Normal"/>
    <w:autoRedefine/>
    <w:uiPriority w:val="99"/>
    <w:unhideWhenUsed/>
    <w:pPr>
      <w:spacing w:after="0"/>
      <w:ind w:left="960" w:hanging="240"/>
      <w:jc w:val="left"/>
    </w:pPr>
    <w:rPr>
      <w:rFonts w:asciiTheme="minorHAnsi" w:eastAsia="Times New Roman" w:hAnsiTheme="minorHAnsi" w:cstheme="minorHAnsi"/>
      <w:sz w:val="18"/>
      <w:szCs w:val="18"/>
      <w:lang w:eastAsia="en-GB"/>
    </w:rPr>
  </w:style>
  <w:style w:type="paragraph" w:styleId="Index5">
    <w:name w:val="index 5"/>
    <w:basedOn w:val="Normal"/>
    <w:next w:val="Normal"/>
    <w:autoRedefine/>
    <w:uiPriority w:val="99"/>
    <w:unhideWhenUsed/>
    <w:pPr>
      <w:spacing w:after="0"/>
      <w:ind w:left="1200" w:hanging="240"/>
      <w:jc w:val="left"/>
    </w:pPr>
    <w:rPr>
      <w:rFonts w:asciiTheme="minorHAnsi" w:eastAsia="Times New Roman" w:hAnsiTheme="minorHAnsi" w:cstheme="minorHAnsi"/>
      <w:sz w:val="18"/>
      <w:szCs w:val="18"/>
      <w:lang w:eastAsia="en-GB"/>
    </w:rPr>
  </w:style>
  <w:style w:type="paragraph" w:styleId="Index6">
    <w:name w:val="index 6"/>
    <w:basedOn w:val="Normal"/>
    <w:next w:val="Normal"/>
    <w:autoRedefine/>
    <w:uiPriority w:val="99"/>
    <w:unhideWhenUsed/>
    <w:pPr>
      <w:spacing w:after="0"/>
      <w:ind w:left="1440" w:hanging="240"/>
      <w:jc w:val="left"/>
    </w:pPr>
    <w:rPr>
      <w:rFonts w:asciiTheme="minorHAnsi" w:eastAsia="Times New Roman" w:hAnsiTheme="minorHAnsi" w:cstheme="minorHAnsi"/>
      <w:sz w:val="18"/>
      <w:szCs w:val="18"/>
      <w:lang w:eastAsia="en-GB"/>
    </w:rPr>
  </w:style>
  <w:style w:type="paragraph" w:styleId="Index7">
    <w:name w:val="index 7"/>
    <w:basedOn w:val="Normal"/>
    <w:next w:val="Normal"/>
    <w:autoRedefine/>
    <w:uiPriority w:val="99"/>
    <w:unhideWhenUsed/>
    <w:pPr>
      <w:spacing w:after="0"/>
      <w:ind w:left="1680" w:hanging="240"/>
      <w:jc w:val="left"/>
    </w:pPr>
    <w:rPr>
      <w:rFonts w:asciiTheme="minorHAnsi" w:eastAsia="Times New Roman" w:hAnsiTheme="minorHAnsi" w:cstheme="minorHAnsi"/>
      <w:sz w:val="18"/>
      <w:szCs w:val="18"/>
      <w:lang w:eastAsia="en-GB"/>
    </w:rPr>
  </w:style>
  <w:style w:type="paragraph" w:styleId="Index8">
    <w:name w:val="index 8"/>
    <w:basedOn w:val="Normal"/>
    <w:next w:val="Normal"/>
    <w:autoRedefine/>
    <w:uiPriority w:val="99"/>
    <w:unhideWhenUsed/>
    <w:pPr>
      <w:spacing w:after="0"/>
      <w:ind w:left="1920" w:hanging="240"/>
      <w:jc w:val="left"/>
    </w:pPr>
    <w:rPr>
      <w:rFonts w:asciiTheme="minorHAnsi" w:eastAsia="Times New Roman" w:hAnsiTheme="minorHAnsi" w:cstheme="minorHAnsi"/>
      <w:sz w:val="18"/>
      <w:szCs w:val="18"/>
      <w:lang w:eastAsia="en-GB"/>
    </w:rPr>
  </w:style>
  <w:style w:type="paragraph" w:styleId="Index9">
    <w:name w:val="index 9"/>
    <w:basedOn w:val="Normal"/>
    <w:next w:val="Normal"/>
    <w:autoRedefine/>
    <w:uiPriority w:val="99"/>
    <w:unhideWhenUsed/>
    <w:pPr>
      <w:spacing w:after="0"/>
      <w:ind w:left="2160" w:hanging="240"/>
      <w:jc w:val="left"/>
    </w:pPr>
    <w:rPr>
      <w:rFonts w:asciiTheme="minorHAnsi" w:eastAsia="Times New Roman" w:hAnsiTheme="minorHAnsi" w:cstheme="minorHAnsi"/>
      <w:sz w:val="18"/>
      <w:szCs w:val="18"/>
      <w:lang w:eastAsia="en-GB"/>
    </w:rPr>
  </w:style>
  <w:style w:type="paragraph" w:styleId="IndexHeading">
    <w:name w:val="index heading"/>
    <w:basedOn w:val="Normal"/>
    <w:next w:val="Index1"/>
    <w:uiPriority w:val="99"/>
    <w:unhideWhenUsed/>
    <w:pPr>
      <w:spacing w:before="240"/>
      <w:jc w:val="center"/>
    </w:pPr>
    <w:rPr>
      <w:rFonts w:asciiTheme="minorHAnsi" w:eastAsia="Times New Roman" w:hAnsiTheme="minorHAnsi" w:cstheme="minorHAnsi"/>
      <w:b/>
      <w:bCs/>
      <w:sz w:val="26"/>
      <w:szCs w:val="26"/>
      <w:lang w:eastAsia="en-GB"/>
    </w:rPr>
  </w:style>
  <w:style w:type="character" w:customStyle="1" w:styleId="FooterSensitivityChar">
    <w:name w:val="Footer Sensitivity Char"/>
    <w:basedOn w:val="DefaultParagraphFont"/>
    <w:link w:val="FooterSensitivity"/>
    <w:rPr>
      <w:rFonts w:ascii="Times New Roman" w:hAnsi="Times New Roman"/>
      <w:b/>
      <w:sz w:val="32"/>
      <w:szCs w:val="22"/>
      <w:lang w:eastAsia="en-US"/>
    </w:rPr>
  </w:style>
  <w:style w:type="character" w:customStyle="1" w:styleId="HeaderSensitivityChar">
    <w:name w:val="Header Sensitivity Char"/>
    <w:basedOn w:val="DefaultParagraphFont"/>
    <w:link w:val="HeaderSensitivity"/>
    <w:rPr>
      <w:rFonts w:ascii="Times New Roman" w:hAnsi="Times New Roman"/>
      <w:b/>
      <w:sz w:val="3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7978">
      <w:bodyDiv w:val="1"/>
      <w:marLeft w:val="0"/>
      <w:marRight w:val="0"/>
      <w:marTop w:val="0"/>
      <w:marBottom w:val="0"/>
      <w:divBdr>
        <w:top w:val="none" w:sz="0" w:space="0" w:color="auto"/>
        <w:left w:val="none" w:sz="0" w:space="0" w:color="auto"/>
        <w:bottom w:val="none" w:sz="0" w:space="0" w:color="auto"/>
        <w:right w:val="none" w:sz="0" w:space="0" w:color="auto"/>
      </w:divBdr>
    </w:div>
    <w:div w:id="10112377">
      <w:bodyDiv w:val="1"/>
      <w:marLeft w:val="0"/>
      <w:marRight w:val="0"/>
      <w:marTop w:val="0"/>
      <w:marBottom w:val="0"/>
      <w:divBdr>
        <w:top w:val="none" w:sz="0" w:space="0" w:color="auto"/>
        <w:left w:val="none" w:sz="0" w:space="0" w:color="auto"/>
        <w:bottom w:val="none" w:sz="0" w:space="0" w:color="auto"/>
        <w:right w:val="none" w:sz="0" w:space="0" w:color="auto"/>
      </w:divBdr>
    </w:div>
    <w:div w:id="26413483">
      <w:bodyDiv w:val="1"/>
      <w:marLeft w:val="0"/>
      <w:marRight w:val="0"/>
      <w:marTop w:val="0"/>
      <w:marBottom w:val="0"/>
      <w:divBdr>
        <w:top w:val="none" w:sz="0" w:space="0" w:color="auto"/>
        <w:left w:val="none" w:sz="0" w:space="0" w:color="auto"/>
        <w:bottom w:val="none" w:sz="0" w:space="0" w:color="auto"/>
        <w:right w:val="none" w:sz="0" w:space="0" w:color="auto"/>
      </w:divBdr>
    </w:div>
    <w:div w:id="49884965">
      <w:bodyDiv w:val="1"/>
      <w:marLeft w:val="0"/>
      <w:marRight w:val="0"/>
      <w:marTop w:val="0"/>
      <w:marBottom w:val="0"/>
      <w:divBdr>
        <w:top w:val="none" w:sz="0" w:space="0" w:color="auto"/>
        <w:left w:val="none" w:sz="0" w:space="0" w:color="auto"/>
        <w:bottom w:val="none" w:sz="0" w:space="0" w:color="auto"/>
        <w:right w:val="none" w:sz="0" w:space="0" w:color="auto"/>
      </w:divBdr>
    </w:div>
    <w:div w:id="66000208">
      <w:bodyDiv w:val="1"/>
      <w:marLeft w:val="0"/>
      <w:marRight w:val="0"/>
      <w:marTop w:val="0"/>
      <w:marBottom w:val="0"/>
      <w:divBdr>
        <w:top w:val="none" w:sz="0" w:space="0" w:color="auto"/>
        <w:left w:val="none" w:sz="0" w:space="0" w:color="auto"/>
        <w:bottom w:val="none" w:sz="0" w:space="0" w:color="auto"/>
        <w:right w:val="none" w:sz="0" w:space="0" w:color="auto"/>
      </w:divBdr>
    </w:div>
    <w:div w:id="79715177">
      <w:bodyDiv w:val="1"/>
      <w:marLeft w:val="0"/>
      <w:marRight w:val="0"/>
      <w:marTop w:val="0"/>
      <w:marBottom w:val="0"/>
      <w:divBdr>
        <w:top w:val="none" w:sz="0" w:space="0" w:color="auto"/>
        <w:left w:val="none" w:sz="0" w:space="0" w:color="auto"/>
        <w:bottom w:val="none" w:sz="0" w:space="0" w:color="auto"/>
        <w:right w:val="none" w:sz="0" w:space="0" w:color="auto"/>
      </w:divBdr>
    </w:div>
    <w:div w:id="102656993">
      <w:bodyDiv w:val="1"/>
      <w:marLeft w:val="0"/>
      <w:marRight w:val="0"/>
      <w:marTop w:val="0"/>
      <w:marBottom w:val="0"/>
      <w:divBdr>
        <w:top w:val="none" w:sz="0" w:space="0" w:color="auto"/>
        <w:left w:val="none" w:sz="0" w:space="0" w:color="auto"/>
        <w:bottom w:val="none" w:sz="0" w:space="0" w:color="auto"/>
        <w:right w:val="none" w:sz="0" w:space="0" w:color="auto"/>
      </w:divBdr>
    </w:div>
    <w:div w:id="116071148">
      <w:bodyDiv w:val="1"/>
      <w:marLeft w:val="0"/>
      <w:marRight w:val="0"/>
      <w:marTop w:val="0"/>
      <w:marBottom w:val="0"/>
      <w:divBdr>
        <w:top w:val="none" w:sz="0" w:space="0" w:color="auto"/>
        <w:left w:val="none" w:sz="0" w:space="0" w:color="auto"/>
        <w:bottom w:val="none" w:sz="0" w:space="0" w:color="auto"/>
        <w:right w:val="none" w:sz="0" w:space="0" w:color="auto"/>
      </w:divBdr>
    </w:div>
    <w:div w:id="138496029">
      <w:bodyDiv w:val="1"/>
      <w:marLeft w:val="0"/>
      <w:marRight w:val="0"/>
      <w:marTop w:val="0"/>
      <w:marBottom w:val="0"/>
      <w:divBdr>
        <w:top w:val="none" w:sz="0" w:space="0" w:color="auto"/>
        <w:left w:val="none" w:sz="0" w:space="0" w:color="auto"/>
        <w:bottom w:val="none" w:sz="0" w:space="0" w:color="auto"/>
        <w:right w:val="none" w:sz="0" w:space="0" w:color="auto"/>
      </w:divBdr>
    </w:div>
    <w:div w:id="153879176">
      <w:bodyDiv w:val="1"/>
      <w:marLeft w:val="0"/>
      <w:marRight w:val="0"/>
      <w:marTop w:val="0"/>
      <w:marBottom w:val="0"/>
      <w:divBdr>
        <w:top w:val="none" w:sz="0" w:space="0" w:color="auto"/>
        <w:left w:val="none" w:sz="0" w:space="0" w:color="auto"/>
        <w:bottom w:val="none" w:sz="0" w:space="0" w:color="auto"/>
        <w:right w:val="none" w:sz="0" w:space="0" w:color="auto"/>
      </w:divBdr>
    </w:div>
    <w:div w:id="158008047">
      <w:bodyDiv w:val="1"/>
      <w:marLeft w:val="0"/>
      <w:marRight w:val="0"/>
      <w:marTop w:val="0"/>
      <w:marBottom w:val="0"/>
      <w:divBdr>
        <w:top w:val="none" w:sz="0" w:space="0" w:color="auto"/>
        <w:left w:val="none" w:sz="0" w:space="0" w:color="auto"/>
        <w:bottom w:val="none" w:sz="0" w:space="0" w:color="auto"/>
        <w:right w:val="none" w:sz="0" w:space="0" w:color="auto"/>
      </w:divBdr>
    </w:div>
    <w:div w:id="172305630">
      <w:bodyDiv w:val="1"/>
      <w:marLeft w:val="0"/>
      <w:marRight w:val="0"/>
      <w:marTop w:val="0"/>
      <w:marBottom w:val="0"/>
      <w:divBdr>
        <w:top w:val="none" w:sz="0" w:space="0" w:color="auto"/>
        <w:left w:val="none" w:sz="0" w:space="0" w:color="auto"/>
        <w:bottom w:val="none" w:sz="0" w:space="0" w:color="auto"/>
        <w:right w:val="none" w:sz="0" w:space="0" w:color="auto"/>
      </w:divBdr>
    </w:div>
    <w:div w:id="180895216">
      <w:bodyDiv w:val="1"/>
      <w:marLeft w:val="0"/>
      <w:marRight w:val="0"/>
      <w:marTop w:val="0"/>
      <w:marBottom w:val="0"/>
      <w:divBdr>
        <w:top w:val="none" w:sz="0" w:space="0" w:color="auto"/>
        <w:left w:val="none" w:sz="0" w:space="0" w:color="auto"/>
        <w:bottom w:val="none" w:sz="0" w:space="0" w:color="auto"/>
        <w:right w:val="none" w:sz="0" w:space="0" w:color="auto"/>
      </w:divBdr>
    </w:div>
    <w:div w:id="182518696">
      <w:bodyDiv w:val="1"/>
      <w:marLeft w:val="0"/>
      <w:marRight w:val="0"/>
      <w:marTop w:val="0"/>
      <w:marBottom w:val="0"/>
      <w:divBdr>
        <w:top w:val="none" w:sz="0" w:space="0" w:color="auto"/>
        <w:left w:val="none" w:sz="0" w:space="0" w:color="auto"/>
        <w:bottom w:val="none" w:sz="0" w:space="0" w:color="auto"/>
        <w:right w:val="none" w:sz="0" w:space="0" w:color="auto"/>
      </w:divBdr>
    </w:div>
    <w:div w:id="209611282">
      <w:bodyDiv w:val="1"/>
      <w:marLeft w:val="0"/>
      <w:marRight w:val="0"/>
      <w:marTop w:val="0"/>
      <w:marBottom w:val="0"/>
      <w:divBdr>
        <w:top w:val="none" w:sz="0" w:space="0" w:color="auto"/>
        <w:left w:val="none" w:sz="0" w:space="0" w:color="auto"/>
        <w:bottom w:val="none" w:sz="0" w:space="0" w:color="auto"/>
        <w:right w:val="none" w:sz="0" w:space="0" w:color="auto"/>
      </w:divBdr>
    </w:div>
    <w:div w:id="227737614">
      <w:bodyDiv w:val="1"/>
      <w:marLeft w:val="0"/>
      <w:marRight w:val="0"/>
      <w:marTop w:val="0"/>
      <w:marBottom w:val="0"/>
      <w:divBdr>
        <w:top w:val="none" w:sz="0" w:space="0" w:color="auto"/>
        <w:left w:val="none" w:sz="0" w:space="0" w:color="auto"/>
        <w:bottom w:val="none" w:sz="0" w:space="0" w:color="auto"/>
        <w:right w:val="none" w:sz="0" w:space="0" w:color="auto"/>
      </w:divBdr>
    </w:div>
    <w:div w:id="231165206">
      <w:bodyDiv w:val="1"/>
      <w:marLeft w:val="0"/>
      <w:marRight w:val="0"/>
      <w:marTop w:val="0"/>
      <w:marBottom w:val="0"/>
      <w:divBdr>
        <w:top w:val="none" w:sz="0" w:space="0" w:color="auto"/>
        <w:left w:val="none" w:sz="0" w:space="0" w:color="auto"/>
        <w:bottom w:val="none" w:sz="0" w:space="0" w:color="auto"/>
        <w:right w:val="none" w:sz="0" w:space="0" w:color="auto"/>
      </w:divBdr>
    </w:div>
    <w:div w:id="259921959">
      <w:bodyDiv w:val="1"/>
      <w:marLeft w:val="0"/>
      <w:marRight w:val="0"/>
      <w:marTop w:val="0"/>
      <w:marBottom w:val="0"/>
      <w:divBdr>
        <w:top w:val="none" w:sz="0" w:space="0" w:color="auto"/>
        <w:left w:val="none" w:sz="0" w:space="0" w:color="auto"/>
        <w:bottom w:val="none" w:sz="0" w:space="0" w:color="auto"/>
        <w:right w:val="none" w:sz="0" w:space="0" w:color="auto"/>
      </w:divBdr>
    </w:div>
    <w:div w:id="266887327">
      <w:bodyDiv w:val="1"/>
      <w:marLeft w:val="0"/>
      <w:marRight w:val="0"/>
      <w:marTop w:val="0"/>
      <w:marBottom w:val="0"/>
      <w:divBdr>
        <w:top w:val="none" w:sz="0" w:space="0" w:color="auto"/>
        <w:left w:val="none" w:sz="0" w:space="0" w:color="auto"/>
        <w:bottom w:val="none" w:sz="0" w:space="0" w:color="auto"/>
        <w:right w:val="none" w:sz="0" w:space="0" w:color="auto"/>
      </w:divBdr>
    </w:div>
    <w:div w:id="272251418">
      <w:bodyDiv w:val="1"/>
      <w:marLeft w:val="0"/>
      <w:marRight w:val="0"/>
      <w:marTop w:val="0"/>
      <w:marBottom w:val="0"/>
      <w:divBdr>
        <w:top w:val="none" w:sz="0" w:space="0" w:color="auto"/>
        <w:left w:val="none" w:sz="0" w:space="0" w:color="auto"/>
        <w:bottom w:val="none" w:sz="0" w:space="0" w:color="auto"/>
        <w:right w:val="none" w:sz="0" w:space="0" w:color="auto"/>
      </w:divBdr>
    </w:div>
    <w:div w:id="281421543">
      <w:bodyDiv w:val="1"/>
      <w:marLeft w:val="0"/>
      <w:marRight w:val="0"/>
      <w:marTop w:val="0"/>
      <w:marBottom w:val="0"/>
      <w:divBdr>
        <w:top w:val="none" w:sz="0" w:space="0" w:color="auto"/>
        <w:left w:val="none" w:sz="0" w:space="0" w:color="auto"/>
        <w:bottom w:val="none" w:sz="0" w:space="0" w:color="auto"/>
        <w:right w:val="none" w:sz="0" w:space="0" w:color="auto"/>
      </w:divBdr>
    </w:div>
    <w:div w:id="290131836">
      <w:bodyDiv w:val="1"/>
      <w:marLeft w:val="0"/>
      <w:marRight w:val="0"/>
      <w:marTop w:val="0"/>
      <w:marBottom w:val="0"/>
      <w:divBdr>
        <w:top w:val="none" w:sz="0" w:space="0" w:color="auto"/>
        <w:left w:val="none" w:sz="0" w:space="0" w:color="auto"/>
        <w:bottom w:val="none" w:sz="0" w:space="0" w:color="auto"/>
        <w:right w:val="none" w:sz="0" w:space="0" w:color="auto"/>
      </w:divBdr>
    </w:div>
    <w:div w:id="340933859">
      <w:bodyDiv w:val="1"/>
      <w:marLeft w:val="0"/>
      <w:marRight w:val="0"/>
      <w:marTop w:val="0"/>
      <w:marBottom w:val="0"/>
      <w:divBdr>
        <w:top w:val="none" w:sz="0" w:space="0" w:color="auto"/>
        <w:left w:val="none" w:sz="0" w:space="0" w:color="auto"/>
        <w:bottom w:val="none" w:sz="0" w:space="0" w:color="auto"/>
        <w:right w:val="none" w:sz="0" w:space="0" w:color="auto"/>
      </w:divBdr>
    </w:div>
    <w:div w:id="353771103">
      <w:bodyDiv w:val="1"/>
      <w:marLeft w:val="0"/>
      <w:marRight w:val="0"/>
      <w:marTop w:val="0"/>
      <w:marBottom w:val="0"/>
      <w:divBdr>
        <w:top w:val="none" w:sz="0" w:space="0" w:color="auto"/>
        <w:left w:val="none" w:sz="0" w:space="0" w:color="auto"/>
        <w:bottom w:val="none" w:sz="0" w:space="0" w:color="auto"/>
        <w:right w:val="none" w:sz="0" w:space="0" w:color="auto"/>
      </w:divBdr>
    </w:div>
    <w:div w:id="358314084">
      <w:bodyDiv w:val="1"/>
      <w:marLeft w:val="0"/>
      <w:marRight w:val="0"/>
      <w:marTop w:val="0"/>
      <w:marBottom w:val="0"/>
      <w:divBdr>
        <w:top w:val="none" w:sz="0" w:space="0" w:color="auto"/>
        <w:left w:val="none" w:sz="0" w:space="0" w:color="auto"/>
        <w:bottom w:val="none" w:sz="0" w:space="0" w:color="auto"/>
        <w:right w:val="none" w:sz="0" w:space="0" w:color="auto"/>
      </w:divBdr>
    </w:div>
    <w:div w:id="367222173">
      <w:bodyDiv w:val="1"/>
      <w:marLeft w:val="0"/>
      <w:marRight w:val="0"/>
      <w:marTop w:val="0"/>
      <w:marBottom w:val="0"/>
      <w:divBdr>
        <w:top w:val="none" w:sz="0" w:space="0" w:color="auto"/>
        <w:left w:val="none" w:sz="0" w:space="0" w:color="auto"/>
        <w:bottom w:val="none" w:sz="0" w:space="0" w:color="auto"/>
        <w:right w:val="none" w:sz="0" w:space="0" w:color="auto"/>
      </w:divBdr>
    </w:div>
    <w:div w:id="413472222">
      <w:bodyDiv w:val="1"/>
      <w:marLeft w:val="0"/>
      <w:marRight w:val="0"/>
      <w:marTop w:val="0"/>
      <w:marBottom w:val="0"/>
      <w:divBdr>
        <w:top w:val="none" w:sz="0" w:space="0" w:color="auto"/>
        <w:left w:val="none" w:sz="0" w:space="0" w:color="auto"/>
        <w:bottom w:val="none" w:sz="0" w:space="0" w:color="auto"/>
        <w:right w:val="none" w:sz="0" w:space="0" w:color="auto"/>
      </w:divBdr>
    </w:div>
    <w:div w:id="431826512">
      <w:bodyDiv w:val="1"/>
      <w:marLeft w:val="0"/>
      <w:marRight w:val="0"/>
      <w:marTop w:val="0"/>
      <w:marBottom w:val="0"/>
      <w:divBdr>
        <w:top w:val="none" w:sz="0" w:space="0" w:color="auto"/>
        <w:left w:val="none" w:sz="0" w:space="0" w:color="auto"/>
        <w:bottom w:val="none" w:sz="0" w:space="0" w:color="auto"/>
        <w:right w:val="none" w:sz="0" w:space="0" w:color="auto"/>
      </w:divBdr>
    </w:div>
    <w:div w:id="438645381">
      <w:bodyDiv w:val="1"/>
      <w:marLeft w:val="0"/>
      <w:marRight w:val="0"/>
      <w:marTop w:val="0"/>
      <w:marBottom w:val="0"/>
      <w:divBdr>
        <w:top w:val="none" w:sz="0" w:space="0" w:color="auto"/>
        <w:left w:val="none" w:sz="0" w:space="0" w:color="auto"/>
        <w:bottom w:val="none" w:sz="0" w:space="0" w:color="auto"/>
        <w:right w:val="none" w:sz="0" w:space="0" w:color="auto"/>
      </w:divBdr>
    </w:div>
    <w:div w:id="476383265">
      <w:bodyDiv w:val="1"/>
      <w:marLeft w:val="0"/>
      <w:marRight w:val="0"/>
      <w:marTop w:val="0"/>
      <w:marBottom w:val="0"/>
      <w:divBdr>
        <w:top w:val="none" w:sz="0" w:space="0" w:color="auto"/>
        <w:left w:val="none" w:sz="0" w:space="0" w:color="auto"/>
        <w:bottom w:val="none" w:sz="0" w:space="0" w:color="auto"/>
        <w:right w:val="none" w:sz="0" w:space="0" w:color="auto"/>
      </w:divBdr>
    </w:div>
    <w:div w:id="486015631">
      <w:bodyDiv w:val="1"/>
      <w:marLeft w:val="0"/>
      <w:marRight w:val="0"/>
      <w:marTop w:val="0"/>
      <w:marBottom w:val="0"/>
      <w:divBdr>
        <w:top w:val="none" w:sz="0" w:space="0" w:color="auto"/>
        <w:left w:val="none" w:sz="0" w:space="0" w:color="auto"/>
        <w:bottom w:val="none" w:sz="0" w:space="0" w:color="auto"/>
        <w:right w:val="none" w:sz="0" w:space="0" w:color="auto"/>
      </w:divBdr>
    </w:div>
    <w:div w:id="489251873">
      <w:bodyDiv w:val="1"/>
      <w:marLeft w:val="0"/>
      <w:marRight w:val="0"/>
      <w:marTop w:val="0"/>
      <w:marBottom w:val="0"/>
      <w:divBdr>
        <w:top w:val="none" w:sz="0" w:space="0" w:color="auto"/>
        <w:left w:val="none" w:sz="0" w:space="0" w:color="auto"/>
        <w:bottom w:val="none" w:sz="0" w:space="0" w:color="auto"/>
        <w:right w:val="none" w:sz="0" w:space="0" w:color="auto"/>
      </w:divBdr>
    </w:div>
    <w:div w:id="514347334">
      <w:bodyDiv w:val="1"/>
      <w:marLeft w:val="0"/>
      <w:marRight w:val="0"/>
      <w:marTop w:val="0"/>
      <w:marBottom w:val="0"/>
      <w:divBdr>
        <w:top w:val="none" w:sz="0" w:space="0" w:color="auto"/>
        <w:left w:val="none" w:sz="0" w:space="0" w:color="auto"/>
        <w:bottom w:val="none" w:sz="0" w:space="0" w:color="auto"/>
        <w:right w:val="none" w:sz="0" w:space="0" w:color="auto"/>
      </w:divBdr>
    </w:div>
    <w:div w:id="515926961">
      <w:bodyDiv w:val="1"/>
      <w:marLeft w:val="0"/>
      <w:marRight w:val="0"/>
      <w:marTop w:val="0"/>
      <w:marBottom w:val="0"/>
      <w:divBdr>
        <w:top w:val="none" w:sz="0" w:space="0" w:color="auto"/>
        <w:left w:val="none" w:sz="0" w:space="0" w:color="auto"/>
        <w:bottom w:val="none" w:sz="0" w:space="0" w:color="auto"/>
        <w:right w:val="none" w:sz="0" w:space="0" w:color="auto"/>
      </w:divBdr>
    </w:div>
    <w:div w:id="522984785">
      <w:bodyDiv w:val="1"/>
      <w:marLeft w:val="0"/>
      <w:marRight w:val="0"/>
      <w:marTop w:val="0"/>
      <w:marBottom w:val="0"/>
      <w:divBdr>
        <w:top w:val="none" w:sz="0" w:space="0" w:color="auto"/>
        <w:left w:val="none" w:sz="0" w:space="0" w:color="auto"/>
        <w:bottom w:val="none" w:sz="0" w:space="0" w:color="auto"/>
        <w:right w:val="none" w:sz="0" w:space="0" w:color="auto"/>
      </w:divBdr>
    </w:div>
    <w:div w:id="531573526">
      <w:bodyDiv w:val="1"/>
      <w:marLeft w:val="0"/>
      <w:marRight w:val="0"/>
      <w:marTop w:val="0"/>
      <w:marBottom w:val="0"/>
      <w:divBdr>
        <w:top w:val="none" w:sz="0" w:space="0" w:color="auto"/>
        <w:left w:val="none" w:sz="0" w:space="0" w:color="auto"/>
        <w:bottom w:val="none" w:sz="0" w:space="0" w:color="auto"/>
        <w:right w:val="none" w:sz="0" w:space="0" w:color="auto"/>
      </w:divBdr>
    </w:div>
    <w:div w:id="532227924">
      <w:bodyDiv w:val="1"/>
      <w:marLeft w:val="0"/>
      <w:marRight w:val="0"/>
      <w:marTop w:val="0"/>
      <w:marBottom w:val="0"/>
      <w:divBdr>
        <w:top w:val="none" w:sz="0" w:space="0" w:color="auto"/>
        <w:left w:val="none" w:sz="0" w:space="0" w:color="auto"/>
        <w:bottom w:val="none" w:sz="0" w:space="0" w:color="auto"/>
        <w:right w:val="none" w:sz="0" w:space="0" w:color="auto"/>
      </w:divBdr>
    </w:div>
    <w:div w:id="557013463">
      <w:bodyDiv w:val="1"/>
      <w:marLeft w:val="0"/>
      <w:marRight w:val="0"/>
      <w:marTop w:val="0"/>
      <w:marBottom w:val="0"/>
      <w:divBdr>
        <w:top w:val="none" w:sz="0" w:space="0" w:color="auto"/>
        <w:left w:val="none" w:sz="0" w:space="0" w:color="auto"/>
        <w:bottom w:val="none" w:sz="0" w:space="0" w:color="auto"/>
        <w:right w:val="none" w:sz="0" w:space="0" w:color="auto"/>
      </w:divBdr>
    </w:div>
    <w:div w:id="591201583">
      <w:bodyDiv w:val="1"/>
      <w:marLeft w:val="0"/>
      <w:marRight w:val="0"/>
      <w:marTop w:val="0"/>
      <w:marBottom w:val="0"/>
      <w:divBdr>
        <w:top w:val="none" w:sz="0" w:space="0" w:color="auto"/>
        <w:left w:val="none" w:sz="0" w:space="0" w:color="auto"/>
        <w:bottom w:val="none" w:sz="0" w:space="0" w:color="auto"/>
        <w:right w:val="none" w:sz="0" w:space="0" w:color="auto"/>
      </w:divBdr>
    </w:div>
    <w:div w:id="629552205">
      <w:bodyDiv w:val="1"/>
      <w:marLeft w:val="0"/>
      <w:marRight w:val="0"/>
      <w:marTop w:val="0"/>
      <w:marBottom w:val="0"/>
      <w:divBdr>
        <w:top w:val="none" w:sz="0" w:space="0" w:color="auto"/>
        <w:left w:val="none" w:sz="0" w:space="0" w:color="auto"/>
        <w:bottom w:val="none" w:sz="0" w:space="0" w:color="auto"/>
        <w:right w:val="none" w:sz="0" w:space="0" w:color="auto"/>
      </w:divBdr>
    </w:div>
    <w:div w:id="631642151">
      <w:bodyDiv w:val="1"/>
      <w:marLeft w:val="0"/>
      <w:marRight w:val="0"/>
      <w:marTop w:val="0"/>
      <w:marBottom w:val="0"/>
      <w:divBdr>
        <w:top w:val="none" w:sz="0" w:space="0" w:color="auto"/>
        <w:left w:val="none" w:sz="0" w:space="0" w:color="auto"/>
        <w:bottom w:val="none" w:sz="0" w:space="0" w:color="auto"/>
        <w:right w:val="none" w:sz="0" w:space="0" w:color="auto"/>
      </w:divBdr>
    </w:div>
    <w:div w:id="640042113">
      <w:bodyDiv w:val="1"/>
      <w:marLeft w:val="0"/>
      <w:marRight w:val="0"/>
      <w:marTop w:val="0"/>
      <w:marBottom w:val="0"/>
      <w:divBdr>
        <w:top w:val="none" w:sz="0" w:space="0" w:color="auto"/>
        <w:left w:val="none" w:sz="0" w:space="0" w:color="auto"/>
        <w:bottom w:val="none" w:sz="0" w:space="0" w:color="auto"/>
        <w:right w:val="none" w:sz="0" w:space="0" w:color="auto"/>
      </w:divBdr>
    </w:div>
    <w:div w:id="672488761">
      <w:bodyDiv w:val="1"/>
      <w:marLeft w:val="0"/>
      <w:marRight w:val="0"/>
      <w:marTop w:val="0"/>
      <w:marBottom w:val="0"/>
      <w:divBdr>
        <w:top w:val="none" w:sz="0" w:space="0" w:color="auto"/>
        <w:left w:val="none" w:sz="0" w:space="0" w:color="auto"/>
        <w:bottom w:val="none" w:sz="0" w:space="0" w:color="auto"/>
        <w:right w:val="none" w:sz="0" w:space="0" w:color="auto"/>
      </w:divBdr>
    </w:div>
    <w:div w:id="688264649">
      <w:bodyDiv w:val="1"/>
      <w:marLeft w:val="0"/>
      <w:marRight w:val="0"/>
      <w:marTop w:val="0"/>
      <w:marBottom w:val="0"/>
      <w:divBdr>
        <w:top w:val="none" w:sz="0" w:space="0" w:color="auto"/>
        <w:left w:val="none" w:sz="0" w:space="0" w:color="auto"/>
        <w:bottom w:val="none" w:sz="0" w:space="0" w:color="auto"/>
        <w:right w:val="none" w:sz="0" w:space="0" w:color="auto"/>
      </w:divBdr>
    </w:div>
    <w:div w:id="692149604">
      <w:bodyDiv w:val="1"/>
      <w:marLeft w:val="0"/>
      <w:marRight w:val="0"/>
      <w:marTop w:val="0"/>
      <w:marBottom w:val="0"/>
      <w:divBdr>
        <w:top w:val="none" w:sz="0" w:space="0" w:color="auto"/>
        <w:left w:val="none" w:sz="0" w:space="0" w:color="auto"/>
        <w:bottom w:val="none" w:sz="0" w:space="0" w:color="auto"/>
        <w:right w:val="none" w:sz="0" w:space="0" w:color="auto"/>
      </w:divBdr>
    </w:div>
    <w:div w:id="708183410">
      <w:bodyDiv w:val="1"/>
      <w:marLeft w:val="0"/>
      <w:marRight w:val="0"/>
      <w:marTop w:val="0"/>
      <w:marBottom w:val="0"/>
      <w:divBdr>
        <w:top w:val="none" w:sz="0" w:space="0" w:color="auto"/>
        <w:left w:val="none" w:sz="0" w:space="0" w:color="auto"/>
        <w:bottom w:val="none" w:sz="0" w:space="0" w:color="auto"/>
        <w:right w:val="none" w:sz="0" w:space="0" w:color="auto"/>
      </w:divBdr>
    </w:div>
    <w:div w:id="712071890">
      <w:bodyDiv w:val="1"/>
      <w:marLeft w:val="0"/>
      <w:marRight w:val="0"/>
      <w:marTop w:val="0"/>
      <w:marBottom w:val="0"/>
      <w:divBdr>
        <w:top w:val="none" w:sz="0" w:space="0" w:color="auto"/>
        <w:left w:val="none" w:sz="0" w:space="0" w:color="auto"/>
        <w:bottom w:val="none" w:sz="0" w:space="0" w:color="auto"/>
        <w:right w:val="none" w:sz="0" w:space="0" w:color="auto"/>
      </w:divBdr>
    </w:div>
    <w:div w:id="739791503">
      <w:bodyDiv w:val="1"/>
      <w:marLeft w:val="0"/>
      <w:marRight w:val="0"/>
      <w:marTop w:val="0"/>
      <w:marBottom w:val="0"/>
      <w:divBdr>
        <w:top w:val="none" w:sz="0" w:space="0" w:color="auto"/>
        <w:left w:val="none" w:sz="0" w:space="0" w:color="auto"/>
        <w:bottom w:val="none" w:sz="0" w:space="0" w:color="auto"/>
        <w:right w:val="none" w:sz="0" w:space="0" w:color="auto"/>
      </w:divBdr>
    </w:div>
    <w:div w:id="748504751">
      <w:bodyDiv w:val="1"/>
      <w:marLeft w:val="0"/>
      <w:marRight w:val="0"/>
      <w:marTop w:val="0"/>
      <w:marBottom w:val="0"/>
      <w:divBdr>
        <w:top w:val="none" w:sz="0" w:space="0" w:color="auto"/>
        <w:left w:val="none" w:sz="0" w:space="0" w:color="auto"/>
        <w:bottom w:val="none" w:sz="0" w:space="0" w:color="auto"/>
        <w:right w:val="none" w:sz="0" w:space="0" w:color="auto"/>
      </w:divBdr>
    </w:div>
    <w:div w:id="799998932">
      <w:bodyDiv w:val="1"/>
      <w:marLeft w:val="0"/>
      <w:marRight w:val="0"/>
      <w:marTop w:val="0"/>
      <w:marBottom w:val="0"/>
      <w:divBdr>
        <w:top w:val="none" w:sz="0" w:space="0" w:color="auto"/>
        <w:left w:val="none" w:sz="0" w:space="0" w:color="auto"/>
        <w:bottom w:val="none" w:sz="0" w:space="0" w:color="auto"/>
        <w:right w:val="none" w:sz="0" w:space="0" w:color="auto"/>
      </w:divBdr>
    </w:div>
    <w:div w:id="801269721">
      <w:bodyDiv w:val="1"/>
      <w:marLeft w:val="0"/>
      <w:marRight w:val="0"/>
      <w:marTop w:val="0"/>
      <w:marBottom w:val="0"/>
      <w:divBdr>
        <w:top w:val="none" w:sz="0" w:space="0" w:color="auto"/>
        <w:left w:val="none" w:sz="0" w:space="0" w:color="auto"/>
        <w:bottom w:val="none" w:sz="0" w:space="0" w:color="auto"/>
        <w:right w:val="none" w:sz="0" w:space="0" w:color="auto"/>
      </w:divBdr>
    </w:div>
    <w:div w:id="813988407">
      <w:bodyDiv w:val="1"/>
      <w:marLeft w:val="0"/>
      <w:marRight w:val="0"/>
      <w:marTop w:val="0"/>
      <w:marBottom w:val="0"/>
      <w:divBdr>
        <w:top w:val="none" w:sz="0" w:space="0" w:color="auto"/>
        <w:left w:val="none" w:sz="0" w:space="0" w:color="auto"/>
        <w:bottom w:val="none" w:sz="0" w:space="0" w:color="auto"/>
        <w:right w:val="none" w:sz="0" w:space="0" w:color="auto"/>
      </w:divBdr>
    </w:div>
    <w:div w:id="842092846">
      <w:bodyDiv w:val="1"/>
      <w:marLeft w:val="0"/>
      <w:marRight w:val="0"/>
      <w:marTop w:val="0"/>
      <w:marBottom w:val="0"/>
      <w:divBdr>
        <w:top w:val="none" w:sz="0" w:space="0" w:color="auto"/>
        <w:left w:val="none" w:sz="0" w:space="0" w:color="auto"/>
        <w:bottom w:val="none" w:sz="0" w:space="0" w:color="auto"/>
        <w:right w:val="none" w:sz="0" w:space="0" w:color="auto"/>
      </w:divBdr>
    </w:div>
    <w:div w:id="885336358">
      <w:bodyDiv w:val="1"/>
      <w:marLeft w:val="0"/>
      <w:marRight w:val="0"/>
      <w:marTop w:val="0"/>
      <w:marBottom w:val="0"/>
      <w:divBdr>
        <w:top w:val="none" w:sz="0" w:space="0" w:color="auto"/>
        <w:left w:val="none" w:sz="0" w:space="0" w:color="auto"/>
        <w:bottom w:val="none" w:sz="0" w:space="0" w:color="auto"/>
        <w:right w:val="none" w:sz="0" w:space="0" w:color="auto"/>
      </w:divBdr>
    </w:div>
    <w:div w:id="888298459">
      <w:bodyDiv w:val="1"/>
      <w:marLeft w:val="0"/>
      <w:marRight w:val="0"/>
      <w:marTop w:val="0"/>
      <w:marBottom w:val="0"/>
      <w:divBdr>
        <w:top w:val="none" w:sz="0" w:space="0" w:color="auto"/>
        <w:left w:val="none" w:sz="0" w:space="0" w:color="auto"/>
        <w:bottom w:val="none" w:sz="0" w:space="0" w:color="auto"/>
        <w:right w:val="none" w:sz="0" w:space="0" w:color="auto"/>
      </w:divBdr>
      <w:divsChild>
        <w:div w:id="2133010609">
          <w:marLeft w:val="0"/>
          <w:marRight w:val="0"/>
          <w:marTop w:val="0"/>
          <w:marBottom w:val="0"/>
          <w:divBdr>
            <w:top w:val="none" w:sz="0" w:space="0" w:color="auto"/>
            <w:left w:val="none" w:sz="0" w:space="0" w:color="auto"/>
            <w:bottom w:val="none" w:sz="0" w:space="0" w:color="auto"/>
            <w:right w:val="none" w:sz="0" w:space="0" w:color="auto"/>
          </w:divBdr>
          <w:divsChild>
            <w:div w:id="919364708">
              <w:marLeft w:val="0"/>
              <w:marRight w:val="0"/>
              <w:marTop w:val="0"/>
              <w:marBottom w:val="0"/>
              <w:divBdr>
                <w:top w:val="none" w:sz="0" w:space="0" w:color="auto"/>
                <w:left w:val="none" w:sz="0" w:space="0" w:color="auto"/>
                <w:bottom w:val="none" w:sz="0" w:space="0" w:color="auto"/>
                <w:right w:val="none" w:sz="0" w:space="0" w:color="auto"/>
              </w:divBdr>
              <w:divsChild>
                <w:div w:id="199247785">
                  <w:marLeft w:val="0"/>
                  <w:marRight w:val="0"/>
                  <w:marTop w:val="150"/>
                  <w:marBottom w:val="0"/>
                  <w:divBdr>
                    <w:top w:val="none" w:sz="0" w:space="0" w:color="auto"/>
                    <w:left w:val="none" w:sz="0" w:space="0" w:color="auto"/>
                    <w:bottom w:val="none" w:sz="0" w:space="0" w:color="auto"/>
                    <w:right w:val="none" w:sz="0" w:space="0" w:color="auto"/>
                  </w:divBdr>
                  <w:divsChild>
                    <w:div w:id="676349234">
                      <w:marLeft w:val="0"/>
                      <w:marRight w:val="0"/>
                      <w:marTop w:val="0"/>
                      <w:marBottom w:val="0"/>
                      <w:divBdr>
                        <w:top w:val="none" w:sz="0" w:space="0" w:color="auto"/>
                        <w:left w:val="none" w:sz="0" w:space="0" w:color="auto"/>
                        <w:bottom w:val="none" w:sz="0" w:space="0" w:color="auto"/>
                        <w:right w:val="none" w:sz="0" w:space="0" w:color="auto"/>
                      </w:divBdr>
                      <w:divsChild>
                        <w:div w:id="140316904">
                          <w:marLeft w:val="0"/>
                          <w:marRight w:val="0"/>
                          <w:marTop w:val="0"/>
                          <w:marBottom w:val="0"/>
                          <w:divBdr>
                            <w:top w:val="none" w:sz="0" w:space="0" w:color="auto"/>
                            <w:left w:val="none" w:sz="0" w:space="0" w:color="auto"/>
                            <w:bottom w:val="none" w:sz="0" w:space="0" w:color="auto"/>
                            <w:right w:val="none" w:sz="0" w:space="0" w:color="auto"/>
                          </w:divBdr>
                        </w:div>
                      </w:divsChild>
                    </w:div>
                    <w:div w:id="701059459">
                      <w:marLeft w:val="0"/>
                      <w:marRight w:val="0"/>
                      <w:marTop w:val="0"/>
                      <w:marBottom w:val="0"/>
                      <w:divBdr>
                        <w:top w:val="none" w:sz="0" w:space="0" w:color="auto"/>
                        <w:left w:val="none" w:sz="0" w:space="0" w:color="auto"/>
                        <w:bottom w:val="none" w:sz="0" w:space="0" w:color="auto"/>
                        <w:right w:val="none" w:sz="0" w:space="0" w:color="auto"/>
                      </w:divBdr>
                      <w:divsChild>
                        <w:div w:id="665203703">
                          <w:marLeft w:val="0"/>
                          <w:marRight w:val="0"/>
                          <w:marTop w:val="0"/>
                          <w:marBottom w:val="375"/>
                          <w:divBdr>
                            <w:top w:val="none" w:sz="0" w:space="0" w:color="auto"/>
                            <w:left w:val="none" w:sz="0" w:space="0" w:color="auto"/>
                            <w:bottom w:val="none" w:sz="0" w:space="0" w:color="auto"/>
                            <w:right w:val="none" w:sz="0" w:space="0" w:color="auto"/>
                          </w:divBdr>
                        </w:div>
                      </w:divsChild>
                    </w:div>
                    <w:div w:id="1874002070">
                      <w:marLeft w:val="0"/>
                      <w:marRight w:val="0"/>
                      <w:marTop w:val="0"/>
                      <w:marBottom w:val="0"/>
                      <w:divBdr>
                        <w:top w:val="none" w:sz="0" w:space="0" w:color="auto"/>
                        <w:left w:val="none" w:sz="0" w:space="0" w:color="auto"/>
                        <w:bottom w:val="none" w:sz="0" w:space="0" w:color="auto"/>
                        <w:right w:val="none" w:sz="0" w:space="0" w:color="auto"/>
                      </w:divBdr>
                      <w:divsChild>
                        <w:div w:id="1996489060">
                          <w:marLeft w:val="150"/>
                          <w:marRight w:val="150"/>
                          <w:marTop w:val="0"/>
                          <w:marBottom w:val="0"/>
                          <w:divBdr>
                            <w:top w:val="none" w:sz="0" w:space="0" w:color="auto"/>
                            <w:left w:val="none" w:sz="0" w:space="0" w:color="auto"/>
                            <w:bottom w:val="none" w:sz="0" w:space="0" w:color="auto"/>
                            <w:right w:val="none" w:sz="0" w:space="0" w:color="auto"/>
                          </w:divBdr>
                          <w:divsChild>
                            <w:div w:id="520970990">
                              <w:marLeft w:val="0"/>
                              <w:marRight w:val="0"/>
                              <w:marTop w:val="0"/>
                              <w:marBottom w:val="0"/>
                              <w:divBdr>
                                <w:top w:val="none" w:sz="0" w:space="0" w:color="auto"/>
                                <w:left w:val="none" w:sz="0" w:space="0" w:color="auto"/>
                                <w:bottom w:val="none" w:sz="0" w:space="0" w:color="auto"/>
                                <w:right w:val="none" w:sz="0" w:space="0" w:color="auto"/>
                              </w:divBdr>
                              <w:divsChild>
                                <w:div w:id="96097707">
                                  <w:marLeft w:val="0"/>
                                  <w:marRight w:val="0"/>
                                  <w:marTop w:val="0"/>
                                  <w:marBottom w:val="750"/>
                                  <w:divBdr>
                                    <w:top w:val="none" w:sz="0" w:space="0" w:color="auto"/>
                                    <w:left w:val="none" w:sz="0" w:space="0" w:color="auto"/>
                                    <w:bottom w:val="none" w:sz="0" w:space="0" w:color="auto"/>
                                    <w:right w:val="none" w:sz="0" w:space="0" w:color="auto"/>
                                  </w:divBdr>
                                  <w:divsChild>
                                    <w:div w:id="1031222259">
                                      <w:marLeft w:val="0"/>
                                      <w:marRight w:val="0"/>
                                      <w:marTop w:val="0"/>
                                      <w:marBottom w:val="0"/>
                                      <w:divBdr>
                                        <w:top w:val="none" w:sz="0" w:space="0" w:color="auto"/>
                                        <w:left w:val="none" w:sz="0" w:space="0" w:color="auto"/>
                                        <w:bottom w:val="none" w:sz="0" w:space="0" w:color="auto"/>
                                        <w:right w:val="none" w:sz="0" w:space="0" w:color="auto"/>
                                      </w:divBdr>
                                      <w:divsChild>
                                        <w:div w:id="745762310">
                                          <w:marLeft w:val="0"/>
                                          <w:marRight w:val="0"/>
                                          <w:marTop w:val="0"/>
                                          <w:marBottom w:val="0"/>
                                          <w:divBdr>
                                            <w:top w:val="none" w:sz="0" w:space="0" w:color="auto"/>
                                            <w:left w:val="none" w:sz="0" w:space="0" w:color="auto"/>
                                            <w:bottom w:val="none" w:sz="0" w:space="0" w:color="auto"/>
                                            <w:right w:val="none" w:sz="0" w:space="0" w:color="auto"/>
                                          </w:divBdr>
                                        </w:div>
                                        <w:div w:id="2015565293">
                                          <w:marLeft w:val="0"/>
                                          <w:marRight w:val="0"/>
                                          <w:marTop w:val="0"/>
                                          <w:marBottom w:val="0"/>
                                          <w:divBdr>
                                            <w:top w:val="none" w:sz="0" w:space="0" w:color="auto"/>
                                            <w:left w:val="none" w:sz="0" w:space="0" w:color="auto"/>
                                            <w:bottom w:val="none" w:sz="0" w:space="0" w:color="auto"/>
                                            <w:right w:val="none" w:sz="0" w:space="0" w:color="auto"/>
                                          </w:divBdr>
                                        </w:div>
                                      </w:divsChild>
                                    </w:div>
                                    <w:div w:id="1768310203">
                                      <w:marLeft w:val="0"/>
                                      <w:marRight w:val="0"/>
                                      <w:marTop w:val="0"/>
                                      <w:marBottom w:val="0"/>
                                      <w:divBdr>
                                        <w:top w:val="none" w:sz="0" w:space="0" w:color="auto"/>
                                        <w:left w:val="none" w:sz="0" w:space="0" w:color="auto"/>
                                        <w:bottom w:val="none" w:sz="0" w:space="0" w:color="auto"/>
                                        <w:right w:val="none" w:sz="0" w:space="0" w:color="auto"/>
                                      </w:divBdr>
                                      <w:divsChild>
                                        <w:div w:id="1354763374">
                                          <w:marLeft w:val="0"/>
                                          <w:marRight w:val="0"/>
                                          <w:marTop w:val="0"/>
                                          <w:marBottom w:val="0"/>
                                          <w:divBdr>
                                            <w:top w:val="none" w:sz="0" w:space="0" w:color="auto"/>
                                            <w:left w:val="none" w:sz="0" w:space="0" w:color="auto"/>
                                            <w:bottom w:val="none" w:sz="0" w:space="0" w:color="auto"/>
                                            <w:right w:val="none" w:sz="0" w:space="0" w:color="auto"/>
                                          </w:divBdr>
                                          <w:divsChild>
                                            <w:div w:id="684402960">
                                              <w:marLeft w:val="0"/>
                                              <w:marRight w:val="0"/>
                                              <w:marTop w:val="0"/>
                                              <w:marBottom w:val="0"/>
                                              <w:divBdr>
                                                <w:top w:val="none" w:sz="0" w:space="0" w:color="auto"/>
                                                <w:left w:val="none" w:sz="0" w:space="0" w:color="auto"/>
                                                <w:bottom w:val="none" w:sz="0" w:space="0" w:color="auto"/>
                                                <w:right w:val="none" w:sz="0" w:space="0" w:color="auto"/>
                                              </w:divBdr>
                                              <w:divsChild>
                                                <w:div w:id="48385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904223">
                                      <w:marLeft w:val="0"/>
                                      <w:marRight w:val="0"/>
                                      <w:marTop w:val="0"/>
                                      <w:marBottom w:val="0"/>
                                      <w:divBdr>
                                        <w:top w:val="none" w:sz="0" w:space="0" w:color="auto"/>
                                        <w:left w:val="none" w:sz="0" w:space="0" w:color="auto"/>
                                        <w:bottom w:val="none" w:sz="0" w:space="0" w:color="auto"/>
                                        <w:right w:val="none" w:sz="0" w:space="0" w:color="auto"/>
                                      </w:divBdr>
                                      <w:divsChild>
                                        <w:div w:id="36392557">
                                          <w:marLeft w:val="0"/>
                                          <w:marRight w:val="0"/>
                                          <w:marTop w:val="0"/>
                                          <w:marBottom w:val="0"/>
                                          <w:divBdr>
                                            <w:top w:val="none" w:sz="0" w:space="0" w:color="auto"/>
                                            <w:left w:val="none" w:sz="0" w:space="0" w:color="auto"/>
                                            <w:bottom w:val="none" w:sz="0" w:space="0" w:color="auto"/>
                                            <w:right w:val="none" w:sz="0" w:space="0" w:color="auto"/>
                                          </w:divBdr>
                                          <w:divsChild>
                                            <w:div w:id="1275594212">
                                              <w:marLeft w:val="0"/>
                                              <w:marRight w:val="0"/>
                                              <w:marTop w:val="0"/>
                                              <w:marBottom w:val="0"/>
                                              <w:divBdr>
                                                <w:top w:val="none" w:sz="0" w:space="0" w:color="auto"/>
                                                <w:left w:val="none" w:sz="0" w:space="0" w:color="auto"/>
                                                <w:bottom w:val="none" w:sz="0" w:space="0" w:color="auto"/>
                                                <w:right w:val="none" w:sz="0" w:space="0" w:color="auto"/>
                                              </w:divBdr>
                                              <w:divsChild>
                                                <w:div w:id="1326669185">
                                                  <w:marLeft w:val="0"/>
                                                  <w:marRight w:val="0"/>
                                                  <w:marTop w:val="0"/>
                                                  <w:marBottom w:val="300"/>
                                                  <w:divBdr>
                                                    <w:top w:val="none" w:sz="0" w:space="0" w:color="auto"/>
                                                    <w:left w:val="none" w:sz="0" w:space="0" w:color="auto"/>
                                                    <w:bottom w:val="none" w:sz="0" w:space="0" w:color="auto"/>
                                                    <w:right w:val="none" w:sz="0" w:space="0" w:color="auto"/>
                                                  </w:divBdr>
                                                  <w:divsChild>
                                                    <w:div w:id="1126200056">
                                                      <w:marLeft w:val="0"/>
                                                      <w:marRight w:val="0"/>
                                                      <w:marTop w:val="0"/>
                                                      <w:marBottom w:val="0"/>
                                                      <w:divBdr>
                                                        <w:top w:val="none" w:sz="0" w:space="0" w:color="auto"/>
                                                        <w:left w:val="none" w:sz="0" w:space="0" w:color="auto"/>
                                                        <w:bottom w:val="none" w:sz="0" w:space="0" w:color="auto"/>
                                                        <w:right w:val="none" w:sz="0" w:space="0" w:color="auto"/>
                                                      </w:divBdr>
                                                      <w:divsChild>
                                                        <w:div w:id="945502734">
                                                          <w:marLeft w:val="0"/>
                                                          <w:marRight w:val="0"/>
                                                          <w:marTop w:val="0"/>
                                                          <w:marBottom w:val="0"/>
                                                          <w:divBdr>
                                                            <w:top w:val="none" w:sz="0" w:space="0" w:color="auto"/>
                                                            <w:left w:val="none" w:sz="0" w:space="0" w:color="auto"/>
                                                            <w:bottom w:val="none" w:sz="0" w:space="0" w:color="auto"/>
                                                            <w:right w:val="none" w:sz="0" w:space="0" w:color="auto"/>
                                                          </w:divBdr>
                                                          <w:divsChild>
                                                            <w:div w:id="4117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017380">
                                      <w:marLeft w:val="0"/>
                                      <w:marRight w:val="0"/>
                                      <w:marTop w:val="0"/>
                                      <w:marBottom w:val="0"/>
                                      <w:divBdr>
                                        <w:top w:val="none" w:sz="0" w:space="0" w:color="auto"/>
                                        <w:left w:val="none" w:sz="0" w:space="0" w:color="auto"/>
                                        <w:bottom w:val="none" w:sz="0" w:space="0" w:color="auto"/>
                                        <w:right w:val="none" w:sz="0" w:space="0" w:color="auto"/>
                                      </w:divBdr>
                                      <w:divsChild>
                                        <w:div w:id="1699742703">
                                          <w:marLeft w:val="0"/>
                                          <w:marRight w:val="0"/>
                                          <w:marTop w:val="0"/>
                                          <w:marBottom w:val="0"/>
                                          <w:divBdr>
                                            <w:top w:val="none" w:sz="0" w:space="0" w:color="auto"/>
                                            <w:left w:val="none" w:sz="0" w:space="0" w:color="auto"/>
                                            <w:bottom w:val="none" w:sz="0" w:space="0" w:color="auto"/>
                                            <w:right w:val="none" w:sz="0" w:space="0" w:color="auto"/>
                                          </w:divBdr>
                                          <w:divsChild>
                                            <w:div w:id="302002614">
                                              <w:marLeft w:val="0"/>
                                              <w:marRight w:val="0"/>
                                              <w:marTop w:val="0"/>
                                              <w:marBottom w:val="0"/>
                                              <w:divBdr>
                                                <w:top w:val="none" w:sz="0" w:space="0" w:color="auto"/>
                                                <w:left w:val="none" w:sz="0" w:space="0" w:color="auto"/>
                                                <w:bottom w:val="none" w:sz="0" w:space="0" w:color="auto"/>
                                                <w:right w:val="none" w:sz="0" w:space="0" w:color="auto"/>
                                              </w:divBdr>
                                              <w:divsChild>
                                                <w:div w:id="96609588">
                                                  <w:marLeft w:val="0"/>
                                                  <w:marRight w:val="0"/>
                                                  <w:marTop w:val="0"/>
                                                  <w:marBottom w:val="0"/>
                                                  <w:divBdr>
                                                    <w:top w:val="none" w:sz="0" w:space="0" w:color="auto"/>
                                                    <w:left w:val="none" w:sz="0" w:space="0" w:color="auto"/>
                                                    <w:bottom w:val="none" w:sz="0" w:space="0" w:color="auto"/>
                                                    <w:right w:val="none" w:sz="0" w:space="0" w:color="auto"/>
                                                  </w:divBdr>
                                                </w:div>
                                                <w:div w:id="1290089172">
                                                  <w:marLeft w:val="0"/>
                                                  <w:marRight w:val="0"/>
                                                  <w:marTop w:val="0"/>
                                                  <w:marBottom w:val="0"/>
                                                  <w:divBdr>
                                                    <w:top w:val="none" w:sz="0" w:space="0" w:color="auto"/>
                                                    <w:left w:val="none" w:sz="0" w:space="0" w:color="auto"/>
                                                    <w:bottom w:val="none" w:sz="0" w:space="0" w:color="auto"/>
                                                    <w:right w:val="none" w:sz="0" w:space="0" w:color="auto"/>
                                                  </w:divBdr>
                                                </w:div>
                                              </w:divsChild>
                                            </w:div>
                                            <w:div w:id="1088961826">
                                              <w:marLeft w:val="0"/>
                                              <w:marRight w:val="0"/>
                                              <w:marTop w:val="0"/>
                                              <w:marBottom w:val="0"/>
                                              <w:divBdr>
                                                <w:top w:val="none" w:sz="0" w:space="0" w:color="auto"/>
                                                <w:left w:val="none" w:sz="0" w:space="0" w:color="auto"/>
                                                <w:bottom w:val="none" w:sz="0" w:space="0" w:color="auto"/>
                                                <w:right w:val="none" w:sz="0" w:space="0" w:color="auto"/>
                                              </w:divBdr>
                                              <w:divsChild>
                                                <w:div w:id="1845514644">
                                                  <w:marLeft w:val="0"/>
                                                  <w:marRight w:val="0"/>
                                                  <w:marTop w:val="0"/>
                                                  <w:marBottom w:val="0"/>
                                                  <w:divBdr>
                                                    <w:top w:val="none" w:sz="0" w:space="0" w:color="auto"/>
                                                    <w:left w:val="none" w:sz="0" w:space="0" w:color="auto"/>
                                                    <w:bottom w:val="none" w:sz="0" w:space="0" w:color="auto"/>
                                                    <w:right w:val="none" w:sz="0" w:space="0" w:color="auto"/>
                                                  </w:divBdr>
                                                </w:div>
                                                <w:div w:id="1296066656">
                                                  <w:marLeft w:val="0"/>
                                                  <w:marRight w:val="0"/>
                                                  <w:marTop w:val="0"/>
                                                  <w:marBottom w:val="0"/>
                                                  <w:divBdr>
                                                    <w:top w:val="none" w:sz="0" w:space="0" w:color="auto"/>
                                                    <w:left w:val="none" w:sz="0" w:space="0" w:color="auto"/>
                                                    <w:bottom w:val="none" w:sz="0" w:space="0" w:color="auto"/>
                                                    <w:right w:val="none" w:sz="0" w:space="0" w:color="auto"/>
                                                  </w:divBdr>
                                                </w:div>
                                              </w:divsChild>
                                            </w:div>
                                            <w:div w:id="319962750">
                                              <w:marLeft w:val="0"/>
                                              <w:marRight w:val="0"/>
                                              <w:marTop w:val="0"/>
                                              <w:marBottom w:val="0"/>
                                              <w:divBdr>
                                                <w:top w:val="none" w:sz="0" w:space="0" w:color="auto"/>
                                                <w:left w:val="none" w:sz="0" w:space="0" w:color="auto"/>
                                                <w:bottom w:val="none" w:sz="0" w:space="0" w:color="auto"/>
                                                <w:right w:val="none" w:sz="0" w:space="0" w:color="auto"/>
                                              </w:divBdr>
                                              <w:divsChild>
                                                <w:div w:id="2049648840">
                                                  <w:marLeft w:val="0"/>
                                                  <w:marRight w:val="0"/>
                                                  <w:marTop w:val="0"/>
                                                  <w:marBottom w:val="0"/>
                                                  <w:divBdr>
                                                    <w:top w:val="none" w:sz="0" w:space="0" w:color="auto"/>
                                                    <w:left w:val="none" w:sz="0" w:space="0" w:color="auto"/>
                                                    <w:bottom w:val="none" w:sz="0" w:space="0" w:color="auto"/>
                                                    <w:right w:val="none" w:sz="0" w:space="0" w:color="auto"/>
                                                  </w:divBdr>
                                                  <w:divsChild>
                                                    <w:div w:id="562103089">
                                                      <w:marLeft w:val="0"/>
                                                      <w:marRight w:val="0"/>
                                                      <w:marTop w:val="0"/>
                                                      <w:marBottom w:val="0"/>
                                                      <w:divBdr>
                                                        <w:top w:val="none" w:sz="0" w:space="0" w:color="auto"/>
                                                        <w:left w:val="none" w:sz="0" w:space="0" w:color="auto"/>
                                                        <w:bottom w:val="none" w:sz="0" w:space="0" w:color="auto"/>
                                                        <w:right w:val="none" w:sz="0" w:space="0" w:color="auto"/>
                                                      </w:divBdr>
                                                      <w:divsChild>
                                                        <w:div w:id="1533149949">
                                                          <w:marLeft w:val="0"/>
                                                          <w:marRight w:val="0"/>
                                                          <w:marTop w:val="0"/>
                                                          <w:marBottom w:val="0"/>
                                                          <w:divBdr>
                                                            <w:top w:val="none" w:sz="0" w:space="0" w:color="auto"/>
                                                            <w:left w:val="none" w:sz="0" w:space="0" w:color="auto"/>
                                                            <w:bottom w:val="none" w:sz="0" w:space="0" w:color="auto"/>
                                                            <w:right w:val="none" w:sz="0" w:space="0" w:color="auto"/>
                                                          </w:divBdr>
                                                          <w:divsChild>
                                                            <w:div w:id="918948736">
                                                              <w:marLeft w:val="0"/>
                                                              <w:marRight w:val="0"/>
                                                              <w:marTop w:val="0"/>
                                                              <w:marBottom w:val="0"/>
                                                              <w:divBdr>
                                                                <w:top w:val="none" w:sz="0" w:space="0" w:color="auto"/>
                                                                <w:left w:val="none" w:sz="0" w:space="0" w:color="auto"/>
                                                                <w:bottom w:val="none" w:sz="0" w:space="0" w:color="auto"/>
                                                                <w:right w:val="none" w:sz="0" w:space="0" w:color="auto"/>
                                                              </w:divBdr>
                                                            </w:div>
                                                            <w:div w:id="263001118">
                                                              <w:marLeft w:val="0"/>
                                                              <w:marRight w:val="0"/>
                                                              <w:marTop w:val="100"/>
                                                              <w:marBottom w:val="100"/>
                                                              <w:divBdr>
                                                                <w:top w:val="none" w:sz="0" w:space="0" w:color="auto"/>
                                                                <w:left w:val="none" w:sz="0" w:space="0" w:color="auto"/>
                                                                <w:bottom w:val="none" w:sz="0" w:space="0" w:color="auto"/>
                                                                <w:right w:val="none" w:sz="0" w:space="0" w:color="auto"/>
                                                              </w:divBdr>
                                                              <w:divsChild>
                                                                <w:div w:id="1774396142">
                                                                  <w:marLeft w:val="0"/>
                                                                  <w:marRight w:val="0"/>
                                                                  <w:marTop w:val="0"/>
                                                                  <w:marBottom w:val="0"/>
                                                                  <w:divBdr>
                                                                    <w:top w:val="none" w:sz="0" w:space="0" w:color="auto"/>
                                                                    <w:left w:val="none" w:sz="0" w:space="0" w:color="auto"/>
                                                                    <w:bottom w:val="none" w:sz="0" w:space="0" w:color="auto"/>
                                                                    <w:right w:val="none" w:sz="0" w:space="0" w:color="auto"/>
                                                                  </w:divBdr>
                                                                  <w:divsChild>
                                                                    <w:div w:id="783842125">
                                                                      <w:marLeft w:val="0"/>
                                                                      <w:marRight w:val="0"/>
                                                                      <w:marTop w:val="120"/>
                                                                      <w:marBottom w:val="0"/>
                                                                      <w:divBdr>
                                                                        <w:top w:val="none" w:sz="0" w:space="0" w:color="auto"/>
                                                                        <w:left w:val="none" w:sz="0" w:space="0" w:color="auto"/>
                                                                        <w:bottom w:val="none" w:sz="0" w:space="0" w:color="auto"/>
                                                                        <w:right w:val="none" w:sz="0" w:space="0" w:color="auto"/>
                                                                      </w:divBdr>
                                                                    </w:div>
                                                                  </w:divsChild>
                                                                </w:div>
                                                                <w:div w:id="1236280983">
                                                                  <w:marLeft w:val="0"/>
                                                                  <w:marRight w:val="0"/>
                                                                  <w:marTop w:val="0"/>
                                                                  <w:marBottom w:val="0"/>
                                                                  <w:divBdr>
                                                                    <w:top w:val="none" w:sz="0" w:space="0" w:color="auto"/>
                                                                    <w:left w:val="none" w:sz="0" w:space="0" w:color="auto"/>
                                                                    <w:bottom w:val="none" w:sz="0" w:space="0" w:color="auto"/>
                                                                    <w:right w:val="none" w:sz="0" w:space="0" w:color="auto"/>
                                                                  </w:divBdr>
                                                                  <w:divsChild>
                                                                    <w:div w:id="398525025">
                                                                      <w:marLeft w:val="0"/>
                                                                      <w:marRight w:val="0"/>
                                                                      <w:marTop w:val="0"/>
                                                                      <w:marBottom w:val="0"/>
                                                                      <w:divBdr>
                                                                        <w:top w:val="none" w:sz="0" w:space="0" w:color="auto"/>
                                                                        <w:left w:val="none" w:sz="0" w:space="0" w:color="auto"/>
                                                                        <w:bottom w:val="none" w:sz="0" w:space="0" w:color="auto"/>
                                                                        <w:right w:val="none" w:sz="0" w:space="0" w:color="auto"/>
                                                                      </w:divBdr>
                                                                      <w:divsChild>
                                                                        <w:div w:id="8323450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275574">
                                              <w:marLeft w:val="0"/>
                                              <w:marRight w:val="0"/>
                                              <w:marTop w:val="0"/>
                                              <w:marBottom w:val="0"/>
                                              <w:divBdr>
                                                <w:top w:val="none" w:sz="0" w:space="0" w:color="auto"/>
                                                <w:left w:val="none" w:sz="0" w:space="0" w:color="auto"/>
                                                <w:bottom w:val="none" w:sz="0" w:space="0" w:color="auto"/>
                                                <w:right w:val="none" w:sz="0" w:space="0" w:color="auto"/>
                                              </w:divBdr>
                                              <w:divsChild>
                                                <w:div w:id="1386949023">
                                                  <w:marLeft w:val="0"/>
                                                  <w:marRight w:val="0"/>
                                                  <w:marTop w:val="0"/>
                                                  <w:marBottom w:val="0"/>
                                                  <w:divBdr>
                                                    <w:top w:val="none" w:sz="0" w:space="0" w:color="auto"/>
                                                    <w:left w:val="none" w:sz="0" w:space="0" w:color="auto"/>
                                                    <w:bottom w:val="none" w:sz="0" w:space="0" w:color="auto"/>
                                                    <w:right w:val="none" w:sz="0" w:space="0" w:color="auto"/>
                                                  </w:divBdr>
                                                  <w:divsChild>
                                                    <w:div w:id="479616699">
                                                      <w:marLeft w:val="0"/>
                                                      <w:marRight w:val="0"/>
                                                      <w:marTop w:val="0"/>
                                                      <w:marBottom w:val="0"/>
                                                      <w:divBdr>
                                                        <w:top w:val="none" w:sz="0" w:space="0" w:color="auto"/>
                                                        <w:left w:val="none" w:sz="0" w:space="0" w:color="auto"/>
                                                        <w:bottom w:val="none" w:sz="0" w:space="0" w:color="auto"/>
                                                        <w:right w:val="none" w:sz="0" w:space="0" w:color="auto"/>
                                                      </w:divBdr>
                                                      <w:divsChild>
                                                        <w:div w:id="1874729104">
                                                          <w:marLeft w:val="0"/>
                                                          <w:marRight w:val="0"/>
                                                          <w:marTop w:val="0"/>
                                                          <w:marBottom w:val="0"/>
                                                          <w:divBdr>
                                                            <w:top w:val="none" w:sz="0" w:space="0" w:color="auto"/>
                                                            <w:left w:val="none" w:sz="0" w:space="0" w:color="auto"/>
                                                            <w:bottom w:val="none" w:sz="0" w:space="0" w:color="auto"/>
                                                            <w:right w:val="none" w:sz="0" w:space="0" w:color="auto"/>
                                                          </w:divBdr>
                                                          <w:divsChild>
                                                            <w:div w:id="268121278">
                                                              <w:marLeft w:val="300"/>
                                                              <w:marRight w:val="300"/>
                                                              <w:marTop w:val="300"/>
                                                              <w:marBottom w:val="300"/>
                                                              <w:divBdr>
                                                                <w:top w:val="none" w:sz="0" w:space="0" w:color="auto"/>
                                                                <w:left w:val="none" w:sz="0" w:space="0" w:color="auto"/>
                                                                <w:bottom w:val="none" w:sz="0" w:space="0" w:color="auto"/>
                                                                <w:right w:val="none" w:sz="0" w:space="0" w:color="auto"/>
                                                              </w:divBdr>
                                                            </w:div>
                                                          </w:divsChild>
                                                        </w:div>
                                                        <w:div w:id="1864324015">
                                                          <w:marLeft w:val="0"/>
                                                          <w:marRight w:val="0"/>
                                                          <w:marTop w:val="0"/>
                                                          <w:marBottom w:val="0"/>
                                                          <w:divBdr>
                                                            <w:top w:val="none" w:sz="0" w:space="0" w:color="auto"/>
                                                            <w:left w:val="none" w:sz="0" w:space="0" w:color="auto"/>
                                                            <w:bottom w:val="none" w:sz="0" w:space="0" w:color="auto"/>
                                                            <w:right w:val="none" w:sz="0" w:space="0" w:color="auto"/>
                                                          </w:divBdr>
                                                          <w:divsChild>
                                                            <w:div w:id="1370106685">
                                                              <w:marLeft w:val="0"/>
                                                              <w:marRight w:val="0"/>
                                                              <w:marTop w:val="0"/>
                                                              <w:marBottom w:val="0"/>
                                                              <w:divBdr>
                                                                <w:top w:val="none" w:sz="0" w:space="0" w:color="auto"/>
                                                                <w:left w:val="none" w:sz="0" w:space="0" w:color="auto"/>
                                                                <w:bottom w:val="none" w:sz="0" w:space="0" w:color="auto"/>
                                                                <w:right w:val="none" w:sz="0" w:space="0" w:color="auto"/>
                                                              </w:divBdr>
                                                            </w:div>
                                                            <w:div w:id="1357193201">
                                                              <w:marLeft w:val="0"/>
                                                              <w:marRight w:val="0"/>
                                                              <w:marTop w:val="0"/>
                                                              <w:marBottom w:val="0"/>
                                                              <w:divBdr>
                                                                <w:top w:val="none" w:sz="0" w:space="0" w:color="auto"/>
                                                                <w:left w:val="none" w:sz="0" w:space="0" w:color="auto"/>
                                                                <w:bottom w:val="none" w:sz="0" w:space="0" w:color="auto"/>
                                                                <w:right w:val="none" w:sz="0" w:space="0" w:color="auto"/>
                                                              </w:divBdr>
                                                            </w:div>
                                                          </w:divsChild>
                                                        </w:div>
                                                        <w:div w:id="1099374334">
                                                          <w:marLeft w:val="0"/>
                                                          <w:marRight w:val="0"/>
                                                          <w:marTop w:val="0"/>
                                                          <w:marBottom w:val="0"/>
                                                          <w:divBdr>
                                                            <w:top w:val="none" w:sz="0" w:space="0" w:color="auto"/>
                                                            <w:left w:val="none" w:sz="0" w:space="0" w:color="auto"/>
                                                            <w:bottom w:val="none" w:sz="0" w:space="0" w:color="auto"/>
                                                            <w:right w:val="none" w:sz="0" w:space="0" w:color="auto"/>
                                                          </w:divBdr>
                                                          <w:divsChild>
                                                            <w:div w:id="2004310718">
                                                              <w:marLeft w:val="0"/>
                                                              <w:marRight w:val="0"/>
                                                              <w:marTop w:val="0"/>
                                                              <w:marBottom w:val="0"/>
                                                              <w:divBdr>
                                                                <w:top w:val="none" w:sz="0" w:space="0" w:color="auto"/>
                                                                <w:left w:val="none" w:sz="0" w:space="0" w:color="auto"/>
                                                                <w:bottom w:val="none" w:sz="0" w:space="0" w:color="auto"/>
                                                                <w:right w:val="none" w:sz="0" w:space="0" w:color="auto"/>
                                                              </w:divBdr>
                                                              <w:divsChild>
                                                                <w:div w:id="19271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82632">
                                                          <w:marLeft w:val="0"/>
                                                          <w:marRight w:val="0"/>
                                                          <w:marTop w:val="0"/>
                                                          <w:marBottom w:val="0"/>
                                                          <w:divBdr>
                                                            <w:top w:val="none" w:sz="0" w:space="0" w:color="auto"/>
                                                            <w:left w:val="none" w:sz="0" w:space="0" w:color="auto"/>
                                                            <w:bottom w:val="none" w:sz="0" w:space="0" w:color="auto"/>
                                                            <w:right w:val="none" w:sz="0" w:space="0" w:color="auto"/>
                                                          </w:divBdr>
                                                          <w:divsChild>
                                                            <w:div w:id="95223879">
                                                              <w:marLeft w:val="0"/>
                                                              <w:marRight w:val="0"/>
                                                              <w:marTop w:val="0"/>
                                                              <w:marBottom w:val="150"/>
                                                              <w:divBdr>
                                                                <w:top w:val="none" w:sz="0" w:space="0" w:color="auto"/>
                                                                <w:left w:val="none" w:sz="0" w:space="0" w:color="auto"/>
                                                                <w:bottom w:val="none" w:sz="0" w:space="0" w:color="auto"/>
                                                                <w:right w:val="none" w:sz="0" w:space="0" w:color="auto"/>
                                                              </w:divBdr>
                                                            </w:div>
                                                          </w:divsChild>
                                                        </w:div>
                                                        <w:div w:id="1081297439">
                                                          <w:marLeft w:val="0"/>
                                                          <w:marRight w:val="0"/>
                                                          <w:marTop w:val="0"/>
                                                          <w:marBottom w:val="0"/>
                                                          <w:divBdr>
                                                            <w:top w:val="none" w:sz="0" w:space="0" w:color="auto"/>
                                                            <w:left w:val="none" w:sz="0" w:space="0" w:color="auto"/>
                                                            <w:bottom w:val="none" w:sz="0" w:space="0" w:color="auto"/>
                                                            <w:right w:val="none" w:sz="0" w:space="0" w:color="auto"/>
                                                          </w:divBdr>
                                                          <w:divsChild>
                                                            <w:div w:id="303507003">
                                                              <w:marLeft w:val="0"/>
                                                              <w:marRight w:val="0"/>
                                                              <w:marTop w:val="0"/>
                                                              <w:marBottom w:val="0"/>
                                                              <w:divBdr>
                                                                <w:top w:val="none" w:sz="0" w:space="0" w:color="auto"/>
                                                                <w:left w:val="none" w:sz="0" w:space="0" w:color="auto"/>
                                                                <w:bottom w:val="none" w:sz="0" w:space="0" w:color="auto"/>
                                                                <w:right w:val="none" w:sz="0" w:space="0" w:color="auto"/>
                                                              </w:divBdr>
                                                              <w:divsChild>
                                                                <w:div w:id="911739091">
                                                                  <w:marLeft w:val="0"/>
                                                                  <w:marRight w:val="0"/>
                                                                  <w:marTop w:val="0"/>
                                                                  <w:marBottom w:val="0"/>
                                                                  <w:divBdr>
                                                                    <w:top w:val="none" w:sz="0" w:space="0" w:color="auto"/>
                                                                    <w:left w:val="none" w:sz="0" w:space="0" w:color="auto"/>
                                                                    <w:bottom w:val="none" w:sz="0" w:space="0" w:color="auto"/>
                                                                    <w:right w:val="none" w:sz="0" w:space="0" w:color="auto"/>
                                                                  </w:divBdr>
                                                                  <w:divsChild>
                                                                    <w:div w:id="2112623007">
                                                                      <w:marLeft w:val="0"/>
                                                                      <w:marRight w:val="0"/>
                                                                      <w:marTop w:val="0"/>
                                                                      <w:marBottom w:val="0"/>
                                                                      <w:divBdr>
                                                                        <w:top w:val="none" w:sz="0" w:space="0" w:color="auto"/>
                                                                        <w:left w:val="none" w:sz="0" w:space="0" w:color="auto"/>
                                                                        <w:bottom w:val="none" w:sz="0" w:space="0" w:color="auto"/>
                                                                        <w:right w:val="none" w:sz="0" w:space="0" w:color="auto"/>
                                                                      </w:divBdr>
                                                                    </w:div>
                                                                    <w:div w:id="357312757">
                                                                      <w:marLeft w:val="0"/>
                                                                      <w:marRight w:val="0"/>
                                                                      <w:marTop w:val="0"/>
                                                                      <w:marBottom w:val="0"/>
                                                                      <w:divBdr>
                                                                        <w:top w:val="none" w:sz="0" w:space="0" w:color="auto"/>
                                                                        <w:left w:val="none" w:sz="0" w:space="0" w:color="auto"/>
                                                                        <w:bottom w:val="none" w:sz="0" w:space="0" w:color="auto"/>
                                                                        <w:right w:val="none" w:sz="0" w:space="0" w:color="auto"/>
                                                                      </w:divBdr>
                                                                    </w:div>
                                                                    <w:div w:id="1610428988">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sChild>
                                                            </w:div>
                                                          </w:divsChild>
                                                        </w:div>
                                                        <w:div w:id="1622571741">
                                                          <w:marLeft w:val="0"/>
                                                          <w:marRight w:val="0"/>
                                                          <w:marTop w:val="0"/>
                                                          <w:marBottom w:val="0"/>
                                                          <w:divBdr>
                                                            <w:top w:val="none" w:sz="0" w:space="0" w:color="auto"/>
                                                            <w:left w:val="none" w:sz="0" w:space="0" w:color="auto"/>
                                                            <w:bottom w:val="none" w:sz="0" w:space="0" w:color="auto"/>
                                                            <w:right w:val="none" w:sz="0" w:space="0" w:color="auto"/>
                                                          </w:divBdr>
                                                          <w:divsChild>
                                                            <w:div w:id="924343355">
                                                              <w:marLeft w:val="0"/>
                                                              <w:marRight w:val="0"/>
                                                              <w:marTop w:val="0"/>
                                                              <w:marBottom w:val="0"/>
                                                              <w:divBdr>
                                                                <w:top w:val="none" w:sz="0" w:space="0" w:color="auto"/>
                                                                <w:left w:val="none" w:sz="0" w:space="0" w:color="auto"/>
                                                                <w:bottom w:val="none" w:sz="0" w:space="0" w:color="auto"/>
                                                                <w:right w:val="none" w:sz="0" w:space="0" w:color="auto"/>
                                                              </w:divBdr>
                                                              <w:divsChild>
                                                                <w:div w:id="47213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4414154">
                                              <w:marLeft w:val="0"/>
                                              <w:marRight w:val="0"/>
                                              <w:marTop w:val="0"/>
                                              <w:marBottom w:val="0"/>
                                              <w:divBdr>
                                                <w:top w:val="none" w:sz="0" w:space="0" w:color="auto"/>
                                                <w:left w:val="none" w:sz="0" w:space="0" w:color="auto"/>
                                                <w:bottom w:val="none" w:sz="0" w:space="0" w:color="auto"/>
                                                <w:right w:val="none" w:sz="0" w:space="0" w:color="auto"/>
                                              </w:divBdr>
                                              <w:divsChild>
                                                <w:div w:id="3762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0095279">
      <w:bodyDiv w:val="1"/>
      <w:marLeft w:val="0"/>
      <w:marRight w:val="0"/>
      <w:marTop w:val="0"/>
      <w:marBottom w:val="0"/>
      <w:divBdr>
        <w:top w:val="none" w:sz="0" w:space="0" w:color="auto"/>
        <w:left w:val="none" w:sz="0" w:space="0" w:color="auto"/>
        <w:bottom w:val="none" w:sz="0" w:space="0" w:color="auto"/>
        <w:right w:val="none" w:sz="0" w:space="0" w:color="auto"/>
      </w:divBdr>
    </w:div>
    <w:div w:id="930161593">
      <w:bodyDiv w:val="1"/>
      <w:marLeft w:val="0"/>
      <w:marRight w:val="0"/>
      <w:marTop w:val="0"/>
      <w:marBottom w:val="0"/>
      <w:divBdr>
        <w:top w:val="none" w:sz="0" w:space="0" w:color="auto"/>
        <w:left w:val="none" w:sz="0" w:space="0" w:color="auto"/>
        <w:bottom w:val="none" w:sz="0" w:space="0" w:color="auto"/>
        <w:right w:val="none" w:sz="0" w:space="0" w:color="auto"/>
      </w:divBdr>
    </w:div>
    <w:div w:id="936909787">
      <w:bodyDiv w:val="1"/>
      <w:marLeft w:val="0"/>
      <w:marRight w:val="0"/>
      <w:marTop w:val="0"/>
      <w:marBottom w:val="0"/>
      <w:divBdr>
        <w:top w:val="none" w:sz="0" w:space="0" w:color="auto"/>
        <w:left w:val="none" w:sz="0" w:space="0" w:color="auto"/>
        <w:bottom w:val="none" w:sz="0" w:space="0" w:color="auto"/>
        <w:right w:val="none" w:sz="0" w:space="0" w:color="auto"/>
      </w:divBdr>
    </w:div>
    <w:div w:id="971864029">
      <w:bodyDiv w:val="1"/>
      <w:marLeft w:val="0"/>
      <w:marRight w:val="0"/>
      <w:marTop w:val="0"/>
      <w:marBottom w:val="0"/>
      <w:divBdr>
        <w:top w:val="none" w:sz="0" w:space="0" w:color="auto"/>
        <w:left w:val="none" w:sz="0" w:space="0" w:color="auto"/>
        <w:bottom w:val="none" w:sz="0" w:space="0" w:color="auto"/>
        <w:right w:val="none" w:sz="0" w:space="0" w:color="auto"/>
      </w:divBdr>
    </w:div>
    <w:div w:id="973410121">
      <w:bodyDiv w:val="1"/>
      <w:marLeft w:val="0"/>
      <w:marRight w:val="0"/>
      <w:marTop w:val="0"/>
      <w:marBottom w:val="0"/>
      <w:divBdr>
        <w:top w:val="none" w:sz="0" w:space="0" w:color="auto"/>
        <w:left w:val="none" w:sz="0" w:space="0" w:color="auto"/>
        <w:bottom w:val="none" w:sz="0" w:space="0" w:color="auto"/>
        <w:right w:val="none" w:sz="0" w:space="0" w:color="auto"/>
      </w:divBdr>
    </w:div>
    <w:div w:id="990478126">
      <w:bodyDiv w:val="1"/>
      <w:marLeft w:val="0"/>
      <w:marRight w:val="0"/>
      <w:marTop w:val="0"/>
      <w:marBottom w:val="0"/>
      <w:divBdr>
        <w:top w:val="none" w:sz="0" w:space="0" w:color="auto"/>
        <w:left w:val="none" w:sz="0" w:space="0" w:color="auto"/>
        <w:bottom w:val="none" w:sz="0" w:space="0" w:color="auto"/>
        <w:right w:val="none" w:sz="0" w:space="0" w:color="auto"/>
      </w:divBdr>
    </w:div>
    <w:div w:id="1018702610">
      <w:bodyDiv w:val="1"/>
      <w:marLeft w:val="0"/>
      <w:marRight w:val="0"/>
      <w:marTop w:val="0"/>
      <w:marBottom w:val="0"/>
      <w:divBdr>
        <w:top w:val="none" w:sz="0" w:space="0" w:color="auto"/>
        <w:left w:val="none" w:sz="0" w:space="0" w:color="auto"/>
        <w:bottom w:val="none" w:sz="0" w:space="0" w:color="auto"/>
        <w:right w:val="none" w:sz="0" w:space="0" w:color="auto"/>
      </w:divBdr>
    </w:div>
    <w:div w:id="1036924415">
      <w:bodyDiv w:val="1"/>
      <w:marLeft w:val="0"/>
      <w:marRight w:val="0"/>
      <w:marTop w:val="0"/>
      <w:marBottom w:val="0"/>
      <w:divBdr>
        <w:top w:val="none" w:sz="0" w:space="0" w:color="auto"/>
        <w:left w:val="none" w:sz="0" w:space="0" w:color="auto"/>
        <w:bottom w:val="none" w:sz="0" w:space="0" w:color="auto"/>
        <w:right w:val="none" w:sz="0" w:space="0" w:color="auto"/>
      </w:divBdr>
    </w:div>
    <w:div w:id="1047490248">
      <w:bodyDiv w:val="1"/>
      <w:marLeft w:val="0"/>
      <w:marRight w:val="0"/>
      <w:marTop w:val="0"/>
      <w:marBottom w:val="0"/>
      <w:divBdr>
        <w:top w:val="none" w:sz="0" w:space="0" w:color="auto"/>
        <w:left w:val="none" w:sz="0" w:space="0" w:color="auto"/>
        <w:bottom w:val="none" w:sz="0" w:space="0" w:color="auto"/>
        <w:right w:val="none" w:sz="0" w:space="0" w:color="auto"/>
      </w:divBdr>
    </w:div>
    <w:div w:id="1094470003">
      <w:bodyDiv w:val="1"/>
      <w:marLeft w:val="0"/>
      <w:marRight w:val="0"/>
      <w:marTop w:val="0"/>
      <w:marBottom w:val="0"/>
      <w:divBdr>
        <w:top w:val="none" w:sz="0" w:space="0" w:color="auto"/>
        <w:left w:val="none" w:sz="0" w:space="0" w:color="auto"/>
        <w:bottom w:val="none" w:sz="0" w:space="0" w:color="auto"/>
        <w:right w:val="none" w:sz="0" w:space="0" w:color="auto"/>
      </w:divBdr>
    </w:div>
    <w:div w:id="1109163131">
      <w:bodyDiv w:val="1"/>
      <w:marLeft w:val="0"/>
      <w:marRight w:val="0"/>
      <w:marTop w:val="0"/>
      <w:marBottom w:val="0"/>
      <w:divBdr>
        <w:top w:val="none" w:sz="0" w:space="0" w:color="auto"/>
        <w:left w:val="none" w:sz="0" w:space="0" w:color="auto"/>
        <w:bottom w:val="none" w:sz="0" w:space="0" w:color="auto"/>
        <w:right w:val="none" w:sz="0" w:space="0" w:color="auto"/>
      </w:divBdr>
    </w:div>
    <w:div w:id="1110273367">
      <w:bodyDiv w:val="1"/>
      <w:marLeft w:val="0"/>
      <w:marRight w:val="0"/>
      <w:marTop w:val="0"/>
      <w:marBottom w:val="0"/>
      <w:divBdr>
        <w:top w:val="none" w:sz="0" w:space="0" w:color="auto"/>
        <w:left w:val="none" w:sz="0" w:space="0" w:color="auto"/>
        <w:bottom w:val="none" w:sz="0" w:space="0" w:color="auto"/>
        <w:right w:val="none" w:sz="0" w:space="0" w:color="auto"/>
      </w:divBdr>
    </w:div>
    <w:div w:id="1113595892">
      <w:bodyDiv w:val="1"/>
      <w:marLeft w:val="0"/>
      <w:marRight w:val="0"/>
      <w:marTop w:val="0"/>
      <w:marBottom w:val="0"/>
      <w:divBdr>
        <w:top w:val="none" w:sz="0" w:space="0" w:color="auto"/>
        <w:left w:val="none" w:sz="0" w:space="0" w:color="auto"/>
        <w:bottom w:val="none" w:sz="0" w:space="0" w:color="auto"/>
        <w:right w:val="none" w:sz="0" w:space="0" w:color="auto"/>
      </w:divBdr>
    </w:div>
    <w:div w:id="1131745524">
      <w:bodyDiv w:val="1"/>
      <w:marLeft w:val="0"/>
      <w:marRight w:val="0"/>
      <w:marTop w:val="0"/>
      <w:marBottom w:val="0"/>
      <w:divBdr>
        <w:top w:val="none" w:sz="0" w:space="0" w:color="auto"/>
        <w:left w:val="none" w:sz="0" w:space="0" w:color="auto"/>
        <w:bottom w:val="none" w:sz="0" w:space="0" w:color="auto"/>
        <w:right w:val="none" w:sz="0" w:space="0" w:color="auto"/>
      </w:divBdr>
    </w:div>
    <w:div w:id="1134637720">
      <w:bodyDiv w:val="1"/>
      <w:marLeft w:val="0"/>
      <w:marRight w:val="0"/>
      <w:marTop w:val="0"/>
      <w:marBottom w:val="0"/>
      <w:divBdr>
        <w:top w:val="none" w:sz="0" w:space="0" w:color="auto"/>
        <w:left w:val="none" w:sz="0" w:space="0" w:color="auto"/>
        <w:bottom w:val="none" w:sz="0" w:space="0" w:color="auto"/>
        <w:right w:val="none" w:sz="0" w:space="0" w:color="auto"/>
      </w:divBdr>
    </w:div>
    <w:div w:id="1143042667">
      <w:bodyDiv w:val="1"/>
      <w:marLeft w:val="0"/>
      <w:marRight w:val="0"/>
      <w:marTop w:val="0"/>
      <w:marBottom w:val="0"/>
      <w:divBdr>
        <w:top w:val="none" w:sz="0" w:space="0" w:color="auto"/>
        <w:left w:val="none" w:sz="0" w:space="0" w:color="auto"/>
        <w:bottom w:val="none" w:sz="0" w:space="0" w:color="auto"/>
        <w:right w:val="none" w:sz="0" w:space="0" w:color="auto"/>
      </w:divBdr>
    </w:div>
    <w:div w:id="1155491449">
      <w:bodyDiv w:val="1"/>
      <w:marLeft w:val="0"/>
      <w:marRight w:val="0"/>
      <w:marTop w:val="0"/>
      <w:marBottom w:val="0"/>
      <w:divBdr>
        <w:top w:val="none" w:sz="0" w:space="0" w:color="auto"/>
        <w:left w:val="none" w:sz="0" w:space="0" w:color="auto"/>
        <w:bottom w:val="none" w:sz="0" w:space="0" w:color="auto"/>
        <w:right w:val="none" w:sz="0" w:space="0" w:color="auto"/>
      </w:divBdr>
    </w:div>
    <w:div w:id="1157574256">
      <w:bodyDiv w:val="1"/>
      <w:marLeft w:val="0"/>
      <w:marRight w:val="0"/>
      <w:marTop w:val="0"/>
      <w:marBottom w:val="0"/>
      <w:divBdr>
        <w:top w:val="none" w:sz="0" w:space="0" w:color="auto"/>
        <w:left w:val="none" w:sz="0" w:space="0" w:color="auto"/>
        <w:bottom w:val="none" w:sz="0" w:space="0" w:color="auto"/>
        <w:right w:val="none" w:sz="0" w:space="0" w:color="auto"/>
      </w:divBdr>
    </w:div>
    <w:div w:id="1165514122">
      <w:bodyDiv w:val="1"/>
      <w:marLeft w:val="0"/>
      <w:marRight w:val="0"/>
      <w:marTop w:val="0"/>
      <w:marBottom w:val="0"/>
      <w:divBdr>
        <w:top w:val="none" w:sz="0" w:space="0" w:color="auto"/>
        <w:left w:val="none" w:sz="0" w:space="0" w:color="auto"/>
        <w:bottom w:val="none" w:sz="0" w:space="0" w:color="auto"/>
        <w:right w:val="none" w:sz="0" w:space="0" w:color="auto"/>
      </w:divBdr>
    </w:div>
    <w:div w:id="1191333490">
      <w:bodyDiv w:val="1"/>
      <w:marLeft w:val="0"/>
      <w:marRight w:val="0"/>
      <w:marTop w:val="0"/>
      <w:marBottom w:val="0"/>
      <w:divBdr>
        <w:top w:val="none" w:sz="0" w:space="0" w:color="auto"/>
        <w:left w:val="none" w:sz="0" w:space="0" w:color="auto"/>
        <w:bottom w:val="none" w:sz="0" w:space="0" w:color="auto"/>
        <w:right w:val="none" w:sz="0" w:space="0" w:color="auto"/>
      </w:divBdr>
    </w:div>
    <w:div w:id="1192495520">
      <w:bodyDiv w:val="1"/>
      <w:marLeft w:val="0"/>
      <w:marRight w:val="0"/>
      <w:marTop w:val="0"/>
      <w:marBottom w:val="0"/>
      <w:divBdr>
        <w:top w:val="none" w:sz="0" w:space="0" w:color="auto"/>
        <w:left w:val="none" w:sz="0" w:space="0" w:color="auto"/>
        <w:bottom w:val="none" w:sz="0" w:space="0" w:color="auto"/>
        <w:right w:val="none" w:sz="0" w:space="0" w:color="auto"/>
      </w:divBdr>
    </w:div>
    <w:div w:id="1217814063">
      <w:bodyDiv w:val="1"/>
      <w:marLeft w:val="0"/>
      <w:marRight w:val="0"/>
      <w:marTop w:val="0"/>
      <w:marBottom w:val="0"/>
      <w:divBdr>
        <w:top w:val="none" w:sz="0" w:space="0" w:color="auto"/>
        <w:left w:val="none" w:sz="0" w:space="0" w:color="auto"/>
        <w:bottom w:val="none" w:sz="0" w:space="0" w:color="auto"/>
        <w:right w:val="none" w:sz="0" w:space="0" w:color="auto"/>
      </w:divBdr>
    </w:div>
    <w:div w:id="1224220263">
      <w:bodyDiv w:val="1"/>
      <w:marLeft w:val="0"/>
      <w:marRight w:val="0"/>
      <w:marTop w:val="0"/>
      <w:marBottom w:val="0"/>
      <w:divBdr>
        <w:top w:val="none" w:sz="0" w:space="0" w:color="auto"/>
        <w:left w:val="none" w:sz="0" w:space="0" w:color="auto"/>
        <w:bottom w:val="none" w:sz="0" w:space="0" w:color="auto"/>
        <w:right w:val="none" w:sz="0" w:space="0" w:color="auto"/>
      </w:divBdr>
    </w:div>
    <w:div w:id="1224868635">
      <w:bodyDiv w:val="1"/>
      <w:marLeft w:val="0"/>
      <w:marRight w:val="0"/>
      <w:marTop w:val="0"/>
      <w:marBottom w:val="0"/>
      <w:divBdr>
        <w:top w:val="none" w:sz="0" w:space="0" w:color="auto"/>
        <w:left w:val="none" w:sz="0" w:space="0" w:color="auto"/>
        <w:bottom w:val="none" w:sz="0" w:space="0" w:color="auto"/>
        <w:right w:val="none" w:sz="0" w:space="0" w:color="auto"/>
      </w:divBdr>
    </w:div>
    <w:div w:id="1249003542">
      <w:bodyDiv w:val="1"/>
      <w:marLeft w:val="0"/>
      <w:marRight w:val="0"/>
      <w:marTop w:val="0"/>
      <w:marBottom w:val="0"/>
      <w:divBdr>
        <w:top w:val="none" w:sz="0" w:space="0" w:color="auto"/>
        <w:left w:val="none" w:sz="0" w:space="0" w:color="auto"/>
        <w:bottom w:val="none" w:sz="0" w:space="0" w:color="auto"/>
        <w:right w:val="none" w:sz="0" w:space="0" w:color="auto"/>
      </w:divBdr>
    </w:div>
    <w:div w:id="1272205486">
      <w:bodyDiv w:val="1"/>
      <w:marLeft w:val="0"/>
      <w:marRight w:val="0"/>
      <w:marTop w:val="0"/>
      <w:marBottom w:val="0"/>
      <w:divBdr>
        <w:top w:val="none" w:sz="0" w:space="0" w:color="auto"/>
        <w:left w:val="none" w:sz="0" w:space="0" w:color="auto"/>
        <w:bottom w:val="none" w:sz="0" w:space="0" w:color="auto"/>
        <w:right w:val="none" w:sz="0" w:space="0" w:color="auto"/>
      </w:divBdr>
    </w:div>
    <w:div w:id="1306550524">
      <w:bodyDiv w:val="1"/>
      <w:marLeft w:val="0"/>
      <w:marRight w:val="0"/>
      <w:marTop w:val="0"/>
      <w:marBottom w:val="0"/>
      <w:divBdr>
        <w:top w:val="none" w:sz="0" w:space="0" w:color="auto"/>
        <w:left w:val="none" w:sz="0" w:space="0" w:color="auto"/>
        <w:bottom w:val="none" w:sz="0" w:space="0" w:color="auto"/>
        <w:right w:val="none" w:sz="0" w:space="0" w:color="auto"/>
      </w:divBdr>
    </w:div>
    <w:div w:id="1324623217">
      <w:bodyDiv w:val="1"/>
      <w:marLeft w:val="0"/>
      <w:marRight w:val="0"/>
      <w:marTop w:val="0"/>
      <w:marBottom w:val="0"/>
      <w:divBdr>
        <w:top w:val="none" w:sz="0" w:space="0" w:color="auto"/>
        <w:left w:val="none" w:sz="0" w:space="0" w:color="auto"/>
        <w:bottom w:val="none" w:sz="0" w:space="0" w:color="auto"/>
        <w:right w:val="none" w:sz="0" w:space="0" w:color="auto"/>
      </w:divBdr>
    </w:div>
    <w:div w:id="1391462525">
      <w:bodyDiv w:val="1"/>
      <w:marLeft w:val="0"/>
      <w:marRight w:val="0"/>
      <w:marTop w:val="0"/>
      <w:marBottom w:val="0"/>
      <w:divBdr>
        <w:top w:val="none" w:sz="0" w:space="0" w:color="auto"/>
        <w:left w:val="none" w:sz="0" w:space="0" w:color="auto"/>
        <w:bottom w:val="none" w:sz="0" w:space="0" w:color="auto"/>
        <w:right w:val="none" w:sz="0" w:space="0" w:color="auto"/>
      </w:divBdr>
    </w:div>
    <w:div w:id="1408915763">
      <w:bodyDiv w:val="1"/>
      <w:marLeft w:val="0"/>
      <w:marRight w:val="0"/>
      <w:marTop w:val="0"/>
      <w:marBottom w:val="0"/>
      <w:divBdr>
        <w:top w:val="none" w:sz="0" w:space="0" w:color="auto"/>
        <w:left w:val="none" w:sz="0" w:space="0" w:color="auto"/>
        <w:bottom w:val="none" w:sz="0" w:space="0" w:color="auto"/>
        <w:right w:val="none" w:sz="0" w:space="0" w:color="auto"/>
      </w:divBdr>
    </w:div>
    <w:div w:id="1419017180">
      <w:bodyDiv w:val="1"/>
      <w:marLeft w:val="0"/>
      <w:marRight w:val="0"/>
      <w:marTop w:val="0"/>
      <w:marBottom w:val="0"/>
      <w:divBdr>
        <w:top w:val="none" w:sz="0" w:space="0" w:color="auto"/>
        <w:left w:val="none" w:sz="0" w:space="0" w:color="auto"/>
        <w:bottom w:val="none" w:sz="0" w:space="0" w:color="auto"/>
        <w:right w:val="none" w:sz="0" w:space="0" w:color="auto"/>
      </w:divBdr>
    </w:div>
    <w:div w:id="1433744851">
      <w:bodyDiv w:val="1"/>
      <w:marLeft w:val="0"/>
      <w:marRight w:val="0"/>
      <w:marTop w:val="0"/>
      <w:marBottom w:val="0"/>
      <w:divBdr>
        <w:top w:val="none" w:sz="0" w:space="0" w:color="auto"/>
        <w:left w:val="none" w:sz="0" w:space="0" w:color="auto"/>
        <w:bottom w:val="none" w:sz="0" w:space="0" w:color="auto"/>
        <w:right w:val="none" w:sz="0" w:space="0" w:color="auto"/>
      </w:divBdr>
    </w:div>
    <w:div w:id="1434326636">
      <w:bodyDiv w:val="1"/>
      <w:marLeft w:val="0"/>
      <w:marRight w:val="0"/>
      <w:marTop w:val="0"/>
      <w:marBottom w:val="0"/>
      <w:divBdr>
        <w:top w:val="none" w:sz="0" w:space="0" w:color="auto"/>
        <w:left w:val="none" w:sz="0" w:space="0" w:color="auto"/>
        <w:bottom w:val="none" w:sz="0" w:space="0" w:color="auto"/>
        <w:right w:val="none" w:sz="0" w:space="0" w:color="auto"/>
      </w:divBdr>
    </w:div>
    <w:div w:id="1437747359">
      <w:bodyDiv w:val="1"/>
      <w:marLeft w:val="0"/>
      <w:marRight w:val="0"/>
      <w:marTop w:val="0"/>
      <w:marBottom w:val="0"/>
      <w:divBdr>
        <w:top w:val="none" w:sz="0" w:space="0" w:color="auto"/>
        <w:left w:val="none" w:sz="0" w:space="0" w:color="auto"/>
        <w:bottom w:val="none" w:sz="0" w:space="0" w:color="auto"/>
        <w:right w:val="none" w:sz="0" w:space="0" w:color="auto"/>
      </w:divBdr>
    </w:div>
    <w:div w:id="1477604991">
      <w:bodyDiv w:val="1"/>
      <w:marLeft w:val="0"/>
      <w:marRight w:val="0"/>
      <w:marTop w:val="0"/>
      <w:marBottom w:val="0"/>
      <w:divBdr>
        <w:top w:val="none" w:sz="0" w:space="0" w:color="auto"/>
        <w:left w:val="none" w:sz="0" w:space="0" w:color="auto"/>
        <w:bottom w:val="none" w:sz="0" w:space="0" w:color="auto"/>
        <w:right w:val="none" w:sz="0" w:space="0" w:color="auto"/>
      </w:divBdr>
    </w:div>
    <w:div w:id="1480341708">
      <w:bodyDiv w:val="1"/>
      <w:marLeft w:val="0"/>
      <w:marRight w:val="0"/>
      <w:marTop w:val="0"/>
      <w:marBottom w:val="0"/>
      <w:divBdr>
        <w:top w:val="none" w:sz="0" w:space="0" w:color="auto"/>
        <w:left w:val="none" w:sz="0" w:space="0" w:color="auto"/>
        <w:bottom w:val="none" w:sz="0" w:space="0" w:color="auto"/>
        <w:right w:val="none" w:sz="0" w:space="0" w:color="auto"/>
      </w:divBdr>
    </w:div>
    <w:div w:id="1489638689">
      <w:bodyDiv w:val="1"/>
      <w:marLeft w:val="0"/>
      <w:marRight w:val="0"/>
      <w:marTop w:val="0"/>
      <w:marBottom w:val="0"/>
      <w:divBdr>
        <w:top w:val="none" w:sz="0" w:space="0" w:color="auto"/>
        <w:left w:val="none" w:sz="0" w:space="0" w:color="auto"/>
        <w:bottom w:val="none" w:sz="0" w:space="0" w:color="auto"/>
        <w:right w:val="none" w:sz="0" w:space="0" w:color="auto"/>
      </w:divBdr>
    </w:div>
    <w:div w:id="1500151760">
      <w:bodyDiv w:val="1"/>
      <w:marLeft w:val="0"/>
      <w:marRight w:val="0"/>
      <w:marTop w:val="0"/>
      <w:marBottom w:val="0"/>
      <w:divBdr>
        <w:top w:val="none" w:sz="0" w:space="0" w:color="auto"/>
        <w:left w:val="none" w:sz="0" w:space="0" w:color="auto"/>
        <w:bottom w:val="none" w:sz="0" w:space="0" w:color="auto"/>
        <w:right w:val="none" w:sz="0" w:space="0" w:color="auto"/>
      </w:divBdr>
    </w:div>
    <w:div w:id="1536384032">
      <w:bodyDiv w:val="1"/>
      <w:marLeft w:val="0"/>
      <w:marRight w:val="0"/>
      <w:marTop w:val="0"/>
      <w:marBottom w:val="0"/>
      <w:divBdr>
        <w:top w:val="none" w:sz="0" w:space="0" w:color="auto"/>
        <w:left w:val="none" w:sz="0" w:space="0" w:color="auto"/>
        <w:bottom w:val="none" w:sz="0" w:space="0" w:color="auto"/>
        <w:right w:val="none" w:sz="0" w:space="0" w:color="auto"/>
      </w:divBdr>
    </w:div>
    <w:div w:id="1537081977">
      <w:bodyDiv w:val="1"/>
      <w:marLeft w:val="0"/>
      <w:marRight w:val="0"/>
      <w:marTop w:val="0"/>
      <w:marBottom w:val="0"/>
      <w:divBdr>
        <w:top w:val="none" w:sz="0" w:space="0" w:color="auto"/>
        <w:left w:val="none" w:sz="0" w:space="0" w:color="auto"/>
        <w:bottom w:val="none" w:sz="0" w:space="0" w:color="auto"/>
        <w:right w:val="none" w:sz="0" w:space="0" w:color="auto"/>
      </w:divBdr>
    </w:div>
    <w:div w:id="1539197670">
      <w:bodyDiv w:val="1"/>
      <w:marLeft w:val="0"/>
      <w:marRight w:val="0"/>
      <w:marTop w:val="0"/>
      <w:marBottom w:val="0"/>
      <w:divBdr>
        <w:top w:val="none" w:sz="0" w:space="0" w:color="auto"/>
        <w:left w:val="none" w:sz="0" w:space="0" w:color="auto"/>
        <w:bottom w:val="none" w:sz="0" w:space="0" w:color="auto"/>
        <w:right w:val="none" w:sz="0" w:space="0" w:color="auto"/>
      </w:divBdr>
    </w:div>
    <w:div w:id="1652101350">
      <w:bodyDiv w:val="1"/>
      <w:marLeft w:val="0"/>
      <w:marRight w:val="0"/>
      <w:marTop w:val="0"/>
      <w:marBottom w:val="0"/>
      <w:divBdr>
        <w:top w:val="none" w:sz="0" w:space="0" w:color="auto"/>
        <w:left w:val="none" w:sz="0" w:space="0" w:color="auto"/>
        <w:bottom w:val="none" w:sz="0" w:space="0" w:color="auto"/>
        <w:right w:val="none" w:sz="0" w:space="0" w:color="auto"/>
      </w:divBdr>
    </w:div>
    <w:div w:id="1693069707">
      <w:bodyDiv w:val="1"/>
      <w:marLeft w:val="0"/>
      <w:marRight w:val="0"/>
      <w:marTop w:val="0"/>
      <w:marBottom w:val="0"/>
      <w:divBdr>
        <w:top w:val="none" w:sz="0" w:space="0" w:color="auto"/>
        <w:left w:val="none" w:sz="0" w:space="0" w:color="auto"/>
        <w:bottom w:val="none" w:sz="0" w:space="0" w:color="auto"/>
        <w:right w:val="none" w:sz="0" w:space="0" w:color="auto"/>
      </w:divBdr>
    </w:div>
    <w:div w:id="1709723897">
      <w:bodyDiv w:val="1"/>
      <w:marLeft w:val="0"/>
      <w:marRight w:val="0"/>
      <w:marTop w:val="0"/>
      <w:marBottom w:val="0"/>
      <w:divBdr>
        <w:top w:val="none" w:sz="0" w:space="0" w:color="auto"/>
        <w:left w:val="none" w:sz="0" w:space="0" w:color="auto"/>
        <w:bottom w:val="none" w:sz="0" w:space="0" w:color="auto"/>
        <w:right w:val="none" w:sz="0" w:space="0" w:color="auto"/>
      </w:divBdr>
    </w:div>
    <w:div w:id="1721511194">
      <w:bodyDiv w:val="1"/>
      <w:marLeft w:val="0"/>
      <w:marRight w:val="0"/>
      <w:marTop w:val="0"/>
      <w:marBottom w:val="0"/>
      <w:divBdr>
        <w:top w:val="none" w:sz="0" w:space="0" w:color="auto"/>
        <w:left w:val="none" w:sz="0" w:space="0" w:color="auto"/>
        <w:bottom w:val="none" w:sz="0" w:space="0" w:color="auto"/>
        <w:right w:val="none" w:sz="0" w:space="0" w:color="auto"/>
      </w:divBdr>
    </w:div>
    <w:div w:id="1731685088">
      <w:bodyDiv w:val="1"/>
      <w:marLeft w:val="0"/>
      <w:marRight w:val="0"/>
      <w:marTop w:val="0"/>
      <w:marBottom w:val="0"/>
      <w:divBdr>
        <w:top w:val="none" w:sz="0" w:space="0" w:color="auto"/>
        <w:left w:val="none" w:sz="0" w:space="0" w:color="auto"/>
        <w:bottom w:val="none" w:sz="0" w:space="0" w:color="auto"/>
        <w:right w:val="none" w:sz="0" w:space="0" w:color="auto"/>
      </w:divBdr>
    </w:div>
    <w:div w:id="1765951550">
      <w:bodyDiv w:val="1"/>
      <w:marLeft w:val="0"/>
      <w:marRight w:val="0"/>
      <w:marTop w:val="0"/>
      <w:marBottom w:val="0"/>
      <w:divBdr>
        <w:top w:val="none" w:sz="0" w:space="0" w:color="auto"/>
        <w:left w:val="none" w:sz="0" w:space="0" w:color="auto"/>
        <w:bottom w:val="none" w:sz="0" w:space="0" w:color="auto"/>
        <w:right w:val="none" w:sz="0" w:space="0" w:color="auto"/>
      </w:divBdr>
    </w:div>
    <w:div w:id="1825899833">
      <w:bodyDiv w:val="1"/>
      <w:marLeft w:val="0"/>
      <w:marRight w:val="0"/>
      <w:marTop w:val="0"/>
      <w:marBottom w:val="0"/>
      <w:divBdr>
        <w:top w:val="none" w:sz="0" w:space="0" w:color="auto"/>
        <w:left w:val="none" w:sz="0" w:space="0" w:color="auto"/>
        <w:bottom w:val="none" w:sz="0" w:space="0" w:color="auto"/>
        <w:right w:val="none" w:sz="0" w:space="0" w:color="auto"/>
      </w:divBdr>
    </w:div>
    <w:div w:id="1873571905">
      <w:bodyDiv w:val="1"/>
      <w:marLeft w:val="0"/>
      <w:marRight w:val="0"/>
      <w:marTop w:val="0"/>
      <w:marBottom w:val="0"/>
      <w:divBdr>
        <w:top w:val="none" w:sz="0" w:space="0" w:color="auto"/>
        <w:left w:val="none" w:sz="0" w:space="0" w:color="auto"/>
        <w:bottom w:val="none" w:sz="0" w:space="0" w:color="auto"/>
        <w:right w:val="none" w:sz="0" w:space="0" w:color="auto"/>
      </w:divBdr>
    </w:div>
    <w:div w:id="1898122285">
      <w:bodyDiv w:val="1"/>
      <w:marLeft w:val="0"/>
      <w:marRight w:val="0"/>
      <w:marTop w:val="0"/>
      <w:marBottom w:val="0"/>
      <w:divBdr>
        <w:top w:val="none" w:sz="0" w:space="0" w:color="auto"/>
        <w:left w:val="none" w:sz="0" w:space="0" w:color="auto"/>
        <w:bottom w:val="none" w:sz="0" w:space="0" w:color="auto"/>
        <w:right w:val="none" w:sz="0" w:space="0" w:color="auto"/>
      </w:divBdr>
    </w:div>
    <w:div w:id="1931547129">
      <w:bodyDiv w:val="1"/>
      <w:marLeft w:val="0"/>
      <w:marRight w:val="0"/>
      <w:marTop w:val="0"/>
      <w:marBottom w:val="0"/>
      <w:divBdr>
        <w:top w:val="none" w:sz="0" w:space="0" w:color="auto"/>
        <w:left w:val="none" w:sz="0" w:space="0" w:color="auto"/>
        <w:bottom w:val="none" w:sz="0" w:space="0" w:color="auto"/>
        <w:right w:val="none" w:sz="0" w:space="0" w:color="auto"/>
      </w:divBdr>
    </w:div>
    <w:div w:id="1945839532">
      <w:bodyDiv w:val="1"/>
      <w:marLeft w:val="0"/>
      <w:marRight w:val="0"/>
      <w:marTop w:val="0"/>
      <w:marBottom w:val="0"/>
      <w:divBdr>
        <w:top w:val="none" w:sz="0" w:space="0" w:color="auto"/>
        <w:left w:val="none" w:sz="0" w:space="0" w:color="auto"/>
        <w:bottom w:val="none" w:sz="0" w:space="0" w:color="auto"/>
        <w:right w:val="none" w:sz="0" w:space="0" w:color="auto"/>
      </w:divBdr>
    </w:div>
    <w:div w:id="1965425521">
      <w:bodyDiv w:val="1"/>
      <w:marLeft w:val="0"/>
      <w:marRight w:val="0"/>
      <w:marTop w:val="0"/>
      <w:marBottom w:val="0"/>
      <w:divBdr>
        <w:top w:val="none" w:sz="0" w:space="0" w:color="auto"/>
        <w:left w:val="none" w:sz="0" w:space="0" w:color="auto"/>
        <w:bottom w:val="none" w:sz="0" w:space="0" w:color="auto"/>
        <w:right w:val="none" w:sz="0" w:space="0" w:color="auto"/>
      </w:divBdr>
    </w:div>
    <w:div w:id="1977224410">
      <w:bodyDiv w:val="1"/>
      <w:marLeft w:val="0"/>
      <w:marRight w:val="0"/>
      <w:marTop w:val="0"/>
      <w:marBottom w:val="0"/>
      <w:divBdr>
        <w:top w:val="none" w:sz="0" w:space="0" w:color="auto"/>
        <w:left w:val="none" w:sz="0" w:space="0" w:color="auto"/>
        <w:bottom w:val="none" w:sz="0" w:space="0" w:color="auto"/>
        <w:right w:val="none" w:sz="0" w:space="0" w:color="auto"/>
      </w:divBdr>
    </w:div>
    <w:div w:id="1986860433">
      <w:bodyDiv w:val="1"/>
      <w:marLeft w:val="0"/>
      <w:marRight w:val="0"/>
      <w:marTop w:val="0"/>
      <w:marBottom w:val="0"/>
      <w:divBdr>
        <w:top w:val="none" w:sz="0" w:space="0" w:color="auto"/>
        <w:left w:val="none" w:sz="0" w:space="0" w:color="auto"/>
        <w:bottom w:val="none" w:sz="0" w:space="0" w:color="auto"/>
        <w:right w:val="none" w:sz="0" w:space="0" w:color="auto"/>
      </w:divBdr>
    </w:div>
    <w:div w:id="2000304084">
      <w:bodyDiv w:val="1"/>
      <w:marLeft w:val="0"/>
      <w:marRight w:val="0"/>
      <w:marTop w:val="0"/>
      <w:marBottom w:val="0"/>
      <w:divBdr>
        <w:top w:val="none" w:sz="0" w:space="0" w:color="auto"/>
        <w:left w:val="none" w:sz="0" w:space="0" w:color="auto"/>
        <w:bottom w:val="none" w:sz="0" w:space="0" w:color="auto"/>
        <w:right w:val="none" w:sz="0" w:space="0" w:color="auto"/>
      </w:divBdr>
    </w:div>
    <w:div w:id="2053918841">
      <w:bodyDiv w:val="1"/>
      <w:marLeft w:val="0"/>
      <w:marRight w:val="0"/>
      <w:marTop w:val="0"/>
      <w:marBottom w:val="0"/>
      <w:divBdr>
        <w:top w:val="none" w:sz="0" w:space="0" w:color="auto"/>
        <w:left w:val="none" w:sz="0" w:space="0" w:color="auto"/>
        <w:bottom w:val="none" w:sz="0" w:space="0" w:color="auto"/>
        <w:right w:val="none" w:sz="0" w:space="0" w:color="auto"/>
      </w:divBdr>
    </w:div>
    <w:div w:id="2068451752">
      <w:bodyDiv w:val="1"/>
      <w:marLeft w:val="0"/>
      <w:marRight w:val="0"/>
      <w:marTop w:val="0"/>
      <w:marBottom w:val="0"/>
      <w:divBdr>
        <w:top w:val="none" w:sz="0" w:space="0" w:color="auto"/>
        <w:left w:val="none" w:sz="0" w:space="0" w:color="auto"/>
        <w:bottom w:val="none" w:sz="0" w:space="0" w:color="auto"/>
        <w:right w:val="none" w:sz="0" w:space="0" w:color="auto"/>
      </w:divBdr>
    </w:div>
    <w:div w:id="2083134147">
      <w:bodyDiv w:val="1"/>
      <w:marLeft w:val="0"/>
      <w:marRight w:val="0"/>
      <w:marTop w:val="0"/>
      <w:marBottom w:val="0"/>
      <w:divBdr>
        <w:top w:val="none" w:sz="0" w:space="0" w:color="auto"/>
        <w:left w:val="none" w:sz="0" w:space="0" w:color="auto"/>
        <w:bottom w:val="none" w:sz="0" w:space="0" w:color="auto"/>
        <w:right w:val="none" w:sz="0" w:space="0" w:color="auto"/>
      </w:divBdr>
    </w:div>
    <w:div w:id="2103380666">
      <w:bodyDiv w:val="1"/>
      <w:marLeft w:val="0"/>
      <w:marRight w:val="0"/>
      <w:marTop w:val="0"/>
      <w:marBottom w:val="0"/>
      <w:divBdr>
        <w:top w:val="none" w:sz="0" w:space="0" w:color="auto"/>
        <w:left w:val="none" w:sz="0" w:space="0" w:color="auto"/>
        <w:bottom w:val="none" w:sz="0" w:space="0" w:color="auto"/>
        <w:right w:val="none" w:sz="0" w:space="0" w:color="auto"/>
      </w:divBdr>
    </w:div>
    <w:div w:id="2111732827">
      <w:bodyDiv w:val="1"/>
      <w:marLeft w:val="0"/>
      <w:marRight w:val="0"/>
      <w:marTop w:val="0"/>
      <w:marBottom w:val="0"/>
      <w:divBdr>
        <w:top w:val="none" w:sz="0" w:space="0" w:color="auto"/>
        <w:left w:val="none" w:sz="0" w:space="0" w:color="auto"/>
        <w:bottom w:val="none" w:sz="0" w:space="0" w:color="auto"/>
        <w:right w:val="none" w:sz="0" w:space="0" w:color="auto"/>
      </w:divBdr>
    </w:div>
    <w:div w:id="2113940116">
      <w:bodyDiv w:val="1"/>
      <w:marLeft w:val="0"/>
      <w:marRight w:val="0"/>
      <w:marTop w:val="0"/>
      <w:marBottom w:val="0"/>
      <w:divBdr>
        <w:top w:val="none" w:sz="0" w:space="0" w:color="auto"/>
        <w:left w:val="none" w:sz="0" w:space="0" w:color="auto"/>
        <w:bottom w:val="none" w:sz="0" w:space="0" w:color="auto"/>
        <w:right w:val="none" w:sz="0" w:space="0" w:color="auto"/>
      </w:divBdr>
    </w:div>
    <w:div w:id="2131045360">
      <w:bodyDiv w:val="1"/>
      <w:marLeft w:val="0"/>
      <w:marRight w:val="0"/>
      <w:marTop w:val="0"/>
      <w:marBottom w:val="0"/>
      <w:divBdr>
        <w:top w:val="none" w:sz="0" w:space="0" w:color="auto"/>
        <w:left w:val="none" w:sz="0" w:space="0" w:color="auto"/>
        <w:bottom w:val="none" w:sz="0" w:space="0" w:color="auto"/>
        <w:right w:val="none" w:sz="0" w:space="0" w:color="auto"/>
      </w:divBdr>
    </w:div>
    <w:div w:id="2132816096">
      <w:bodyDiv w:val="1"/>
      <w:marLeft w:val="0"/>
      <w:marRight w:val="0"/>
      <w:marTop w:val="0"/>
      <w:marBottom w:val="0"/>
      <w:divBdr>
        <w:top w:val="none" w:sz="0" w:space="0" w:color="auto"/>
        <w:left w:val="none" w:sz="0" w:space="0" w:color="auto"/>
        <w:bottom w:val="none" w:sz="0" w:space="0" w:color="auto"/>
        <w:right w:val="none" w:sz="0" w:space="0" w:color="auto"/>
      </w:divBdr>
    </w:div>
    <w:div w:id="2134666472">
      <w:bodyDiv w:val="1"/>
      <w:marLeft w:val="0"/>
      <w:marRight w:val="0"/>
      <w:marTop w:val="0"/>
      <w:marBottom w:val="0"/>
      <w:divBdr>
        <w:top w:val="none" w:sz="0" w:space="0" w:color="auto"/>
        <w:left w:val="none" w:sz="0" w:space="0" w:color="auto"/>
        <w:bottom w:val="none" w:sz="0" w:space="0" w:color="auto"/>
        <w:right w:val="none" w:sz="0" w:space="0" w:color="auto"/>
      </w:divBdr>
    </w:div>
    <w:div w:id="2146239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eader" Target="header3.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3.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3.png"/><Relationship Id="rId68" Type="http://schemas.openxmlformats.org/officeDocument/2006/relationships/header" Target="header6.xm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1.xml"/><Relationship Id="rId29" Type="http://schemas.openxmlformats.org/officeDocument/2006/relationships/image" Target="media/image10.png"/><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8.png"/><Relationship Id="rId66" Type="http://schemas.openxmlformats.org/officeDocument/2006/relationships/footer" Target="footer4.xml"/><Relationship Id="rId5" Type="http://schemas.openxmlformats.org/officeDocument/2006/relationships/customXml" Target="../customXml/item4.xml"/><Relationship Id="rId15" Type="http://schemas.openxmlformats.org/officeDocument/2006/relationships/header" Target="header2.xml"/><Relationship Id="rId23" Type="http://schemas.openxmlformats.org/officeDocument/2006/relationships/chart" Target="charts/chart1.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0.png"/><Relationship Id="rId65" Type="http://schemas.openxmlformats.org/officeDocument/2006/relationships/header" Target="header5.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chart" Target="charts/chart2.xml"/><Relationship Id="rId64" Type="http://schemas.openxmlformats.org/officeDocument/2006/relationships/header" Target="header4.xml"/><Relationship Id="rId69" Type="http://schemas.openxmlformats.org/officeDocument/2006/relationships/footer" Target="footer6.xml"/><Relationship Id="rId8" Type="http://schemas.microsoft.com/office/2007/relationships/stylesWithEffects" Target="stylesWithEffects.xml"/><Relationship Id="rId51" Type="http://schemas.openxmlformats.org/officeDocument/2006/relationships/image" Target="media/image32.png"/><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39.png"/><Relationship Id="rId67" Type="http://schemas.openxmlformats.org/officeDocument/2006/relationships/footer" Target="footer5.xml"/><Relationship Id="rId20" Type="http://schemas.openxmlformats.org/officeDocument/2006/relationships/image" Target="media/image2.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2.png"/><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bundeskartellamt.de/SharedDocs/Meldung/EN/Pressemitteilungen/2020/09_07_2020_Lades&#228;ulen.html"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NET1.cec.eu.int\homes\114\babiant\Desktop\EUworks\DG.ENER\Energy%20Price%20and%20Cost%20Report\Data\Tables%204%20SWD%202020.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NET1.cec.eu.int\homes\114\babiant\Desktop\EUworks\DG.ENER\Energy%20Price%20and%20Cost%20Report\Data\Box%20on%20alternative%20fuel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'Figure 68&amp;70'!$I$2</c:f>
              <c:strCache>
                <c:ptCount val="1"/>
                <c:pt idx="0">
                  <c:v>Brent, EUR per litre</c:v>
                </c:pt>
              </c:strCache>
            </c:strRef>
          </c:tx>
          <c:spPr>
            <a:ln w="28575" cap="rnd">
              <a:solidFill>
                <a:schemeClr val="tx1"/>
              </a:solidFill>
              <a:round/>
            </a:ln>
            <a:effectLst/>
          </c:spPr>
          <c:marker>
            <c:symbol val="none"/>
          </c:marker>
          <c:cat>
            <c:numRef>
              <c:f>'Figure 68&amp;70'!$A$7:$A$21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'Figure 68&amp;70'!$I$7:$I$21</c:f>
              <c:numCache>
                <c:formatCode>General</c:formatCode>
                <c:ptCount val="15"/>
                <c:pt idx="0">
                  <c:v>0.27589114976997281</c:v>
                </c:pt>
                <c:pt idx="1">
                  <c:v>0.32639568296738719</c:v>
                </c:pt>
                <c:pt idx="2">
                  <c:v>0.33243690614681792</c:v>
                </c:pt>
                <c:pt idx="3">
                  <c:v>0.41454506350921394</c:v>
                </c:pt>
                <c:pt idx="4">
                  <c:v>0.27838697300336485</c:v>
                </c:pt>
                <c:pt idx="5">
                  <c:v>0.37767845654316473</c:v>
                </c:pt>
                <c:pt idx="6">
                  <c:v>0.50271214755271987</c:v>
                </c:pt>
                <c:pt idx="7">
                  <c:v>0.54615691711762737</c:v>
                </c:pt>
                <c:pt idx="8">
                  <c:v>0.51406961001174867</c:v>
                </c:pt>
                <c:pt idx="9">
                  <c:v>0.46853620932111245</c:v>
                </c:pt>
                <c:pt idx="10">
                  <c:v>0.29656142360918319</c:v>
                </c:pt>
                <c:pt idx="11">
                  <c:v>0.24794726731292721</c:v>
                </c:pt>
                <c:pt idx="12">
                  <c:v>0.30132564101172299</c:v>
                </c:pt>
                <c:pt idx="13">
                  <c:v>0.37988805990020219</c:v>
                </c:pt>
                <c:pt idx="14">
                  <c:v>0.36123843791502475</c:v>
                </c:pt>
              </c:numCache>
            </c:numRef>
          </c:val>
          <c:smooth val="0"/>
          <c:extLst xmlns:c16r2="http://schemas.microsoft.com/office/drawing/2015/06/chart">
            <c:ext xmlns:c16="http://schemas.microsoft.com/office/drawing/2014/chart" uri="{C3380CC4-5D6E-409C-BE32-E72D297353CC}">
              <c16:uniqueId val="{00000000-4311-48E4-9F76-580BF58BE22F}"/>
            </c:ext>
          </c:extLst>
        </c:ser>
        <c:ser>
          <c:idx val="1"/>
          <c:order val="1"/>
          <c:tx>
            <c:strRef>
              <c:f>'Figure 68&amp;70'!$J$2</c:f>
              <c:strCache>
                <c:ptCount val="1"/>
                <c:pt idx="0">
                  <c:v>Gasoline, EUR per litre</c:v>
                </c:pt>
              </c:strCache>
            </c:strRef>
          </c:tx>
          <c:spPr>
            <a:ln w="28575" cap="rnd">
              <a:solidFill>
                <a:srgbClr val="0070C0"/>
              </a:solidFill>
              <a:round/>
            </a:ln>
            <a:effectLst/>
          </c:spPr>
          <c:marker>
            <c:symbol val="none"/>
          </c:marker>
          <c:cat>
            <c:numRef>
              <c:f>'Figure 68&amp;70'!$A$7:$A$21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'Figure 68&amp;70'!$J$7:$J$21</c:f>
              <c:numCache>
                <c:formatCode>General</c:formatCode>
                <c:ptCount val="15"/>
                <c:pt idx="0">
                  <c:v>1.1654665306122454</c:v>
                </c:pt>
                <c:pt idx="1">
                  <c:v>1.2321844897959182</c:v>
                </c:pt>
                <c:pt idx="2">
                  <c:v>1.2647518367346935</c:v>
                </c:pt>
                <c:pt idx="3">
                  <c:v>1.3259134693877548</c:v>
                </c:pt>
                <c:pt idx="4">
                  <c:v>1.1551923999999998</c:v>
                </c:pt>
                <c:pt idx="5">
                  <c:v>1.3310395918367346</c:v>
                </c:pt>
                <c:pt idx="6">
                  <c:v>1.4929357142857143</c:v>
                </c:pt>
                <c:pt idx="7">
                  <c:v>1.621847142857143</c:v>
                </c:pt>
                <c:pt idx="8">
                  <c:v>1.5732388000000004</c:v>
                </c:pt>
                <c:pt idx="9">
                  <c:v>1.5340016326530614</c:v>
                </c:pt>
                <c:pt idx="10">
                  <c:v>1.3970642857142856</c:v>
                </c:pt>
                <c:pt idx="11">
                  <c:v>1.2907781999999997</c:v>
                </c:pt>
                <c:pt idx="12">
                  <c:v>1.3506503999999997</c:v>
                </c:pt>
                <c:pt idx="13">
                  <c:v>1.4270445999999999</c:v>
                </c:pt>
                <c:pt idx="14">
                  <c:v>1.4159230612244895</c:v>
                </c:pt>
              </c:numCache>
            </c:numRef>
          </c:val>
          <c:smooth val="0"/>
          <c:extLst xmlns:c16r2="http://schemas.microsoft.com/office/drawing/2015/06/chart">
            <c:ext xmlns:c16="http://schemas.microsoft.com/office/drawing/2014/chart" uri="{C3380CC4-5D6E-409C-BE32-E72D297353CC}">
              <c16:uniqueId val="{00000001-4311-48E4-9F76-580BF58BE22F}"/>
            </c:ext>
          </c:extLst>
        </c:ser>
        <c:ser>
          <c:idx val="2"/>
          <c:order val="2"/>
          <c:tx>
            <c:strRef>
              <c:f>'Figure 68&amp;70'!$K$2</c:f>
              <c:strCache>
                <c:ptCount val="1"/>
                <c:pt idx="0">
                  <c:v>Diesel, EUR per litre</c:v>
                </c:pt>
              </c:strCache>
            </c:strRef>
          </c:tx>
          <c:spPr>
            <a:ln w="28575" cap="rnd">
              <a:solidFill>
                <a:srgbClr val="C00000"/>
              </a:solidFill>
              <a:round/>
            </a:ln>
            <a:effectLst/>
          </c:spPr>
          <c:marker>
            <c:symbol val="none"/>
          </c:marker>
          <c:cat>
            <c:numRef>
              <c:f>'Figure 68&amp;70'!$A$7:$A$21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'Figure 68&amp;70'!$K$7:$K$21</c:f>
              <c:numCache>
                <c:formatCode>General</c:formatCode>
                <c:ptCount val="15"/>
                <c:pt idx="0">
                  <c:v>1.0317720408163262</c:v>
                </c:pt>
                <c:pt idx="1">
                  <c:v>1.0941608163265304</c:v>
                </c:pt>
                <c:pt idx="2">
                  <c:v>1.1083351020408161</c:v>
                </c:pt>
                <c:pt idx="3">
                  <c:v>1.2828477551020412</c:v>
                </c:pt>
                <c:pt idx="4">
                  <c:v>1.0084877999999999</c:v>
                </c:pt>
                <c:pt idx="5">
                  <c:v>1.16951</c:v>
                </c:pt>
                <c:pt idx="6">
                  <c:v>1.3702861224489793</c:v>
                </c:pt>
                <c:pt idx="7">
                  <c:v>1.4935551020408158</c:v>
                </c:pt>
                <c:pt idx="8">
                  <c:v>1.4455845999999999</c:v>
                </c:pt>
                <c:pt idx="9">
                  <c:v>1.3985318367346937</c:v>
                </c:pt>
                <c:pt idx="10">
                  <c:v>1.2355171428571428</c:v>
                </c:pt>
                <c:pt idx="11">
                  <c:v>1.1232880000000001</c:v>
                </c:pt>
                <c:pt idx="12">
                  <c:v>1.2108488000000002</c:v>
                </c:pt>
                <c:pt idx="13">
                  <c:v>1.3344869999999998</c:v>
                </c:pt>
                <c:pt idx="14">
                  <c:v>1.3356753061224489</c:v>
                </c:pt>
              </c:numCache>
            </c:numRef>
          </c:val>
          <c:smooth val="0"/>
          <c:extLst xmlns:c16r2="http://schemas.microsoft.com/office/drawing/2015/06/chart">
            <c:ext xmlns:c16="http://schemas.microsoft.com/office/drawing/2014/chart" uri="{C3380CC4-5D6E-409C-BE32-E72D297353CC}">
              <c16:uniqueId val="{00000002-4311-48E4-9F76-580BF58BE22F}"/>
            </c:ext>
          </c:extLst>
        </c:ser>
        <c:ser>
          <c:idx val="3"/>
          <c:order val="3"/>
          <c:tx>
            <c:strRef>
              <c:f>'Figure 68&amp;70'!$L$2</c:f>
              <c:strCache>
                <c:ptCount val="1"/>
                <c:pt idx="0">
                  <c:v>Heating oil, EUR per litre</c:v>
                </c:pt>
              </c:strCache>
            </c:strRef>
          </c:tx>
          <c:spPr>
            <a:ln w="28575" cap="rnd">
              <a:solidFill>
                <a:srgbClr val="92D050"/>
              </a:solidFill>
              <a:round/>
            </a:ln>
            <a:effectLst/>
          </c:spPr>
          <c:marker>
            <c:symbol val="none"/>
          </c:marker>
          <c:cat>
            <c:numRef>
              <c:f>'Figure 68&amp;70'!$A$7:$A$21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'Figure 68&amp;70'!$L$7:$L$21</c:f>
              <c:numCache>
                <c:formatCode>General</c:formatCode>
                <c:ptCount val="15"/>
                <c:pt idx="0">
                  <c:v>0.6066814285714287</c:v>
                </c:pt>
                <c:pt idx="1">
                  <c:v>0.67166408163265301</c:v>
                </c:pt>
                <c:pt idx="2">
                  <c:v>0.6770653061224492</c:v>
                </c:pt>
                <c:pt idx="3">
                  <c:v>0.85709816326530563</c:v>
                </c:pt>
                <c:pt idx="4">
                  <c:v>0.59849380000000008</c:v>
                </c:pt>
                <c:pt idx="5">
                  <c:v>0.73918591836734704</c:v>
                </c:pt>
                <c:pt idx="6">
                  <c:v>0.9217863265306121</c:v>
                </c:pt>
                <c:pt idx="7">
                  <c:v>0.99559387755102036</c:v>
                </c:pt>
                <c:pt idx="8">
                  <c:v>0.94051859999999998</c:v>
                </c:pt>
                <c:pt idx="9">
                  <c:v>0.88541775510204057</c:v>
                </c:pt>
                <c:pt idx="10">
                  <c:v>0.69726265306122426</c:v>
                </c:pt>
                <c:pt idx="11">
                  <c:v>0.60048320000000011</c:v>
                </c:pt>
                <c:pt idx="12">
                  <c:v>0.68598219999999988</c:v>
                </c:pt>
                <c:pt idx="13">
                  <c:v>0.81675139999999968</c:v>
                </c:pt>
                <c:pt idx="14">
                  <c:v>0.8085232653061224</c:v>
                </c:pt>
              </c:numCache>
            </c:numRef>
          </c:val>
          <c:smooth val="0"/>
          <c:extLst xmlns:c16r2="http://schemas.microsoft.com/office/drawing/2015/06/chart">
            <c:ext xmlns:c16="http://schemas.microsoft.com/office/drawing/2014/chart" uri="{C3380CC4-5D6E-409C-BE32-E72D297353CC}">
              <c16:uniqueId val="{00000003-4311-48E4-9F76-580BF58BE22F}"/>
            </c:ext>
          </c:extLst>
        </c:ser>
        <c:dLbls>
          <c:showLegendKey val="0"/>
          <c:showVal val="0"/>
          <c:showCatName val="0"/>
          <c:showSerName val="0"/>
          <c:showPercent val="0"/>
          <c:showBubbleSize val="0"/>
        </c:dLbls>
        <c:marker val="1"/>
        <c:smooth val="0"/>
        <c:axId val="48961408"/>
        <c:axId val="48962944"/>
      </c:lineChart>
      <c:catAx>
        <c:axId val="48961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962944"/>
        <c:crosses val="autoZero"/>
        <c:auto val="1"/>
        <c:lblAlgn val="ctr"/>
        <c:lblOffset val="100"/>
        <c:noMultiLvlLbl val="0"/>
      </c:catAx>
      <c:valAx>
        <c:axId val="489629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961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718218236200969E-2"/>
          <c:y val="7.2939460247994164E-2"/>
          <c:w val="0.87801515832249111"/>
          <c:h val="0.7244390840641638"/>
        </c:manualLayout>
      </c:layout>
      <c:barChart>
        <c:barDir val="col"/>
        <c:grouping val="stacked"/>
        <c:varyColors val="0"/>
        <c:ser>
          <c:idx val="0"/>
          <c:order val="0"/>
          <c:tx>
            <c:strRef>
              <c:f>'Chart from quarterly report'!$A$5</c:f>
              <c:strCache>
                <c:ptCount val="1"/>
                <c:pt idx="0">
                  <c:v>Electricity and heat (transformation)</c:v>
                </c:pt>
              </c:strCache>
            </c:strRef>
          </c:tx>
          <c:spPr>
            <a:solidFill>
              <a:schemeClr val="accent1"/>
            </a:solidFill>
            <a:ln>
              <a:noFill/>
            </a:ln>
            <a:effectLst/>
          </c:spPr>
          <c:invertIfNegative val="0"/>
          <c:cat>
            <c:numRef>
              <c:f>'Chart from quarterly report'!$B$3:$W$3</c:f>
              <c:numCache>
                <c:formatCode>General</c:formatCode>
                <c:ptCount val="22"/>
                <c:pt idx="0">
                  <c:v>2008</c:v>
                </c:pt>
                <c:pt idx="2">
                  <c:v>2009</c:v>
                </c:pt>
                <c:pt idx="4">
                  <c:v>2010</c:v>
                </c:pt>
                <c:pt idx="6">
                  <c:v>2011</c:v>
                </c:pt>
                <c:pt idx="8">
                  <c:v>2012</c:v>
                </c:pt>
                <c:pt idx="10">
                  <c:v>2013</c:v>
                </c:pt>
                <c:pt idx="12">
                  <c:v>2014</c:v>
                </c:pt>
                <c:pt idx="14">
                  <c:v>2015</c:v>
                </c:pt>
                <c:pt idx="16">
                  <c:v>2016</c:v>
                </c:pt>
                <c:pt idx="18">
                  <c:v>2017</c:v>
                </c:pt>
                <c:pt idx="20">
                  <c:v>2018</c:v>
                </c:pt>
              </c:numCache>
            </c:numRef>
          </c:cat>
          <c:val>
            <c:numRef>
              <c:f>'Chart from quarterly report'!$B$5:$W$5</c:f>
              <c:numCache>
                <c:formatCode>General</c:formatCode>
                <c:ptCount val="22"/>
                <c:pt idx="0" formatCode="0.00">
                  <c:v>45.872189722222586</c:v>
                </c:pt>
                <c:pt idx="2" formatCode="0.00">
                  <c:v>52.094776111111535</c:v>
                </c:pt>
                <c:pt idx="4" formatCode="0.00">
                  <c:v>60.243330277778263</c:v>
                </c:pt>
                <c:pt idx="6" formatCode="0.00">
                  <c:v>76.595492777778404</c:v>
                </c:pt>
                <c:pt idx="8" formatCode="0.00">
                  <c:v>92.593635277778517</c:v>
                </c:pt>
                <c:pt idx="10" formatCode="0.00">
                  <c:v>106.66841555555641</c:v>
                </c:pt>
                <c:pt idx="12" formatCode="0.00">
                  <c:v>114.24323222222314</c:v>
                </c:pt>
                <c:pt idx="14" formatCode="0.00">
                  <c:v>118.21312833333428</c:v>
                </c:pt>
                <c:pt idx="16" formatCode="0.00">
                  <c:v>119.89754805555653</c:v>
                </c:pt>
                <c:pt idx="18" formatCode="0.00">
                  <c:v>121.21732111111207</c:v>
                </c:pt>
                <c:pt idx="20" formatCode="0.00">
                  <c:v>121.05325472222319</c:v>
                </c:pt>
              </c:numCache>
            </c:numRef>
          </c:val>
          <c:extLst xmlns:c16r2="http://schemas.microsoft.com/office/drawing/2015/06/chart">
            <c:ext xmlns:c16="http://schemas.microsoft.com/office/drawing/2014/chart" uri="{C3380CC4-5D6E-409C-BE32-E72D297353CC}">
              <c16:uniqueId val="{00000000-798F-42CC-8435-B38974E56F55}"/>
            </c:ext>
          </c:extLst>
        </c:ser>
        <c:ser>
          <c:idx val="1"/>
          <c:order val="1"/>
          <c:tx>
            <c:strRef>
              <c:f>'Chart from quarterly report'!$A$6</c:f>
              <c:strCache>
                <c:ptCount val="1"/>
                <c:pt idx="0">
                  <c:v>Use in energy, other industries and distribution losses</c:v>
                </c:pt>
              </c:strCache>
            </c:strRef>
          </c:tx>
          <c:spPr>
            <a:solidFill>
              <a:schemeClr val="accent2"/>
            </a:solidFill>
            <a:ln>
              <a:noFill/>
            </a:ln>
            <a:effectLst/>
          </c:spPr>
          <c:invertIfNegative val="0"/>
          <c:cat>
            <c:numRef>
              <c:f>'Chart from quarterly report'!$B$3:$W$3</c:f>
              <c:numCache>
                <c:formatCode>General</c:formatCode>
                <c:ptCount val="22"/>
                <c:pt idx="0">
                  <c:v>2008</c:v>
                </c:pt>
                <c:pt idx="2">
                  <c:v>2009</c:v>
                </c:pt>
                <c:pt idx="4">
                  <c:v>2010</c:v>
                </c:pt>
                <c:pt idx="6">
                  <c:v>2011</c:v>
                </c:pt>
                <c:pt idx="8">
                  <c:v>2012</c:v>
                </c:pt>
                <c:pt idx="10">
                  <c:v>2013</c:v>
                </c:pt>
                <c:pt idx="12">
                  <c:v>2014</c:v>
                </c:pt>
                <c:pt idx="14">
                  <c:v>2015</c:v>
                </c:pt>
                <c:pt idx="16">
                  <c:v>2016</c:v>
                </c:pt>
                <c:pt idx="18">
                  <c:v>2017</c:v>
                </c:pt>
                <c:pt idx="20">
                  <c:v>2018</c:v>
                </c:pt>
              </c:numCache>
            </c:numRef>
          </c:cat>
          <c:val>
            <c:numRef>
              <c:f>'Chart from quarterly report'!$B$6:$W$6</c:f>
              <c:numCache>
                <c:formatCode>General</c:formatCode>
                <c:ptCount val="22"/>
                <c:pt idx="0" formatCode="0.00">
                  <c:v>14.035805000000112</c:v>
                </c:pt>
                <c:pt idx="2" formatCode="0.00">
                  <c:v>16.740515555555689</c:v>
                </c:pt>
                <c:pt idx="4" formatCode="0.00">
                  <c:v>20.844966388889056</c:v>
                </c:pt>
                <c:pt idx="6" formatCode="0.00">
                  <c:v>24.015000000000192</c:v>
                </c:pt>
                <c:pt idx="8" formatCode="0.00">
                  <c:v>27.010143333333552</c:v>
                </c:pt>
                <c:pt idx="10" formatCode="0.00">
                  <c:v>31.137924722222468</c:v>
                </c:pt>
                <c:pt idx="12" formatCode="0.00">
                  <c:v>32.996117222222487</c:v>
                </c:pt>
                <c:pt idx="14" formatCode="0.00">
                  <c:v>34.25954500000028</c:v>
                </c:pt>
                <c:pt idx="16" formatCode="0.00">
                  <c:v>36.326889166666959</c:v>
                </c:pt>
                <c:pt idx="18" formatCode="0.00">
                  <c:v>37.2839875000003</c:v>
                </c:pt>
                <c:pt idx="20" formatCode="0.00">
                  <c:v>36.121342777778068</c:v>
                </c:pt>
              </c:numCache>
            </c:numRef>
          </c:val>
          <c:extLst xmlns:c16r2="http://schemas.microsoft.com/office/drawing/2015/06/chart">
            <c:ext xmlns:c16="http://schemas.microsoft.com/office/drawing/2014/chart" uri="{C3380CC4-5D6E-409C-BE32-E72D297353CC}">
              <c16:uniqueId val="{00000001-798F-42CC-8435-B38974E56F55}"/>
            </c:ext>
          </c:extLst>
        </c:ser>
        <c:dLbls>
          <c:showLegendKey val="0"/>
          <c:showVal val="0"/>
          <c:showCatName val="0"/>
          <c:showSerName val="0"/>
          <c:showPercent val="0"/>
          <c:showBubbleSize val="0"/>
        </c:dLbls>
        <c:gapWidth val="81"/>
        <c:overlap val="100"/>
        <c:axId val="99790848"/>
        <c:axId val="99792384"/>
      </c:barChart>
      <c:barChart>
        <c:barDir val="col"/>
        <c:grouping val="stacked"/>
        <c:varyColors val="0"/>
        <c:ser>
          <c:idx val="2"/>
          <c:order val="2"/>
          <c:tx>
            <c:strRef>
              <c:f>'Chart from quarterly report'!$A$7</c:f>
              <c:strCache>
                <c:ptCount val="1"/>
                <c:pt idx="0">
                  <c:v>Blended for natural gas (rhs)</c:v>
                </c:pt>
              </c:strCache>
            </c:strRef>
          </c:tx>
          <c:spPr>
            <a:solidFill>
              <a:schemeClr val="accent3"/>
            </a:solidFill>
            <a:ln>
              <a:noFill/>
            </a:ln>
            <a:effectLst/>
          </c:spPr>
          <c:invertIfNegative val="0"/>
          <c:cat>
            <c:numRef>
              <c:f>'Chart from quarterly report'!$B$3:$W$3</c:f>
              <c:numCache>
                <c:formatCode>General</c:formatCode>
                <c:ptCount val="22"/>
                <c:pt idx="0">
                  <c:v>2008</c:v>
                </c:pt>
                <c:pt idx="2">
                  <c:v>2009</c:v>
                </c:pt>
                <c:pt idx="4">
                  <c:v>2010</c:v>
                </c:pt>
                <c:pt idx="6">
                  <c:v>2011</c:v>
                </c:pt>
                <c:pt idx="8">
                  <c:v>2012</c:v>
                </c:pt>
                <c:pt idx="10">
                  <c:v>2013</c:v>
                </c:pt>
                <c:pt idx="12">
                  <c:v>2014</c:v>
                </c:pt>
                <c:pt idx="14">
                  <c:v>2015</c:v>
                </c:pt>
                <c:pt idx="16">
                  <c:v>2016</c:v>
                </c:pt>
                <c:pt idx="18">
                  <c:v>2017</c:v>
                </c:pt>
                <c:pt idx="20">
                  <c:v>2018</c:v>
                </c:pt>
              </c:numCache>
            </c:numRef>
          </c:cat>
          <c:val>
            <c:numRef>
              <c:f>'Chart from quarterly report'!$B$7:$W$7</c:f>
              <c:numCache>
                <c:formatCode>0.00</c:formatCode>
                <c:ptCount val="22"/>
                <c:pt idx="1">
                  <c:v>0.11000000000000087</c:v>
                </c:pt>
                <c:pt idx="3">
                  <c:v>0.10750000000000086</c:v>
                </c:pt>
                <c:pt idx="5">
                  <c:v>9.5833333333334103E-2</c:v>
                </c:pt>
                <c:pt idx="7">
                  <c:v>0.15933222222222349</c:v>
                </c:pt>
                <c:pt idx="9">
                  <c:v>0.29500388888889123</c:v>
                </c:pt>
                <c:pt idx="11">
                  <c:v>0.50276916666667071</c:v>
                </c:pt>
                <c:pt idx="13">
                  <c:v>0.74511472222222819</c:v>
                </c:pt>
                <c:pt idx="15">
                  <c:v>1.1866863888888983</c:v>
                </c:pt>
                <c:pt idx="17">
                  <c:v>1.9204175000000152</c:v>
                </c:pt>
                <c:pt idx="19">
                  <c:v>3.0316658333333573</c:v>
                </c:pt>
                <c:pt idx="21">
                  <c:v>4.1058816666666997</c:v>
                </c:pt>
              </c:numCache>
            </c:numRef>
          </c:val>
          <c:extLst xmlns:c16r2="http://schemas.microsoft.com/office/drawing/2015/06/chart">
            <c:ext xmlns:c16="http://schemas.microsoft.com/office/drawing/2014/chart" uri="{C3380CC4-5D6E-409C-BE32-E72D297353CC}">
              <c16:uniqueId val="{00000002-798F-42CC-8435-B38974E56F55}"/>
            </c:ext>
          </c:extLst>
        </c:ser>
        <c:dLbls>
          <c:showLegendKey val="0"/>
          <c:showVal val="0"/>
          <c:showCatName val="0"/>
          <c:showSerName val="0"/>
          <c:showPercent val="0"/>
          <c:showBubbleSize val="0"/>
        </c:dLbls>
        <c:gapWidth val="108"/>
        <c:overlap val="100"/>
        <c:axId val="99816960"/>
        <c:axId val="99794304"/>
      </c:barChart>
      <c:catAx>
        <c:axId val="99790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EC Square Sans Pro" panose="020B0506040000020004" pitchFamily="34" charset="0"/>
                <a:ea typeface="+mn-ea"/>
                <a:cs typeface="+mn-cs"/>
              </a:defRPr>
            </a:pPr>
            <a:endParaRPr lang="en-US"/>
          </a:p>
        </c:txPr>
        <c:crossAx val="99792384"/>
        <c:crosses val="autoZero"/>
        <c:auto val="1"/>
        <c:lblAlgn val="ctr"/>
        <c:lblOffset val="100"/>
        <c:noMultiLvlLbl val="0"/>
      </c:catAx>
      <c:valAx>
        <c:axId val="99792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b="1">
                    <a:latin typeface="EC Square Sans Pro" panose="020B0506040000020004" pitchFamily="34" charset="0"/>
                  </a:rPr>
                  <a:t>TWh</a:t>
                </a:r>
              </a:p>
            </c:rich>
          </c:tx>
          <c:layout>
            <c:manualLayout>
              <c:xMode val="edge"/>
              <c:yMode val="edge"/>
              <c:x val="6.279433815921282E-3"/>
              <c:y val="2.8176456061154262E-3"/>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EC Square Sans Pro" panose="020B0506040000020004" pitchFamily="34" charset="0"/>
                <a:ea typeface="+mn-ea"/>
                <a:cs typeface="+mn-cs"/>
              </a:defRPr>
            </a:pPr>
            <a:endParaRPr lang="en-US"/>
          </a:p>
        </c:txPr>
        <c:crossAx val="99790848"/>
        <c:crosses val="autoZero"/>
        <c:crossBetween val="between"/>
      </c:valAx>
      <c:valAx>
        <c:axId val="99794304"/>
        <c:scaling>
          <c:orientation val="minMax"/>
          <c:max val="18"/>
        </c:scaling>
        <c:delete val="0"/>
        <c:axPos val="r"/>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b="1">
                    <a:latin typeface="EC Square Sans Pro" panose="020B0506040000020004" pitchFamily="34" charset="0"/>
                  </a:rPr>
                  <a:t>TWh</a:t>
                </a:r>
              </a:p>
            </c:rich>
          </c:tx>
          <c:layout>
            <c:manualLayout>
              <c:xMode val="edge"/>
              <c:yMode val="edge"/>
              <c:x val="0.96817365386903775"/>
              <c:y val="2.8176456061154262E-3"/>
            </c:manualLayout>
          </c:layout>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EC Square Sans Pro" panose="020B0506040000020004" pitchFamily="34" charset="0"/>
                <a:ea typeface="+mn-ea"/>
                <a:cs typeface="+mn-cs"/>
              </a:defRPr>
            </a:pPr>
            <a:endParaRPr lang="en-US"/>
          </a:p>
        </c:txPr>
        <c:crossAx val="99816960"/>
        <c:crosses val="max"/>
        <c:crossBetween val="between"/>
        <c:majorUnit val="2"/>
      </c:valAx>
      <c:catAx>
        <c:axId val="99816960"/>
        <c:scaling>
          <c:orientation val="minMax"/>
        </c:scaling>
        <c:delete val="1"/>
        <c:axPos val="b"/>
        <c:numFmt formatCode="General" sourceLinked="1"/>
        <c:majorTickMark val="out"/>
        <c:minorTickMark val="none"/>
        <c:tickLblPos val="nextTo"/>
        <c:crossAx val="99794304"/>
        <c:crosses val="autoZero"/>
        <c:auto val="1"/>
        <c:lblAlgn val="ctr"/>
        <c:lblOffset val="100"/>
        <c:noMultiLvlLbl val="0"/>
      </c:catAx>
      <c:spPr>
        <a:noFill/>
        <a:ln>
          <a:noFill/>
        </a:ln>
        <a:effectLst/>
      </c:spPr>
    </c:plotArea>
    <c:legend>
      <c:legendPos val="b"/>
      <c:layout>
        <c:manualLayout>
          <c:xMode val="edge"/>
          <c:yMode val="edge"/>
          <c:x val="3.8226918630734033E-2"/>
          <c:y val="0.8657302848084909"/>
          <c:w val="0.90052157208015393"/>
          <c:h val="0.11676424473199054"/>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EC Square Sans Pro" panose="020B05060400000200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C_Collab_DocumentLanguage xmlns="5abd62ad-0606-492b-b6b3-a241217a7a72">EN</EC_Collab_DocumentLanguage>
    <EC_Collab_Status xmlns="5abd62ad-0606-492b-b6b3-a241217a7a72">Not Started</EC_Collab_Status>
    <_Status xmlns="http://schemas.microsoft.com/sharepoint/v3/fields">Not Started</_Status>
    <EC_Collab_Reference xmlns="5abd62ad-0606-492b-b6b3-a241217a7a7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5E2AC295F185DC4590AEB664EBBB01D6" ma:contentTypeVersion="0" ma:contentTypeDescription="Create a new document in this library." ma:contentTypeScope="" ma:versionID="abc276328bf14133db545bed1cebe430">
  <xsd:schema xmlns:xsd="http://www.w3.org/2001/XMLSchema" xmlns:xs="http://www.w3.org/2001/XMLSchema" xmlns:p="http://schemas.microsoft.com/office/2006/metadata/properties" xmlns:ns2="http://schemas.microsoft.com/sharepoint/v3/fields" xmlns:ns3="5abd62ad-0606-492b-b6b3-a241217a7a72" targetNamespace="http://schemas.microsoft.com/office/2006/metadata/properties" ma:root="true" ma:fieldsID="4b0ef16f64bd1a0eaf27b3e79d160191" ns2:_="" ns3:_="">
    <xsd:import namespace="http://schemas.microsoft.com/sharepoint/v3/fields"/>
    <xsd:import namespace="5abd62ad-0606-492b-b6b3-a241217a7a72"/>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5abd62ad-0606-492b-b6b3-a241217a7a72"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F8D8C6F-2B0B-4005-971D-F9FD69BAD2B8}">
  <ds:schemaRefs>
    <ds:schemaRef ds:uri="http://schemas.microsoft.com/sharepoint/v3/contenttype/forms"/>
  </ds:schemaRefs>
</ds:datastoreItem>
</file>

<file path=customXml/itemProps2.xml><?xml version="1.0" encoding="utf-8"?>
<ds:datastoreItem xmlns:ds="http://schemas.openxmlformats.org/officeDocument/2006/customXml" ds:itemID="{C5108ABC-8F73-471A-9BE4-B1C2D332CE2C}">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abd62ad-0606-492b-b6b3-a241217a7a72"/>
    <ds:schemaRef ds:uri="http://purl.org/dc/elements/1.1/"/>
    <ds:schemaRef ds:uri="http://schemas.microsoft.com/sharepoint/v3/fields"/>
    <ds:schemaRef ds:uri="http://www.w3.org/XML/1998/namespace"/>
    <ds:schemaRef ds:uri="http://purl.org/dc/dcmitype/"/>
  </ds:schemaRefs>
</ds:datastoreItem>
</file>

<file path=customXml/itemProps3.xml><?xml version="1.0" encoding="utf-8"?>
<ds:datastoreItem xmlns:ds="http://schemas.openxmlformats.org/officeDocument/2006/customXml" ds:itemID="{B0462695-9EAB-4C07-98FC-3F04428350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5abd62ad-0606-492b-b6b3-a241217a7a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7129A3-4B3D-4A21-A1AB-ADC5CF6FF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10</Pages>
  <Words>8942</Words>
  <Characters>44710</Characters>
  <Application>Microsoft Office Word</Application>
  <DocSecurity>0</DocSecurity>
  <Lines>812</Lines>
  <Paragraphs>285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53367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WES PDFC Administrator</cp:lastModifiedBy>
  <cp:revision>22</cp:revision>
  <cp:lastPrinted>2018-12-19T16:59:00Z</cp:lastPrinted>
  <dcterms:created xsi:type="dcterms:W3CDTF">2020-09-30T21:08:00Z</dcterms:created>
  <dcterms:modified xsi:type="dcterms:W3CDTF">2020-10-07T08:11:00Z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2</vt:lpwstr>
  </property>
  <property fmtid="{D5CDD505-2E9C-101B-9397-08002B2CF9AE}" pid="3" name="Total parts">
    <vt:lpwstr>6</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IsMyDocuments">
    <vt:bool>true</vt:bool>
  </property>
  <property fmtid="{D5CDD505-2E9C-101B-9397-08002B2CF9AE}" pid="7" name="Last edited using">
    <vt:lpwstr>LW 7.0, Build 20190717</vt:lpwstr>
  </property>
  <property fmtid="{D5CDD505-2E9C-101B-9397-08002B2CF9AE}" pid="8" name="Created using">
    <vt:lpwstr>LW 6.0.1, Build 20180503</vt:lpwstr>
  </property>
  <property fmtid="{D5CDD505-2E9C-101B-9397-08002B2CF9AE}" pid="9" name="CPTemplateID">
    <vt:lpwstr>CP-025</vt:lpwstr>
  </property>
  <property fmtid="{D5CDD505-2E9C-101B-9397-08002B2CF9AE}" pid="10" name="_DocHome">
    <vt:i4>1336800820</vt:i4>
  </property>
  <property fmtid="{D5CDD505-2E9C-101B-9397-08002B2CF9AE}" pid="11" name="_LW_INVALIDATED__LW_INVALIDATED__LW_INVALIDATED__LW_INVALIDATED__LW_INVALIDATED__LW_INVALIDATED_ContentTypeId">
    <vt:lpwstr>0x010100258AA79CEB83498886A3A08681123250005E2AC295F185DC4590AEB664EBBB01D6</vt:lpwstr>
  </property>
</Properties>
</file>