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82B09ED-EB99-4BFB-9CFF-44A966EEAEF2" style="width:450.15pt;height:320.6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Pagedecouverture"/>
        <w:rPr>
          <w:noProof/>
        </w:rPr>
      </w:pPr>
      <w:bookmarkStart w:id="1" w:name="_GoBack"/>
      <w:bookmarkEnd w:id="1"/>
    </w:p>
    <w:p>
      <w:pPr>
        <w:pStyle w:val="Heading1"/>
        <w:rPr>
          <w:noProof/>
        </w:rPr>
      </w:pPr>
      <w:bookmarkStart w:id="2" w:name="_Toc1149217"/>
      <w:r>
        <w:rPr>
          <w:noProof/>
        </w:rPr>
        <w:t>1. INTRODUCTION</w:t>
      </w:r>
      <w:bookmarkEnd w:id="2"/>
    </w:p>
    <w:p>
      <w:pPr>
        <w:jc w:val="both"/>
        <w:rPr>
          <w:rFonts w:ascii="Times New Roman" w:hAnsi="Times New Roman" w:cs="Times New Roman"/>
          <w:noProof/>
          <w:sz w:val="24"/>
          <w:szCs w:val="24"/>
        </w:rPr>
      </w:pPr>
      <w:r>
        <w:rPr>
          <w:rFonts w:ascii="Times New Roman" w:hAnsi="Times New Roman" w:cs="Times New Roman"/>
          <w:b/>
          <w:noProof/>
          <w:sz w:val="24"/>
          <w:szCs w:val="24"/>
        </w:rPr>
        <w:t>Renewable energy is at the core of the European Green Deal priorities</w:t>
      </w:r>
      <w:r>
        <w:rPr>
          <w:rFonts w:ascii="Times New Roman" w:hAnsi="Times New Roman" w:cs="Times New Roman"/>
          <w:noProof/>
          <w:sz w:val="24"/>
          <w:szCs w:val="24"/>
        </w:rPr>
        <w:t>. The Directive 2009/28/EC on the promotion of the use of energy from renewable sources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(RED I) is a central element in the EU’s energy policy and a key driver for meeting the renewable energy targets for 2020. The 2020 targets are also the first major milestone to provide the basis to deliver on the increased ambition of 55% greenhouse gas (GHG) emissions reductions by 2030 as envisaged in the Climate Target Plan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under the European Green Deal</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With that increased ambition, the EU has established a balanced path to climate neutrality by 2050 through the deep decarbonisation of all sectors of the economy. In this sense, a transition is needed from today’s energy system to an integrated energy system largely based on renewables. As specified in the impact assessment for the Climate Target Plan for the 55% greenhouse gas reduction, the 2030 share of renewables will need to reach 38-40%.</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r>
        <w:rPr>
          <w:noProof/>
          <w:color w:val="000000" w:themeColor="text1"/>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Energy System Integration Strategy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emphasises that Europe’s energy future must rely on an ever growing share of geographically distributed renewable energies that integrate different energy carriers flexibly, while remaining resource-efficient and avoiding pollution and biodiversity loss. Clean and renewable energy will also be a building block of the economic recovery in the aftermath of the Covid-19 crisis. The Commission’s recovery plan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as presented on 27 May 2020, highlights the need for better integration of the energy system, as part of efforts to unlock investment in key clean technologies and value chains and increase economy-wide resilience. In the context of the Recovery and Resilience Facility, Member States shall prepare national recovery and resilience plans, which shall be consistent with the relevant country-specific challenges and priorities identified in the context of the European Semester, in particular those relevant for or resulting from the green and digital transition. The recovery and resilience plans shall also be consistent with the information included by the Member States in the national reform programmes under the European Semester, in their national energy and climate plans (NECP) and updates thereof under the Regulation (EU)2018/1999, in the territorial just transition plans under the Just Transition Fund, and in the partnership agreements and programmes under EU funds</w:t>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 main building block is the entry into force of the Directive (EU) 2018/2001</w:t>
      </w:r>
      <w:r>
        <w:rPr>
          <w:noProof/>
        </w:rPr>
        <w:t xml:space="preserve"> </w:t>
      </w:r>
      <w:r>
        <w:rPr>
          <w:rFonts w:ascii="Times New Roman" w:hAnsi="Times New Roman" w:cs="Times New Roman"/>
          <w:noProof/>
          <w:sz w:val="24"/>
          <w:szCs w:val="24"/>
        </w:rPr>
        <w:t>on the promotion of the use of energy from renewable sources (RED II</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on 24 December 2018. The new directive established a robust framework for meeting the binding EU target of at least 32 % renewable energy in gross final energy consumption by 2030. This framework built on progress under the RED I include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the obligation for Member States to use the 2020 targets as the baseline for national trajectories in the NECPs. Following the submission of all the NECPs the EU’s renewable energy share is now expected to reach 33.1-33.7%</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in 2030. The aggregated Member States contributions indicate that renewable energy use will grow faster in the years up to 2030, so that if the Member States’ deliver (and exceed) their renewable energy contributions, the EU overall share of renewable energy will therefore surpass the 32% target.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EU’s political priority of becoming the world leader in renewables is underpinned by the presence of renewables in all dimensions of the Energy Union. </w:t>
      </w:r>
      <w:r>
        <w:rPr>
          <w:rFonts w:ascii="Times New Roman" w:hAnsi="Times New Roman" w:cs="Times New Roman"/>
          <w:noProof/>
          <w:sz w:val="24"/>
          <w:szCs w:val="24"/>
          <w:lang w:val="en-IE"/>
        </w:rPr>
        <w:t xml:space="preserve"> Technology leadership is prominent in the clean energy sector (in particular in wind, ocean, smart grid technologies and renewable hydrogen), but continuing efforts are needed to catch up and build a competitive edge in batteries and solar photovoltaic (PV)</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w:t>
      </w:r>
      <w:r>
        <w:rPr>
          <w:rFonts w:ascii="Times New Roman" w:hAnsi="Times New Roman" w:cs="Times New Roman"/>
          <w:noProof/>
          <w:sz w:val="24"/>
          <w:szCs w:val="24"/>
        </w:rPr>
        <w:t xml:space="preserve"> T</w:t>
      </w:r>
      <w:r>
        <w:rPr>
          <w:rFonts w:ascii="Times New Roman" w:hAnsi="Times New Roman" w:cs="Times New Roman"/>
          <w:noProof/>
          <w:sz w:val="24"/>
          <w:szCs w:val="24"/>
          <w:lang w:val="en-IE"/>
        </w:rPr>
        <w:t xml:space="preserve">he EU </w:t>
      </w:r>
      <w:r>
        <w:rPr>
          <w:rFonts w:ascii="Times New Roman" w:hAnsi="Times New Roman" w:cs="Times New Roman"/>
          <w:noProof/>
          <w:sz w:val="24"/>
          <w:szCs w:val="24"/>
        </w:rPr>
        <w:t>ranks high among international competitors</w:t>
      </w:r>
      <w:r>
        <w:rPr>
          <w:rFonts w:ascii="Times New Roman" w:hAnsi="Times New Roman" w:cs="Times New Roman"/>
          <w:noProof/>
          <w:sz w:val="24"/>
          <w:szCs w:val="24"/>
          <w:lang w:val="en-IE"/>
        </w:rPr>
        <w:t xml:space="preserve"> in high value patents demonstrating the leading position of Europe to innovate and export new and improved low carbon technologies</w:t>
      </w:r>
      <w:r>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rPr>
        <w:t>.</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benefits of renewables extend well beyond the dimensions of the Energy Union. Renewable energies are a source of economic growth and jobs for Europeans, in particular local jobs with </w:t>
      </w:r>
      <w:r>
        <w:rPr>
          <w:rFonts w:ascii="Times New Roman" w:hAnsi="Times New Roman" w:cs="Times New Roman"/>
          <w:b/>
          <w:noProof/>
          <w:sz w:val="24"/>
          <w:szCs w:val="24"/>
          <w:lang w:val="en-IE"/>
        </w:rPr>
        <w:t>more than 1.5 million people currently working in the sector in the EU and generating an estimated annual turnover of €158.9 billion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recent report on energy prices and costs in Europe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documents that the greater amounts of renewable energy are a relevant factor behind the fall in wholesale energy prices in recent years. This could in turn reduce energy costs for industry and potentially improve industrial competitiveness. </w:t>
      </w:r>
      <w:r>
        <w:rPr>
          <w:rFonts w:ascii="Times New Roman" w:hAnsi="Times New Roman" w:cs="Times New Roman"/>
          <w:noProof/>
          <w:sz w:val="24"/>
          <w:szCs w:val="24"/>
        </w:rPr>
        <w:t>Last but not least, the falling costs of the technology, combined with digitalisation are making renewables a real driving force for empowering consumers to play a key role in the energy transition.</w:t>
      </w:r>
    </w:p>
    <w:p>
      <w:pPr>
        <w:jc w:val="both"/>
        <w:rPr>
          <w:rFonts w:ascii="Times New Roman" w:hAnsi="Times New Roman" w:cs="Times New Roman"/>
          <w:noProof/>
          <w:sz w:val="24"/>
          <w:szCs w:val="24"/>
        </w:rPr>
      </w:pPr>
      <w:r>
        <w:rPr>
          <w:rFonts w:ascii="Times New Roman" w:hAnsi="Times New Roman" w:cs="Times New Roman"/>
          <w:b/>
          <w:noProof/>
          <w:sz w:val="24"/>
          <w:szCs w:val="24"/>
        </w:rPr>
        <w:t>This report provides the latest insights into progress made up to 2018 towards the 2020 national binding targets on renewables and fulfils Commission reporting obligations under RED I and the Directive on Indirect Land Use Change (ILUC)</w:t>
      </w:r>
      <w:r>
        <w:rPr>
          <w:rStyle w:val="FootnoteReference"/>
          <w:rFonts w:ascii="Times New Roman" w:hAnsi="Times New Roman" w:cs="Times New Roman"/>
          <w:b/>
          <w:noProof/>
          <w:sz w:val="24"/>
          <w:szCs w:val="24"/>
        </w:rPr>
        <w:footnoteReference w:id="14"/>
      </w:r>
      <w:r>
        <w:rPr>
          <w:rFonts w:ascii="Times New Roman" w:hAnsi="Times New Roman" w:cs="Times New Roman"/>
          <w:b/>
          <w:noProof/>
          <w:sz w:val="24"/>
          <w:szCs w:val="24"/>
        </w:rPr>
        <w:t>.</w:t>
      </w:r>
      <w:r>
        <w:rPr>
          <w:rFonts w:ascii="Times New Roman" w:hAnsi="Times New Roman" w:cs="Times New Roman"/>
          <w:noProof/>
          <w:sz w:val="24"/>
          <w:szCs w:val="24"/>
        </w:rPr>
        <w:t xml:space="preserve"> It uses energy statistics based on Member States transmissions to Eurostat up to July 2020 as primary data source for evaluating progress towards the 2020 target. This report builds further on the Member States fifth biannual renewable energy progress report covering 2017-18</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as well as complementary technical analysis conducted in the course of 2020. It also includes an overview of the potential in terms of co-operation mechanisms, and assess the administrative frameworks as well as biofuels sustainability. </w:t>
      </w:r>
    </w:p>
    <w:p>
      <w:pPr>
        <w:jc w:val="both"/>
        <w:rPr>
          <w:rFonts w:ascii="Times New Roman" w:hAnsi="Times New Roman" w:cs="Times New Roman"/>
          <w:noProof/>
          <w:sz w:val="24"/>
          <w:szCs w:val="24"/>
        </w:rPr>
      </w:pPr>
      <w:r>
        <w:rPr>
          <w:rFonts w:ascii="Times New Roman" w:hAnsi="Times New Roman" w:cs="Times New Roman"/>
          <w:noProof/>
          <w:sz w:val="24"/>
          <w:szCs w:val="24"/>
        </w:rPr>
        <w:t>The report consist of four main chapters. Chapter 2 sets out an overall EU level assessment while chapter 3 adds more detailed analysis of Member State progress including projections towards 2020. Chapter 4 assesses the sustainability of biofuels. Overall conclusions with recommendations are presented in Chapter 5. Unless specifically mentioned, figures provided in this report include the UK, an EU Member State in the 2018 reporting period</w:t>
      </w:r>
    </w:p>
    <w:p>
      <w:pPr>
        <w:pStyle w:val="Heading1"/>
        <w:rPr>
          <w:noProof/>
        </w:rPr>
      </w:pPr>
      <w:bookmarkStart w:id="3" w:name="_Toc1149218"/>
      <w:r>
        <w:rPr>
          <w:noProof/>
        </w:rPr>
        <w:t>2. EU PROGRESS IN DEPLOYING RENEWABLE ENERGY</w:t>
      </w:r>
      <w:bookmarkEnd w:id="3"/>
      <w:r>
        <w:rPr>
          <w:noProof/>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In 2018, the EU reached a share of 18.0% (18.9% EU 27) of renewable energy in gross final energy consumption</w:t>
      </w:r>
      <w:r>
        <w:rPr>
          <w:rFonts w:ascii="Times New Roman" w:hAnsi="Times New Roman" w:cs="Times New Roman"/>
          <w:noProof/>
          <w:sz w:val="24"/>
          <w:szCs w:val="24"/>
        </w:rPr>
        <w:t>, against a target of at least 20% (20.6</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 for EU 27) for 2020, and above the indicative trajectory of 16% for 2017/2018. </w:t>
      </w:r>
      <w:r>
        <w:rPr>
          <w:rFonts w:ascii="Times New Roman" w:hAnsi="Times New Roman" w:cs="Times New Roman"/>
          <w:noProof/>
          <w:sz w:val="24"/>
          <w:szCs w:val="24"/>
          <w:lang w:val="en-US"/>
        </w:rPr>
        <w:t>In addition, the EU as a whole is also above the slightly more ambitious trajectory defined by Member States themselves in their National Renewable Energy Action Plans (NREAPs)</w:t>
      </w:r>
      <w:r>
        <w:rPr>
          <w:rStyle w:val="FootnoteReference"/>
          <w:rFonts w:ascii="Times New Roman" w:hAnsi="Times New Roman" w:cs="Times New Roman"/>
          <w:noProof/>
          <w:sz w:val="24"/>
          <w:szCs w:val="24"/>
          <w:lang w:val="en-US"/>
        </w:rPr>
        <w:footnoteReference w:id="17"/>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Recent years, have seen a steady  growth in the overall share of renewable energy sources (RES) at EU level and in the sectoral shares of renewable energy in electricity (RES-E), heating &amp; cooling (RES-H&amp;C), and to a lesser extent, transport (RES-T).</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With regard to individual sectors, at EU level the renewable energy </w:t>
      </w:r>
      <w:r>
        <w:rPr>
          <w:rFonts w:ascii="Times New Roman" w:hAnsi="Times New Roman" w:cs="Times New Roman"/>
          <w:b/>
          <w:noProof/>
          <w:sz w:val="24"/>
          <w:szCs w:val="24"/>
          <w:lang w:val="en-US"/>
        </w:rPr>
        <w:t xml:space="preserve">share in electricity and heating and cooling has been systematically above </w:t>
      </w:r>
      <w:r>
        <w:rPr>
          <w:rFonts w:ascii="Times New Roman" w:hAnsi="Times New Roman" w:cs="Times New Roman"/>
          <w:noProof/>
          <w:sz w:val="24"/>
          <w:szCs w:val="24"/>
          <w:lang w:val="en-US"/>
        </w:rPr>
        <w:t xml:space="preserve">the levels defined by Member States in their NREAPs, while the </w:t>
      </w:r>
      <w:r>
        <w:rPr>
          <w:rFonts w:ascii="Times New Roman" w:hAnsi="Times New Roman" w:cs="Times New Roman"/>
          <w:b/>
          <w:noProof/>
          <w:sz w:val="24"/>
          <w:szCs w:val="24"/>
          <w:lang w:val="en-US"/>
        </w:rPr>
        <w:t xml:space="preserve">transport sector is slightly below the planned share </w:t>
      </w:r>
      <w:r>
        <w:rPr>
          <w:rFonts w:ascii="Times New Roman" w:hAnsi="Times New Roman" w:cs="Times New Roman"/>
          <w:noProof/>
          <w:sz w:val="24"/>
          <w:szCs w:val="24"/>
          <w:lang w:val="en-US"/>
        </w:rPr>
        <w:t>in the NREAP (8.03% actual versus 8.50% planned)</w:t>
      </w:r>
      <w:r>
        <w:rPr>
          <w:rStyle w:val="FootnoteReference"/>
          <w:rFonts w:ascii="Times New Roman" w:hAnsi="Times New Roman" w:cs="Times New Roman"/>
          <w:noProof/>
          <w:sz w:val="24"/>
          <w:szCs w:val="24"/>
          <w:lang w:val="en-US"/>
        </w:rPr>
        <w:footnoteReference w:id="18"/>
      </w:r>
      <w:r>
        <w:rPr>
          <w:rFonts w:ascii="Times New Roman" w:hAnsi="Times New Roman" w:cs="Times New Roman"/>
          <w:noProof/>
          <w:sz w:val="24"/>
          <w:szCs w:val="24"/>
          <w:lang w:val="en-US"/>
        </w:rPr>
        <w:t>. This shortfall is partly due to the debate on biofuels policy and the related adjustments to the legislative framework. While these adjustments were necessary to address sustainability concerns, the resulting uncertainty about the future policy framework slowed down investments in biofuel production capacity including advanced biofuels</w:t>
      </w:r>
      <w:r>
        <w:rPr>
          <w:rStyle w:val="FootnoteReference"/>
          <w:rFonts w:ascii="Times New Roman" w:hAnsi="Times New Roman" w:cs="Times New Roman"/>
          <w:noProof/>
          <w:sz w:val="24"/>
          <w:szCs w:val="24"/>
          <w:lang w:val="en-US"/>
        </w:rPr>
        <w:footnoteReference w:id="19"/>
      </w:r>
      <w:r>
        <w:rPr>
          <w:rFonts w:ascii="Times New Roman" w:hAnsi="Times New Roman" w:cs="Times New Roman"/>
          <w:noProof/>
          <w:sz w:val="24"/>
          <w:szCs w:val="24"/>
          <w:lang w:val="en-US"/>
        </w:rPr>
        <w:t xml:space="preserve">. The increase in investment into advanced biofuel production capacity resulting from the adoption of RED II is not reflected in the 2018 data. </w:t>
      </w:r>
    </w:p>
    <w:p>
      <w:pPr>
        <w:jc w:val="both"/>
        <w:rPr>
          <w:rFonts w:ascii="Times New Roman" w:hAnsi="Times New Roman" w:cs="Times New Roman"/>
          <w:noProof/>
          <w:sz w:val="24"/>
          <w:szCs w:val="24"/>
          <w:lang w:val="en-US"/>
        </w:rPr>
      </w:pPr>
      <w:r>
        <w:rPr>
          <w:rFonts w:ascii="Times New Roman" w:hAnsi="Times New Roman" w:cs="Times New Roman"/>
          <w:noProof/>
          <w:sz w:val="24"/>
          <w:szCs w:val="24"/>
        </w:rPr>
        <w:t>Bioenergy in general continues to be the main source of renewable energy in the EU, with a share of around 60% in 2018. Solid biofuels account with 68.4% for the largest share of bioenergy. Of these solid biofuels, forestry accounts for approximately 91%. The other forms of bioenergy are liquid biofuels (12.6%), biogas (11.6%), the renewable share of municipal waste (7.2%) and charcoal (2%).</w:t>
      </w:r>
      <w:r>
        <w:rPr>
          <w:rStyle w:val="FootnoteReference"/>
          <w:rFonts w:ascii="Times New Roman" w:hAnsi="Times New Roman" w:cs="Times New Roman"/>
          <w:noProof/>
          <w:sz w:val="24"/>
          <w:szCs w:val="24"/>
          <w:lang w:val="en-US"/>
        </w:rPr>
        <w:footnoteReference w:id="20"/>
      </w:r>
    </w:p>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lang w:val="de-DE"/>
        </w:rPr>
      </w:pPr>
      <w:r>
        <w:rPr>
          <w:noProof/>
        </w:rPr>
        <w:drawing>
          <wp:inline distT="0" distB="0" distL="0" distR="0">
            <wp:extent cx="5731510" cy="2590931"/>
            <wp:effectExtent l="0" t="0" r="2540" b="0"/>
            <wp:docPr id="37" name="Picture 2199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0871"/>
                    <pic:cNvPicPr/>
                  </pic:nvPicPr>
                  <pic:blipFill>
                    <a:blip r:embed="rId19">
                      <a:extLst>
                        <a:ext uri="{28A0092B-C50C-407E-A947-70E740481C1C}">
                          <a14:useLocalDpi xmlns:a14="http://schemas.microsoft.com/office/drawing/2010/main" val="0"/>
                        </a:ext>
                      </a:extLst>
                    </a:blip>
                    <a:stretch>
                      <a:fillRect/>
                    </a:stretch>
                  </pic:blipFill>
                  <pic:spPr>
                    <a:xfrm>
                      <a:off x="0" y="0"/>
                      <a:ext cx="5731510" cy="2590931"/>
                    </a:xfrm>
                    <a:prstGeom prst="rect">
                      <a:avLst/>
                    </a:prstGeom>
                  </pic:spPr>
                </pic:pic>
              </a:graphicData>
            </a:graphic>
          </wp:inline>
        </w:drawing>
      </w:r>
    </w:p>
    <w:p>
      <w:pPr>
        <w:jc w:val="both"/>
        <w:rPr>
          <w:rFonts w:ascii="Times New Roman" w:hAnsi="Times New Roman" w:cs="Times New Roman"/>
          <w:i/>
          <w:noProof/>
          <w:sz w:val="24"/>
          <w:szCs w:val="24"/>
        </w:rPr>
      </w:pPr>
      <w:r>
        <w:rPr>
          <w:rFonts w:ascii="Times New Roman" w:hAnsi="Times New Roman" w:cs="Times New Roman"/>
          <w:b/>
          <w:noProof/>
          <w:sz w:val="24"/>
          <w:szCs w:val="24"/>
        </w:rPr>
        <w:t>Figure 1</w:t>
      </w:r>
      <w:r>
        <w:rPr>
          <w:rFonts w:ascii="Times New Roman" w:hAnsi="Times New Roman" w:cs="Times New Roman"/>
          <w:noProof/>
          <w:sz w:val="24"/>
          <w:szCs w:val="24"/>
        </w:rPr>
        <w:t>:</w:t>
      </w:r>
      <w:r>
        <w:rPr>
          <w:rFonts w:ascii="Times New Roman" w:hAnsi="Times New Roman" w:cs="Times New Roman"/>
          <w:i/>
          <w:noProof/>
          <w:sz w:val="24"/>
          <w:szCs w:val="24"/>
        </w:rPr>
        <w:t xml:space="preserve"> Actual and planned renewable energy shares for the EU (2005-2020, %). Source: Eurostat and National Renewable Energy Action plans (NREAP) </w:t>
      </w:r>
    </w:p>
    <w:p>
      <w:pPr>
        <w:jc w:val="both"/>
        <w:rPr>
          <w:rFonts w:ascii="Times New Roman" w:hAnsi="Times New Roman" w:cs="Times New Roman"/>
          <w:noProof/>
          <w:sz w:val="24"/>
          <w:szCs w:val="24"/>
        </w:rPr>
      </w:pPr>
      <w:r>
        <w:rPr>
          <w:rFonts w:ascii="Times New Roman" w:hAnsi="Times New Roman" w:cs="Times New Roman"/>
          <w:noProof/>
          <w:sz w:val="24"/>
          <w:szCs w:val="24"/>
        </w:rPr>
        <w:t>In terms of absolute consumption of renewable energy, heating &amp; cooling makes the biggest contribution (total of 102.9 Mtoe in 2018), closely followed by renewable electricity, (90.3 Mtoe), and transport (25.1 Mtoe)</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The main renewable sources used in energy consumption sectors were biomass for heating &amp; cooling, hydropower and wind for electricity, and biofuels for transport.</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primarily supporting RES T through instruments targeting the use of biofuels, but they are increasingly promoting e-mobility options or are currently planning to implement subsidies for e-mobility. Among those Member States that already have support instruments in place are Denmark, Germany, Ireland, Croatia, Italy, Latvia, Malta, Austria, Romania, Sweden and the UK.  </w:t>
      </w:r>
    </w:p>
    <w:p>
      <w:pPr>
        <w:jc w:val="both"/>
        <w:rPr>
          <w:rFonts w:ascii="Times New Roman" w:hAnsi="Times New Roman" w:cs="Times New Roman"/>
          <w:noProof/>
          <w:sz w:val="24"/>
          <w:szCs w:val="24"/>
        </w:rPr>
      </w:pPr>
      <w:r>
        <w:rPr>
          <w:rFonts w:ascii="Times New Roman" w:hAnsi="Times New Roman" w:cs="Times New Roman"/>
          <w:b/>
          <w:noProof/>
          <w:sz w:val="24"/>
          <w:szCs w:val="24"/>
        </w:rPr>
        <w:t>In the electricity sector, a clear paradigm shift is happening towards renewables</w:t>
      </w:r>
      <w:r>
        <w:rPr>
          <w:rFonts w:ascii="Times New Roman" w:hAnsi="Times New Roman" w:cs="Times New Roman"/>
          <w:noProof/>
          <w:sz w:val="24"/>
          <w:szCs w:val="24"/>
        </w:rPr>
        <w:t>. Between 2010 and 2018, the solar and wind cumulative capacity in EU has grown from 110 GW to 261 GW</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One of the key factors has been the decline in the cost of electricity from solar PV and wind power, which over the period from 2009 to 2018 fell by nearly 75% and about 50% (depending on the market) respectively, due to capital costs reductions, advances in efficiency and supply chain improvements and competitive tendering for support schemes. E.g. Germany and Netherlands have since mid-2016 allocated more than 3.1 GW of offshore capacities under zero-subsidy bids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By July 2020, 18 MS determine the support levels for (larger) RES-E installations in a competitive bidding process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A continuation of the trend to fully market-based RES-E projects would help contain electricity retail prices by reducing the support-related component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Worldwide, </w:t>
      </w:r>
      <w:r>
        <w:rPr>
          <w:rFonts w:ascii="Times New Roman" w:hAnsi="Times New Roman" w:cs="Times New Roman"/>
          <w:b/>
          <w:noProof/>
          <w:sz w:val="24"/>
          <w:szCs w:val="24"/>
        </w:rPr>
        <w:t>solar and wind sources accounted for most new power generation</w:t>
      </w:r>
      <w:r>
        <w:rPr>
          <w:rFonts w:ascii="Times New Roman" w:hAnsi="Times New Roman" w:cs="Times New Roman"/>
          <w:noProof/>
          <w:sz w:val="24"/>
          <w:szCs w:val="24"/>
        </w:rPr>
        <w:t xml:space="preserve"> in 2019, for the first time ever. Solar additions totalled 119 gigawatts (45% of all new capacity) and solar and wind together accounted for more than two thirds of the additions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Similarly, IRENA notes that newly installed renewable power capacity increasingly costs less than the cheapest power generation options based on fossil fuels.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decline in costs is also one of the key drivers for an increase in the corporate sourcing of renewables, especially where corporate energy users sign a direct power purchase agreement with a renewable energy developer. In 2015</w:t>
      </w:r>
      <w:r>
        <w:rPr>
          <w:rFonts w:ascii="Times New Roman" w:hAnsi="Times New Roman" w:cs="Times New Roman"/>
          <w:noProof/>
          <w:sz w:val="24"/>
          <w:szCs w:val="24"/>
        </w:rPr>
        <w:noBreakHyphen/>
        <w:t>2019, the amount of renewable electricity to be supplied under corporate power purchase agreements in Europe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tripled from 847 MW to 2487 MW</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p>
    <w:p>
      <w:pPr>
        <w:pStyle w:val="Heading1"/>
        <w:rPr>
          <w:noProof/>
        </w:rPr>
      </w:pPr>
      <w:bookmarkStart w:id="4" w:name="_Toc1149219"/>
      <w:r>
        <w:rPr>
          <w:noProof/>
        </w:rPr>
        <w:t>3. DETAILED ASSESSMENTS OF MEMBER STATES PROGRESS AND PROJECTIONS</w:t>
      </w:r>
      <w:bookmarkEnd w:id="4"/>
      <w:r>
        <w:rPr>
          <w:noProof/>
        </w:rPr>
        <w:t xml:space="preserve"> BY 2020</w:t>
      </w:r>
    </w:p>
    <w:p>
      <w:pPr>
        <w:pStyle w:val="Heading2"/>
        <w:spacing w:after="120"/>
        <w:ind w:left="714" w:hanging="357"/>
        <w:rPr>
          <w:noProof/>
        </w:rPr>
      </w:pPr>
      <w:bookmarkStart w:id="5" w:name="_Toc1149220"/>
      <w:r>
        <w:rPr>
          <w:noProof/>
        </w:rPr>
        <w:t>Progress in electricity, heating &amp; cooling and transport</w:t>
      </w:r>
      <w:bookmarkEnd w:id="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renewable energy shares reflect the historic diversity in Member States’ energy mix and their differences in renewable energy potential and the different progress, with </w:t>
      </w:r>
      <w:r>
        <w:rPr>
          <w:rFonts w:ascii="Times New Roman" w:hAnsi="Times New Roman" w:cs="Times New Roman"/>
          <w:b/>
          <w:noProof/>
          <w:sz w:val="24"/>
          <w:szCs w:val="24"/>
        </w:rPr>
        <w:t>shares ranging from 7.4% in the Netherlands to 54.6% in Sweden in 2018</w:t>
      </w:r>
      <w:r>
        <w:rPr>
          <w:rFonts w:ascii="Times New Roman" w:hAnsi="Times New Roman" w:cs="Times New Roman"/>
          <w:noProof/>
          <w:sz w:val="24"/>
          <w:szCs w:val="24"/>
        </w:rPr>
        <w:t xml:space="preserve"> (see figure 2).</w:t>
      </w:r>
    </w:p>
    <w:p>
      <w:pPr>
        <w:jc w:val="both"/>
        <w:rPr>
          <w:rFonts w:ascii="Times New Roman" w:hAnsi="Times New Roman" w:cs="Times New Roman"/>
          <w:noProof/>
          <w:sz w:val="24"/>
          <w:szCs w:val="24"/>
        </w:rPr>
      </w:pPr>
      <w:r>
        <w:rPr>
          <w:noProof/>
        </w:rPr>
        <w:drawing>
          <wp:inline distT="0" distB="0" distL="0" distR="0">
            <wp:extent cx="5731510" cy="2340091"/>
            <wp:effectExtent l="0" t="0" r="2540" b="3175"/>
            <wp:docPr id="38" name="Picture 180895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953514"/>
                    <pic:cNvPicPr/>
                  </pic:nvPicPr>
                  <pic:blipFill>
                    <a:blip r:embed="rId20">
                      <a:extLst>
                        <a:ext uri="{28A0092B-C50C-407E-A947-70E740481C1C}">
                          <a14:useLocalDpi xmlns:a14="http://schemas.microsoft.com/office/drawing/2010/main" val="0"/>
                        </a:ext>
                      </a:extLst>
                    </a:blip>
                    <a:stretch>
                      <a:fillRect/>
                    </a:stretch>
                  </pic:blipFill>
                  <pic:spPr>
                    <a:xfrm>
                      <a:off x="0" y="0"/>
                      <a:ext cx="5731510" cy="2340091"/>
                    </a:xfrm>
                    <a:prstGeom prst="rect">
                      <a:avLst/>
                    </a:prstGeom>
                  </pic:spPr>
                </pic:pic>
              </a:graphicData>
            </a:graphic>
          </wp:inline>
        </w:drawing>
      </w:r>
    </w:p>
    <w:p>
      <w:pPr>
        <w:jc w:val="both"/>
        <w:rPr>
          <w:rFonts w:ascii="Times New Roman" w:hAnsi="Times New Roman" w:cs="Times New Roman"/>
          <w:i/>
          <w:noProof/>
          <w:sz w:val="24"/>
          <w:szCs w:val="24"/>
        </w:rPr>
      </w:pPr>
      <w:r>
        <w:rPr>
          <w:rFonts w:ascii="Times New Roman" w:hAnsi="Times New Roman" w:cs="Times New Roman"/>
          <w:b/>
          <w:noProof/>
          <w:sz w:val="24"/>
          <w:szCs w:val="24"/>
        </w:rPr>
        <w:t>Figure 2</w:t>
      </w:r>
      <w:r>
        <w:rPr>
          <w:rFonts w:ascii="Times New Roman" w:hAnsi="Times New Roman" w:cs="Times New Roman"/>
          <w:noProof/>
          <w:sz w:val="24"/>
          <w:szCs w:val="24"/>
        </w:rPr>
        <w:t xml:space="preserve">: </w:t>
      </w:r>
      <w:r>
        <w:rPr>
          <w:rFonts w:ascii="Times New Roman" w:hAnsi="Times New Roman" w:cs="Times New Roman"/>
          <w:i/>
          <w:noProof/>
          <w:sz w:val="24"/>
          <w:szCs w:val="24"/>
        </w:rPr>
        <w:t>EU and Member States renewable energy shares in gross final energy consumption 2017-2018 vs.RED I trajectories  (source: Eurostat)</w:t>
      </w:r>
    </w:p>
    <w:p>
      <w:pPr>
        <w:jc w:val="both"/>
        <w:rPr>
          <w:rFonts w:ascii="Times New Roman" w:hAnsi="Times New Roman" w:cs="Times New Roman"/>
          <w:noProof/>
          <w:sz w:val="24"/>
          <w:szCs w:val="24"/>
        </w:rPr>
      </w:pPr>
      <w:r>
        <w:rPr>
          <w:rFonts w:ascii="Times New Roman" w:hAnsi="Times New Roman" w:cs="Times New Roman"/>
          <w:b/>
          <w:noProof/>
          <w:sz w:val="24"/>
          <w:szCs w:val="24"/>
          <w:lang w:val="en-IE"/>
        </w:rPr>
        <w:t>There are now twelve Member States</w:t>
      </w:r>
      <w:r>
        <w:rPr>
          <w:rFonts w:ascii="Times New Roman" w:hAnsi="Times New Roman" w:cs="Times New Roman"/>
          <w:b/>
          <w:noProof/>
          <w:sz w:val="24"/>
          <w:szCs w:val="24"/>
          <w:vertAlign w:val="superscript"/>
          <w:lang w:val="en-IE"/>
        </w:rPr>
        <w:footnoteReference w:id="30"/>
      </w:r>
      <w:r>
        <w:rPr>
          <w:rFonts w:ascii="Times New Roman" w:hAnsi="Times New Roman" w:cs="Times New Roman"/>
          <w:noProof/>
          <w:sz w:val="24"/>
          <w:szCs w:val="24"/>
          <w:lang w:val="en-IE"/>
        </w:rPr>
        <w:t xml:space="preserve"> (Bulgaria, the Czech Republic, Denmark, Estonia, (Greece estimated), Finland, Croatia, Italy, Cyprus, Latvia, Lithuania and Sweden) </w:t>
      </w:r>
      <w:r>
        <w:rPr>
          <w:rFonts w:ascii="Times New Roman" w:hAnsi="Times New Roman" w:cs="Times New Roman"/>
          <w:b/>
          <w:noProof/>
          <w:sz w:val="24"/>
          <w:szCs w:val="24"/>
          <w:lang w:val="en-IE"/>
        </w:rPr>
        <w:t>that have already achieved a share equal to, or higher than, their 2020 target</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At the same time, during 2018, six Member States</w:t>
      </w:r>
      <w:r>
        <w:rPr>
          <w:rFonts w:ascii="Times New Roman" w:hAnsi="Times New Roman" w:cs="Times New Roman"/>
          <w:noProof/>
          <w:sz w:val="24"/>
          <w:szCs w:val="24"/>
          <w:lang w:val="en-IE"/>
        </w:rPr>
        <w:t xml:space="preserve"> Spain, Italy, Lithuania, Hungary, Portugal and Romania </w:t>
      </w:r>
      <w:r>
        <w:rPr>
          <w:rFonts w:ascii="Times New Roman" w:hAnsi="Times New Roman" w:cs="Times New Roman"/>
          <w:b/>
          <w:noProof/>
          <w:sz w:val="24"/>
          <w:szCs w:val="24"/>
          <w:lang w:val="en-IE"/>
        </w:rPr>
        <w:t>have reduced their renewable energy share compared to 2017</w:t>
      </w:r>
      <w:r>
        <w:rPr>
          <w:rFonts w:ascii="Times New Roman" w:hAnsi="Times New Roman" w:cs="Times New Roman"/>
          <w:noProof/>
          <w:sz w:val="24"/>
          <w:szCs w:val="24"/>
          <w:lang w:val="en-IE"/>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 indicative RED trajectories, 23 Member States are above it while Ireland, France, the Netherlands, Poland and Slovenia are below.  Ireland, France, Poland and Slovenia are below with shares between 0.7 and 2.3% while the Netherlands shows the biggest shortfall, with an actual share of 6.9% for 2017-1208 versus an indicative RED trajectory point of 9.9%. It lagged even further behind its 12.1% NREAP share for 2018. The largest positive deviations from their indicative RED trajectories can be observed for Croatia, Bulgaria, Czech Republic and Italy.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Looking at the absolute levels of consumption of renewable energy in EU, there is a significant increase from 189 Mtoe in 2015 to 209 Mtoe in 2018 i.e. 10.6%. However, in the same period the gross final consumption of energy grew from 1126 Mtoe to 1160 Mtoe, which resulted in a decreased impact on the renewable energy share, as it is calculated as the final renewable energy consumption divided by the gross final consumption of energy. </w:t>
      </w:r>
    </w:p>
    <w:p>
      <w:pPr>
        <w:jc w:val="both"/>
        <w:rPr>
          <w:rFonts w:ascii="Times New Roman" w:hAnsi="Times New Roman" w:cs="Times New Roman"/>
          <w:noProof/>
          <w:sz w:val="24"/>
          <w:szCs w:val="24"/>
        </w:rPr>
      </w:pPr>
      <w:r>
        <w:rPr>
          <w:rFonts w:ascii="Times New Roman" w:hAnsi="Times New Roman" w:cs="Times New Roman"/>
          <w:b/>
          <w:noProof/>
          <w:sz w:val="24"/>
          <w:szCs w:val="24"/>
        </w:rPr>
        <w:t>Sectorial renewable energy shares grew for a large majority of the Member States between 2017-2018. For the transport sector, where all Member States should reach the same target of 10%, only the two Member States Finland and Sweden are above this level</w:t>
      </w:r>
      <w:r>
        <w:rPr>
          <w:rFonts w:ascii="Times New Roman" w:hAnsi="Times New Roman" w:cs="Times New Roman"/>
          <w:noProof/>
          <w:sz w:val="24"/>
          <w:szCs w:val="24"/>
        </w:rPr>
        <w:t xml:space="preserve">. While there are 4 Member States within a 1% range of this target (France, Netherland, Austria and Portugal), the remaining Member States will need a steep increase to reach the 10% target. The recourse to statistical transfers for the transport sector, enabled by the ILUC Directive is also a possible avenue to explore. </w:t>
      </w:r>
    </w:p>
    <w:p>
      <w:pPr>
        <w:pStyle w:val="Heading2"/>
        <w:spacing w:after="120"/>
        <w:ind w:left="714" w:hanging="357"/>
        <w:rPr>
          <w:noProof/>
        </w:rPr>
      </w:pPr>
      <w:bookmarkStart w:id="6" w:name="_Toc1149221"/>
      <w:r>
        <w:rPr>
          <w:noProof/>
        </w:rPr>
        <w:t xml:space="preserve">Cross-border collaboration and the use of cooperation mechanisms </w:t>
      </w:r>
      <w:bookmarkEnd w:id="6"/>
    </w:p>
    <w:p>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Co-operation mechanisms are based on Articles 6 to 11 of RED I. They include several mechanisms through which Member States can cooperate on renewable energy such as statistical transfers, joint projects and joint support schemes. Statistical transfers are particularly relevant to facilitate target achievement since they enable Member States that have reached a higher renewable energy share than their national target to transfer their surplus to another Member States. </w:t>
      </w:r>
      <w:r>
        <w:rPr>
          <w:rFonts w:ascii="Times New Roman" w:hAnsi="Times New Roman" w:cs="Times New Roman"/>
          <w:b/>
          <w:noProof/>
          <w:sz w:val="24"/>
          <w:szCs w:val="24"/>
        </w:rPr>
        <w:t>There are currently four agreements to make use of statistical transfers</w:t>
      </w:r>
      <w:r>
        <w:rPr>
          <w:rFonts w:ascii="Times New Roman" w:hAnsi="Times New Roman" w:cs="Times New Roman"/>
          <w:noProof/>
          <w:sz w:val="24"/>
          <w:szCs w:val="24"/>
        </w:rPr>
        <w:t xml:space="preserve">. The 2 agreements from 2017 between </w:t>
      </w:r>
      <w:r>
        <w:rPr>
          <w:rFonts w:ascii="Times New Roman" w:hAnsi="Times New Roman" w:cs="Times New Roman"/>
          <w:b/>
          <w:noProof/>
          <w:sz w:val="24"/>
          <w:szCs w:val="24"/>
        </w:rPr>
        <w:t>Luxembourg-Lithuania</w:t>
      </w:r>
      <w:r>
        <w:rPr>
          <w:rFonts w:ascii="Times New Roman" w:hAnsi="Times New Roman" w:cs="Times New Roman"/>
          <w:noProof/>
          <w:sz w:val="24"/>
          <w:szCs w:val="24"/>
        </w:rPr>
        <w:t xml:space="preserve"> and </w:t>
      </w:r>
      <w:r>
        <w:rPr>
          <w:rFonts w:ascii="Times New Roman" w:hAnsi="Times New Roman" w:cs="Times New Roman"/>
          <w:b/>
          <w:noProof/>
          <w:sz w:val="24"/>
          <w:szCs w:val="24"/>
        </w:rPr>
        <w:t>Luxembourg-Estonia</w:t>
      </w:r>
      <w:r>
        <w:rPr>
          <w:rFonts w:ascii="Times New Roman" w:hAnsi="Times New Roman" w:cs="Times New Roman"/>
          <w:noProof/>
          <w:sz w:val="24"/>
          <w:szCs w:val="24"/>
        </w:rPr>
        <w:t xml:space="preserve"> while 2020 until now saw 2 additional agreements between </w:t>
      </w:r>
      <w:r>
        <w:rPr>
          <w:rFonts w:ascii="Times New Roman" w:hAnsi="Times New Roman" w:cs="Times New Roman"/>
          <w:b/>
          <w:noProof/>
          <w:sz w:val="24"/>
          <w:szCs w:val="24"/>
        </w:rPr>
        <w:t>Netherlands-Denmark</w:t>
      </w:r>
      <w:r>
        <w:rPr>
          <w:rFonts w:ascii="Times New Roman" w:hAnsi="Times New Roman" w:cs="Times New Roman"/>
          <w:noProof/>
          <w:sz w:val="24"/>
          <w:szCs w:val="24"/>
        </w:rPr>
        <w:t xml:space="preserve"> as well as </w:t>
      </w:r>
      <w:r>
        <w:rPr>
          <w:rFonts w:ascii="Times New Roman" w:hAnsi="Times New Roman" w:cs="Times New Roman"/>
          <w:b/>
          <w:noProof/>
          <w:sz w:val="24"/>
          <w:szCs w:val="24"/>
        </w:rPr>
        <w:t>Malta-Estonia</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estimates that most Member States have included in their progress reports, </w:t>
      </w:r>
      <w:r>
        <w:rPr>
          <w:rFonts w:ascii="Times New Roman" w:hAnsi="Times New Roman" w:cs="Times New Roman"/>
          <w:b/>
          <w:noProof/>
          <w:sz w:val="24"/>
          <w:szCs w:val="24"/>
        </w:rPr>
        <w:t>there will be an overall 12,177 ktoe ‘excess production’ of renewable energy, compared to the indicative trajectory, available for potential statistical transfers in 2020</w:t>
      </w:r>
      <w:r>
        <w:rPr>
          <w:rFonts w:ascii="Times New Roman" w:hAnsi="Times New Roman" w:cs="Times New Roman"/>
          <w:noProof/>
          <w:sz w:val="24"/>
          <w:szCs w:val="24"/>
        </w:rPr>
        <w:t>. This corresponds to around half of France gross final consumption of energy from renewable sources. For a Member State that may not meet the 2020 target using their own renewable sources, this could be a viable option to meet their target cost-effectively (see table 1). To complement these expectations from Member States the Commission present an updated and coherent projection for 2020 in section 3.</w:t>
      </w:r>
    </w:p>
    <w:tbl>
      <w:tblPr>
        <w:tblStyle w:val="Tablestylegreen2"/>
        <w:tblW w:w="5265" w:type="pct"/>
        <w:tblLook w:val="04A0" w:firstRow="1" w:lastRow="0" w:firstColumn="1" w:lastColumn="0" w:noHBand="0" w:noVBand="1"/>
      </w:tblPr>
      <w:tblGrid>
        <w:gridCol w:w="1445"/>
        <w:gridCol w:w="678"/>
        <w:gridCol w:w="678"/>
        <w:gridCol w:w="677"/>
        <w:gridCol w:w="677"/>
        <w:gridCol w:w="677"/>
        <w:gridCol w:w="677"/>
        <w:gridCol w:w="677"/>
        <w:gridCol w:w="734"/>
        <w:gridCol w:w="677"/>
        <w:gridCol w:w="716"/>
        <w:gridCol w:w="742"/>
        <w:gridCol w:w="677"/>
      </w:tblGrid>
      <w:tr>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742" w:type="pct"/>
            <w:noWrap/>
            <w:hideMark/>
          </w:tcPr>
          <w:p>
            <w:pPr>
              <w:keepNext/>
              <w:keepLines/>
              <w:rPr>
                <w:rFonts w:cs="Arial"/>
                <w:noProof/>
                <w:color w:val="FFFFFF" w:themeColor="background1"/>
                <w:szCs w:val="16"/>
                <w:lang w:val="en-IE"/>
              </w:rPr>
            </w:pP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2009</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2010</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2011</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2012</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2013</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2014</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2015</w:t>
            </w:r>
          </w:p>
        </w:tc>
        <w:tc>
          <w:tcPr>
            <w:tcW w:w="377"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2016</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2017</w:t>
            </w:r>
          </w:p>
        </w:tc>
        <w:tc>
          <w:tcPr>
            <w:tcW w:w="36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2018</w:t>
            </w:r>
          </w:p>
        </w:tc>
        <w:tc>
          <w:tcPr>
            <w:tcW w:w="381"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2019</w:t>
            </w:r>
          </w:p>
        </w:tc>
        <w:tc>
          <w:tcPr>
            <w:tcW w:w="348" w:type="pct"/>
            <w:shd w:val="clear" w:color="auto" w:fill="648C1A"/>
            <w:noWrap/>
            <w:hideMark/>
          </w:tcPr>
          <w:p>
            <w:pPr>
              <w:keepNext/>
              <w:keepLines/>
              <w:jc w:val="right"/>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2020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Belgium</w:t>
            </w:r>
          </w:p>
        </w:tc>
        <w:tc>
          <w:tcPr>
            <w:tcW w:w="348" w:type="pct"/>
            <w:noWrap/>
            <w:hideMark/>
          </w:tcPr>
          <w:p>
            <w:pPr>
              <w:keepNext/>
              <w:keepLines/>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Bulgaria</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362</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348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520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630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593</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602</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638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579</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767</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411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341</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tcPr>
          <w:p>
            <w:pPr>
              <w:keepNext/>
              <w:keepLines/>
              <w:rPr>
                <w:rFonts w:cs="Arial"/>
                <w:noProof/>
                <w:color w:val="FFFFFF" w:themeColor="background1"/>
                <w:szCs w:val="16"/>
              </w:rPr>
            </w:pPr>
            <w:r>
              <w:rPr>
                <w:rFonts w:cs="Arial"/>
                <w:noProof/>
                <w:color w:val="FFFFFF" w:themeColor="background1"/>
                <w:szCs w:val="16"/>
              </w:rPr>
              <w:t>Croatia</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Czech Republic</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1146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1040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947</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863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892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678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643</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Denmark</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694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834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1123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1106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833</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928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552</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619</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63</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Germany</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9236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11831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9816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1066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7967</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8069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3945</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6141</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3065</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Estonia</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191</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206</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177</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197</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230</w:t>
            </w: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243</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243</w:t>
            </w: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300</w:t>
            </w: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344</w:t>
            </w: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397</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Ireland</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93</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-142</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-239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-366</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Greece</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196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380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211</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-189</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-377</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683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529</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Spain</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2026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2866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2704</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3326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2040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3106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1323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1220</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 xml:space="preserve"> </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Italy</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8324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8613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7405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10011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10936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9344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9456</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7803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7555</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5148</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3805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2462</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Cyprus</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72</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51</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Latvia</w:t>
            </w:r>
            <w:r>
              <w:rPr>
                <w:rStyle w:val="FootnoteReference"/>
                <w:rFonts w:cs="Arial"/>
                <w:noProof/>
                <w:color w:val="FFFFFF" w:themeColor="background1"/>
                <w:szCs w:val="16"/>
              </w:rPr>
              <w:footnoteReference w:id="31"/>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-37</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16</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Luxembourg</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95</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86</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Hungary</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968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1150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1213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1295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883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970</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803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470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271</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Malta</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Netherlands</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Austria</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vertAlign w:val="superscript"/>
              </w:rPr>
            </w:pPr>
            <w:r>
              <w:rPr>
                <w:rFonts w:cs="Arial"/>
                <w:noProof/>
                <w:color w:val="FFFFFF" w:themeColor="background1"/>
                <w:szCs w:val="16"/>
              </w:rPr>
              <w:t>Poland</w:t>
            </w:r>
            <w:r>
              <w:rPr>
                <w:rFonts w:cs="Arial"/>
                <w:noProof/>
                <w:color w:val="FFFFFF" w:themeColor="background1"/>
                <w:szCs w:val="16"/>
                <w:vertAlign w:val="superscript"/>
              </w:rPr>
              <w:t>31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543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729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929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530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174</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-260</w:t>
            </w:r>
            <w:r>
              <w:rPr>
                <w:noProof/>
              </w:rPr>
              <w:footnoteReference w:id="32"/>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-544</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790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345</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Portugal</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Romania</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1207</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1296</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824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974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1114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1210</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1091</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1122</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858</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684</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439</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Slovenia</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77"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Slovakia</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77"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45</w:t>
            </w:r>
          </w:p>
        </w:tc>
        <w:tc>
          <w:tcPr>
            <w:tcW w:w="368"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84</w:t>
            </w:r>
          </w:p>
        </w:tc>
        <w:tc>
          <w:tcPr>
            <w:tcW w:w="381" w:type="pct"/>
            <w:noWrap/>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Finland</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1179</w:t>
            </w:r>
          </w:p>
        </w:tc>
        <w:tc>
          <w:tcPr>
            <w:tcW w:w="36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1420</w:t>
            </w:r>
          </w:p>
        </w:tc>
        <w:tc>
          <w:tcPr>
            <w:tcW w:w="381"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1420</w:t>
            </w:r>
          </w:p>
        </w:tc>
        <w:tc>
          <w:tcPr>
            <w:tcW w:w="348" w:type="pct"/>
            <w:noWrap/>
          </w:tcPr>
          <w:p>
            <w:pPr>
              <w:keepNext/>
              <w:keepLines/>
              <w:jc w:val="right"/>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1420</w:t>
            </w:r>
          </w:p>
        </w:tc>
      </w:tr>
      <w:bookmarkStart w:id="7" w:name="RANGE!C29"/>
      <w:tr>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bCs/>
                <w:noProof/>
                <w:color w:val="FFFFFF" w:themeColor="background1"/>
                <w:szCs w:val="16"/>
              </w:rPr>
              <w:fldChar w:fldCharType="begin"/>
            </w:r>
            <w:r>
              <w:rPr>
                <w:rFonts w:cs="Arial"/>
                <w:noProof/>
                <w:color w:val="FFFFFF" w:themeColor="background1"/>
                <w:szCs w:val="16"/>
              </w:rPr>
              <w:instrText xml:space="preserve"> HYPERLINK "file:///C:\\Users\\fvonbluecher\\Desktop\\stuff\\2020%20PREBS\\Cooperation%20mechanism%20overview.xlsx" \l "RANGE!#REF!" </w:instrText>
            </w:r>
            <w:r>
              <w:rPr>
                <w:rFonts w:cs="Arial"/>
                <w:bCs/>
                <w:noProof/>
                <w:color w:val="FFFFFF" w:themeColor="background1"/>
                <w:szCs w:val="16"/>
              </w:rPr>
              <w:fldChar w:fldCharType="separate"/>
            </w:r>
            <w:r>
              <w:rPr>
                <w:rFonts w:cs="Arial"/>
                <w:noProof/>
                <w:color w:val="FFFFFF" w:themeColor="background1"/>
                <w:szCs w:val="16"/>
              </w:rPr>
              <w:t>Sweden</w:t>
            </w:r>
            <w:r>
              <w:rPr>
                <w:rFonts w:cs="Arial"/>
                <w:bCs/>
                <w:noProof/>
                <w:color w:val="FFFFFF" w:themeColor="background1"/>
                <w:szCs w:val="16"/>
              </w:rPr>
              <w:fldChar w:fldCharType="end"/>
            </w:r>
            <w:bookmarkEnd w:id="7"/>
            <w:r>
              <w:rPr>
                <w:rStyle w:val="FootnoteReference"/>
                <w:rFonts w:cs="Arial"/>
                <w:noProof/>
                <w:color w:val="FFFFFF" w:themeColor="background1"/>
                <w:szCs w:val="16"/>
              </w:rPr>
              <w:footnoteReference w:id="33"/>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2407</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2141</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2482</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3318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3214</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3335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3347</w:t>
            </w:r>
          </w:p>
        </w:tc>
        <w:tc>
          <w:tcPr>
            <w:tcW w:w="377"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3475</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3215</w:t>
            </w:r>
          </w:p>
        </w:tc>
        <w:tc>
          <w:tcPr>
            <w:tcW w:w="36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3610</w:t>
            </w:r>
          </w:p>
        </w:tc>
        <w:tc>
          <w:tcPr>
            <w:tcW w:w="381"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3428</w:t>
            </w:r>
          </w:p>
        </w:tc>
        <w:tc>
          <w:tcPr>
            <w:tcW w:w="348" w:type="pct"/>
            <w:noWrap/>
            <w:hideMark/>
          </w:tcPr>
          <w:p>
            <w:pPr>
              <w:keepNext/>
              <w:keepLines/>
              <w:jc w:val="right"/>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3241</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42" w:type="pct"/>
            <w:noWrap/>
            <w:hideMark/>
          </w:tcPr>
          <w:p>
            <w:pPr>
              <w:keepNext/>
              <w:keepLines/>
              <w:rPr>
                <w:rFonts w:cs="Arial"/>
                <w:b w:val="0"/>
                <w:noProof/>
                <w:color w:val="FFFFFF" w:themeColor="background1"/>
                <w:szCs w:val="16"/>
              </w:rPr>
            </w:pPr>
            <w:r>
              <w:rPr>
                <w:rFonts w:cs="Arial"/>
                <w:noProof/>
                <w:color w:val="FFFFFF" w:themeColor="background1"/>
                <w:szCs w:val="16"/>
              </w:rPr>
              <w:t>Total sum</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11938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14119</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25345</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33175</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31831</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22676</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28069</w:t>
            </w:r>
          </w:p>
        </w:tc>
        <w:tc>
          <w:tcPr>
            <w:tcW w:w="377"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27108</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19922</w:t>
            </w:r>
          </w:p>
        </w:tc>
        <w:tc>
          <w:tcPr>
            <w:tcW w:w="36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21744</w:t>
            </w:r>
          </w:p>
        </w:tc>
        <w:tc>
          <w:tcPr>
            <w:tcW w:w="381"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10987</w:t>
            </w:r>
          </w:p>
        </w:tc>
        <w:tc>
          <w:tcPr>
            <w:tcW w:w="348" w:type="pct"/>
            <w:noWrap/>
            <w:hideMark/>
          </w:tcPr>
          <w:p>
            <w:pPr>
              <w:keepNext/>
              <w:keepLines/>
              <w:jc w:val="right"/>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12177</w:t>
            </w:r>
          </w:p>
        </w:tc>
      </w:tr>
    </w:tbl>
    <w:p>
      <w:pPr>
        <w:keepNext/>
        <w:keepLines/>
        <w:jc w:val="both"/>
        <w:rPr>
          <w:rFonts w:ascii="Times New Roman" w:hAnsi="Times New Roman" w:cs="Times New Roman"/>
          <w:i/>
          <w:noProof/>
          <w:sz w:val="24"/>
        </w:rPr>
      </w:pPr>
      <w:r>
        <w:rPr>
          <w:rFonts w:ascii="Times New Roman" w:hAnsi="Times New Roman" w:cs="Times New Roman"/>
          <w:b/>
          <w:noProof/>
          <w:sz w:val="24"/>
        </w:rPr>
        <w:t>Table 1</w:t>
      </w:r>
      <w:r>
        <w:rPr>
          <w:rFonts w:ascii="Times New Roman" w:hAnsi="Times New Roman" w:cs="Times New Roman"/>
          <w:noProof/>
          <w:sz w:val="24"/>
        </w:rPr>
        <w:t xml:space="preserve">: </w:t>
      </w:r>
      <w:r>
        <w:rPr>
          <w:rFonts w:ascii="Times New Roman" w:hAnsi="Times New Roman" w:cs="Times New Roman"/>
          <w:i/>
          <w:noProof/>
          <w:sz w:val="24"/>
        </w:rPr>
        <w:t>Actual and estimated excess and/or deficit production of renewable energy in Member States compared to the indicative RED trajectory (ktoe). Source: Navigant 2020</w:t>
      </w:r>
      <w:r>
        <w:rPr>
          <w:rStyle w:val="FootnoteReference"/>
          <w:rFonts w:ascii="Times New Roman" w:hAnsi="Times New Roman" w:cs="Times New Roman"/>
          <w:i/>
          <w:noProof/>
          <w:sz w:val="24"/>
        </w:rPr>
        <w:footnoteReference w:id="34"/>
      </w:r>
      <w:r>
        <w:rPr>
          <w:rFonts w:ascii="Times New Roman" w:hAnsi="Times New Roman" w:cs="Times New Roman"/>
          <w:i/>
          <w:noProof/>
          <w:sz w:val="24"/>
        </w:rPr>
        <w:t>, Member States reports</w:t>
      </w:r>
      <w:r>
        <w:rPr>
          <w:rStyle w:val="FootnoteReference"/>
          <w:rFonts w:ascii="Times New Roman" w:hAnsi="Times New Roman" w:cs="Times New Roman"/>
          <w:i/>
          <w:noProof/>
          <w:sz w:val="24"/>
        </w:rPr>
        <w:footnoteReference w:id="35"/>
      </w:r>
      <w:r>
        <w:rPr>
          <w:rFonts w:ascii="Times New Roman" w:hAnsi="Times New Roman" w:cs="Times New Roman"/>
          <w:i/>
          <w:noProof/>
          <w:sz w:val="24"/>
        </w:rPr>
        <w:t>.</w:t>
      </w:r>
    </w:p>
    <w:p>
      <w:pPr>
        <w:keepNext/>
        <w:keepLines/>
        <w:jc w:val="both"/>
        <w:rPr>
          <w:rFonts w:ascii="Times New Roman" w:hAnsi="Times New Roman" w:cs="Times New Roman"/>
          <w:i/>
          <w:noProof/>
          <w:sz w:val="24"/>
        </w:rPr>
      </w:pPr>
    </w:p>
    <w:p>
      <w:pPr>
        <w:pStyle w:val="Heading2"/>
        <w:spacing w:after="120"/>
        <w:ind w:left="714" w:hanging="357"/>
        <w:rPr>
          <w:noProof/>
        </w:rPr>
      </w:pPr>
      <w:bookmarkStart w:id="8" w:name="_Toc1149222"/>
      <w:r>
        <w:rPr>
          <w:noProof/>
        </w:rPr>
        <w:t>Outlook for 2020 - current projections</w:t>
      </w:r>
      <w:bookmarkEnd w:id="8"/>
      <w:r>
        <w:rPr>
          <w:noProof/>
        </w:rPr>
        <w:t xml:space="preserve"> </w:t>
      </w:r>
    </w:p>
    <w:p>
      <w:pPr>
        <w:jc w:val="both"/>
        <w:rPr>
          <w:rFonts w:ascii="Times New Roman" w:hAnsi="Times New Roman"/>
          <w:noProof/>
          <w:sz w:val="24"/>
          <w:szCs w:val="24"/>
        </w:rPr>
      </w:pPr>
      <w:r>
        <w:rPr>
          <w:rFonts w:ascii="Times New Roman" w:hAnsi="Times New Roman" w:cs="Times New Roman"/>
          <w:noProof/>
          <w:sz w:val="24"/>
          <w:szCs w:val="24"/>
        </w:rPr>
        <w:t>In order to assess the feasibility of 2020 target achievement, a modelling exercise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has been carried out for the Commission. The analysis </w:t>
      </w:r>
      <w:r>
        <w:rPr>
          <w:rFonts w:ascii="Times New Roman" w:hAnsi="Times New Roman" w:cs="Times New Roman"/>
          <w:noProof/>
          <w:sz w:val="24"/>
          <w:szCs w:val="24"/>
          <w:lang w:val="en-IE"/>
        </w:rPr>
        <w:t xml:space="preserve">is based on an extrapolation of statistical data taking into account the RES investment level, the available pipeline of RES projects, and relevant Current Policy </w:t>
      </w:r>
      <w:r>
        <w:rPr>
          <w:rFonts w:ascii="Times New Roman" w:hAnsi="Times New Roman" w:cs="Times New Roman"/>
          <w:noProof/>
          <w:sz w:val="24"/>
          <w:szCs w:val="24"/>
          <w:lang w:val="en-US"/>
        </w:rPr>
        <w:t>Initiatives</w:t>
      </w:r>
      <w:r>
        <w:rPr>
          <w:rFonts w:ascii="Times New Roman" w:hAnsi="Times New Roman" w:cs="Times New Roman"/>
          <w:noProof/>
          <w:sz w:val="24"/>
          <w:szCs w:val="24"/>
          <w:vertAlign w:val="superscript"/>
          <w:lang w:val="en-US"/>
        </w:rPr>
        <w:footnoteReference w:id="37"/>
      </w:r>
      <w:r>
        <w:rPr>
          <w:rFonts w:ascii="Times New Roman" w:hAnsi="Times New Roman" w:cs="Times New Roman"/>
          <w:noProof/>
          <w:sz w:val="24"/>
          <w:szCs w:val="24"/>
          <w:lang w:val="en-IE"/>
        </w:rPr>
        <w:t xml:space="preserve"> (CPI) including potential statistical transfers</w:t>
      </w:r>
      <w:r>
        <w:rPr>
          <w:rFonts w:ascii="Times New Roman" w:hAnsi="Times New Roman" w:cs="Times New Roman"/>
          <w:noProof/>
          <w:sz w:val="24"/>
          <w:szCs w:val="24"/>
        </w:rPr>
        <w:t xml:space="preserve">. The </w:t>
      </w:r>
      <w:r>
        <w:rPr>
          <w:rFonts w:ascii="Times New Roman" w:hAnsi="Times New Roman" w:cs="Times New Roman"/>
          <w:noProof/>
          <w:sz w:val="24"/>
          <w:szCs w:val="24"/>
          <w:lang w:val="en-US"/>
        </w:rPr>
        <w:t>Covid-19 pandemic has caused additional uncertainty on the various parts of the (renewable) energy market. Due to these uncertainties two distinct demand trends (low and high demand) are shown representing likely lower and upper boundaries of what is classified as feasible concerning demand trends</w:t>
      </w:r>
      <w:r>
        <w:rPr>
          <w:rStyle w:val="FootnoteReference"/>
          <w:rFonts w:ascii="Times New Roman" w:hAnsi="Times New Roman" w:cs="Times New Roman"/>
          <w:noProof/>
          <w:sz w:val="24"/>
          <w:szCs w:val="24"/>
          <w:lang w:val="en-US"/>
        </w:rPr>
        <w:footnoteReference w:id="38"/>
      </w:r>
      <w:r>
        <w:rPr>
          <w:rFonts w:ascii="Times New Roman" w:hAnsi="Times New Roman" w:cs="Times New Roman"/>
          <w:noProof/>
          <w:sz w:val="24"/>
          <w:szCs w:val="24"/>
          <w:lang w:val="en-US"/>
        </w:rPr>
        <w:t xml:space="preserve">. This is further combined </w:t>
      </w:r>
      <w:r>
        <w:rPr>
          <w:rFonts w:ascii="Times New Roman" w:hAnsi="Times New Roman"/>
          <w:noProof/>
          <w:sz w:val="24"/>
          <w:szCs w:val="24"/>
        </w:rPr>
        <w:t>with two distinct scenarios for the use of RES cooperation by means of statistical transfers: a “strong cooperation” and a “weak cooperation” scenario. More precisely, at Member State level the following assumptions were taken:</w:t>
      </w:r>
    </w:p>
    <w:p>
      <w:pPr>
        <w:pStyle w:val="ListParagraph"/>
        <w:numPr>
          <w:ilvl w:val="0"/>
          <w:numId w:val="31"/>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“strong cooperation”: A statistical transfer of in total</w:t>
      </w:r>
      <w:r>
        <w:rPr>
          <w:noProof/>
        </w:rPr>
        <w:t xml:space="preserve"> </w:t>
      </w:r>
      <w:r>
        <w:rPr>
          <w:rFonts w:ascii="Times New Roman" w:hAnsi="Times New Roman" w:cs="Times New Roman"/>
          <w:noProof/>
          <w:sz w:val="24"/>
          <w:szCs w:val="24"/>
          <w:lang w:val="en-US"/>
        </w:rPr>
        <w:t xml:space="preserve"> 1,700 GWh from Estonia (1,000 GWh) and Lithuania (700 GWh) to Luxembourg, a statistical transfer of 16,000  GWh from Denmark to the Netherlands, and a statistical transfer of 80 GWh from Estonia to Malta.</w:t>
      </w:r>
    </w:p>
    <w:p>
      <w:pPr>
        <w:numPr>
          <w:ilvl w:val="0"/>
          <w:numId w:val="31"/>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“weak cooperation”: A statistical transfer of 1,100 GWh to Luxembourg (400 GWh from Estonia and 700 GWh from Lithuania), a statistical transfer of 8,000 GWh from Denmark to the Netherlands, and a statistical transfer of 80 GWh from Estonia to Malta. </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This modelling projects the EU to reach a renewables share of 22.8% - 23.1% </w:t>
      </w:r>
      <w:r>
        <w:rPr>
          <w:rFonts w:ascii="Times New Roman" w:hAnsi="Times New Roman" w:cs="Times New Roman"/>
          <w:noProof/>
          <w:sz w:val="24"/>
          <w:szCs w:val="24"/>
        </w:rPr>
        <w:t xml:space="preserve">(see figure 3 below) in 2020. It also finds that </w:t>
      </w:r>
      <w:r>
        <w:rPr>
          <w:rFonts w:ascii="Times New Roman" w:hAnsi="Times New Roman" w:cs="Times New Roman"/>
          <w:noProof/>
          <w:sz w:val="24"/>
          <w:szCs w:val="24"/>
          <w:lang w:val="en-US"/>
        </w:rPr>
        <w:t xml:space="preserve">many individual Member States are expected to perform well in the remaining years, reaching deployment levels beyond their target levels. Nevertheless, </w:t>
      </w:r>
      <w:r>
        <w:rPr>
          <w:rFonts w:ascii="Times New Roman" w:hAnsi="Times New Roman" w:cs="Times New Roman"/>
          <w:b/>
          <w:noProof/>
          <w:sz w:val="24"/>
          <w:szCs w:val="24"/>
          <w:lang w:val="en-US"/>
        </w:rPr>
        <w:t>three Member States (Belgium, France, and Poland) are at severe risk of not meeting the target</w:t>
      </w:r>
      <w:r>
        <w:rPr>
          <w:rFonts w:ascii="Times New Roman" w:hAnsi="Times New Roman" w:cs="Times New Roman"/>
          <w:noProof/>
          <w:sz w:val="24"/>
          <w:szCs w:val="24"/>
          <w:lang w:val="en-US"/>
        </w:rPr>
        <w:t>.</w:t>
      </w:r>
      <w:r>
        <w:rPr>
          <w:rFonts w:ascii="Times New Roman" w:hAnsi="Times New Roman" w:cs="Times New Roman"/>
          <w:b/>
          <w:noProof/>
          <w:sz w:val="24"/>
          <w:szCs w:val="24"/>
        </w:rPr>
        <w:t xml:space="preserve"> Furthermore, 2 Member States the Netherlands and Luxembourg are at moderate risk of not meeting the target</w:t>
      </w:r>
      <w:r>
        <w:rPr>
          <w:rFonts w:ascii="Times New Roman" w:hAnsi="Times New Roman" w:cs="Times New Roman"/>
          <w:noProof/>
          <w:sz w:val="24"/>
          <w:szCs w:val="24"/>
        </w:rPr>
        <w:t xml:space="preserve">. For reference, the figure also includes the 2020 baseline that the Member States have specified in their Final National Energy and Climate Plans. </w:t>
      </w:r>
    </w:p>
    <w:p>
      <w:pPr>
        <w:pStyle w:val="BodyText"/>
        <w:spacing w:before="240" w:after="0"/>
        <w:rPr>
          <w:noProof/>
        </w:rPr>
      </w:pPr>
      <w:r>
        <w:rPr>
          <w:noProof/>
          <w:lang w:val="en-GB" w:eastAsia="en-GB"/>
        </w:rPr>
        <w:drawing>
          <wp:inline distT="0" distB="0" distL="0" distR="0">
            <wp:extent cx="6088050" cy="2806289"/>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0510" cy="2816642"/>
                    </a:xfrm>
                    <a:prstGeom prst="rect">
                      <a:avLst/>
                    </a:prstGeom>
                    <a:noFill/>
                  </pic:spPr>
                </pic:pic>
              </a:graphicData>
            </a:graphic>
          </wp:inline>
        </w:drawing>
      </w:r>
    </w:p>
    <w:p>
      <w:pPr>
        <w:jc w:val="both"/>
        <w:rPr>
          <w:rFonts w:ascii="Times New Roman" w:hAnsi="Times New Roman" w:cs="Times New Roman"/>
          <w:i/>
          <w:noProof/>
          <w:sz w:val="24"/>
          <w:szCs w:val="24"/>
        </w:rPr>
      </w:pPr>
      <w:r>
        <w:rPr>
          <w:rFonts w:ascii="Times New Roman" w:hAnsi="Times New Roman" w:cs="Times New Roman"/>
          <w:b/>
          <w:noProof/>
          <w:sz w:val="24"/>
          <w:szCs w:val="24"/>
        </w:rPr>
        <w:t>Figure 3</w:t>
      </w:r>
      <w:r>
        <w:rPr>
          <w:rFonts w:ascii="Times New Roman" w:hAnsi="Times New Roman" w:cs="Times New Roman"/>
          <w:noProof/>
          <w:sz w:val="24"/>
          <w:szCs w:val="24"/>
        </w:rPr>
        <w:t>:</w:t>
      </w:r>
      <w:r>
        <w:rPr>
          <w:rFonts w:ascii="Times New Roman" w:hAnsi="Times New Roman" w:cs="Times New Roman"/>
          <w:i/>
          <w:noProof/>
          <w:sz w:val="24"/>
          <w:szCs w:val="24"/>
        </w:rPr>
        <w:t xml:space="preserve"> Expected RES share in 2020 vs. 2020 RED target RES share and 2020 NECP baseline (%) </w:t>
      </w:r>
      <w:r>
        <w:rPr>
          <w:rFonts w:ascii="Times New Roman" w:hAnsi="Times New Roman" w:cs="Times New Roman"/>
          <w:i/>
          <w:noProof/>
          <w:sz w:val="24"/>
          <w:szCs w:val="24"/>
          <w:u w:val="single"/>
        </w:rPr>
        <w:t>including</w:t>
      </w:r>
      <w:r>
        <w:rPr>
          <w:rFonts w:ascii="Times New Roman" w:hAnsi="Times New Roman" w:cs="Times New Roman"/>
          <w:i/>
          <w:noProof/>
          <w:sz w:val="24"/>
          <w:szCs w:val="24"/>
        </w:rPr>
        <w:t xml:space="preserve"> cooperation mechanisms (source: Navigant)</w:t>
      </w:r>
    </w:p>
    <w:p>
      <w:pPr>
        <w:jc w:val="both"/>
        <w:rPr>
          <w:rFonts w:ascii="Times New Roman" w:hAnsi="Times New Roman" w:cs="Times New Roman"/>
          <w:noProof/>
          <w:sz w:val="24"/>
          <w:szCs w:val="24"/>
        </w:rPr>
      </w:pPr>
    </w:p>
    <w:p>
      <w:pPr>
        <w:keepNext/>
        <w:spacing w:after="120" w:line="240" w:lineRule="auto"/>
        <w:jc w:val="center"/>
        <w:rPr>
          <w:rFonts w:ascii="Arial" w:eastAsia="Times New Roman" w:hAnsi="Arial" w:cs="Times New Roman"/>
          <w:b/>
          <w:bCs/>
          <w:noProof/>
          <w:color w:val="555759"/>
          <w:szCs w:val="20"/>
          <w:lang w:val="en-US" w:eastAsia="en-US"/>
        </w:rPr>
      </w:pPr>
      <w:r>
        <w:rPr>
          <w:rFonts w:ascii="Times New Roman" w:hAnsi="Times New Roman" w:cs="Times New Roman"/>
          <w:noProof/>
          <w:sz w:val="24"/>
          <w:szCs w:val="24"/>
          <w:lang w:val="en-US"/>
        </w:rPr>
        <w:t xml:space="preserve">The modelling also calculated absolute deficits and surplus in the Member States including the co-operation mechanisms (see table 2). </w:t>
      </w:r>
      <w:bookmarkStart w:id="9" w:name="_Toc1149223"/>
    </w:p>
    <w:tbl>
      <w:tblPr>
        <w:tblW w:w="9016" w:type="dxa"/>
        <w:tblLook w:val="04A0" w:firstRow="1" w:lastRow="0" w:firstColumn="1" w:lastColumn="0" w:noHBand="0" w:noVBand="1"/>
      </w:tblPr>
      <w:tblGrid>
        <w:gridCol w:w="1559"/>
        <w:gridCol w:w="1091"/>
        <w:gridCol w:w="1091"/>
        <w:gridCol w:w="1167"/>
        <w:gridCol w:w="1091"/>
        <w:gridCol w:w="1091"/>
        <w:gridCol w:w="963"/>
        <w:gridCol w:w="963"/>
      </w:tblGrid>
      <w:tr>
        <w:trPr>
          <w:trHeight w:val="1387"/>
        </w:trPr>
        <w:tc>
          <w:tcPr>
            <w:tcW w:w="1559" w:type="dxa"/>
            <w:vMerge w:val="restart"/>
            <w:tcBorders>
              <w:top w:val="single" w:sz="4" w:space="0" w:color="auto"/>
              <w:left w:val="single" w:sz="4" w:space="0" w:color="auto"/>
              <w:bottom w:val="single" w:sz="4" w:space="0" w:color="000000"/>
              <w:right w:val="nil"/>
            </w:tcBorders>
            <w:shd w:val="clear" w:color="000000" w:fill="808080"/>
            <w:vAlign w:val="bottom"/>
            <w:hideMark/>
          </w:tcPr>
          <w:p>
            <w:pPr>
              <w:keepNext/>
              <w:spacing w:after="0" w:line="240" w:lineRule="auto"/>
              <w:rPr>
                <w:rFonts w:ascii="Calibri" w:eastAsia="Times New Roman" w:hAnsi="Calibri" w:cs="Calibri"/>
                <w:b/>
                <w:bCs/>
                <w:i/>
                <w:iCs/>
                <w:noProof/>
                <w:color w:val="FFFFFF"/>
                <w:sz w:val="18"/>
                <w:szCs w:val="18"/>
              </w:rPr>
            </w:pPr>
            <w:r>
              <w:rPr>
                <w:rFonts w:ascii="Calibri" w:eastAsia="Times New Roman" w:hAnsi="Calibri" w:cs="Calibri"/>
                <w:b/>
                <w:bCs/>
                <w:i/>
                <w:iCs/>
                <w:noProof/>
                <w:color w:val="FFFFFF"/>
                <w:sz w:val="18"/>
                <w:szCs w:val="18"/>
              </w:rPr>
              <w:t xml:space="preserve">RES share in gross final energy demand by </w:t>
            </w:r>
            <w:r>
              <w:rPr>
                <w:rFonts w:ascii="Calibri" w:eastAsia="Times New Roman" w:hAnsi="Calibri" w:cs="Calibri"/>
                <w:b/>
                <w:bCs/>
                <w:i/>
                <w:iCs/>
                <w:noProof/>
                <w:color w:val="FFFFFF"/>
                <w:sz w:val="20"/>
                <w:szCs w:val="20"/>
                <w:u w:val="single"/>
              </w:rPr>
              <w:t>2020</w:t>
            </w:r>
            <w:r>
              <w:rPr>
                <w:rFonts w:ascii="Calibri" w:eastAsia="Times New Roman" w:hAnsi="Calibri" w:cs="Calibri"/>
                <w:i/>
                <w:iCs/>
                <w:noProof/>
                <w:color w:val="FFFFFF"/>
                <w:sz w:val="20"/>
                <w:szCs w:val="20"/>
              </w:rPr>
              <w:t xml:space="preserve"> - </w:t>
            </w:r>
            <w:r>
              <w:rPr>
                <w:rFonts w:ascii="Calibri" w:eastAsia="Times New Roman" w:hAnsi="Calibri" w:cs="Calibri"/>
                <w:i/>
                <w:iCs/>
                <w:noProof/>
                <w:color w:val="FFFFFF"/>
                <w:sz w:val="20"/>
                <w:szCs w:val="20"/>
                <w:u w:val="single"/>
              </w:rPr>
              <w:t>with</w:t>
            </w:r>
            <w:r>
              <w:rPr>
                <w:rFonts w:ascii="Calibri" w:eastAsia="Times New Roman" w:hAnsi="Calibri" w:cs="Calibri"/>
                <w:i/>
                <w:iCs/>
                <w:noProof/>
                <w:color w:val="FFFFFF"/>
                <w:sz w:val="20"/>
                <w:szCs w:val="20"/>
              </w:rPr>
              <w:t xml:space="preserve"> impact of RES cooperation</w:t>
            </w:r>
            <w:r>
              <w:rPr>
                <w:rFonts w:ascii="Calibri" w:eastAsia="Times New Roman" w:hAnsi="Calibri" w:cs="Calibri"/>
                <w:i/>
                <w:iCs/>
                <w:noProof/>
                <w:color w:val="FFFFFF"/>
                <w:sz w:val="20"/>
                <w:szCs w:val="20"/>
              </w:rPr>
              <w:br/>
            </w:r>
          </w:p>
        </w:tc>
        <w:tc>
          <w:tcPr>
            <w:tcW w:w="2182" w:type="dxa"/>
            <w:gridSpan w:val="2"/>
            <w:tcBorders>
              <w:top w:val="single" w:sz="4" w:space="0" w:color="auto"/>
              <w:left w:val="single" w:sz="4" w:space="0" w:color="auto"/>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eastAsia="Times New Roman" w:hAnsi="Calibri" w:cs="Calibri"/>
                <w:b/>
                <w:bCs/>
                <w:noProof/>
                <w:color w:val="FFFFFF"/>
                <w:sz w:val="18"/>
                <w:szCs w:val="18"/>
              </w:rPr>
              <w:t>Expected RES share 2020</w:t>
            </w:r>
            <w:r>
              <w:rPr>
                <w:rFonts w:ascii="Calibri" w:eastAsia="Times New Roman" w:hAnsi="Calibri" w:cs="Calibri"/>
                <w:noProof/>
                <w:color w:val="FFFFFF"/>
                <w:sz w:val="18"/>
                <w:szCs w:val="18"/>
              </w:rPr>
              <w:t xml:space="preserve"> (CPI scenario)</w:t>
            </w:r>
            <w:r>
              <w:rPr>
                <w:rFonts w:ascii="Calibri" w:eastAsia="Times New Roman" w:hAnsi="Calibri" w:cs="Calibri"/>
                <w:noProof/>
                <w:color w:val="FFFFFF"/>
                <w:sz w:val="18"/>
                <w:szCs w:val="18"/>
              </w:rPr>
              <w:br/>
            </w:r>
          </w:p>
        </w:tc>
        <w:tc>
          <w:tcPr>
            <w:tcW w:w="1167" w:type="dxa"/>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eastAsia="Times New Roman" w:hAnsi="Calibri" w:cs="Calibri"/>
                <w:b/>
                <w:bCs/>
                <w:noProof/>
                <w:color w:val="FFFFFF"/>
                <w:sz w:val="18"/>
                <w:szCs w:val="18"/>
              </w:rPr>
              <w:t>RED target RES share 2020</w:t>
            </w:r>
            <w:r>
              <w:rPr>
                <w:rFonts w:ascii="Calibri" w:eastAsia="Times New Roman" w:hAnsi="Calibri" w:cs="Calibri"/>
                <w:b/>
                <w:bCs/>
                <w:noProof/>
                <w:color w:val="FFFFFF"/>
                <w:sz w:val="18"/>
                <w:szCs w:val="18"/>
              </w:rPr>
              <w:br/>
            </w:r>
          </w:p>
        </w:tc>
        <w:tc>
          <w:tcPr>
            <w:tcW w:w="2182" w:type="dxa"/>
            <w:gridSpan w:val="2"/>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eastAsia="Times New Roman" w:hAnsi="Calibri" w:cs="Calibri"/>
                <w:b/>
                <w:bCs/>
                <w:noProof/>
                <w:color w:val="FFFFFF"/>
                <w:sz w:val="18"/>
                <w:szCs w:val="18"/>
              </w:rPr>
              <w:t xml:space="preserve">Deviation of expected from RED target RES share </w:t>
            </w:r>
            <w:r>
              <w:rPr>
                <w:rFonts w:ascii="Calibri" w:eastAsia="Times New Roman" w:hAnsi="Calibri" w:cs="Calibri"/>
                <w:noProof/>
                <w:color w:val="FFFFFF"/>
                <w:sz w:val="18"/>
                <w:szCs w:val="18"/>
              </w:rPr>
              <w:t>(CPI scenario)</w:t>
            </w:r>
            <w:r>
              <w:rPr>
                <w:rFonts w:ascii="Calibri" w:eastAsia="Times New Roman" w:hAnsi="Calibri" w:cs="Calibri"/>
                <w:noProof/>
                <w:color w:val="FFFFFF"/>
                <w:sz w:val="18"/>
                <w:szCs w:val="18"/>
              </w:rPr>
              <w:br/>
            </w:r>
          </w:p>
        </w:tc>
        <w:tc>
          <w:tcPr>
            <w:tcW w:w="1926" w:type="dxa"/>
            <w:gridSpan w:val="2"/>
            <w:tcBorders>
              <w:top w:val="single" w:sz="4" w:space="0" w:color="auto"/>
              <w:left w:val="nil"/>
              <w:bottom w:val="single" w:sz="4" w:space="0" w:color="auto"/>
              <w:right w:val="single" w:sz="4" w:space="0" w:color="auto"/>
            </w:tcBorders>
            <w:shd w:val="clear" w:color="000000" w:fill="808080"/>
            <w:vAlign w:val="bottom"/>
            <w:hideMark/>
          </w:tcPr>
          <w:p>
            <w:pPr>
              <w:keepNext/>
              <w:spacing w:after="0" w:line="240" w:lineRule="auto"/>
              <w:rPr>
                <w:rFonts w:ascii="Calibri" w:eastAsia="Times New Roman" w:hAnsi="Calibri" w:cs="Calibri"/>
                <w:b/>
                <w:bCs/>
                <w:noProof/>
                <w:color w:val="FFFFFF"/>
                <w:sz w:val="18"/>
                <w:szCs w:val="18"/>
              </w:rPr>
            </w:pPr>
            <w:r>
              <w:rPr>
                <w:rFonts w:ascii="Calibri" w:eastAsia="Times New Roman" w:hAnsi="Calibri" w:cs="Calibri"/>
                <w:b/>
                <w:bCs/>
                <w:noProof/>
                <w:color w:val="FFFFFF"/>
                <w:sz w:val="18"/>
                <w:szCs w:val="18"/>
              </w:rPr>
              <w:t xml:space="preserve">Absolute deviation of expected from RED target RES share </w:t>
            </w:r>
            <w:r>
              <w:rPr>
                <w:rFonts w:ascii="Calibri" w:eastAsia="Times New Roman" w:hAnsi="Calibri" w:cs="Calibri"/>
                <w:noProof/>
                <w:color w:val="FFFFFF"/>
                <w:sz w:val="18"/>
                <w:szCs w:val="18"/>
              </w:rPr>
              <w:t>(CPI scenario)</w:t>
            </w:r>
            <w:r>
              <w:rPr>
                <w:rFonts w:ascii="Calibri" w:eastAsia="Times New Roman" w:hAnsi="Calibri" w:cs="Calibri"/>
                <w:noProof/>
                <w:color w:val="FFFFFF"/>
                <w:sz w:val="18"/>
                <w:szCs w:val="18"/>
              </w:rPr>
              <w:br/>
            </w:r>
          </w:p>
        </w:tc>
      </w:tr>
      <w:tr>
        <w:trPr>
          <w:trHeight w:val="283"/>
        </w:trPr>
        <w:tc>
          <w:tcPr>
            <w:tcW w:w="1559" w:type="dxa"/>
            <w:vMerge/>
            <w:tcBorders>
              <w:top w:val="single" w:sz="4" w:space="0" w:color="auto"/>
              <w:left w:val="single" w:sz="4" w:space="0" w:color="auto"/>
              <w:bottom w:val="single" w:sz="4" w:space="0" w:color="000000"/>
              <w:right w:val="nil"/>
            </w:tcBorders>
            <w:vAlign w:val="center"/>
            <w:hideMark/>
          </w:tcPr>
          <w:p>
            <w:pPr>
              <w:keepNext/>
              <w:spacing w:after="0" w:line="240" w:lineRule="auto"/>
              <w:rPr>
                <w:rFonts w:ascii="Calibri" w:eastAsia="Times New Roman" w:hAnsi="Calibri" w:cs="Calibri"/>
                <w:b/>
                <w:bCs/>
                <w:i/>
                <w:iCs/>
                <w:noProof/>
                <w:color w:val="FFFFFF"/>
                <w:sz w:val="18"/>
                <w:szCs w:val="18"/>
              </w:rPr>
            </w:pPr>
          </w:p>
        </w:tc>
        <w:tc>
          <w:tcPr>
            <w:tcW w:w="1091" w:type="dxa"/>
            <w:tcBorders>
              <w:top w:val="nil"/>
              <w:left w:val="single" w:sz="4" w:space="0" w:color="auto"/>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eastAsia="Times New Roman" w:hAnsi="Calibri" w:cs="Calibri"/>
                <w:noProof/>
                <w:color w:val="FFFFFF"/>
                <w:sz w:val="18"/>
                <w:szCs w:val="18"/>
              </w:rPr>
              <w:t>Min.</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eastAsia="Times New Roman" w:hAnsi="Calibri" w:cs="Calibri"/>
                <w:noProof/>
                <w:color w:val="FFFFFF"/>
                <w:sz w:val="18"/>
                <w:szCs w:val="18"/>
              </w:rPr>
              <w:t>Max.</w:t>
            </w:r>
          </w:p>
        </w:tc>
        <w:tc>
          <w:tcPr>
            <w:tcW w:w="1167"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eastAsia="Times New Roman" w:hAnsi="Calibri" w:cs="Calibri"/>
                <w:noProof/>
                <w:color w:val="FFFFFF"/>
                <w:sz w:val="18"/>
                <w:szCs w:val="18"/>
              </w:rPr>
              <w:t> </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eastAsia="Times New Roman" w:hAnsi="Calibri" w:cs="Calibri"/>
                <w:noProof/>
                <w:color w:val="FFFFFF"/>
                <w:sz w:val="18"/>
                <w:szCs w:val="18"/>
              </w:rPr>
              <w:t>Min.</w:t>
            </w:r>
          </w:p>
        </w:tc>
        <w:tc>
          <w:tcPr>
            <w:tcW w:w="1091"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eastAsia="Times New Roman" w:hAnsi="Calibri" w:cs="Calibri"/>
                <w:noProof/>
                <w:color w:val="FFFFFF"/>
                <w:sz w:val="18"/>
                <w:szCs w:val="18"/>
              </w:rPr>
              <w:t>Max.</w:t>
            </w:r>
          </w:p>
        </w:tc>
        <w:tc>
          <w:tcPr>
            <w:tcW w:w="963"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eastAsia="Times New Roman" w:hAnsi="Calibri" w:cs="Calibri"/>
                <w:noProof/>
                <w:color w:val="FFFFFF"/>
                <w:sz w:val="18"/>
                <w:szCs w:val="18"/>
              </w:rPr>
              <w:t>Min.</w:t>
            </w:r>
          </w:p>
        </w:tc>
        <w:tc>
          <w:tcPr>
            <w:tcW w:w="963" w:type="dxa"/>
            <w:tcBorders>
              <w:top w:val="nil"/>
              <w:left w:val="nil"/>
              <w:bottom w:val="single" w:sz="4" w:space="0" w:color="auto"/>
              <w:right w:val="single" w:sz="4" w:space="0" w:color="auto"/>
            </w:tcBorders>
            <w:shd w:val="clear" w:color="000000" w:fill="808080"/>
            <w:vAlign w:val="center"/>
            <w:hideMark/>
          </w:tcPr>
          <w:p>
            <w:pPr>
              <w:keepNext/>
              <w:spacing w:after="0" w:line="240" w:lineRule="auto"/>
              <w:jc w:val="right"/>
              <w:rPr>
                <w:rFonts w:ascii="Calibri" w:eastAsia="Times New Roman" w:hAnsi="Calibri" w:cs="Calibri"/>
                <w:noProof/>
                <w:color w:val="FFFFFF"/>
                <w:sz w:val="18"/>
                <w:szCs w:val="18"/>
              </w:rPr>
            </w:pPr>
            <w:r>
              <w:rPr>
                <w:rFonts w:ascii="Calibri" w:eastAsia="Times New Roman" w:hAnsi="Calibri" w:cs="Calibri"/>
                <w:noProof/>
                <w:color w:val="FFFFFF"/>
                <w:sz w:val="18"/>
                <w:szCs w:val="18"/>
              </w:rPr>
              <w:t>Max.</w:t>
            </w:r>
          </w:p>
        </w:tc>
      </w:tr>
      <w:tr>
        <w:trPr>
          <w:trHeight w:val="283"/>
        </w:trPr>
        <w:tc>
          <w:tcPr>
            <w:tcW w:w="1559" w:type="dxa"/>
            <w:tcBorders>
              <w:top w:val="nil"/>
              <w:left w:val="single" w:sz="4" w:space="0" w:color="auto"/>
              <w:bottom w:val="single" w:sz="4" w:space="0" w:color="auto"/>
              <w:right w:val="nil"/>
            </w:tcBorders>
            <w:shd w:val="clear" w:color="000000" w:fill="D9D9D9"/>
            <w:noWrap/>
            <w:vAlign w:val="bottom"/>
            <w:hideMark/>
          </w:tcPr>
          <w:p>
            <w:pPr>
              <w:keepNext/>
              <w:spacing w:after="0" w:line="240" w:lineRule="auto"/>
              <w:rPr>
                <w:rFonts w:ascii="Calibri" w:eastAsia="Times New Roman" w:hAnsi="Calibri" w:cs="Calibri"/>
                <w:i/>
                <w:iCs/>
                <w:noProof/>
                <w:sz w:val="18"/>
                <w:szCs w:val="18"/>
              </w:rPr>
            </w:pPr>
            <w:r>
              <w:rPr>
                <w:rFonts w:ascii="Calibri" w:eastAsia="Times New Roman" w:hAnsi="Calibri" w:cs="Calibri"/>
                <w:i/>
                <w:iCs/>
                <w:noProof/>
                <w:sz w:val="18"/>
                <w:szCs w:val="18"/>
              </w:rPr>
              <w:t>Member State</w:t>
            </w:r>
          </w:p>
        </w:tc>
        <w:tc>
          <w:tcPr>
            <w:tcW w:w="1091" w:type="dxa"/>
            <w:tcBorders>
              <w:top w:val="nil"/>
              <w:left w:val="single" w:sz="4" w:space="0" w:color="auto"/>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rPr>
              <w:t>[%]</w:t>
            </w:r>
          </w:p>
        </w:tc>
        <w:tc>
          <w:tcPr>
            <w:tcW w:w="1167"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rPr>
              <w:t>[%]</w:t>
            </w:r>
          </w:p>
        </w:tc>
        <w:tc>
          <w:tcPr>
            <w:tcW w:w="1091"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rPr>
              <w:t>[%]</w:t>
            </w:r>
          </w:p>
        </w:tc>
        <w:tc>
          <w:tcPr>
            <w:tcW w:w="963"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rPr>
              <w:t>[ktoe]</w:t>
            </w:r>
          </w:p>
        </w:tc>
        <w:tc>
          <w:tcPr>
            <w:tcW w:w="963" w:type="dxa"/>
            <w:tcBorders>
              <w:top w:val="nil"/>
              <w:left w:val="nil"/>
              <w:bottom w:val="single" w:sz="4" w:space="0" w:color="auto"/>
              <w:right w:val="single" w:sz="4" w:space="0" w:color="auto"/>
            </w:tcBorders>
            <w:shd w:val="clear" w:color="000000" w:fill="D9D9D9"/>
            <w:noWrap/>
            <w:vAlign w:val="center"/>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rPr>
              <w:t>[ktoe]</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Belgium</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12.0%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12.0%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-7.6%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-7.3%</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-321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-303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Bulgaria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23.8%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24.0%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16.0%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48.9%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50.1%</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785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790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Czechia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17.6%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17.8%</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35.7%</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36.6%</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1,132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1,136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Denmark</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30.9%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35.7%</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3.1%</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18.9%</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140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844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Germany</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19.8%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18.0%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9.8%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11.1%</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3,643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4,041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Estonia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33.0%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34.9%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25.0%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31.8%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39.5%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236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289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Ireland</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16.6%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16.9%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16.0%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4.0%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5.5%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71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95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Greece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23.4%</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23.8%</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18.0%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30.3%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32.2%</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831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862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Spain</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22.0%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22.4%</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9.9%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11.8%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1,523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1,763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France</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20.3%</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23.0%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-12.9%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-11.8%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-4,033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-3,585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Croatia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34.6%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34.9%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72.8%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74.5%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916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919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Italy</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22.3%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22.7%</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17.0%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31.3%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33.4%</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5,522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5,732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Cyprus</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15.9%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16.1%</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22.3%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24.2%</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44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47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Latvia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42.4%</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42.6%</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40.0%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6.0%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6.5%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96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101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Lithuania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29.2%</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29.3%</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23.0%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27.0%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27.3%</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325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328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Luxembourg</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10.1%</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11.6%</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11.0%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-8.4%</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5.1%</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Hungary</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14.3%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14.4%</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10.5%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228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236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Malta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13.4%</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13.6%</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34.0%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35.7%</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Netherlands</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12.5%</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14.2%</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14.0%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-10.8%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1.2%</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-688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74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Austria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37.8%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38.2%</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34.0%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11.2%</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12.4%</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1,009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1,099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Poland</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13.7%</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13.8%</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15.0%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-8.7%</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-8.3%</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-918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-859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Portugal</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35.9%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36.4%</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31.0%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15.8%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17.5%</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784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847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Romania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27.8%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28.0%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24.0%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16.0%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16.8%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892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921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Slovenia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27.7%</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27.9%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25.0%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10.6%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11.6%</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121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129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Slovakia</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14.7%</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14.9%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14.0%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5.3%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6.4%</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71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84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Finland</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48.6%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48.9%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38.0%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27.8%</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28.6%</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2,697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2,721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Sweden</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60.9%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61.6%</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49.0%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24.3%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25.7%</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3,914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4,058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United Kingdom</w:t>
            </w:r>
            <w:r>
              <w:rPr>
                <w:rStyle w:val="FootnoteReference"/>
                <w:rFonts w:ascii="Calibri" w:eastAsia="Times New Roman" w:hAnsi="Calibri" w:cs="Calibri"/>
                <w:b/>
                <w:bCs/>
                <w:noProof/>
                <w:sz w:val="18"/>
                <w:szCs w:val="18"/>
              </w:rPr>
              <w:footnoteReference w:id="39"/>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16.2%</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16.4%</w:t>
            </w:r>
          </w:p>
        </w:tc>
        <w:tc>
          <w:tcPr>
            <w:tcW w:w="1167"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15.0%</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7.9%</w:t>
            </w:r>
          </w:p>
        </w:tc>
        <w:tc>
          <w:tcPr>
            <w:tcW w:w="1091" w:type="dxa"/>
            <w:tcBorders>
              <w:top w:val="nil"/>
              <w:left w:val="single" w:sz="4" w:space="0" w:color="auto"/>
              <w:bottom w:val="nil"/>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9.7%</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1,391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 xml:space="preserve">1,649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EU-27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22.8%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23.1%</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20.0%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14.2%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15.5%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i/>
                <w:iCs/>
                <w:noProof/>
                <w:color w:val="808080"/>
                <w:sz w:val="18"/>
                <w:szCs w:val="18"/>
                <w:lang w:val="en-US" w:eastAsia="en-US"/>
              </w:rPr>
              <w:t xml:space="preserve">19,751*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i/>
                <w:iCs/>
                <w:noProof/>
                <w:color w:val="808080"/>
                <w:sz w:val="18"/>
                <w:szCs w:val="18"/>
                <w:lang w:val="en-US" w:eastAsia="en-US"/>
              </w:rPr>
              <w:t xml:space="preserve">21,661* </w:t>
            </w:r>
          </w:p>
        </w:tc>
      </w:tr>
      <w:tr>
        <w:trPr>
          <w:trHeight w:val="283"/>
        </w:trPr>
        <w:tc>
          <w:tcPr>
            <w:tcW w:w="1559" w:type="dxa"/>
            <w:tcBorders>
              <w:top w:val="nil"/>
              <w:left w:val="single" w:sz="4" w:space="0" w:color="auto"/>
              <w:bottom w:val="single" w:sz="4" w:space="0" w:color="auto"/>
              <w:right w:val="single" w:sz="4" w:space="0" w:color="auto"/>
            </w:tcBorders>
            <w:shd w:val="clear" w:color="000000" w:fill="D9D9D9"/>
            <w:noWrap/>
            <w:vAlign w:val="bottom"/>
            <w:hideMark/>
          </w:tcPr>
          <w:p>
            <w:pPr>
              <w:keepNext/>
              <w:spacing w:after="0" w:line="240" w:lineRule="auto"/>
              <w:rPr>
                <w:rFonts w:ascii="Calibri" w:eastAsia="Times New Roman" w:hAnsi="Calibri" w:cs="Calibri"/>
                <w:b/>
                <w:bCs/>
                <w:noProof/>
                <w:sz w:val="18"/>
                <w:szCs w:val="18"/>
              </w:rPr>
            </w:pPr>
            <w:r>
              <w:rPr>
                <w:rFonts w:ascii="Calibri" w:eastAsia="Times New Roman" w:hAnsi="Calibri" w:cs="Calibri"/>
                <w:b/>
                <w:bCs/>
                <w:noProof/>
                <w:sz w:val="18"/>
                <w:szCs w:val="18"/>
              </w:rPr>
              <w:t>EU-plus UK</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22.1%</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22.4%</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sz w:val="18"/>
                <w:szCs w:val="18"/>
              </w:rPr>
            </w:pPr>
            <w:r>
              <w:rPr>
                <w:rFonts w:ascii="Calibri" w:eastAsia="Times New Roman" w:hAnsi="Calibri" w:cs="Calibri"/>
                <w:noProof/>
                <w:sz w:val="18"/>
                <w:szCs w:val="18"/>
                <w:lang w:val="en-US" w:eastAsia="en-US"/>
              </w:rPr>
              <w:t>20.0%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10.4%</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noProof/>
                <w:color w:val="808080"/>
                <w:sz w:val="18"/>
                <w:szCs w:val="18"/>
                <w:lang w:val="en-US" w:eastAsia="en-US"/>
              </w:rPr>
              <w:t>11.8%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i/>
                <w:iCs/>
                <w:noProof/>
                <w:color w:val="808080"/>
                <w:sz w:val="18"/>
                <w:szCs w:val="18"/>
                <w:lang w:val="en-US" w:eastAsia="en-US"/>
              </w:rPr>
              <w:t xml:space="preserve">21,142*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pPr>
              <w:keepNext/>
              <w:spacing w:after="0" w:line="240" w:lineRule="auto"/>
              <w:jc w:val="right"/>
              <w:rPr>
                <w:rFonts w:ascii="Calibri" w:eastAsia="Times New Roman" w:hAnsi="Calibri" w:cs="Calibri"/>
                <w:noProof/>
                <w:color w:val="808080"/>
                <w:sz w:val="18"/>
                <w:szCs w:val="18"/>
              </w:rPr>
            </w:pPr>
            <w:r>
              <w:rPr>
                <w:rFonts w:ascii="Calibri" w:eastAsia="Times New Roman" w:hAnsi="Calibri" w:cs="Calibri"/>
                <w:i/>
                <w:iCs/>
                <w:noProof/>
                <w:color w:val="808080"/>
                <w:sz w:val="18"/>
                <w:szCs w:val="18"/>
                <w:lang w:val="en-US" w:eastAsia="en-US"/>
              </w:rPr>
              <w:t xml:space="preserve">23,309* </w:t>
            </w:r>
          </w:p>
        </w:tc>
      </w:tr>
    </w:tbl>
    <w:p>
      <w:pPr>
        <w:jc w:val="both"/>
        <w:rPr>
          <w:rFonts w:ascii="Times New Roman" w:hAnsi="Times New Roman" w:cs="Times New Roman"/>
          <w:noProof/>
          <w:sz w:val="24"/>
          <w:szCs w:val="24"/>
          <w:lang w:val="en-US"/>
        </w:rPr>
      </w:pPr>
    </w:p>
    <w:p>
      <w:pPr>
        <w:jc w:val="both"/>
        <w:rPr>
          <w:rFonts w:ascii="Times New Roman" w:hAnsi="Times New Roman" w:cs="Times New Roman"/>
          <w:noProof/>
          <w:sz w:val="24"/>
          <w:szCs w:val="24"/>
        </w:rPr>
      </w:pPr>
      <w:r>
        <w:rPr>
          <w:rFonts w:ascii="Times New Roman" w:hAnsi="Times New Roman" w:cs="Times New Roman"/>
          <w:b/>
          <w:noProof/>
          <w:sz w:val="24"/>
        </w:rPr>
        <w:t>Table 2</w:t>
      </w:r>
      <w:r>
        <w:rPr>
          <w:rFonts w:ascii="Times New Roman" w:hAnsi="Times New Roman" w:cs="Times New Roman"/>
          <w:noProof/>
          <w:sz w:val="24"/>
        </w:rPr>
        <w:t xml:space="preserve">: </w:t>
      </w:r>
      <w:r>
        <w:rPr>
          <w:rFonts w:ascii="Times New Roman" w:hAnsi="Times New Roman" w:cs="Times New Roman"/>
          <w:i/>
          <w:noProof/>
          <w:sz w:val="24"/>
        </w:rPr>
        <w:t>Expected and required RES shares in 2020 including cooperation mechanisms Source: Navigant 2020</w:t>
      </w:r>
      <w:r>
        <w:rPr>
          <w:rStyle w:val="FootnoteReference"/>
          <w:rFonts w:ascii="Times New Roman" w:hAnsi="Times New Roman" w:cs="Times New Roman"/>
          <w:i/>
          <w:noProof/>
          <w:sz w:val="24"/>
        </w:rPr>
        <w:footnoteReference w:id="40"/>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table 2 shows that </w:t>
      </w:r>
      <w:r>
        <w:rPr>
          <w:rFonts w:ascii="Times New Roman" w:hAnsi="Times New Roman" w:cs="Times New Roman"/>
          <w:b/>
          <w:noProof/>
          <w:sz w:val="24"/>
          <w:szCs w:val="24"/>
        </w:rPr>
        <w:t>with the expected EU 27 RES deployments there is a considerable margin for the Member States to establish statistical transfer agreements. The surplus is at least 19.7 Mtoe (229 TWh).</w:t>
      </w:r>
      <w:r>
        <w:rPr>
          <w:rFonts w:ascii="Times New Roman" w:hAnsi="Times New Roman" w:cs="Times New Roman"/>
          <w:noProof/>
          <w:sz w:val="24"/>
          <w:szCs w:val="24"/>
        </w:rPr>
        <w:t xml:space="preserve">  On basis of the energy demand projections from the modelling, RES deployment is expected to increase by 19.2-21.7 Mtoe in 2018-2020.</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Modelling has further been performed specifically for the transport sector in order to assess expected progress on the basis of current policies and demand trends taking account of the Covid-19 pandemic. </w:t>
      </w:r>
    </w:p>
    <w:p>
      <w:pPr>
        <w:pStyle w:val="Caption"/>
        <w:keepNext w:val="0"/>
        <w:widowControl w:val="0"/>
        <w:spacing w:after="0"/>
        <w:jc w:val="left"/>
        <w:rPr>
          <w:noProof/>
        </w:rPr>
      </w:pPr>
    </w:p>
    <w:p>
      <w:pPr>
        <w:rPr>
          <w:noProof/>
        </w:rPr>
      </w:pPr>
      <w:r>
        <w:rPr>
          <w:noProof/>
        </w:rPr>
        <w:drawing>
          <wp:inline distT="0" distB="0" distL="0" distR="0">
            <wp:extent cx="5357004" cy="2469314"/>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2320" cy="2485593"/>
                    </a:xfrm>
                    <a:prstGeom prst="rect">
                      <a:avLst/>
                    </a:prstGeom>
                    <a:noFill/>
                  </pic:spPr>
                </pic:pic>
              </a:graphicData>
            </a:graphic>
          </wp:inline>
        </w:drawing>
      </w:r>
    </w:p>
    <w:p>
      <w:pPr>
        <w:jc w:val="both"/>
        <w:rPr>
          <w:rFonts w:ascii="Times New Roman" w:hAnsi="Times New Roman" w:cs="Times New Roman"/>
          <w:i/>
          <w:noProof/>
          <w:sz w:val="24"/>
          <w:szCs w:val="24"/>
        </w:rPr>
      </w:pPr>
      <w:r>
        <w:rPr>
          <w:rFonts w:ascii="Times New Roman" w:hAnsi="Times New Roman" w:cs="Times New Roman"/>
          <w:b/>
          <w:noProof/>
          <w:sz w:val="24"/>
          <w:szCs w:val="24"/>
        </w:rPr>
        <w:t>Figure 4</w:t>
      </w:r>
      <w:r>
        <w:rPr>
          <w:rFonts w:ascii="Times New Roman" w:hAnsi="Times New Roman" w:cs="Times New Roman"/>
          <w:noProof/>
          <w:sz w:val="24"/>
          <w:szCs w:val="24"/>
        </w:rPr>
        <w:t>:</w:t>
      </w:r>
      <w:r>
        <w:rPr>
          <w:rFonts w:ascii="Times New Roman" w:hAnsi="Times New Roman" w:cs="Times New Roman"/>
          <w:i/>
          <w:noProof/>
          <w:sz w:val="24"/>
          <w:szCs w:val="24"/>
        </w:rPr>
        <w:t xml:space="preserve"> Expected RES-T share in 2020 vs. binding national RED RES-T sector target and NECP baseline (%) (source: Navigant)</w:t>
      </w:r>
    </w:p>
    <w:p>
      <w:pPr>
        <w:jc w:val="both"/>
        <w:rPr>
          <w:rFonts w:ascii="Times New Roman" w:hAnsi="Times New Roman" w:cs="Times New Roman"/>
          <w:noProof/>
          <w:sz w:val="24"/>
          <w:szCs w:val="24"/>
        </w:rPr>
      </w:pPr>
      <w:r>
        <w:rPr>
          <w:rFonts w:ascii="Times New Roman" w:hAnsi="Times New Roman" w:cs="Times New Roman"/>
          <w:b/>
          <w:noProof/>
          <w:sz w:val="24"/>
          <w:szCs w:val="24"/>
        </w:rPr>
        <w:t>The overall EU level is expected to be around 2% above the 10% level b</w:t>
      </w:r>
      <w:r>
        <w:rPr>
          <w:rFonts w:ascii="Times New Roman" w:hAnsi="Times New Roman" w:cs="Times New Roman"/>
          <w:b/>
          <w:noProof/>
          <w:sz w:val="24"/>
          <w:szCs w:val="24"/>
          <w:lang w:val="en-US"/>
        </w:rPr>
        <w:t>y 2020 and 16 of 27 Member States are expected to meet (and over-succeed) their binding RED RES-T sector target under all assessed circumstances</w:t>
      </w:r>
      <w:r>
        <w:rPr>
          <w:rFonts w:ascii="Times New Roman" w:hAnsi="Times New Roman" w:cs="Times New Roman"/>
          <w:noProof/>
          <w:sz w:val="24"/>
          <w:szCs w:val="24"/>
          <w:lang w:val="en-US"/>
        </w:rPr>
        <w:t>. On the top of that list is Sweden, followed by Finland, the Netherlands, Ireland,  Malta, Croatia, and Portugal, all showing a surplus larger than 50% compared to the target. Other Member States where RES-T target achievement appears likely are Belgium, Germany, Greece, France, Italy, Hungary, Austria, Romania and Slovenia. The remaining 11 Member States are not expected to meet their binding RED RES-T sector target with the current policies although 3 Member States (</w:t>
      </w:r>
      <w:r>
        <w:rPr>
          <w:rFonts w:ascii="Times New Roman" w:hAnsi="Times New Roman" w:cs="Times New Roman"/>
          <w:noProof/>
          <w:sz w:val="24"/>
          <w:szCs w:val="24"/>
        </w:rPr>
        <w:t>Denmark, Spain, and Poland</w:t>
      </w:r>
      <w:r>
        <w:rPr>
          <w:rFonts w:ascii="Times New Roman" w:hAnsi="Times New Roman" w:cs="Times New Roman"/>
          <w:noProof/>
          <w:sz w:val="24"/>
          <w:szCs w:val="24"/>
          <w:lang w:val="en-US"/>
        </w:rPr>
        <w:t>) are less than 0.5% away from the target. The Member States that are found to be further away are Estonia, Cyprus, Luxembourg, and Lithuania – all with deficits larger than 25%.</w:t>
      </w:r>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Given that the EU level is well above 10% binding RES-T target, the Member States should consider the use of statistical transfers for the transport sector, as enabled under the ILUC Directive.</w:t>
      </w:r>
    </w:p>
    <w:p>
      <w:pPr>
        <w:pStyle w:val="Heading2"/>
        <w:spacing w:after="120"/>
        <w:ind w:left="714" w:hanging="357"/>
        <w:rPr>
          <w:noProof/>
        </w:rPr>
      </w:pPr>
      <w:r>
        <w:rPr>
          <w:noProof/>
        </w:rPr>
        <w:t>Developments in streamlining administrative procedures</w:t>
      </w:r>
      <w:bookmarkEnd w:id="9"/>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their 5th national renewable energy progress reports, Member States report on measures to streamline administrative procedures for renewable energy projects (pursuant article 13 of RED I). According to external analysis</w:t>
      </w:r>
      <w:r>
        <w:rPr>
          <w:rStyle w:val="FootnoteReference"/>
          <w:rFonts w:ascii="Times New Roman" w:hAnsi="Times New Roman" w:cs="Times New Roman"/>
          <w:noProof/>
          <w:sz w:val="24"/>
          <w:szCs w:val="24"/>
          <w:lang w:val="en-US"/>
        </w:rPr>
        <w:footnoteReference w:id="41"/>
      </w:r>
      <w:r>
        <w:rPr>
          <w:rFonts w:ascii="Times New Roman" w:hAnsi="Times New Roman" w:cs="Times New Roman"/>
          <w:noProof/>
          <w:sz w:val="24"/>
          <w:szCs w:val="24"/>
          <w:lang w:val="en-US"/>
        </w:rPr>
        <w:t>, in global terms, a large share of the relevant measures in the REDI have been successfully implemented across the Member States. These measures include, amongst others: facilitated procedures for small-scale projects, requirements on system operators to provide cost estimates and other necessary information, requirements on the distribution of costs of grid development and grid connection of renewable energy, consideration of RES-E in the national network development plan, and the existence of support schemes promoting the use of renewable energy.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following examples of positive developments in individual Member States are among those identified in the technical analysis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pStyle w:val="ListParagraph"/>
        <w:numPr>
          <w:ilvl w:val="0"/>
          <w:numId w:val="34"/>
        </w:numPr>
        <w:spacing w:after="120"/>
        <w:ind w:left="681" w:hanging="397"/>
        <w:contextualSpacing w:val="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Denmark</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a one-stop shop for offshore wind turbines has simplified the administrative burden for the approval of offshore wind farms;</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coordination between all relevant authorities in the licensing process is handled centrally by the Danish Energy Agency; and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licences are prepared in advance and can be issued once the environmental impact assessment of the winning tenderer for the project has been approved;</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since 2018, </w:t>
      </w:r>
      <w:r>
        <w:rPr>
          <w:rFonts w:ascii="Times New Roman" w:hAnsi="Times New Roman" w:cs="Times New Roman"/>
          <w:noProof/>
          <w:sz w:val="24"/>
          <w:szCs w:val="24"/>
          <w:u w:val="single"/>
        </w:rPr>
        <w:t>Bulgaria</w:t>
      </w:r>
      <w:r>
        <w:rPr>
          <w:rFonts w:ascii="Times New Roman" w:hAnsi="Times New Roman" w:cs="Times New Roman"/>
          <w:noProof/>
          <w:sz w:val="24"/>
          <w:szCs w:val="24"/>
        </w:rPr>
        <w:t xml:space="preserve"> has run a single information and services web portal for the submission of electronic applications;</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u w:val="single"/>
        </w:rPr>
        <w:t>Germany</w:t>
      </w:r>
      <w:r>
        <w:rPr>
          <w:rFonts w:ascii="Times New Roman" w:hAnsi="Times New Roman" w:cs="Times New Roman"/>
          <w:noProof/>
          <w:sz w:val="24"/>
          <w:szCs w:val="24"/>
        </w:rPr>
        <w:t xml:space="preserve"> has eased administration and reporting by introducing a comprehensive database with all master data from the electricity and gas markets;</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u w:val="single"/>
        </w:rPr>
        <w:t>Sweden</w:t>
      </w:r>
      <w:r>
        <w:rPr>
          <w:rFonts w:ascii="Times New Roman" w:hAnsi="Times New Roman" w:cs="Times New Roman"/>
          <w:noProof/>
          <w:sz w:val="24"/>
          <w:szCs w:val="24"/>
        </w:rPr>
        <w:t xml:space="preserve">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application forms for solar PV investment aid have been simplified;</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e-applications have been facilitated;</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requirement for follow-up has been abolished; and </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dialogue between the government agencies that administer the aid has been improved; and</w:t>
      </w:r>
    </w:p>
    <w:p>
      <w:pPr>
        <w:pStyle w:val="ListParagraph"/>
        <w:numPr>
          <w:ilvl w:val="0"/>
          <w:numId w:val="34"/>
        </w:numPr>
        <w:spacing w:after="120"/>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u w:val="single"/>
        </w:rPr>
        <w:t>the Netherlands</w:t>
      </w:r>
      <w:r>
        <w:rPr>
          <w:rFonts w:ascii="Times New Roman" w:hAnsi="Times New Roman" w:cs="Times New Roman"/>
          <w:noProof/>
          <w:sz w:val="24"/>
          <w:szCs w:val="24"/>
        </w:rPr>
        <w:t xml:space="preserve"> aims to:</w:t>
      </w:r>
    </w:p>
    <w:p>
      <w:pPr>
        <w:pStyle w:val="ListParagraph"/>
        <w:numPr>
          <w:ilvl w:val="1"/>
          <w:numId w:val="34"/>
        </w:numPr>
        <w:spacing w:after="120"/>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speed up spatial planning with an Environment Act entering into force in 2021; and</w:t>
      </w:r>
    </w:p>
    <w:p>
      <w:pPr>
        <w:pStyle w:val="ListParagraph"/>
        <w:numPr>
          <w:ilvl w:val="1"/>
          <w:numId w:val="34"/>
        </w:numPr>
        <w:ind w:left="136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package plans and permits to reduce costs.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However, also some barriers remain. While progress has already been made in the past, administrative procedures across all sectors can be even further streamlined in many Member States. Also, authorisation procedures have room for further simplification, and the time required for processing permits could be reduced. The transposition of RED II by June 30</w:t>
      </w:r>
      <w:r>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2021, require overall further enhancement of these procedures.  </w:t>
      </w:r>
    </w:p>
    <w:p>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the electricity sector, spatial and environmental planning requirements hamper progress in some Member States. In the heating &amp; cooling sector, the barriers are mainly due to shortcomings affecting the capacities of district heating networks, while the transport sector mainly sees barriers arising from the lack of adequate infrastructure for electric vehicles and market uncertainty created by policy changes in the field of biofuels. The integration of increasing RES capacities in the grid is also a persistent challenge for most Member States. The barriers arise mainly from the high cost of grid connection and the lack of </w:t>
      </w:r>
      <w:r>
        <w:rPr>
          <w:rFonts w:ascii="Times New Roman" w:hAnsi="Times New Roman" w:cs="Times New Roman"/>
          <w:noProof/>
          <w:sz w:val="24"/>
          <w:szCs w:val="24"/>
          <w:lang w:val="en-US"/>
        </w:rPr>
        <w:t>certainty in grid development scenarios</w:t>
      </w:r>
      <w:r>
        <w:rPr>
          <w:rFonts w:ascii="Times New Roman" w:hAnsi="Times New Roman" w:cs="Times New Roman"/>
          <w:noProof/>
          <w:sz w:val="24"/>
          <w:szCs w:val="24"/>
        </w:rPr>
        <w:t xml:space="preserve"> and transparency in the connection procedures</w:t>
      </w:r>
    </w:p>
    <w:p>
      <w:pPr>
        <w:pStyle w:val="Heading1"/>
        <w:keepNext/>
        <w:rPr>
          <w:noProof/>
        </w:rPr>
      </w:pPr>
      <w:bookmarkStart w:id="10" w:name="_Toc1149224"/>
      <w:r>
        <w:rPr>
          <w:noProof/>
        </w:rPr>
        <w:t>4. ASSESSMENT OF THE SUSTAINABILITY OF BIOFUELS</w:t>
      </w:r>
      <w:bookmarkEnd w:id="10"/>
      <w:r>
        <w:rPr>
          <w:noProof/>
          <w:vertAlign w:val="superscript"/>
        </w:rPr>
        <w:footnoteReference w:id="43"/>
      </w:r>
    </w:p>
    <w:p>
      <w:pPr>
        <w:pStyle w:val="Heading2"/>
        <w:numPr>
          <w:ilvl w:val="0"/>
          <w:numId w:val="28"/>
        </w:numPr>
        <w:spacing w:after="120"/>
        <w:rPr>
          <w:noProof/>
        </w:rPr>
      </w:pPr>
      <w:r>
        <w:rPr>
          <w:noProof/>
        </w:rPr>
        <w:t>Overview of biofuel consumption in the EU</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2018, the EU consumption of sustainable biofuels amounted to 16,597 ktoe of which 3,905 ktoe (24%) were Annex IX biofuels</w:t>
      </w:r>
      <w:r>
        <w:rPr>
          <w:rStyle w:val="FootnoteReference"/>
          <w:rFonts w:ascii="Times New Roman" w:hAnsi="Times New Roman" w:cs="Times New Roman"/>
          <w:noProof/>
          <w:sz w:val="24"/>
          <w:szCs w:val="24"/>
          <w:lang w:val="en-IE"/>
        </w:rPr>
        <w:footnoteReference w:id="44"/>
      </w:r>
      <w:r>
        <w:rPr>
          <w:rFonts w:ascii="Times New Roman" w:hAnsi="Times New Roman" w:cs="Times New Roman"/>
          <w:noProof/>
          <w:sz w:val="24"/>
          <w:szCs w:val="24"/>
          <w:lang w:val="en-IE"/>
        </w:rPr>
        <w:t xml:space="preserve"> and 12,692 ktoe (76%) were other compliant biofuels. </w:t>
      </w:r>
    </w:p>
    <w:p>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Most biofuels consumed in the EU constitute of biodiesel (77%, FAME or HVO) or bioethanol (16%)</w:t>
      </w:r>
      <w:r>
        <w:rPr>
          <w:rStyle w:val="FootnoteReference"/>
          <w:rFonts w:ascii="Times New Roman" w:hAnsi="Times New Roman" w:cs="Times New Roman"/>
          <w:noProof/>
          <w:sz w:val="24"/>
          <w:szCs w:val="24"/>
          <w:lang w:val="en-IE"/>
        </w:rPr>
        <w:footnoteReference w:id="45"/>
      </w:r>
      <w:r>
        <w:rPr>
          <w:rFonts w:ascii="Times New Roman" w:hAnsi="Times New Roman" w:cs="Times New Roman"/>
          <w:noProof/>
          <w:sz w:val="24"/>
          <w:szCs w:val="24"/>
          <w:lang w:val="en-IE"/>
        </w:rPr>
        <w:t xml:space="preserve">. Other liquid biofuels (6%) are not specified. </w:t>
      </w:r>
      <w:r>
        <w:rPr>
          <w:rFonts w:ascii="Times New Roman" w:hAnsi="Times New Roman" w:cs="Times New Roman"/>
          <w:b/>
          <w:noProof/>
          <w:sz w:val="24"/>
          <w:szCs w:val="24"/>
          <w:lang w:val="en-IE"/>
        </w:rPr>
        <w:t>About 59% of the feedstock used for biodiesel consumed in the EU in 2018 was imported or produced from imported feedstock, while 41% came from EU feedstock, mainly rapeseed (26%), used cooking oil (8%) and animal fat (5%)</w:t>
      </w:r>
      <w:r>
        <w:rPr>
          <w:rFonts w:ascii="Times New Roman" w:hAnsi="Times New Roman" w:cs="Times New Roman"/>
          <w:noProof/>
          <w:sz w:val="24"/>
          <w:szCs w:val="24"/>
          <w:lang w:val="en-IE"/>
        </w:rPr>
        <w:t>. The main non-EU countries of origin are Indonesia (17%) and Malaysia (8%), whose palm oil is used for biodiesel in the EU, and Argentina (9%) which exports biodiesel made from soybeans (see Table 3).</w:t>
      </w:r>
    </w:p>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lang w:val="en-IE"/>
        </w:rPr>
      </w:pPr>
    </w:p>
    <w:tbl>
      <w:tblPr>
        <w:tblStyle w:val="TableGrid"/>
        <w:tblW w:w="0" w:type="auto"/>
        <w:tblLook w:val="04A0" w:firstRow="1" w:lastRow="0" w:firstColumn="1" w:lastColumn="0" w:noHBand="0" w:noVBand="1"/>
      </w:tblPr>
      <w:tblGrid>
        <w:gridCol w:w="1033"/>
        <w:gridCol w:w="1034"/>
        <w:gridCol w:w="1018"/>
        <w:gridCol w:w="1030"/>
        <w:gridCol w:w="1027"/>
        <w:gridCol w:w="1024"/>
        <w:gridCol w:w="1035"/>
        <w:gridCol w:w="1018"/>
        <w:gridCol w:w="1023"/>
      </w:tblGrid>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rPr>
              <w:t>Rapeseed</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rPr>
              <w:t>Palm oil</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rPr>
              <w:t>Soybean</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rPr>
              <w:t>Use cooking oil (UCO)</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rPr>
              <w:t>Animal fat</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lang w:val="en-IE"/>
              </w:rPr>
              <w:t>Other, pine/tall oils, fatty acids, sunflower oil</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rPr>
              <w:t>Total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rPr>
              <w:t>Total (ktoe)</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EU</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26%</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8%</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5%</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41%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5,871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Australia</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308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Ukraine</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3%</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362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Canada</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96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Indonesia</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15%</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17%</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2,382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Malaysia</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7%</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8%</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1,082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USA</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3%</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4%</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580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Brazil</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266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China</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4%</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4%</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527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Argentina</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9%</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9%</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1,342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Other</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r>
              <w:rPr>
                <w:rFonts w:cstheme="minorHAnsi"/>
                <w:noProof/>
                <w:sz w:val="18"/>
                <w:szCs w:val="18"/>
                <w:vertAlign w:val="superscript"/>
              </w:rPr>
              <w:t>2)</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3%</w:t>
            </w:r>
            <w:r>
              <w:rPr>
                <w:rFonts w:cstheme="minorHAnsi"/>
                <w:noProof/>
                <w:sz w:val="18"/>
                <w:szCs w:val="18"/>
                <w:vertAlign w:val="superscript"/>
              </w:rPr>
              <w:t>3)</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5%</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707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Unknown</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w:t>
            </w:r>
            <w:r>
              <w:rPr>
                <w:rFonts w:cstheme="minorHAnsi"/>
                <w:noProof/>
                <w:sz w:val="18"/>
                <w:szCs w:val="18"/>
                <w:vertAlign w:val="superscript"/>
              </w:rPr>
              <w:t>1)</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tcPr>
          <w:p>
            <w:pPr>
              <w:rPr>
                <w:rFonts w:cstheme="minorHAnsi"/>
                <w:noProof/>
                <w:sz w:val="18"/>
                <w:szCs w:val="18"/>
                <w:lang w:val="en-IE"/>
              </w:rPr>
            </w:pP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4%</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5%</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671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Total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32%</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23%</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15%</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19%</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5%</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6%</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100%</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r>
      <w:tr>
        <w:tc>
          <w:tcPr>
            <w:tcW w:w="103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Total (ktoe)</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4,502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3,208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2,193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2,678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693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921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lang w:val="en-IE"/>
              </w:rPr>
              <w:t xml:space="preserve"> </w:t>
            </w:r>
          </w:p>
        </w:tc>
        <w:tc>
          <w:tcPr>
            <w:tcW w:w="1039"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lang w:val="en-IE"/>
              </w:rPr>
            </w:pPr>
            <w:r>
              <w:rPr>
                <w:rFonts w:cstheme="minorHAnsi"/>
                <w:noProof/>
                <w:sz w:val="18"/>
                <w:szCs w:val="18"/>
              </w:rPr>
              <w:t xml:space="preserve">14,194 </w:t>
            </w:r>
          </w:p>
        </w:tc>
      </w:tr>
    </w:tbl>
    <w:p>
      <w:pPr>
        <w:pStyle w:val="FootnoteText"/>
        <w:jc w:val="both"/>
        <w:rPr>
          <w:rFonts w:cstheme="minorHAnsi"/>
          <w:noProof/>
          <w:sz w:val="16"/>
          <w:szCs w:val="16"/>
          <w:lang w:eastAsia="en-US"/>
        </w:rPr>
      </w:pPr>
      <w:r>
        <w:rPr>
          <w:rFonts w:cstheme="minorHAnsi"/>
          <w:noProof/>
          <w:sz w:val="16"/>
          <w:szCs w:val="16"/>
        </w:rPr>
        <w:t>1) Small fraction of rapeseed imports is reported in the Eurostat [EU trade since 1988 by CN8 [DS-016890]] as import from countries and territories not specified for commercial or military reasons</w:t>
      </w:r>
    </w:p>
    <w:p>
      <w:pPr>
        <w:pStyle w:val="FootnoteText"/>
        <w:jc w:val="both"/>
        <w:rPr>
          <w:rFonts w:cstheme="minorHAnsi"/>
          <w:noProof/>
          <w:sz w:val="16"/>
          <w:szCs w:val="16"/>
        </w:rPr>
      </w:pPr>
      <w:r>
        <w:rPr>
          <w:rFonts w:cstheme="minorHAnsi"/>
          <w:noProof/>
          <w:sz w:val="16"/>
          <w:szCs w:val="16"/>
        </w:rPr>
        <w:t>2) Smaller fractions of palm oil-based biodiesel are estimated to originate from amongst others Honduras (0.3%), Guatemala (0.1%) and Colombia (0.1%)</w:t>
      </w:r>
    </w:p>
    <w:p>
      <w:pPr>
        <w:pStyle w:val="FootnoteText"/>
        <w:jc w:val="both"/>
        <w:rPr>
          <w:rFonts w:cstheme="minorHAnsi"/>
          <w:noProof/>
          <w:sz w:val="16"/>
          <w:szCs w:val="16"/>
        </w:rPr>
      </w:pPr>
      <w:r>
        <w:rPr>
          <w:rFonts w:cstheme="minorHAnsi"/>
          <w:noProof/>
          <w:sz w:val="16"/>
          <w:szCs w:val="16"/>
        </w:rPr>
        <w:t>3) Smaller fractions of UCO biodiesel are estimated to originate from amongst others Saudi Arabia (0.5%), Japan (0.3%), Russia (0.3%)</w:t>
      </w:r>
    </w:p>
    <w:p>
      <w:pPr>
        <w:pStyle w:val="FootnoteText"/>
        <w:rPr>
          <w:rFonts w:cstheme="minorHAnsi"/>
          <w:noProof/>
          <w:sz w:val="16"/>
          <w:szCs w:val="16"/>
        </w:rPr>
      </w:pPr>
    </w:p>
    <w:p>
      <w:pPr>
        <w:pStyle w:val="FootnoteText"/>
        <w:rPr>
          <w:rFonts w:cstheme="minorHAnsi"/>
          <w:noProof/>
          <w:sz w:val="16"/>
          <w:szCs w:val="16"/>
        </w:rPr>
      </w:pPr>
    </w:p>
    <w:p>
      <w:pPr>
        <w:jc w:val="both"/>
        <w:rPr>
          <w:rFonts w:ascii="Times New Roman" w:hAnsi="Times New Roman" w:cs="Times New Roman"/>
          <w:noProof/>
          <w:sz w:val="24"/>
          <w:szCs w:val="24"/>
        </w:rPr>
      </w:pPr>
      <w:r>
        <w:rPr>
          <w:rFonts w:ascii="Times New Roman" w:hAnsi="Times New Roman" w:cs="Times New Roman"/>
          <w:b/>
          <w:noProof/>
          <w:lang w:val="en-IE"/>
        </w:rPr>
        <w:t xml:space="preserve">Table </w:t>
      </w:r>
      <w:r>
        <w:rPr>
          <w:rFonts w:ascii="Times New Roman" w:hAnsi="Times New Roman" w:cs="Times New Roman"/>
          <w:b/>
          <w:noProof/>
        </w:rPr>
        <w:t>3</w:t>
      </w:r>
      <w:r>
        <w:rPr>
          <w:rFonts w:ascii="Times New Roman" w:hAnsi="Times New Roman" w:cs="Times New Roman"/>
          <w:b/>
          <w:noProof/>
          <w:lang w:val="en-IE"/>
        </w:rPr>
        <w:t>:</w:t>
      </w:r>
      <w:r>
        <w:rPr>
          <w:rFonts w:ascii="Times New Roman" w:hAnsi="Times New Roman" w:cs="Times New Roman"/>
          <w:noProof/>
          <w:lang w:val="en-IE"/>
        </w:rPr>
        <w:t xml:space="preserve"> </w:t>
      </w:r>
      <w:r>
        <w:rPr>
          <w:rFonts w:ascii="Times New Roman" w:hAnsi="Times New Roman" w:cs="Times New Roman"/>
          <w:i/>
          <w:noProof/>
          <w:lang w:val="en-IE"/>
        </w:rPr>
        <w:t>Origin of feedstock for biodiesel consumed in the EU (2018, % and ktoe). Source: Navigant analysis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Ethanol consumed in the EU is produced mainly from EU feedstock (73%), including from wheat (34%), maize (24%) and sugar beet (14%) and only a small amount from cellulosic ethanol. Non-EU feedstock accounts for about 27% of the EU bioethanol market, mainly maize originating in Ukraine, Brazil, the United States and Canada (see Table 4).</w:t>
      </w:r>
    </w:p>
    <w:tbl>
      <w:tblPr>
        <w:tblStyle w:val="TableGrid"/>
        <w:tblW w:w="0" w:type="auto"/>
        <w:tblLook w:val="04A0" w:firstRow="1" w:lastRow="0" w:firstColumn="1" w:lastColumn="0" w:noHBand="0" w:noVBand="1"/>
      </w:tblPr>
      <w:tblGrid>
        <w:gridCol w:w="926"/>
        <w:gridCol w:w="719"/>
        <w:gridCol w:w="671"/>
        <w:gridCol w:w="691"/>
        <w:gridCol w:w="495"/>
        <w:gridCol w:w="821"/>
        <w:gridCol w:w="638"/>
        <w:gridCol w:w="638"/>
        <w:gridCol w:w="923"/>
        <w:gridCol w:w="1432"/>
        <w:gridCol w:w="622"/>
        <w:gridCol w:w="666"/>
      </w:tblGrid>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en-IE"/>
              </w:rPr>
            </w:pPr>
            <w:r>
              <w:rPr>
                <w:rFonts w:cstheme="minorHAnsi"/>
                <w:b/>
                <w:noProof/>
                <w:sz w:val="18"/>
                <w:szCs w:val="18"/>
                <w:lang w:val="en-IE"/>
              </w:rPr>
              <w:t xml:space="preserve"> </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lang w:val="fr-BE"/>
              </w:rPr>
            </w:pPr>
            <w:r>
              <w:rPr>
                <w:rFonts w:cstheme="minorHAnsi"/>
                <w:b/>
                <w:noProof/>
                <w:sz w:val="18"/>
                <w:szCs w:val="18"/>
              </w:rPr>
              <w:t>Wheat</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Maize</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Barley</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Rye</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Triticale</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Sugar beet</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Sugar cane</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Cellulosic</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Unknown/other</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Total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b/>
                <w:noProof/>
                <w:sz w:val="18"/>
                <w:szCs w:val="18"/>
              </w:rPr>
            </w:pPr>
            <w:r>
              <w:rPr>
                <w:rFonts w:cstheme="minorHAnsi"/>
                <w:b/>
                <w:noProof/>
                <w:sz w:val="18"/>
                <w:szCs w:val="18"/>
              </w:rPr>
              <w:t>Total (ktoe)</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EU</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34%</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24%</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14%</w:t>
            </w: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73%</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2,199</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Ukraine</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4%</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4.5%</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134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Brazil</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2.6%</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79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Canada</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0.8%</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24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USA</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2.2%</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68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Russia</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1.6%</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50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Pakistan</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1.6%</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49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Other</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w:t>
            </w:r>
          </w:p>
        </w:tc>
        <w:tc>
          <w:tcPr>
            <w:tcW w:w="696"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49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82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w:t>
            </w: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4.0%</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119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Unknown</w:t>
            </w:r>
          </w:p>
        </w:tc>
        <w:tc>
          <w:tcPr>
            <w:tcW w:w="727"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78"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3%</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5%</w:t>
            </w: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45"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93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1443" w:type="dxa"/>
            <w:tcBorders>
              <w:top w:val="single" w:sz="4" w:space="0" w:color="auto"/>
              <w:left w:val="single" w:sz="4" w:space="0" w:color="auto"/>
              <w:bottom w:val="single" w:sz="4" w:space="0" w:color="auto"/>
              <w:right w:val="single" w:sz="4" w:space="0" w:color="auto"/>
            </w:tcBorders>
          </w:tcPr>
          <w:p>
            <w:pPr>
              <w:rPr>
                <w:rFonts w:cstheme="minorHAnsi"/>
                <w:noProof/>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9%</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285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Total (%)</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37%</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34%</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3%</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5%</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14%</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4%</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0%</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2%</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100%</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 </w:t>
            </w:r>
          </w:p>
        </w:tc>
      </w:tr>
      <w:tr>
        <w:tc>
          <w:tcPr>
            <w:tcW w:w="95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Total (ktoe)</w:t>
            </w:r>
          </w:p>
        </w:tc>
        <w:tc>
          <w:tcPr>
            <w:tcW w:w="72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1,101 </w:t>
            </w:r>
          </w:p>
        </w:tc>
        <w:tc>
          <w:tcPr>
            <w:tcW w:w="67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1,016 </w:t>
            </w:r>
          </w:p>
        </w:tc>
        <w:tc>
          <w:tcPr>
            <w:tcW w:w="69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70 </w:t>
            </w:r>
          </w:p>
        </w:tc>
        <w:tc>
          <w:tcPr>
            <w:tcW w:w="497"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79 </w:t>
            </w:r>
          </w:p>
        </w:tc>
        <w:tc>
          <w:tcPr>
            <w:tcW w:w="828"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136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425 </w:t>
            </w:r>
          </w:p>
        </w:tc>
        <w:tc>
          <w:tcPr>
            <w:tcW w:w="645"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116 </w:t>
            </w:r>
          </w:p>
        </w:tc>
        <w:tc>
          <w:tcPr>
            <w:tcW w:w="93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8 </w:t>
            </w:r>
          </w:p>
        </w:tc>
        <w:tc>
          <w:tcPr>
            <w:tcW w:w="1443"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54 </w:t>
            </w:r>
          </w:p>
        </w:tc>
        <w:tc>
          <w:tcPr>
            <w:tcW w:w="636"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 </w:t>
            </w:r>
          </w:p>
        </w:tc>
        <w:tc>
          <w:tcPr>
            <w:tcW w:w="671" w:type="dxa"/>
            <w:tcBorders>
              <w:top w:val="single" w:sz="4" w:space="0" w:color="auto"/>
              <w:left w:val="single" w:sz="4" w:space="0" w:color="auto"/>
              <w:bottom w:val="single" w:sz="4" w:space="0" w:color="auto"/>
              <w:right w:val="single" w:sz="4" w:space="0" w:color="auto"/>
            </w:tcBorders>
            <w:hideMark/>
          </w:tcPr>
          <w:p>
            <w:pPr>
              <w:rPr>
                <w:rFonts w:cstheme="minorHAnsi"/>
                <w:noProof/>
                <w:sz w:val="18"/>
                <w:szCs w:val="18"/>
              </w:rPr>
            </w:pPr>
            <w:r>
              <w:rPr>
                <w:rFonts w:cstheme="minorHAnsi"/>
                <w:noProof/>
                <w:sz w:val="18"/>
                <w:szCs w:val="18"/>
              </w:rPr>
              <w:t xml:space="preserve">3,006 </w:t>
            </w:r>
          </w:p>
        </w:tc>
      </w:tr>
    </w:tbl>
    <w:p>
      <w:pPr>
        <w:jc w:val="both"/>
        <w:rPr>
          <w:rFonts w:ascii="Times New Roman" w:hAnsi="Times New Roman" w:cs="Times New Roman"/>
          <w:noProof/>
          <w:sz w:val="24"/>
          <w:szCs w:val="24"/>
          <w:lang w:val="en-IE"/>
        </w:rPr>
      </w:pPr>
    </w:p>
    <w:p>
      <w:pPr>
        <w:jc w:val="both"/>
        <w:rPr>
          <w:rFonts w:ascii="Times New Roman" w:hAnsi="Times New Roman" w:cs="Times New Roman"/>
          <w:noProof/>
          <w:sz w:val="24"/>
          <w:szCs w:val="24"/>
          <w:lang w:val="en-IE"/>
        </w:rPr>
      </w:pPr>
      <w:r>
        <w:rPr>
          <w:rFonts w:ascii="Times New Roman" w:hAnsi="Times New Roman" w:cs="Times New Roman"/>
          <w:b/>
          <w:noProof/>
          <w:lang w:val="en-IE"/>
        </w:rPr>
        <w:t xml:space="preserve">Table </w:t>
      </w:r>
      <w:r>
        <w:rPr>
          <w:rFonts w:ascii="Times New Roman" w:hAnsi="Times New Roman" w:cs="Times New Roman"/>
          <w:b/>
          <w:noProof/>
        </w:rPr>
        <w:t>4</w:t>
      </w:r>
      <w:r>
        <w:rPr>
          <w:rFonts w:ascii="Times New Roman" w:hAnsi="Times New Roman" w:cs="Times New Roman"/>
          <w:b/>
          <w:noProof/>
          <w:lang w:val="en-IE"/>
        </w:rPr>
        <w:t>:</w:t>
      </w:r>
      <w:r>
        <w:rPr>
          <w:rFonts w:ascii="Times New Roman" w:hAnsi="Times New Roman" w:cs="Times New Roman"/>
          <w:noProof/>
          <w:lang w:val="en-IE"/>
        </w:rPr>
        <w:t xml:space="preserve"> </w:t>
      </w:r>
      <w:r>
        <w:rPr>
          <w:rFonts w:ascii="Times New Roman" w:hAnsi="Times New Roman" w:cs="Times New Roman"/>
          <w:i/>
          <w:noProof/>
          <w:lang w:val="en-IE"/>
        </w:rPr>
        <w:t>Origin of feedstock for bioethanol consumed in the EU (2018, % and ktoe). Source: Navigant analysis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Besides biodiesel and bioethanol, a small amount of biogas is consumed in road transport in Sweden (118 ktoe) and Germany (33 ktoe).</w:t>
      </w:r>
    </w:p>
    <w:tbl>
      <w:tblPr>
        <w:tblStyle w:val="TableGrid"/>
        <w:tblW w:w="0" w:type="auto"/>
        <w:tblLook w:val="04A0" w:firstRow="1" w:lastRow="0" w:firstColumn="1" w:lastColumn="0" w:noHBand="0" w:noVBand="1"/>
      </w:tblPr>
      <w:tblGrid>
        <w:gridCol w:w="1315"/>
        <w:gridCol w:w="976"/>
        <w:gridCol w:w="916"/>
        <w:gridCol w:w="989"/>
        <w:gridCol w:w="1022"/>
        <w:gridCol w:w="977"/>
        <w:gridCol w:w="1029"/>
        <w:gridCol w:w="1009"/>
        <w:gridCol w:w="1009"/>
      </w:tblGrid>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lang w:val="en-IE"/>
              </w:rPr>
              <w:t xml:space="preserve"> </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Solid biofuels</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lang w:val="en-IE"/>
              </w:rPr>
              <w:t>Biogas</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lang w:val="en-IE"/>
              </w:rPr>
              <w:t>Bio gasoline</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lang w:val="en-IE"/>
              </w:rPr>
              <w:t>Biodiesel</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lang w:val="en-IE"/>
              </w:rPr>
              <w:t>Other liquid biofuels</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lang w:val="en-IE"/>
              </w:rPr>
              <w:t>Bio jet kerosene</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lang w:val="en-IE"/>
              </w:rPr>
              <w:t>Total liquid biofuels</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Total</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Road</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153.8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2,997.2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13,629.9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0.7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16,627.8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16,781.7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Rail</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26.3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26.3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26.3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Domestic aviation</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Domestic navigation</w:t>
            </w:r>
            <w:r>
              <w:rPr>
                <w:rFonts w:cstheme="minorHAnsi"/>
                <w:noProof/>
                <w:sz w:val="18"/>
                <w:szCs w:val="18"/>
                <w:vertAlign w:val="superscript"/>
              </w:rPr>
              <w:t>2)</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2.0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5.0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6.9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6.9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Non-specified transport</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5.6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5.6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5.6 </w:t>
            </w:r>
          </w:p>
        </w:tc>
      </w:tr>
      <w:tr>
        <w:tc>
          <w:tcPr>
            <w:tcW w:w="133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Total</w:t>
            </w:r>
          </w:p>
        </w:tc>
        <w:tc>
          <w:tcPr>
            <w:tcW w:w="988"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93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153.8 </w:t>
            </w:r>
          </w:p>
        </w:tc>
        <w:tc>
          <w:tcPr>
            <w:tcW w:w="1001"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2,999.2 </w:t>
            </w:r>
          </w:p>
        </w:tc>
        <w:tc>
          <w:tcPr>
            <w:tcW w:w="1032"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13,666.7 </w:t>
            </w:r>
          </w:p>
        </w:tc>
        <w:tc>
          <w:tcPr>
            <w:tcW w:w="98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0.7 </w:t>
            </w:r>
          </w:p>
        </w:tc>
        <w:tc>
          <w:tcPr>
            <w:tcW w:w="1039"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0.0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16,666.6 </w:t>
            </w:r>
          </w:p>
        </w:tc>
        <w:tc>
          <w:tcPr>
            <w:tcW w:w="1020" w:type="dxa"/>
            <w:tcBorders>
              <w:top w:val="single" w:sz="4" w:space="0" w:color="auto"/>
              <w:left w:val="single" w:sz="4" w:space="0" w:color="auto"/>
              <w:bottom w:val="single" w:sz="4" w:space="0" w:color="auto"/>
              <w:right w:val="single" w:sz="4" w:space="0" w:color="auto"/>
            </w:tcBorders>
            <w:hideMark/>
          </w:tcPr>
          <w:p>
            <w:pPr>
              <w:keepLines/>
              <w:rPr>
                <w:rFonts w:cstheme="minorHAnsi"/>
                <w:noProof/>
                <w:sz w:val="18"/>
                <w:szCs w:val="18"/>
                <w:lang w:val="en-IE"/>
              </w:rPr>
            </w:pPr>
            <w:r>
              <w:rPr>
                <w:rFonts w:cstheme="minorHAnsi"/>
                <w:noProof/>
                <w:sz w:val="18"/>
                <w:szCs w:val="18"/>
              </w:rPr>
              <w:t xml:space="preserve">16,820.5 </w:t>
            </w:r>
          </w:p>
        </w:tc>
      </w:tr>
    </w:tbl>
    <w:p>
      <w:pPr>
        <w:keepLines/>
        <w:jc w:val="both"/>
        <w:rPr>
          <w:rFonts w:cstheme="minorHAnsi"/>
          <w:noProof/>
          <w:sz w:val="16"/>
          <w:szCs w:val="16"/>
          <w:lang w:val="en-IE" w:eastAsia="en-US"/>
        </w:rPr>
      </w:pPr>
      <w:r>
        <w:rPr>
          <w:rFonts w:cstheme="minorHAnsi"/>
          <w:noProof/>
          <w:sz w:val="16"/>
          <w:szCs w:val="16"/>
          <w:lang w:val="en-IE"/>
        </w:rPr>
        <w:t>1) Eurostat categories “charcoal” and “municipal solid waste” are excluded from the table, as they are not consumed in transport according to Eurostat nrg_bal_c. Eurostat category “consumption in pipeline transport” consumes no biofuels and has been excluded from the table. Total of liquid biofuels is the total of bio gasoline, biodiesels, other liquid biofuels and bio jet kerosene. Unlikely combinations (e.g. solid biofuels in aviation) are indicated with “-”. 2) Domestic navigation includes all the quantities delivered to vessels of all flags within Europe as well as inland navigation and yachting.</w:t>
      </w:r>
    </w:p>
    <w:p>
      <w:pPr>
        <w:keepLines/>
        <w:jc w:val="both"/>
        <w:rPr>
          <w:rFonts w:ascii="Times New Roman" w:hAnsi="Times New Roman" w:cs="Times New Roman"/>
          <w:noProof/>
          <w:sz w:val="24"/>
          <w:szCs w:val="24"/>
          <w:lang w:val="en-IE"/>
        </w:rPr>
      </w:pPr>
      <w:r>
        <w:rPr>
          <w:rFonts w:ascii="Times New Roman" w:hAnsi="Times New Roman" w:cs="Times New Roman"/>
          <w:b/>
          <w:noProof/>
          <w:lang w:val="en-IE"/>
        </w:rPr>
        <w:t xml:space="preserve">Table </w:t>
      </w:r>
      <w:r>
        <w:rPr>
          <w:rFonts w:ascii="Times New Roman" w:hAnsi="Times New Roman" w:cs="Times New Roman"/>
          <w:b/>
          <w:noProof/>
        </w:rPr>
        <w:t>5</w:t>
      </w:r>
      <w:r>
        <w:rPr>
          <w:rFonts w:ascii="Times New Roman" w:hAnsi="Times New Roman" w:cs="Times New Roman"/>
          <w:b/>
          <w:noProof/>
          <w:lang w:val="en-IE"/>
        </w:rPr>
        <w:t> :</w:t>
      </w:r>
      <w:r>
        <w:rPr>
          <w:rFonts w:ascii="Times New Roman" w:hAnsi="Times New Roman" w:cs="Times New Roman"/>
          <w:noProof/>
          <w:lang w:val="en-IE"/>
        </w:rPr>
        <w:t xml:space="preserve"> </w:t>
      </w:r>
      <w:r>
        <w:rPr>
          <w:rFonts w:ascii="Times New Roman" w:hAnsi="Times New Roman" w:cs="Times New Roman"/>
          <w:i/>
          <w:noProof/>
          <w:lang w:val="en-IE"/>
        </w:rPr>
        <w:t>Total final bioenergy consumption in EU transport sub-sectors (2018, ktoe). Source: [Eurostat nrg_bal_c]</w:t>
      </w:r>
      <w:r>
        <w:rPr>
          <w:rFonts w:ascii="Times New Roman" w:hAnsi="Times New Roman" w:cs="Times New Roman"/>
          <w:i/>
          <w:noProof/>
          <w:vertAlign w:val="superscript"/>
          <w:lang w:val="en-IE"/>
        </w:rPr>
        <w:t>1)</w:t>
      </w:r>
    </w:p>
    <w:p>
      <w:pPr>
        <w:pStyle w:val="Heading2"/>
        <w:numPr>
          <w:ilvl w:val="0"/>
          <w:numId w:val="28"/>
        </w:numPr>
        <w:spacing w:after="120"/>
        <w:rPr>
          <w:noProof/>
        </w:rPr>
      </w:pPr>
      <w:r>
        <w:rPr>
          <w:noProof/>
        </w:rPr>
        <w:t xml:space="preserve">Impacts of biofuels consumed in the EU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is estimated that 7.4 Mha of land was required for the production of crops for EU biofuel consumption in 2018</w:t>
      </w:r>
      <w:r>
        <w:rPr>
          <w:rStyle w:val="FootnoteReference"/>
          <w:rFonts w:ascii="Times New Roman" w:eastAsia="Calibri" w:hAnsi="Times New Roman" w:cs="Times New Roman"/>
          <w:noProof/>
          <w:sz w:val="24"/>
          <w:szCs w:val="24"/>
        </w:rPr>
        <w:footnoteReference w:id="46"/>
      </w:r>
      <w:r>
        <w:rPr>
          <w:rFonts w:ascii="Times New Roman" w:eastAsia="Calibri" w:hAnsi="Times New Roman" w:cs="Times New Roman"/>
          <w:noProof/>
          <w:sz w:val="24"/>
          <w:szCs w:val="24"/>
        </w:rPr>
        <w:t xml:space="preserve">. Of that amount, 3.4 Mha (46%) are located within the EU and 3.8 Mha (51%) are located in third countries. The remaining 0.2 Mha (3%) was for barley, rye and triticale sourced from unknown countries. The total amount of cropland dedicated to biofuel production in the EU was 3% (on the basis of an estimate of total EU cropland of 117 Mha), with rapeseed accounting for 72% of the total land used for biofuels production. </w:t>
      </w:r>
      <w:r>
        <w:rPr>
          <w:rFonts w:ascii="Times New Roman" w:hAnsi="Times New Roman" w:cs="Times New Roman"/>
          <w:noProof/>
          <w:sz w:val="24"/>
          <w:szCs w:val="24"/>
        </w:rPr>
        <w:t>In 2018, land use for biofuels consumed in the EU made up 0.5 % of global land use for the production of crops used for biofuels</w:t>
      </w:r>
      <w:r>
        <w:rPr>
          <w:rFonts w:ascii="Times New Roman" w:eastAsia="Calibri" w:hAnsi="Times New Roman" w:cs="Times New Roman"/>
          <w:noProof/>
          <w:sz w:val="24"/>
          <w:szCs w:val="24"/>
        </w:rPr>
        <w:t xml:space="preserve">. The land use for biofuels consumed in the EU accounts for 8.5% of the global land use for the production of rapeseed and 5.2% in case of palm oil. For most of the non-EU countries, it is estimated that less than 1% of their total cropland was used for the extraction of feedstock to be used in the production of biofuels produced or consumed in the EU.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recent years, no correlation has been observed between food prices and biofuel demand. Any impact on food prices is small compared to other dynamics in the global food market. Most Member States did not observe any impacts on prices due to increased bioenergy demand within their countries. The last time food prices increased significantly was between 2006 and 2008 and in 2011. Since 2011, global food prices have fallen back to 2010 levels. In literature</w:t>
      </w:r>
      <w:r>
        <w:rPr>
          <w:rStyle w:val="FootnoteReference"/>
          <w:rFonts w:ascii="Times New Roman" w:eastAsia="Calibri" w:hAnsi="Times New Roman" w:cs="Times New Roman"/>
          <w:noProof/>
          <w:sz w:val="24"/>
          <w:szCs w:val="24"/>
        </w:rPr>
        <w:footnoteReference w:id="47"/>
      </w:r>
      <w:r>
        <w:rPr>
          <w:rFonts w:ascii="Times New Roman" w:eastAsia="Calibri" w:hAnsi="Times New Roman" w:cs="Times New Roman"/>
          <w:noProof/>
          <w:sz w:val="24"/>
          <w:szCs w:val="24"/>
        </w:rPr>
        <w:t>, causes other than biofuel production were identified for increased food prices in the period of the food price spikes in 2006–2008 and 2011. It must be noted, however, that between 2008 and 2016, growing global demand for food and feed crops was requiring the agricultural sector to constantly increase production, which was achieved by both increasing yields and by an expanding agricultural area. It is estimated that the biofuels industry employed 208,000 people in 2018, being the third largest renewable energy job creator after wind energy and solid biomass (314,000 and 387,000). Countries with the greatest employment are Romania (40,000 jobs) and Poland (41,200 jobs) due to their large agricultural land area. France is the third largest (29,100 jobs) as it has both biofuel production facilities and feedstock production.</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cultivation of feedstock used for the production of biofuels consumed in the EU can potentially result in negative environmental impacts. Apart from indirect impacts these effects are usually site-specific and depend on the agricultural practices and are comparable with the impact of crops produced for other uses</w:t>
      </w:r>
      <w:r>
        <w:rPr>
          <w:rStyle w:val="FootnoteReference"/>
          <w:rFonts w:ascii="Times New Roman" w:eastAsia="Calibri" w:hAnsi="Times New Roman" w:cs="Times New Roman"/>
          <w:noProof/>
          <w:sz w:val="24"/>
          <w:szCs w:val="24"/>
        </w:rPr>
        <w:footnoteReference w:id="48"/>
      </w:r>
      <w:r>
        <w:rPr>
          <w:rFonts w:ascii="Times New Roman" w:eastAsia="Calibri" w:hAnsi="Times New Roman" w:cs="Times New Roman"/>
          <w:noProof/>
          <w:sz w:val="24"/>
          <w:szCs w:val="24"/>
        </w:rPr>
        <w:t xml:space="preserve">. These negative environmental impacts include eutrophication of water bodies, water scarcity, soil erosion, soil compaction, air pollution, habitat loss and biodiversity loss. Impacts such as the conversion of land with high carbon stock and land of high biodiversity value are prohibited by the sustainability criteria. In their Progress Reports, most Member States point to limited cultivation of feedstock used in biofuel production compared to total agricultural activities, and consider therefore that associated environmental impacts are low. Several Member States point out that all agricultural production is regulated with respect to environmental impacts and therefore consider that no more impacts should be expected from biofuel crop production than from other crop production.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According to information reported by Member States, total emission savings from the use of renewables in transport in the EU amounted to 45.6 Mt CO2eq in 2018</w:t>
      </w:r>
      <w:r>
        <w:rPr>
          <w:rFonts w:ascii="Times New Roman" w:eastAsia="Calibri" w:hAnsi="Times New Roman" w:cs="Times New Roman"/>
          <w:noProof/>
          <w:sz w:val="24"/>
          <w:szCs w:val="24"/>
        </w:rPr>
        <w:t>. The Member State reports indicate total GHG emission savings from transport and do not explain the roles of renewable electricity and (different types of) biofuels. However, given the overwhelming share of biofuels in the RES-T (89%), it is reasonable to assume that the emission savings result largely from the use of biofuels. Taking into account the provisional estimated ILUC emission factors set out in the RED, results in total emission savings from the use of biofuels in transport of 24 Mt CO2eq (with a range from 18.8 to 33.8 Mt)</w:t>
      </w:r>
      <w:r>
        <w:rPr>
          <w:rStyle w:val="FootnoteReference"/>
          <w:rFonts w:ascii="Times New Roman" w:eastAsia="Calibri" w:hAnsi="Times New Roman" w:cs="Times New Roman"/>
          <w:noProof/>
          <w:sz w:val="24"/>
          <w:szCs w:val="24"/>
        </w:rPr>
        <w:footnoteReference w:id="49"/>
      </w:r>
      <w:r>
        <w:rPr>
          <w:rFonts w:ascii="Times New Roman" w:eastAsia="Calibri" w:hAnsi="Times New Roman" w:cs="Times New Roman"/>
          <w:noProof/>
          <w:sz w:val="24"/>
          <w:szCs w:val="24"/>
        </w:rPr>
        <w:t>. While the level of ILUC emissions depends on a variety of factors</w:t>
      </w:r>
      <w:r>
        <w:rPr>
          <w:rStyle w:val="FootnoteReference"/>
          <w:rFonts w:ascii="Times New Roman" w:eastAsia="Calibri" w:hAnsi="Times New Roman" w:cs="Times New Roman"/>
          <w:noProof/>
          <w:sz w:val="24"/>
          <w:szCs w:val="24"/>
        </w:rPr>
        <w:footnoteReference w:id="50"/>
      </w:r>
      <w:r>
        <w:rPr>
          <w:rFonts w:ascii="Times New Roman" w:eastAsia="Calibri" w:hAnsi="Times New Roman" w:cs="Times New Roman"/>
          <w:noProof/>
          <w:sz w:val="24"/>
          <w:szCs w:val="24"/>
        </w:rPr>
        <w:t xml:space="preserve"> and cannot be measured precisely, the results show that the contribution of biofuels from food and feed crops for decarbonisation is limited and their use for energy production – whether produced in the EU or imported – should be minimised. Against this background, RED II limits the amount of biofuels produced from food and feed crops that can be counted towards the overall share of renewables and the share of renewables in transport and foresees a gradual phasing out of biofuels with high ILUC risk. The Directive, however, makes it possible to exempt from the phase out those fuels that are certified as low ILUC-risk.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implement this approach, on 13 March 2019 the Commission adopted a Delegated Act setting out rules for determining biofuels which have a high ILUC-risk and certification of low-ILUC-risk biofuels,</w:t>
      </w:r>
      <w:r>
        <w:rPr>
          <w:rStyle w:val="FootnoteReference"/>
          <w:rFonts w:ascii="Times New Roman" w:eastAsia="Calibri" w:hAnsi="Times New Roman" w:cs="Times New Roman"/>
          <w:noProof/>
          <w:sz w:val="24"/>
          <w:szCs w:val="24"/>
        </w:rPr>
        <w:footnoteReference w:id="51"/>
      </w:r>
      <w:r>
        <w:rPr>
          <w:rFonts w:ascii="Times New Roman" w:eastAsia="Calibri" w:hAnsi="Times New Roman" w:cs="Times New Roman"/>
          <w:noProof/>
          <w:sz w:val="24"/>
          <w:szCs w:val="24"/>
        </w:rPr>
        <w:t xml:space="preserve"> which identifies palm oil as a high ILUC-risk feedstock. Biofuels produced from palm oil would therefore be subject to the gradual phase out unless they meet the strict criteria for low ILUC-risk fuels. In 2021, the Commission will review the data on biofuels with high ILUC-risk and establish a trajectory for their gradual phase out by 2030.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More generally, the EU has decided to minimise the use of food and feed crop based biofuels and to focus in future on the promotion of advanced biofuels and other low carbon fuels, such as renewable electricity, recycled carbon fuels and renewable liquid and gaseous transport fuels of non-biological origin. In 2018, advanced biofuels accounted for 828 ktoe (21%) of the 3,905 ktoe of Annex IX biofuels, which corresponds to a biofuels market share of 5% (of 16,597 ktoe). This share has grown significantly in the recent past and is expected to grow further in the future. The Commission will continue to promote the development of advanced biofuels including by exploring sources for potential new feedstocks</w:t>
      </w:r>
      <w:r>
        <w:rPr>
          <w:noProof/>
        </w:rPr>
        <w:t xml:space="preserve"> </w:t>
      </w:r>
      <w:r>
        <w:rPr>
          <w:rFonts w:ascii="Times New Roman" w:eastAsia="Calibri" w:hAnsi="Times New Roman" w:cs="Times New Roman"/>
          <w:noProof/>
          <w:sz w:val="24"/>
          <w:szCs w:val="24"/>
        </w:rPr>
        <w:t xml:space="preserve">and by supporting the commercialisation of technologies to convert feedstocks available at scale, in particular wastes and residues. </w:t>
      </w:r>
    </w:p>
    <w:p>
      <w:pPr>
        <w:pStyle w:val="Heading2"/>
        <w:numPr>
          <w:ilvl w:val="0"/>
          <w:numId w:val="28"/>
        </w:numPr>
        <w:spacing w:after="120"/>
        <w:rPr>
          <w:noProof/>
        </w:rPr>
      </w:pPr>
      <w:bookmarkStart w:id="11" w:name="_Toc1149228"/>
      <w:r>
        <w:rPr>
          <w:noProof/>
        </w:rPr>
        <w:t xml:space="preserve">Operation of the voluntary schemes recognised by the Commission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RED I</w:t>
      </w:r>
      <w:r>
        <w:rPr>
          <w:rStyle w:val="FootnoteReference"/>
          <w:rFonts w:ascii="Times New Roman" w:eastAsia="Calibri" w:hAnsi="Times New Roman" w:cs="Times New Roman"/>
          <w:noProof/>
          <w:sz w:val="24"/>
          <w:szCs w:val="24"/>
        </w:rPr>
        <w:footnoteReference w:id="52"/>
      </w:r>
      <w:r>
        <w:rPr>
          <w:rFonts w:ascii="Times New Roman" w:eastAsia="Calibri" w:hAnsi="Times New Roman" w:cs="Times New Roman"/>
          <w:noProof/>
          <w:sz w:val="24"/>
          <w:szCs w:val="24"/>
        </w:rPr>
        <w:t xml:space="preserve">, and from July 2021 RED II, empower the Commission to recognise certification schemes, referred to as voluntary schemes, which operators can use to demonstrate compliance with the sustainability and GHG saving criteria of the Directive. </w:t>
      </w:r>
      <w:r>
        <w:rPr>
          <w:rFonts w:ascii="Times New Roman" w:eastAsia="Calibri" w:hAnsi="Times New Roman" w:cs="Times New Roman"/>
          <w:b/>
          <w:noProof/>
          <w:sz w:val="24"/>
          <w:szCs w:val="24"/>
        </w:rPr>
        <w:t>To date, 13 voluntary schemes have been recognised for this purpose</w:t>
      </w:r>
      <w:r>
        <w:rPr>
          <w:rStyle w:val="FootnoteReference"/>
          <w:rFonts w:ascii="Times New Roman" w:eastAsia="Calibri" w:hAnsi="Times New Roman" w:cs="Times New Roman"/>
          <w:b/>
          <w:noProof/>
          <w:sz w:val="24"/>
          <w:szCs w:val="24"/>
        </w:rPr>
        <w:footnoteReference w:id="53"/>
      </w:r>
      <w:r>
        <w:rPr>
          <w:rFonts w:ascii="Times New Roman" w:eastAsia="Calibri" w:hAnsi="Times New Roman" w:cs="Times New Roman"/>
          <w:noProof/>
          <w:sz w:val="24"/>
          <w:szCs w:val="24"/>
        </w:rPr>
        <w:t xml:space="preserve">. Under the schemes, Member States are required to accept the evidence regarding the sustainability criteria obtained by operators participating in these schemes. This greatly facilitates the implementation of the sustainability criteria as it allows operators to provide the required evidence following a single procedure in all Member States. Each voluntary scheme on which a decision has been adopted and which has been in operation for the past twelve months is required to submit annual reports to the Commission. </w:t>
      </w:r>
    </w:p>
    <w:p>
      <w:pPr>
        <w:spacing w:before="24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Over the last few years, voluntary schemes</w:t>
      </w:r>
      <w:r>
        <w:rPr>
          <w:noProof/>
          <w:lang w:val="en-IE"/>
        </w:rPr>
        <w:t xml:space="preserve"> </w:t>
      </w:r>
      <w:r>
        <w:rPr>
          <w:rFonts w:ascii="Times New Roman" w:hAnsi="Times New Roman" w:cs="Times New Roman"/>
          <w:noProof/>
          <w:sz w:val="24"/>
          <w:szCs w:val="24"/>
          <w:lang w:val="en-IE"/>
        </w:rPr>
        <w:t xml:space="preserve">have become the main tool to demonstrate compliance with the EU biofuel sustainability criteria. In 2019, </w:t>
      </w:r>
      <w:r>
        <w:rPr>
          <w:rFonts w:ascii="Times New Roman" w:hAnsi="Times New Roman" w:cs="Times New Roman"/>
          <w:noProof/>
          <w:sz w:val="24"/>
          <w:szCs w:val="24"/>
          <w:lang w:val="en-US"/>
        </w:rPr>
        <w:t>21,876</w:t>
      </w:r>
      <w:r>
        <w:rPr>
          <w:rFonts w:ascii="Times New Roman" w:hAnsi="Times New Roman" w:cs="Times New Roman"/>
          <w:noProof/>
          <w:sz w:val="24"/>
          <w:szCs w:val="24"/>
          <w:lang w:val="en-IE"/>
        </w:rPr>
        <w:t xml:space="preserve"> kilotons (kt) of liquid biofuels (including pure vegetable oil), </w:t>
      </w:r>
      <w:r>
        <w:rPr>
          <w:rFonts w:ascii="Times New Roman" w:hAnsi="Times New Roman" w:cs="Times New Roman"/>
          <w:noProof/>
          <w:sz w:val="24"/>
          <w:szCs w:val="24"/>
          <w:lang w:val="en-US"/>
        </w:rPr>
        <w:t xml:space="preserve">147,357 </w:t>
      </w:r>
      <w:r>
        <w:rPr>
          <w:rFonts w:ascii="Times New Roman" w:hAnsi="Times New Roman" w:cs="Times New Roman"/>
          <w:noProof/>
          <w:sz w:val="24"/>
          <w:szCs w:val="24"/>
          <w:lang w:val="en-IE"/>
        </w:rPr>
        <w:t>thousand m3 of biomethane (equivalent to around 106 kt), and 219,266 kt of feedstock were certified to comply with the EU sustainability criteria as set out in Articles 17(2)-(5) of the Renewable Energy Directive.</w:t>
      </w:r>
      <w:r>
        <w:rPr>
          <w:rStyle w:val="FootnoteReference"/>
          <w:rFonts w:ascii="Times New Roman" w:hAnsi="Times New Roman" w:cs="Times New Roman"/>
          <w:noProof/>
          <w:sz w:val="24"/>
          <w:szCs w:val="24"/>
          <w:lang w:val="en-IE"/>
        </w:rPr>
        <w:footnoteReference w:id="54"/>
      </w:r>
    </w:p>
    <w:p>
      <w:pPr>
        <w:spacing w:before="240"/>
        <w:jc w:val="both"/>
        <w:rPr>
          <w:rFonts w:ascii="Times New Roman" w:eastAsia="Calibri" w:hAnsi="Times New Roman" w:cs="Times New Roman"/>
          <w:noProof/>
          <w:sz w:val="24"/>
          <w:szCs w:val="24"/>
        </w:rPr>
      </w:pPr>
      <w:r>
        <w:rPr>
          <w:rFonts w:ascii="Times New Roman" w:hAnsi="Times New Roman" w:cs="Times New Roman"/>
          <w:noProof/>
          <w:sz w:val="24"/>
          <w:szCs w:val="24"/>
          <w:lang w:val="en-IE"/>
        </w:rPr>
        <w:t xml:space="preserve">Looking in more detail at certified liquid biofuels, </w:t>
      </w:r>
      <w:r>
        <w:rPr>
          <w:rFonts w:ascii="Times New Roman" w:hAnsi="Times New Roman" w:cs="Times New Roman"/>
          <w:noProof/>
          <w:sz w:val="24"/>
          <w:szCs w:val="24"/>
          <w:lang w:val="en-US"/>
        </w:rPr>
        <w:t>12,099</w:t>
      </w:r>
      <w:r>
        <w:rPr>
          <w:rFonts w:ascii="Times New Roman" w:hAnsi="Times New Roman" w:cs="Times New Roman"/>
          <w:noProof/>
          <w:sz w:val="24"/>
          <w:szCs w:val="24"/>
          <w:lang w:val="en-IE"/>
        </w:rPr>
        <w:t xml:space="preserve"> kt (55% of the total) was biodiesel and 6,340 kt (29%) was bioethanol. The rest was made up of Hydrotreated Vegetable Oil (HVO) biofuels (</w:t>
      </w:r>
      <w:r>
        <w:rPr>
          <w:rFonts w:ascii="Times New Roman" w:hAnsi="Times New Roman" w:cs="Times New Roman"/>
          <w:noProof/>
          <w:sz w:val="24"/>
          <w:szCs w:val="24"/>
          <w:lang w:val="en-US"/>
        </w:rPr>
        <w:t>2,671 kt, 12%</w:t>
      </w:r>
      <w:r>
        <w:rPr>
          <w:rFonts w:ascii="Times New Roman" w:hAnsi="Times New Roman" w:cs="Times New Roman"/>
          <w:noProof/>
          <w:sz w:val="24"/>
          <w:szCs w:val="24"/>
          <w:lang w:val="en-IE"/>
        </w:rPr>
        <w:t>), pure vegetable oil (</w:t>
      </w:r>
      <w:r>
        <w:rPr>
          <w:rFonts w:ascii="Times New Roman" w:hAnsi="Times New Roman" w:cs="Times New Roman"/>
          <w:noProof/>
          <w:sz w:val="24"/>
          <w:szCs w:val="24"/>
          <w:lang w:val="en-US"/>
        </w:rPr>
        <w:t>380 kt, 1.7%</w:t>
      </w:r>
      <w:r>
        <w:rPr>
          <w:rFonts w:ascii="Times New Roman" w:hAnsi="Times New Roman" w:cs="Times New Roman"/>
          <w:noProof/>
          <w:sz w:val="24"/>
          <w:szCs w:val="24"/>
          <w:lang w:val="en-IE"/>
        </w:rPr>
        <w:t xml:space="preserve">) and other fuels </w:t>
      </w:r>
      <w:r>
        <w:rPr>
          <w:rFonts w:ascii="Times New Roman" w:hAnsi="Times New Roman" w:cs="Times New Roman"/>
          <w:noProof/>
          <w:sz w:val="24"/>
          <w:szCs w:val="24"/>
          <w:lang w:val="en-US"/>
        </w:rPr>
        <w:t>(385 kt, 1.8%)</w:t>
      </w:r>
      <w:r>
        <w:rPr>
          <w:rFonts w:ascii="Times New Roman" w:hAnsi="Times New Roman" w:cs="Times New Roman"/>
          <w:noProof/>
          <w:sz w:val="24"/>
          <w:szCs w:val="24"/>
          <w:lang w:val="en-IE"/>
        </w:rPr>
        <w:t xml:space="preserve">. The main certified feedstocks used for biofuels were rapeseed (24%), palm oil (16%), used cooking oil (13%), </w:t>
      </w:r>
      <w:r>
        <w:rPr>
          <w:rFonts w:ascii="Times New Roman" w:hAnsi="Times New Roman" w:cs="Times New Roman"/>
          <w:noProof/>
          <w:sz w:val="24"/>
          <w:szCs w:val="24"/>
          <w:lang w:val="en-US"/>
        </w:rPr>
        <w:t xml:space="preserve">sugarcane (12%) </w:t>
      </w:r>
      <w:r>
        <w:rPr>
          <w:rFonts w:ascii="Times New Roman" w:hAnsi="Times New Roman" w:cs="Times New Roman"/>
          <w:noProof/>
          <w:sz w:val="24"/>
          <w:szCs w:val="24"/>
          <w:lang w:val="en-IE"/>
        </w:rPr>
        <w:t xml:space="preserve">and maize (10%).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only recognises schemes that meet adequate standards of reliability, transparency and independent auditing. For this purpose, it conducts a thorough assessment of the voluntary schemes requesting recognition</w:t>
      </w:r>
      <w:r>
        <w:rPr>
          <w:rStyle w:val="FootnoteReference"/>
          <w:rFonts w:ascii="Times New Roman" w:eastAsia="Calibri" w:hAnsi="Times New Roman" w:cs="Times New Roman"/>
          <w:noProof/>
          <w:sz w:val="24"/>
          <w:szCs w:val="24"/>
        </w:rPr>
        <w:footnoteReference w:id="55"/>
      </w:r>
      <w:r>
        <w:rPr>
          <w:rFonts w:ascii="Times New Roman" w:eastAsia="Calibri" w:hAnsi="Times New Roman" w:cs="Times New Roman"/>
          <w:noProof/>
          <w:sz w:val="24"/>
          <w:szCs w:val="24"/>
        </w:rPr>
        <w:t xml:space="preserve">. This ensures that, among other things: feedstock producers comply with the sustainability criteria of the Directive, information on sustainability characteristics is traceable to the origin of the feedstock, companies are audited before they start to participate in the scheme, retrospective audits take place regularly and auditors are external and independent. </w:t>
      </w:r>
    </w:p>
    <w:p>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recent years, the governance of the voluntary schemes has been under increasing scrutiny, for example by the European Court of Auditors</w:t>
      </w:r>
      <w:r>
        <w:rPr>
          <w:rStyle w:val="FootnoteReference"/>
          <w:rFonts w:ascii="Times New Roman" w:eastAsia="Calibri" w:hAnsi="Times New Roman" w:cs="Times New Roman"/>
          <w:noProof/>
          <w:sz w:val="24"/>
          <w:szCs w:val="24"/>
        </w:rPr>
        <w:footnoteReference w:id="56"/>
      </w:r>
      <w:r>
        <w:rPr>
          <w:rFonts w:ascii="Times New Roman" w:eastAsia="Calibri" w:hAnsi="Times New Roman" w:cs="Times New Roman"/>
          <w:noProof/>
          <w:sz w:val="24"/>
          <w:szCs w:val="24"/>
        </w:rPr>
        <w:t>. In order to address these concerns and guarantee robust implementation, Article 30 of RED II lays down strengthened rules for the verification of the bioenergy sustainability criteria, including stronger national and EU oversight of voluntary schemes and third party auditing. In addition, in 2021, the Commission will adopt detailed implementing rules on adequate standards of reliability, transparency and independent auditing and require all recognised voluntary schemes to apply them. It is currently working on these standards, which will among other things harmonise implementation of the mass balance system and further strengthen the requirements for scheme governance, transparency and audits. Finally, the Commission will establish a European database to improve the tracing of sustainable biofuels.</w:t>
      </w:r>
    </w:p>
    <w:tbl>
      <w:tblPr>
        <w:tblStyle w:val="TableGrid"/>
        <w:tblW w:w="0" w:type="auto"/>
        <w:tblLook w:val="04A0" w:firstRow="1" w:lastRow="0" w:firstColumn="1" w:lastColumn="0" w:noHBand="0" w:noVBand="1"/>
      </w:tblPr>
      <w:tblGrid>
        <w:gridCol w:w="2316"/>
        <w:gridCol w:w="2310"/>
        <w:gridCol w:w="2308"/>
        <w:gridCol w:w="2308"/>
      </w:tblGrid>
      <w:tr>
        <w:tc>
          <w:tcPr>
            <w:tcW w:w="2316"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lang w:val="en-IE"/>
              </w:rPr>
            </w:pPr>
            <w:r>
              <w:rPr>
                <w:rFonts w:cstheme="minorHAnsi"/>
                <w:b/>
                <w:noProof/>
                <w:sz w:val="18"/>
                <w:szCs w:val="18"/>
                <w:lang w:val="en-IE"/>
              </w:rPr>
              <w:t>Voluntary scheme</w:t>
            </w:r>
          </w:p>
        </w:tc>
        <w:tc>
          <w:tcPr>
            <w:tcW w:w="6926" w:type="dxa"/>
            <w:gridSpan w:val="3"/>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lang w:val="en-IE"/>
              </w:rPr>
            </w:pPr>
            <w:r>
              <w:rPr>
                <w:rFonts w:cstheme="minorHAnsi"/>
                <w:b/>
                <w:noProof/>
                <w:sz w:val="18"/>
                <w:szCs w:val="18"/>
                <w:lang w:val="en-IE"/>
              </w:rPr>
              <w:t>Scope</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lang w:val="en-IE"/>
              </w:rPr>
            </w:pPr>
            <w:r>
              <w:rPr>
                <w:rFonts w:cstheme="minorHAnsi"/>
                <w:b/>
                <w:noProof/>
                <w:sz w:val="18"/>
                <w:szCs w:val="18"/>
                <w:lang w:val="en-IE"/>
              </w:rPr>
              <w:t>Name</w:t>
            </w:r>
          </w:p>
        </w:tc>
        <w:tc>
          <w:tcPr>
            <w:tcW w:w="2310"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lang w:val="en-IE"/>
              </w:rPr>
            </w:pPr>
            <w:r>
              <w:rPr>
                <w:rFonts w:cstheme="minorHAnsi"/>
                <w:b/>
                <w:noProof/>
                <w:sz w:val="18"/>
                <w:szCs w:val="18"/>
                <w:lang w:val="en-IE"/>
              </w:rPr>
              <w:t>Feedstock type</w:t>
            </w:r>
          </w:p>
        </w:tc>
        <w:tc>
          <w:tcPr>
            <w:tcW w:w="2308"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lang w:val="en-IE"/>
              </w:rPr>
            </w:pPr>
            <w:r>
              <w:rPr>
                <w:rFonts w:cstheme="minorHAnsi"/>
                <w:b/>
                <w:noProof/>
                <w:sz w:val="18"/>
                <w:szCs w:val="18"/>
                <w:lang w:val="en-IE"/>
              </w:rPr>
              <w:t>Feedstock origin</w:t>
            </w:r>
          </w:p>
        </w:tc>
        <w:tc>
          <w:tcPr>
            <w:tcW w:w="2308" w:type="dxa"/>
            <w:tcBorders>
              <w:top w:val="single" w:sz="4" w:space="0" w:color="auto"/>
              <w:left w:val="single" w:sz="4" w:space="0" w:color="auto"/>
              <w:bottom w:val="single" w:sz="4" w:space="0" w:color="auto"/>
              <w:right w:val="single" w:sz="4" w:space="0" w:color="auto"/>
            </w:tcBorders>
            <w:hideMark/>
          </w:tcPr>
          <w:p>
            <w:pPr>
              <w:keepNext/>
              <w:keepLines/>
              <w:jc w:val="center"/>
              <w:rPr>
                <w:rFonts w:cstheme="minorHAnsi"/>
                <w:b/>
                <w:noProof/>
                <w:sz w:val="18"/>
                <w:szCs w:val="18"/>
                <w:lang w:val="en-IE"/>
              </w:rPr>
            </w:pPr>
            <w:r>
              <w:rPr>
                <w:rFonts w:cstheme="minorHAnsi"/>
                <w:b/>
                <w:noProof/>
                <w:sz w:val="18"/>
                <w:szCs w:val="18"/>
                <w:lang w:val="en-IE"/>
              </w:rPr>
              <w:t>Supply chain covered</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International Sustainability and Carbon Certification (ISCC)</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Wide range of feedstocks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Global</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Bonsucro EU</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Sugar cane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Global</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rPr>
              <w:t>Roundtable on Sustainable Biomaterial EU RED (RSB EU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Wide range of feedstocks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Global</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rPr>
              <w:t>RTRS EU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Soy</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Global</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U.S. Soybean Sustainability Assurance Protocol (SSAP)</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Soy</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US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From cultivation to place of export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Biomass Biofuels voluntary scheme (2BSvs)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Wide range of feedstocks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Global</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Red Tractor Farm Assurance Combinable Crops &amp; Sugar Beet (Red Tractor)</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Cereals, oilseeds, sugar beet</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UK</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Until the first feedstock delivery point</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REDcert</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Wide range of feedstocks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Europe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rPr>
              <w:t>Better Biomass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Wide range of feedstocks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Global</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rPr>
              <w:t>KZR INiG System</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Wide range of feedstocks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Europe</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Trade Assurance Scheme for Combinable Crops (TASC)</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Combinable crops, such as cereals, oilseeds and sugar beet</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UK</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Chain of custody from farm gate to first processor</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Universal Feed Assurance Scheme(UFAS)</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Feed ingredients and compound feeds as well as combinable crops</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UK</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Chain of custody from farm gate to first processor</w:t>
            </w:r>
          </w:p>
        </w:tc>
      </w:tr>
      <w:tr>
        <w:tc>
          <w:tcPr>
            <w:tcW w:w="2316"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Roundtable on Sustainable Palm Oil RED (RSPO RED)</w:t>
            </w:r>
          </w:p>
        </w:tc>
        <w:tc>
          <w:tcPr>
            <w:tcW w:w="2310"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Oil palm</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Global</w:t>
            </w:r>
          </w:p>
        </w:tc>
        <w:tc>
          <w:tcPr>
            <w:tcW w:w="2308" w:type="dxa"/>
            <w:tcBorders>
              <w:top w:val="single" w:sz="4" w:space="0" w:color="auto"/>
              <w:left w:val="single" w:sz="4" w:space="0" w:color="auto"/>
              <w:bottom w:val="single" w:sz="4" w:space="0" w:color="auto"/>
              <w:right w:val="single" w:sz="4" w:space="0" w:color="auto"/>
            </w:tcBorders>
            <w:hideMark/>
          </w:tcPr>
          <w:p>
            <w:pPr>
              <w:keepNext/>
              <w:keepLines/>
              <w:rPr>
                <w:rFonts w:cstheme="minorHAnsi"/>
                <w:noProof/>
                <w:sz w:val="18"/>
                <w:szCs w:val="18"/>
                <w:lang w:val="en-IE"/>
              </w:rPr>
            </w:pPr>
            <w:r>
              <w:rPr>
                <w:rFonts w:cstheme="minorHAnsi"/>
                <w:noProof/>
                <w:sz w:val="18"/>
                <w:szCs w:val="18"/>
                <w:lang w:val="en-IE"/>
              </w:rPr>
              <w:t>Full supply chain</w:t>
            </w:r>
          </w:p>
        </w:tc>
      </w:tr>
    </w:tbl>
    <w:p>
      <w:pPr>
        <w:keepNext/>
        <w:keepLines/>
        <w:rPr>
          <w:rFonts w:ascii="Times New Roman" w:hAnsi="Times New Roman" w:cs="Times New Roman"/>
          <w:noProof/>
          <w:lang w:val="en-IE"/>
        </w:rPr>
      </w:pPr>
    </w:p>
    <w:p>
      <w:pPr>
        <w:keepNext/>
        <w:keepLines/>
        <w:rPr>
          <w:noProof/>
          <w:lang w:val="en-IE" w:eastAsia="en-US"/>
        </w:rPr>
      </w:pPr>
      <w:r>
        <w:rPr>
          <w:rFonts w:ascii="Times New Roman" w:hAnsi="Times New Roman" w:cs="Times New Roman"/>
          <w:b/>
          <w:noProof/>
          <w:lang w:val="en-IE"/>
        </w:rPr>
        <w:t xml:space="preserve">Table </w:t>
      </w:r>
      <w:r>
        <w:rPr>
          <w:rFonts w:ascii="Times New Roman" w:hAnsi="Times New Roman" w:cs="Times New Roman"/>
          <w:b/>
          <w:noProof/>
        </w:rPr>
        <w:t>6</w:t>
      </w:r>
      <w:r>
        <w:rPr>
          <w:rFonts w:ascii="Times New Roman" w:hAnsi="Times New Roman" w:cs="Times New Roman"/>
          <w:b/>
          <w:noProof/>
          <w:lang w:val="en-IE"/>
        </w:rPr>
        <w:t>:</w:t>
      </w:r>
      <w:r>
        <w:rPr>
          <w:rFonts w:ascii="Times New Roman" w:hAnsi="Times New Roman" w:cs="Times New Roman"/>
          <w:noProof/>
          <w:lang w:val="en-IE"/>
        </w:rPr>
        <w:t xml:space="preserve"> </w:t>
      </w:r>
      <w:r>
        <w:rPr>
          <w:rFonts w:ascii="Times New Roman" w:hAnsi="Times New Roman" w:cs="Times New Roman"/>
          <w:i/>
          <w:noProof/>
          <w:lang w:val="en-IE"/>
        </w:rPr>
        <w:t>Voluntary schemes currently recognised by the Commission</w:t>
      </w:r>
    </w:p>
    <w:p>
      <w:pPr>
        <w:rPr>
          <w:rFonts w:ascii="Times New Roman" w:eastAsia="Calibri" w:hAnsi="Times New Roman" w:cs="Times New Roman"/>
          <w:b/>
          <w:noProof/>
          <w:sz w:val="24"/>
          <w:szCs w:val="24"/>
        </w:rPr>
      </w:pPr>
    </w:p>
    <w:p>
      <w:pPr>
        <w:pStyle w:val="Heading1"/>
        <w:rPr>
          <w:noProof/>
          <w:sz w:val="22"/>
          <w:lang w:val="en-US"/>
        </w:rPr>
      </w:pPr>
      <w:r>
        <w:rPr>
          <w:noProof/>
          <w:lang w:val="en-US"/>
        </w:rPr>
        <w:t>5. CONCLUSIONS</w:t>
      </w:r>
      <w:bookmarkEnd w:id="11"/>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2020 renewable energy targets will have to be met in the context of the Covid-19 pandemic where society at large as well as the energy sector has been impacted by the most serious health and economic crisis in decades. This report confirms that </w:t>
      </w:r>
      <w:r>
        <w:rPr>
          <w:rFonts w:ascii="Times New Roman" w:hAnsi="Times New Roman" w:cs="Times New Roman"/>
          <w:b/>
          <w:noProof/>
          <w:sz w:val="24"/>
          <w:szCs w:val="24"/>
        </w:rPr>
        <w:t>the EU is on track for reaching its renewable energy targets for 2020</w:t>
      </w:r>
      <w:r>
        <w:rPr>
          <w:rFonts w:ascii="Times New Roman" w:hAnsi="Times New Roman" w:cs="Times New Roman"/>
          <w:noProof/>
          <w:sz w:val="24"/>
          <w:szCs w:val="24"/>
        </w:rPr>
        <w:t>.</w:t>
      </w:r>
      <w:r>
        <w:rPr>
          <w:rFonts w:ascii="Times New Roman" w:hAnsi="Times New Roman" w:cs="Times New Roman"/>
          <w:b/>
          <w:noProof/>
          <w:sz w:val="24"/>
          <w:szCs w:val="24"/>
        </w:rPr>
        <w:t xml:space="preserve"> In 2018, the share of renewable energy in the EU energy mix has reached 18% (18.9 % for EU-27). </w:t>
      </w:r>
      <w:r>
        <w:rPr>
          <w:rFonts w:ascii="Times New Roman" w:hAnsi="Times New Roman" w:cs="Times New Roman"/>
          <w:noProof/>
          <w:sz w:val="24"/>
          <w:szCs w:val="24"/>
        </w:rPr>
        <w:t>Investments in renewable energy are increasingly driven by the market and the share of public subsidies is falling in particular for the new projects</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This has been triggered by the significant cost reductions in renewable energy technologies, the decrease of subsidies through more competitive support schemes and exemplified by the numerous zero or low cost auction results in several European countries.</w:t>
      </w:r>
    </w:p>
    <w:p>
      <w:pPr>
        <w:spacing w:after="120"/>
        <w:jc w:val="both"/>
        <w:rPr>
          <w:rFonts w:ascii="Times New Roman" w:hAnsi="Times New Roman" w:cs="Times New Roman"/>
          <w:noProof/>
          <w:sz w:val="24"/>
          <w:szCs w:val="24"/>
          <w:lang w:val="en-US"/>
        </w:rPr>
      </w:pPr>
      <w:r>
        <w:rPr>
          <w:rFonts w:ascii="Times New Roman" w:hAnsi="Times New Roman" w:cs="Times New Roman"/>
          <w:b/>
          <w:noProof/>
          <w:sz w:val="24"/>
          <w:szCs w:val="24"/>
        </w:rPr>
        <w:t>In 2018, twelve Member States already have a renewable energy share above their respective 2020 targets</w:t>
      </w:r>
      <w:r>
        <w:rPr>
          <w:rFonts w:ascii="Times New Roman" w:hAnsi="Times New Roman" w:cs="Times New Roman"/>
          <w:noProof/>
          <w:sz w:val="24"/>
          <w:szCs w:val="24"/>
        </w:rPr>
        <w:t>. Eleven other Member States met or exceeded their RED I average indicative trajectory for 2017-2018. However, five Member States (France, Ireland, the Netherlands, Poland and Slovenia) failed to do so.</w:t>
      </w:r>
      <w:r>
        <w:rPr>
          <w:rFonts w:ascii="Times New Roman" w:hAnsi="Times New Roman" w:cs="Times New Roman"/>
          <w:noProof/>
          <w:sz w:val="24"/>
          <w:szCs w:val="24"/>
          <w:lang w:val="en-US"/>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prospects for the 2020 renewable energy target achievement, recent modelling projects the EU-27 to reach a renewable energy share between 22.8 % and 23.1%</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This corresponds to an expected absolute RES deployment increase of 19.2-21.7 Mtoe between 2018 and 2020. The impact of the Covid-19 pandemic on the energy demand is significant and this exceptional situation has the consequence that the projected renewable energy shares for 2020 increase overall. However, some of these increases might not be sustained over time once economic activity is fully recovered.</w:t>
      </w:r>
    </w:p>
    <w:p>
      <w:pPr>
        <w:jc w:val="both"/>
        <w:rPr>
          <w:rFonts w:ascii="Times New Roman" w:hAnsi="Times New Roman" w:cs="Times New Roman"/>
          <w:noProof/>
          <w:sz w:val="24"/>
          <w:szCs w:val="24"/>
        </w:rPr>
      </w:pPr>
      <w:r>
        <w:rPr>
          <w:rFonts w:ascii="Times New Roman" w:hAnsi="Times New Roman" w:cs="Times New Roman"/>
          <w:b/>
          <w:noProof/>
          <w:sz w:val="24"/>
          <w:szCs w:val="24"/>
        </w:rPr>
        <w:t>The vast majority of Member States will meet their targets</w:t>
      </w:r>
      <w:r>
        <w:rPr>
          <w:rFonts w:ascii="Times New Roman" w:hAnsi="Times New Roman" w:cs="Times New Roman"/>
          <w:noProof/>
          <w:sz w:val="24"/>
          <w:szCs w:val="24"/>
        </w:rPr>
        <w:t xml:space="preserve">, but three Member States </w:t>
      </w:r>
      <w:r>
        <w:rPr>
          <w:rFonts w:ascii="Times New Roman" w:hAnsi="Times New Roman" w:cs="Times New Roman"/>
          <w:b/>
          <w:noProof/>
          <w:sz w:val="24"/>
          <w:szCs w:val="24"/>
        </w:rPr>
        <w:t>(Belgium, France, and Poland) are at severe risk of failing to do so</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Furthermore, 2 Member States (The Netherlands and Luxembourg) are at moderate risk of not meeting the target.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view of the analysis in this report: </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b/>
          <w:noProof/>
          <w:sz w:val="24"/>
          <w:szCs w:val="24"/>
        </w:rPr>
        <w:t>Member States are strongly encouraged</w:t>
      </w:r>
      <w:r>
        <w:rPr>
          <w:rFonts w:ascii="Times New Roman" w:hAnsi="Times New Roman" w:cs="Times New Roman"/>
          <w:noProof/>
          <w:sz w:val="24"/>
          <w:szCs w:val="24"/>
        </w:rPr>
        <w:t xml:space="preserve"> to explore all possible options </w:t>
      </w:r>
      <w:r>
        <w:rPr>
          <w:rFonts w:ascii="Times New Roman" w:hAnsi="Times New Roman" w:cs="Times New Roman"/>
          <w:b/>
          <w:noProof/>
          <w:sz w:val="24"/>
          <w:szCs w:val="24"/>
        </w:rPr>
        <w:t>to use cooperation mechanisms</w:t>
      </w:r>
      <w:r>
        <w:rPr>
          <w:rFonts w:ascii="Times New Roman" w:hAnsi="Times New Roman" w:cs="Times New Roman"/>
          <w:noProof/>
          <w:sz w:val="24"/>
          <w:szCs w:val="24"/>
        </w:rPr>
        <w:t>, notably statistical transfers, as the solution to address the situation with the few weeks left till the end of 2020</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b/>
          <w:noProof/>
          <w:sz w:val="24"/>
          <w:szCs w:val="24"/>
        </w:rPr>
        <w:t>The European Commission is ready to support</w:t>
      </w:r>
      <w:r>
        <w:rPr>
          <w:rFonts w:ascii="Times New Roman" w:hAnsi="Times New Roman" w:cs="Times New Roman"/>
          <w:noProof/>
          <w:sz w:val="24"/>
          <w:szCs w:val="24"/>
        </w:rPr>
        <w:t xml:space="preserve"> the process e.g. through supporting the political dialogue of Member States, offering technical guidance and the Union Renewable development platform for statistical transfers that is being prepared. </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continued deployment of renewables is of utmost importance</w:t>
      </w:r>
      <w:r>
        <w:rPr>
          <w:rFonts w:ascii="Times New Roman" w:hAnsi="Times New Roman" w:cs="Times New Roman"/>
          <w:noProof/>
          <w:sz w:val="24"/>
          <w:szCs w:val="24"/>
        </w:rPr>
        <w:t xml:space="preserve">. In particular in light of the need to stay above the 2020 baseline in the National Energy and Climate Plans as established by the Clean Energy Package and the need to advance towards the 2030 as well as 2050 objectives. </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b/>
          <w:noProof/>
          <w:sz w:val="24"/>
          <w:szCs w:val="24"/>
        </w:rPr>
        <w:t>The Recovery and Resilience Plans</w:t>
      </w:r>
      <w:r>
        <w:rPr>
          <w:rFonts w:ascii="Times New Roman" w:hAnsi="Times New Roman" w:cs="Times New Roman"/>
          <w:noProof/>
          <w:sz w:val="24"/>
          <w:szCs w:val="24"/>
        </w:rPr>
        <w:t xml:space="preserve"> that Member States should prepare setting out their reform and investment agendas for the subsequent four years provide a </w:t>
      </w:r>
      <w:r>
        <w:rPr>
          <w:rFonts w:ascii="Times New Roman" w:hAnsi="Times New Roman" w:cs="Times New Roman"/>
          <w:b/>
          <w:noProof/>
          <w:sz w:val="24"/>
          <w:szCs w:val="24"/>
        </w:rPr>
        <w:t>unique opportunity for boosting renewable energy deployment</w:t>
      </w:r>
      <w:r>
        <w:rPr>
          <w:rFonts w:ascii="Times New Roman" w:hAnsi="Times New Roman" w:cs="Times New Roman"/>
          <w:noProof/>
          <w:sz w:val="24"/>
          <w:szCs w:val="24"/>
        </w:rPr>
        <w:t xml:space="preserve"> and contribute to both economic recovery and the European Green Deal objectives.</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Commission will continue monitoring developments</w:t>
      </w:r>
      <w:r>
        <w:rPr>
          <w:rFonts w:ascii="Times New Roman" w:hAnsi="Times New Roman" w:cs="Times New Roman"/>
          <w:noProof/>
          <w:sz w:val="24"/>
          <w:szCs w:val="24"/>
        </w:rPr>
        <w:t xml:space="preserve"> and as required by the Energy Governance Regulation </w:t>
      </w:r>
      <w:r>
        <w:rPr>
          <w:rFonts w:ascii="Times New Roman" w:hAnsi="Times New Roman" w:cs="Times New Roman"/>
          <w:noProof/>
          <w:sz w:val="24"/>
          <w:szCs w:val="24"/>
          <w:lang w:val="en-IE"/>
        </w:rPr>
        <w:t>assess final target compliance based on reports from Member States by 30</w:t>
      </w:r>
      <w:r>
        <w:rPr>
          <w:rFonts w:ascii="Times New Roman" w:hAnsi="Times New Roman" w:cs="Times New Roman"/>
          <w:noProof/>
          <w:sz w:val="24"/>
          <w:szCs w:val="24"/>
          <w:vertAlign w:val="superscript"/>
          <w:lang w:val="en-IE"/>
        </w:rPr>
        <w:t>th</w:t>
      </w:r>
      <w:r>
        <w:rPr>
          <w:rFonts w:ascii="Times New Roman" w:hAnsi="Times New Roman" w:cs="Times New Roman"/>
          <w:noProof/>
          <w:sz w:val="24"/>
          <w:szCs w:val="24"/>
          <w:lang w:val="en-IE"/>
        </w:rPr>
        <w:t xml:space="preserve"> April 2022 with the actual 2020 data</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For the transport sector, where all Member States shall achieve at least a 10% share of renewable energy, only two Member States Finland and Sweden have managed to exceed this level in 2018. The modelling for 2020 show a somewhat improved picture with an EU RES-Transport share of 12.2</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and </w:t>
      </w:r>
      <w:r>
        <w:rPr>
          <w:rFonts w:ascii="Times New Roman" w:hAnsi="Times New Roman" w:cs="Times New Roman"/>
          <w:noProof/>
          <w:sz w:val="24"/>
          <w:szCs w:val="24"/>
          <w:lang w:val="en-US"/>
        </w:rPr>
        <w:t xml:space="preserve">16 Member States achieving or exceeding the target. Meeting the target is a legal obligation, so </w:t>
      </w:r>
      <w:r>
        <w:rPr>
          <w:rFonts w:ascii="Times New Roman" w:hAnsi="Times New Roman" w:cs="Times New Roman"/>
          <w:b/>
          <w:noProof/>
          <w:sz w:val="24"/>
          <w:szCs w:val="24"/>
          <w:lang w:val="en-US"/>
        </w:rPr>
        <w:t>the Commission urges the 11 remaining Member States to take appropriate action via national deployment or cooperation mechanisms</w:t>
      </w:r>
      <w:r>
        <w:rPr>
          <w:rFonts w:ascii="Times New Roman" w:hAnsi="Times New Roman" w:cs="Times New Roman"/>
          <w:noProof/>
          <w:sz w:val="24"/>
          <w:szCs w:val="24"/>
          <w:lang w:val="en-US"/>
        </w:rPr>
        <w:t xml:space="preserve">. </w:t>
      </w:r>
    </w:p>
    <w:p>
      <w:pPr>
        <w:jc w:val="both"/>
        <w:rPr>
          <w:rFonts w:ascii="Times New Roman" w:hAnsi="Times New Roman" w:cs="Times New Roman"/>
          <w:noProof/>
          <w:sz w:val="24"/>
          <w:szCs w:val="24"/>
          <w:lang w:val="en-US"/>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189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center" w:pos="4638"/>
      </w:tabs>
      <w:rPr>
        <w:rFonts w:cs="Arial"/>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2009/28/EC of the European Parliament and of the Council of 23 April 2009 on the promotion of the use of energy from renewable sources, OJL 140, 5.6.2009. p. 16 </w:t>
      </w:r>
    </w:p>
  </w:footnote>
  <w:footnote w:id="3">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COM(2020)</w:t>
      </w:r>
      <w:r>
        <w:rPr>
          <w:sz w:val="22"/>
          <w:szCs w:val="22"/>
          <w:lang w:val="pt-PT"/>
        </w:rPr>
        <w:t xml:space="preserve"> </w:t>
      </w:r>
      <w:r>
        <w:rPr>
          <w:rFonts w:ascii="Times New Roman" w:hAnsi="Times New Roman" w:cs="Times New Roman"/>
          <w:lang w:val="pt-PT"/>
        </w:rPr>
        <w:t>COM(2020) 562 final</w:t>
      </w:r>
    </w:p>
  </w:footnote>
  <w:footnote w:id="4">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COM(2019) 640 final.</w:t>
      </w:r>
    </w:p>
  </w:footnote>
  <w:footnote w:id="5">
    <w:p>
      <w:pPr>
        <w:pStyle w:val="FootnoteText"/>
        <w:jc w:val="both"/>
        <w:rPr>
          <w:lang w:val="da-DK"/>
        </w:rPr>
      </w:pPr>
      <w:r>
        <w:rPr>
          <w:rStyle w:val="FootnoteReference"/>
        </w:rPr>
        <w:footnoteRef/>
      </w:r>
      <w:r>
        <w:rPr>
          <w:lang w:val="pt-PT"/>
        </w:rPr>
        <w:t xml:space="preserve"> </w:t>
      </w:r>
      <w:r>
        <w:rPr>
          <w:rFonts w:ascii="Times New Roman" w:hAnsi="Times New Roman" w:cs="Times New Roman"/>
          <w:lang w:val="pt-PT"/>
        </w:rPr>
        <w:t>SWD(2020) 176 final</w:t>
      </w:r>
    </w:p>
  </w:footnote>
  <w:footnote w:id="6">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COM(2020) 299 final</w:t>
      </w:r>
    </w:p>
  </w:footnote>
  <w:footnote w:id="7">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 (2020)456 final</w:t>
      </w:r>
    </w:p>
  </w:footnote>
  <w:footnote w:id="8">
    <w:p>
      <w:pPr>
        <w:pStyle w:val="FootnoteText"/>
        <w:jc w:val="both"/>
        <w:rPr>
          <w:lang w:val="en-IE"/>
        </w:rPr>
      </w:pPr>
      <w:r>
        <w:rPr>
          <w:rStyle w:val="FootnoteReference"/>
        </w:rPr>
        <w:footnoteRef/>
      </w:r>
      <w:r>
        <w:t xml:space="preserve"> </w:t>
      </w:r>
      <w:r>
        <w:rPr>
          <w:rFonts w:ascii="Times New Roman" w:hAnsi="Times New Roman" w:cs="Times New Roman"/>
        </w:rPr>
        <w:t>Directive (EU) 2018/2001 of the European Parliament and of the Council of 11 December 2018 on the promotion of the use of energy from renewable sources (OJ L 328, 21.12.2018, p. 82).</w:t>
      </w:r>
    </w:p>
  </w:footnote>
  <w:footnote w:id="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COM(2020) </w:t>
      </w:r>
      <w:r>
        <w:rPr>
          <w:rFonts w:ascii="Times New Roman" w:hAnsi="Times New Roman" w:cs="Times New Roman"/>
        </w:rPr>
        <w:t>564 final</w:t>
      </w:r>
      <w:r>
        <w:rPr>
          <w:rFonts w:ascii="Times New Roman" w:hAnsi="Times New Roman" w:cs="Times New Roman"/>
          <w:lang w:val="en-IE"/>
        </w:rPr>
        <w:t xml:space="preserve"> </w:t>
      </w:r>
      <w:r>
        <w:rPr>
          <w:rFonts w:ascii="Times New Roman" w:hAnsi="Times New Roman" w:cs="Times New Roman"/>
        </w:rPr>
        <w:t>EU-wide assessment of National Energy and Climate Plans</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COM(2020)953 Report on progress of clean energy competitiveness</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 (2017), Monitoring R&amp;I in Low-Carbon Energy Technologies, </w:t>
      </w:r>
      <w:hyperlink r:id="rId1" w:history="1">
        <w:r>
          <w:rPr>
            <w:rStyle w:val="Hyperlink"/>
            <w:rFonts w:ascii="Times New Roman" w:hAnsi="Times New Roman" w:cs="Times New Roman"/>
          </w:rPr>
          <w:t>http://publications.jrc.ec.europa.eu/repository/handle/JRC105642</w:t>
        </w:r>
      </w:hyperlink>
      <w:r>
        <w:rPr>
          <w:rFonts w:ascii="Times New Roman" w:hAnsi="Times New Roman" w:cs="Times New Roman"/>
        </w:rPr>
        <w:t xml:space="preserve">   </w:t>
      </w:r>
    </w:p>
  </w:footnote>
  <w:footnote w:id="12">
    <w:p>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Eurobserv’ER (2020) 2019 barometer. </w:t>
      </w:r>
      <w:hyperlink r:id="rId2" w:history="1">
        <w:r>
          <w:rPr>
            <w:rStyle w:val="Hyperlink"/>
            <w:rFonts w:ascii="Times New Roman" w:hAnsi="Times New Roman" w:cs="Times New Roman"/>
          </w:rPr>
          <w:t>https://www.eurobserv-er.org/19th-annual-overview-barometer/</w:t>
        </w:r>
      </w:hyperlink>
    </w:p>
  </w:footnote>
  <w:footnote w:id="13">
    <w:p>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Underlying study from Trinomics for the European Commission October 2020 Report on Energy prices and cost in Europe </w:t>
      </w:r>
    </w:p>
  </w:footnote>
  <w:footnote w:id="1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(EU) 2015/1513</w:t>
      </w:r>
    </w:p>
  </w:footnote>
  <w:footnote w:id="1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hyperlink r:id="rId3" w:history="1">
        <w:r>
          <w:rPr>
            <w:rStyle w:val="Hyperlink"/>
            <w:rFonts w:ascii="Times New Roman" w:hAnsi="Times New Roman" w:cs="Times New Roman"/>
            <w:lang w:val="fr-BE"/>
          </w:rPr>
          <w:t>https://ec.europa.eu/energy/en/topics/renewable-energy/progress-reports</w:t>
        </w:r>
      </w:hyperlink>
      <w:r>
        <w:rPr>
          <w:rFonts w:ascii="Times New Roman" w:hAnsi="Times New Roman" w:cs="Times New Roman"/>
          <w:lang w:val="fr-BE"/>
        </w:rPr>
        <w:t xml:space="preserve"> </w:t>
      </w:r>
    </w:p>
  </w:footnote>
  <w:footnote w:id="1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Indicative aggregated EU 27 share of the 27 Member States national binding targets </w:t>
      </w:r>
      <w:r>
        <w:rPr>
          <w:rFonts w:ascii="Times New Roman" w:hAnsi="Times New Roman" w:cs="Times New Roman"/>
        </w:rPr>
        <w:t>and based on Commission estimates of the Gross Final Energy Consumption of energy in each EU27 Member State in 2020</w:t>
      </w:r>
    </w:p>
  </w:footnote>
  <w:footnote w:id="17">
    <w:p>
      <w:pPr>
        <w:pStyle w:val="FootnoteText"/>
        <w:jc w:val="both"/>
        <w:rPr>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4" w:history="1">
        <w:r>
          <w:rPr>
            <w:rStyle w:val="Hyperlink"/>
            <w:rFonts w:ascii="Times New Roman" w:hAnsi="Times New Roman" w:cs="Times New Roman"/>
            <w:lang w:val="en-US"/>
          </w:rPr>
          <w:t>https://ec.europa.eu/energy/en/topics/renewable-energy/national-action-plans</w:t>
        </w:r>
      </w:hyperlink>
      <w:r>
        <w:rPr>
          <w:rFonts w:ascii="Times New Roman" w:hAnsi="Times New Roman" w:cs="Times New Roman"/>
          <w:lang w:val="en-US"/>
        </w:rPr>
        <w:t xml:space="preserve">   </w:t>
      </w:r>
    </w:p>
  </w:footnote>
  <w:footnote w:id="1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Navigant  (2020): Technical assistance in realisation of the 5th report on progress of renewable energy in the EU - Task 1-2. Service contract: ENER/C1/ 2019-478 [DOI 10.2833/325152]</w:t>
      </w:r>
    </w:p>
  </w:footnote>
  <w:footnote w:id="19">
    <w:p>
      <w:pPr>
        <w:pStyle w:val="FootnoteText"/>
        <w:jc w:val="both"/>
      </w:pPr>
      <w:r>
        <w:rPr>
          <w:rStyle w:val="FootnoteReference"/>
        </w:rPr>
        <w:footnoteRef/>
      </w:r>
      <w:r>
        <w:t xml:space="preserve"> </w:t>
      </w:r>
      <w:r>
        <w:rPr>
          <w:rFonts w:ascii="Times New Roman" w:hAnsi="Times New Roman" w:cs="Times New Roman"/>
          <w:lang w:val="en-US"/>
        </w:rPr>
        <w:t>Advanced biofuels are defined in the RED as biofuels produced from a positive list of feedstock comprised mostly of wastes and residues</w:t>
      </w:r>
      <w:r>
        <w:t xml:space="preserve">. </w:t>
      </w:r>
    </w:p>
  </w:footnote>
  <w:footnote w:id="20">
    <w:p>
      <w:pPr>
        <w:pStyle w:val="FootnoteText"/>
        <w:jc w:val="both"/>
        <w:rPr>
          <w:lang w:val="en-IE"/>
        </w:rPr>
      </w:pPr>
      <w:r>
        <w:rPr>
          <w:rStyle w:val="FootnoteReference"/>
        </w:rPr>
        <w:footnoteRef/>
      </w:r>
      <w:r>
        <w:t xml:space="preserve"> </w:t>
      </w:r>
      <w:r>
        <w:rPr>
          <w:rFonts w:ascii="Times New Roman" w:hAnsi="Times New Roman" w:cs="Times New Roman"/>
        </w:rPr>
        <w:t>Navigant  (2020): Technical assistance in realisation of the 5th report on progress of renewable energy in the EU - Task 3. Service contract ENER/C1/ 2019-478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SHARES 2018. Using the multipliers set in RED I</w:t>
      </w:r>
    </w:p>
  </w:footnote>
  <w:footnote w:id="2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Eurostat 2020: EU energy in Figures.</w:t>
      </w:r>
    </w:p>
  </w:footnote>
  <w:footnote w:id="23">
    <w:p>
      <w:pPr>
        <w:pStyle w:val="FootnoteText"/>
        <w:jc w:val="both"/>
      </w:pPr>
      <w:r>
        <w:rPr>
          <w:rStyle w:val="FootnoteReference"/>
        </w:rPr>
        <w:footnoteRef/>
      </w:r>
      <w:r>
        <w:t xml:space="preserve"> </w:t>
      </w:r>
      <w:r>
        <w:rPr>
          <w:rFonts w:ascii="Times New Roman" w:hAnsi="Times New Roman" w:cs="Times New Roman"/>
        </w:rPr>
        <w:t>JRC, Wind Energy Technology Market Report, EUR 29922 EN, European Commission, Luxembourg, 2019</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rPr>
        <w:t>Navigant (2020): Technical assistance in realisation of the 5th report on progress of renewable energy in the EU - Task 1-2. Service contract: ENER/C1/ 2019-478 [DOI 10.2833/325152]</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COM(2020)951 Report on Energy prices and cost in Europe</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anchor=":%7E:text=For%20the%20first%20time%20ever,a%20report%20Tuesday%20by%20BloombergNEF." w:history="1">
        <w:r>
          <w:rPr>
            <w:rStyle w:val="Hyperlink"/>
            <w:rFonts w:ascii="Times New Roman" w:hAnsi="Times New Roman" w:cs="Times New Roman"/>
          </w:rPr>
          <w:t>https://www.bloomberg.com/news/articles/2020-09-01/the-world-added-more-solar-wind-than-anything-else-last-year#:%7E:text=For%20the%20first%20time%20ever,a%20report%20Tuesday%20by%20BloombergNEF</w:t>
        </w:r>
      </w:hyperlink>
    </w:p>
  </w:footnote>
  <w:footnote w:id="27">
    <w:p>
      <w:pPr>
        <w:pStyle w:val="FootnoteText"/>
        <w:jc w:val="both"/>
        <w:rPr>
          <w:lang w:val="en-IE"/>
        </w:rPr>
      </w:pPr>
      <w:r>
        <w:rPr>
          <w:rStyle w:val="FootnoteReference"/>
        </w:rPr>
        <w:footnoteRef/>
      </w:r>
      <w:r>
        <w:t xml:space="preserve"> </w:t>
      </w:r>
      <w:r>
        <w:rPr>
          <w:rFonts w:ascii="Times New Roman" w:hAnsi="Times New Roman" w:cs="Times New Roman"/>
        </w:rPr>
        <w:t>https://www.irena.org/publications/2020/Jun/Renewable-Power-Costs-in-2019</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Including Norway and UK</w:t>
      </w:r>
    </w:p>
  </w:footnote>
  <w:footnote w:id="2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Bloomberg New Energy Finance Corporate PPA Database, accessed September 2020</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Compared to 11 Member States in 2017.</w:t>
      </w:r>
    </w:p>
  </w:footnote>
  <w:footnote w:id="31">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Please note that Latvia is ahead of their indicative RED and planned NREAP trajectory for 2015-2016, but this was due to a lower energy consumption. They have (as indicated in their progress report) not reached the levels of gross RES consumption as planned, shown by the negative numbers in this table.  </w:t>
      </w:r>
    </w:p>
  </w:footnote>
  <w:footnote w:id="32">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Poland reported actual gross RES consumption negative compared to the planned value for 2016. Percentage wise they are also below their NREAP planned trajectory. However, their achievement in percentages shows that they are above the indicative trajectory as specified in the RED for 2015/2016. A cause could be a lower overall energy consumption than planned.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values still refer to the 4</w:t>
      </w:r>
      <w:r>
        <w:rPr>
          <w:rFonts w:ascii="Times New Roman" w:hAnsi="Times New Roman" w:cs="Times New Roman"/>
          <w:vertAlign w:val="superscript"/>
        </w:rPr>
        <w:t>th</w:t>
      </w:r>
      <w:r>
        <w:rPr>
          <w:rFonts w:ascii="Times New Roman" w:hAnsi="Times New Roman" w:cs="Times New Roman"/>
        </w:rPr>
        <w:t xml:space="preserve"> Progress Report. Sweden did not provide updated values in the 5</w:t>
      </w:r>
      <w:r>
        <w:rPr>
          <w:rFonts w:ascii="Times New Roman" w:hAnsi="Times New Roman" w:cs="Times New Roman"/>
          <w:vertAlign w:val="superscript"/>
        </w:rPr>
        <w:t>th</w:t>
      </w:r>
      <w:r>
        <w:rPr>
          <w:rFonts w:ascii="Times New Roman" w:hAnsi="Times New Roman" w:cs="Times New Roman"/>
        </w:rPr>
        <w:t xml:space="preserve"> Progress Report, but only referred to the estimates of the Swedish Energy Agency.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Navigant  (2020): Technical assistance in realisation of the 5th report on progress of renewable energy in the EU - Task 1-2. Service contract: ENER/C1/ 2019-478 [DOI 10.2833/325152]</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table include only figures Member States that provided them in their progress report i.e. no information from United Kingdom and 5 Member States, Croatia, Portugal, Slovenia, France and Lithuania</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Navigant  (2020): Technical assistance in realisation of the 5th report on progress of renewable energy in the EU - Task 1-2. Service contract: ENER/C1/ 2019-478 [DOI 10.2833/325152]</w:t>
      </w:r>
    </w:p>
  </w:footnote>
  <w:footnote w:id="37">
    <w:p>
      <w:pPr>
        <w:pStyle w:val="FootnoteText"/>
        <w:spacing w:line="240" w:lineRule="atLeast"/>
        <w:jc w:val="both"/>
        <w:rPr>
          <w:rFonts w:ascii="Times New Roman" w:hAnsi="Times New Roman" w:cs="Times New Roman"/>
          <w:szCs w:val="13"/>
        </w:rPr>
      </w:pPr>
      <w:r>
        <w:rPr>
          <w:rStyle w:val="FootnoteReference"/>
          <w:rFonts w:ascii="Times New Roman" w:hAnsi="Times New Roman" w:cs="Times New Roman"/>
          <w:szCs w:val="13"/>
        </w:rPr>
        <w:footnoteRef/>
      </w:r>
      <w:r>
        <w:rPr>
          <w:rFonts w:ascii="Times New Roman" w:hAnsi="Times New Roman" w:cs="Times New Roman"/>
          <w:szCs w:val="13"/>
        </w:rPr>
        <w:t xml:space="preserve"> Note that the range indicates the uncertainty related to key input parameter for the model-based assessment of future RES progress. Remarkably, this year’s (2020) energy demand drop as a consequence of the Covid-19 pandemic, and corresponding (comparatively small) changes in RES supply play a decisive role in this respect.</w:t>
      </w:r>
    </w:p>
  </w:footnote>
  <w:footnote w:id="38">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The demand trends are based on available data up to July 2020</w:t>
      </w:r>
    </w:p>
  </w:footnote>
  <w:footnote w:id="39">
    <w:p>
      <w:pPr>
        <w:pStyle w:val="FootnoteText"/>
        <w:jc w:val="both"/>
        <w:rPr>
          <w:rFonts w:ascii="Times New Roman" w:hAnsi="Times New Roman" w:cs="Times New Roman"/>
          <w:lang w:val="en-IE"/>
        </w:rPr>
      </w:pPr>
      <w:r>
        <w:rPr>
          <w:rStyle w:val="FootnoteReference"/>
        </w:rPr>
        <w:footnoteRef/>
      </w:r>
      <w:r>
        <w:t xml:space="preserve"> </w:t>
      </w:r>
      <w:r>
        <w:rPr>
          <w:rFonts w:ascii="Times New Roman" w:hAnsi="Times New Roman" w:cs="Times New Roman"/>
        </w:rPr>
        <w:t>The rights and obligations of a Member State apply to the UK until the end of the transition period on 31 December 2020</w:t>
      </w:r>
    </w:p>
  </w:footnote>
  <w:footnote w:id="4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Navigant  (2020): Technical assistance in realisation of the 5th report on progress of renewable energy in the EU - Task 1-2. Service contract: ENER/C1/ 2019-478 [DOI 10.2833/325152]</w:t>
      </w:r>
    </w:p>
  </w:footnote>
  <w:footnote w:id="41">
    <w:p>
      <w:pPr>
        <w:pStyle w:val="FootnoteText"/>
        <w:jc w:val="both"/>
      </w:pPr>
      <w:r>
        <w:rPr>
          <w:rStyle w:val="FootnoteReference"/>
        </w:rPr>
        <w:footnoteRef/>
      </w:r>
      <w:r>
        <w:t xml:space="preserve"> </w:t>
      </w:r>
      <w:r>
        <w:rPr>
          <w:rFonts w:ascii="Times New Roman" w:hAnsi="Times New Roman" w:cs="Times New Roman"/>
        </w:rPr>
        <w:t>Navigant (2020): Technical assistance in realisation of the 5th report on progress of renewable energy in the EU - Task 1-2. Service contract: ENER/C1/ 2019-478  [DOI 10.2833/325152]</w:t>
      </w:r>
    </w:p>
  </w:footnote>
  <w:footnote w:id="42">
    <w:p>
      <w:pPr>
        <w:pStyle w:val="FootnoteText"/>
        <w:jc w:val="both"/>
      </w:pPr>
      <w:r>
        <w:rPr>
          <w:rStyle w:val="FootnoteReference"/>
        </w:rPr>
        <w:footnoteRef/>
      </w:r>
      <w:r>
        <w:t xml:space="preserve"> </w:t>
      </w:r>
      <w:r>
        <w:rPr>
          <w:rFonts w:ascii="Times New Roman" w:hAnsi="Times New Roman" w:cs="Times New Roman"/>
        </w:rPr>
        <w:t xml:space="preserve">More details can be found in: Navigant (2020): Technical assistance in realisation of the 5th report on progress of renewable energy in the EU - Task 1-2. Service contract: ENER/C1/ 2019-478 </w:t>
      </w:r>
      <w:r>
        <w:t xml:space="preserve">  </w:t>
      </w:r>
      <w:r>
        <w:rPr>
          <w:rFonts w:ascii="Times New Roman" w:hAnsi="Times New Roman" w:cs="Times New Roman"/>
        </w:rPr>
        <w:t>[DOI 10.2833/325152]</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main source for the data and assessment in this section: “Technical assistance in realisation of the 5th report on progress of renewable energy in the EU” – Task 3 [DOI 10.2833/428247] and 4 [DOI 10.2833/10640].    Produced under service contract ENER/C1/ 2019-478 by “Navigant – A Guidehouse Company”.</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IX biofuels” cover biofuels produced from feedstock listed in Annex IX of RED II.</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Eurostat nrg_bal_c. The terms biodiesel and bioethanol refer to the physical composition of the fuel. Biodiesel is a type of fuel that can be blended with diesel. The main types of biodiesel are Fatty Acid Methyl Ester (FAME) and Hydrotreated Vegetable Oil (HVO). Ethanol is the chemical name of what is commonly known as alcohol. It can be blended with gasoline. These terms have no relation to the sustainability of biofuels, and are also unrelated to the categories “compliant biofuels” or “Annex IX biofuels”.</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calculation of land use for crops used to produce biofuels, the amount of biofuel produced from a specific crop type was converted to the amount of feedstock needed to produce that amount of biofuel, also considering by-products.</w:t>
      </w:r>
    </w:p>
  </w:footnote>
  <w:footnote w:id="4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Ecofys, 2013, Biofuels and food security; Filip, Ondrej, et al., 2019, Food versus fuel: An updated and expanded evidence</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should however be noted that neither site-specific data nor data related specifically to the local environmental impacts of cultivation of feedstocks for biofuel production are available.</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The impact of ILUC is calculated on the basis of the provisional estimated indirect land-use change emissions from biofuel, bioliquid and biomass fuel feedstock (g CO2eq/MJ) in Annex VIII of Directive (EU) 2018/2001.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provisional estimated ILUC factors were for instance based on a scenario assuming a substantial increase in the level of consumption, which did not materialise.   </w:t>
      </w:r>
    </w:p>
  </w:footnote>
  <w:footnote w:id="51">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C(2019) 2055 final.</w:t>
      </w:r>
    </w:p>
  </w:footnote>
  <w:footnote w:id="5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2009/28/EC 30 (RED I) will be repealed on 30 June 2021.</w:t>
      </w:r>
    </w:p>
  </w:footnote>
  <w:footnote w:id="53">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https://ec.europa.eu/energy/topics/renewable-energy/biofuels/voluntary-schemes_en</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Data for liquid biofuels has been excluded from one voluntary scheme due to identified inconsistencies.</w:t>
      </w:r>
    </w:p>
  </w:footnote>
  <w:footnote w:id="55">
    <w:p>
      <w:pPr>
        <w:pStyle w:val="FootnoteText"/>
        <w:jc w:val="both"/>
        <w:rPr>
          <w:lang w:val="en-IE"/>
        </w:rPr>
      </w:pPr>
      <w:r>
        <w:rPr>
          <w:rStyle w:val="FootnoteReference"/>
          <w:rFonts w:ascii="Times New Roman" w:hAnsi="Times New Roman" w:cs="Times New Roman"/>
        </w:rPr>
        <w:footnoteRef/>
      </w:r>
      <w:r>
        <w:rPr>
          <w:rFonts w:ascii="Times New Roman" w:hAnsi="Times New Roman" w:cs="Times New Roman"/>
        </w:rPr>
        <w:t xml:space="preserve"> Details on the recognition process of voluntary schemes can be found on the following Commission website: </w:t>
      </w:r>
      <w:hyperlink r:id="rId6" w:history="1">
        <w:r>
          <w:rPr>
            <w:rStyle w:val="Hyperlink"/>
            <w:rFonts w:ascii="Times New Roman" w:hAnsi="Times New Roman" w:cs="Times New Roman"/>
          </w:rPr>
          <w:t>https://ec.europa.eu/energy/topics/renewable-energy/biofuels/voluntary-schemes_en</w:t>
        </w:r>
      </w:hyperlink>
    </w:p>
  </w:footnote>
  <w:footnote w:id="5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European Court of Auditors (ECA), 2016, Special report No 18/2016: The EU system for the certification of sustainable biofuels.</w:t>
      </w:r>
    </w:p>
  </w:footnote>
  <w:footnote w:id="5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Energy subsidies in the EU (annex to the State of the Energy Union Report, COM(2020)950)</w:t>
      </w:r>
    </w:p>
  </w:footnote>
  <w:footnote w:id="5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The EU-plus UK is 22.1 %-22,4%</w:t>
      </w:r>
    </w:p>
  </w:footnote>
  <w:footnote w:id="5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EU plus UK is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drawing>
        <wp:anchor distT="0" distB="0" distL="114300" distR="114300" simplePos="0" relativeHeight="251658242" behindDoc="0" locked="1" layoutInCell="1" allowOverlap="1">
          <wp:simplePos x="0" y="0"/>
          <wp:positionH relativeFrom="page">
            <wp:posOffset>3625850</wp:posOffset>
          </wp:positionH>
          <wp:positionV relativeFrom="page">
            <wp:posOffset>395605</wp:posOffset>
          </wp:positionV>
          <wp:extent cx="2520000" cy="576000"/>
          <wp:effectExtent l="0" t="0" r="0" b="0"/>
          <wp:wrapNone/>
          <wp:docPr id="3" name="Bild 109" descr="ECOFYS Logo WTTS 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COFYS Logo WTTS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20000" cy="576000"/>
                  </a:xfrm>
                  <a:prstGeom prst="rect">
                    <a:avLst/>
                  </a:prstGeom>
                  <a:noFill/>
                  <a:ln>
                    <a:noFill/>
                  </a:ln>
                </pic:spPr>
              </pic:pic>
            </a:graphicData>
          </a:graphic>
        </wp:anchor>
      </w:drawing>
    </w:r>
    <w:r>
      <w:rPr>
        <w:noProof/>
      </w:rPr>
      <w:drawing>
        <wp:anchor distT="0" distB="0" distL="114300" distR="114300" simplePos="0" relativeHeight="251658241" behindDoc="0" locked="1" layoutInCell="1" allowOverlap="1">
          <wp:simplePos x="0" y="0"/>
          <wp:positionH relativeFrom="page">
            <wp:posOffset>3625850</wp:posOffset>
          </wp:positionH>
          <wp:positionV relativeFrom="page">
            <wp:posOffset>395605</wp:posOffset>
          </wp:positionV>
          <wp:extent cx="2520000" cy="575122"/>
          <wp:effectExtent l="0" t="0" r="0" b="0"/>
          <wp:wrapNone/>
          <wp:docPr id="4" name="Bild 102" descr="ECOFYS Logo WTTS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COFYS Logo WTTS b/w" hidden="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20000" cy="575122"/>
                  </a:xfrm>
                  <a:prstGeom prst="rect">
                    <a:avLst/>
                  </a:prstGeom>
                  <a:noFill/>
                  <a:ln>
                    <a:noFill/>
                  </a:ln>
                </pic:spPr>
              </pic:pic>
            </a:graphicData>
          </a:graphic>
        </wp:anchor>
      </w:drawing>
    </w:r>
    <w:r>
      <w:rPr>
        <w:noProof/>
      </w:rPr>
      <w:drawing>
        <wp:anchor distT="0" distB="0" distL="114300" distR="114300" simplePos="0" relativeHeight="251658240" behindDoc="0" locked="1" layoutInCell="1" allowOverlap="1">
          <wp:simplePos x="0" y="0"/>
          <wp:positionH relativeFrom="page">
            <wp:posOffset>4086225</wp:posOffset>
          </wp:positionH>
          <wp:positionV relativeFrom="page">
            <wp:posOffset>450215</wp:posOffset>
          </wp:positionV>
          <wp:extent cx="1969200" cy="723600"/>
          <wp:effectExtent l="0" t="0" r="0" b="635"/>
          <wp:wrapNone/>
          <wp:docPr id="5" name="Bild 99"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COFYS Logo b/w" hidden="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69200" cy="7236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drawing>
        <wp:anchor distT="0" distB="0" distL="114300" distR="114300" simplePos="0" relativeHeight="251658244" behindDoc="0" locked="1" layoutInCell="1" allowOverlap="1">
          <wp:simplePos x="0" y="0"/>
          <wp:positionH relativeFrom="page">
            <wp:posOffset>4087495</wp:posOffset>
          </wp:positionH>
          <wp:positionV relativeFrom="page">
            <wp:posOffset>450215</wp:posOffset>
          </wp:positionV>
          <wp:extent cx="2514600" cy="723900"/>
          <wp:effectExtent l="0" t="0" r="0" b="0"/>
          <wp:wrapNone/>
          <wp:docPr id="6" name="Bild 80"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COFYS Logo b/w" hidden="1"/>
                  <pic:cNvPicPr>
                    <a:picLocks noChangeAspect="1" noChangeArrowheads="1"/>
                  </pic:cNvPicPr>
                </pic:nvPicPr>
                <pic:blipFill>
                  <a:blip r:embed="rId1">
                    <a:extLst>
                      <a:ext uri="{28A0092B-C50C-407E-A947-70E740481C1C}">
                        <a14:useLocalDpi xmlns:a14="http://schemas.microsoft.com/office/drawing/2010/main" val="0"/>
                      </a:ext>
                    </a:extLst>
                  </a:blip>
                  <a:srcRect l="1335" t="4370" r="1335" b="4370"/>
                  <a:stretch>
                    <a:fillRect/>
                  </a:stretch>
                </pic:blipFill>
                <pic:spPr bwMode="auto">
                  <a:xfrm>
                    <a:off x="0" y="0"/>
                    <a:ext cx="2514600" cy="723900"/>
                  </a:xfrm>
                  <a:prstGeom prst="rect">
                    <a:avLst/>
                  </a:prstGeom>
                  <a:noFill/>
                  <a:ln>
                    <a:noFill/>
                  </a:ln>
                </pic:spPr>
              </pic:pic>
            </a:graphicData>
          </a:graphic>
        </wp:anchor>
      </w:drawing>
    </w:r>
    <w:r>
      <w:rPr>
        <w:noProof/>
      </w:rPr>
      <w:drawing>
        <wp:anchor distT="0" distB="0" distL="114300" distR="114300" simplePos="0" relativeHeight="251658243" behindDoc="0" locked="1" layoutInCell="1" allowOverlap="1">
          <wp:simplePos x="0" y="0"/>
          <wp:positionH relativeFrom="page">
            <wp:posOffset>4086225</wp:posOffset>
          </wp:positionH>
          <wp:positionV relativeFrom="page">
            <wp:posOffset>450215</wp:posOffset>
          </wp:positionV>
          <wp:extent cx="2516505" cy="717550"/>
          <wp:effectExtent l="0" t="0" r="0" b="6350"/>
          <wp:wrapNone/>
          <wp:docPr id="7" name="Bild 79" descr="ECOFY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COFYS Logo Colour" hidden="1"/>
                  <pic:cNvPicPr>
                    <a:picLocks noChangeAspect="1" noChangeArrowheads="1"/>
                  </pic:cNvPicPr>
                </pic:nvPicPr>
                <pic:blipFill>
                  <a:blip r:embed="rId2">
                    <a:extLst>
                      <a:ext uri="{28A0092B-C50C-407E-A947-70E740481C1C}">
                        <a14:useLocalDpi xmlns:a14="http://schemas.microsoft.com/office/drawing/2010/main" val="0"/>
                      </a:ext>
                    </a:extLst>
                  </a:blip>
                  <a:srcRect l="1335" t="4370" r="1335" b="4370"/>
                  <a:stretch>
                    <a:fillRect/>
                  </a:stretch>
                </pic:blipFill>
                <pic:spPr bwMode="auto">
                  <a:xfrm>
                    <a:off x="0" y="0"/>
                    <a:ext cx="2516505" cy="7175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8AF"/>
    <w:multiLevelType w:val="hybridMultilevel"/>
    <w:tmpl w:val="B464EC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6D9715E"/>
    <w:multiLevelType w:val="hybridMultilevel"/>
    <w:tmpl w:val="980221A2"/>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C21EE"/>
    <w:multiLevelType w:val="hybridMultilevel"/>
    <w:tmpl w:val="C760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9D33CB"/>
    <w:multiLevelType w:val="hybridMultilevel"/>
    <w:tmpl w:val="6CC41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AB41578"/>
    <w:multiLevelType w:val="hybridMultilevel"/>
    <w:tmpl w:val="AB9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B43A39"/>
    <w:multiLevelType w:val="hybridMultilevel"/>
    <w:tmpl w:val="A6FC826A"/>
    <w:lvl w:ilvl="0" w:tplc="D8642F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D513306"/>
    <w:multiLevelType w:val="hybridMultilevel"/>
    <w:tmpl w:val="506478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30E6AF9"/>
    <w:multiLevelType w:val="hybridMultilevel"/>
    <w:tmpl w:val="5D76CBDE"/>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D36809"/>
    <w:multiLevelType w:val="hybridMultilevel"/>
    <w:tmpl w:val="C3F6390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F94BAA"/>
    <w:multiLevelType w:val="hybridMultilevel"/>
    <w:tmpl w:val="11566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4967031"/>
    <w:multiLevelType w:val="hybridMultilevel"/>
    <w:tmpl w:val="D4C4DE1A"/>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C66EAB"/>
    <w:multiLevelType w:val="hybridMultilevel"/>
    <w:tmpl w:val="E30840D4"/>
    <w:lvl w:ilvl="0" w:tplc="8EC0EF94">
      <w:start w:val="1"/>
      <w:numFmt w:val="bullet"/>
      <w:lvlText w:val=""/>
      <w:lvlJc w:val="left"/>
      <w:pPr>
        <w:tabs>
          <w:tab w:val="num" w:pos="720"/>
        </w:tabs>
        <w:ind w:left="720" w:hanging="360"/>
      </w:pPr>
      <w:rPr>
        <w:rFonts w:ascii="Wingdings" w:hAnsi="Wingdings" w:hint="default"/>
      </w:rPr>
    </w:lvl>
    <w:lvl w:ilvl="1" w:tplc="81A05D08">
      <w:start w:val="244"/>
      <w:numFmt w:val="bullet"/>
      <w:lvlText w:val="•"/>
      <w:lvlJc w:val="left"/>
      <w:pPr>
        <w:tabs>
          <w:tab w:val="num" w:pos="1440"/>
        </w:tabs>
        <w:ind w:left="1440" w:hanging="360"/>
      </w:pPr>
      <w:rPr>
        <w:rFonts w:ascii="Arial" w:hAnsi="Arial" w:hint="default"/>
      </w:rPr>
    </w:lvl>
    <w:lvl w:ilvl="2" w:tplc="6CFA2202" w:tentative="1">
      <w:start w:val="1"/>
      <w:numFmt w:val="bullet"/>
      <w:lvlText w:val=""/>
      <w:lvlJc w:val="left"/>
      <w:pPr>
        <w:tabs>
          <w:tab w:val="num" w:pos="2160"/>
        </w:tabs>
        <w:ind w:left="2160" w:hanging="360"/>
      </w:pPr>
      <w:rPr>
        <w:rFonts w:ascii="Wingdings" w:hAnsi="Wingdings" w:hint="default"/>
      </w:rPr>
    </w:lvl>
    <w:lvl w:ilvl="3" w:tplc="0E0091D2" w:tentative="1">
      <w:start w:val="1"/>
      <w:numFmt w:val="bullet"/>
      <w:lvlText w:val=""/>
      <w:lvlJc w:val="left"/>
      <w:pPr>
        <w:tabs>
          <w:tab w:val="num" w:pos="2880"/>
        </w:tabs>
        <w:ind w:left="2880" w:hanging="360"/>
      </w:pPr>
      <w:rPr>
        <w:rFonts w:ascii="Wingdings" w:hAnsi="Wingdings" w:hint="default"/>
      </w:rPr>
    </w:lvl>
    <w:lvl w:ilvl="4" w:tplc="CED67C7A" w:tentative="1">
      <w:start w:val="1"/>
      <w:numFmt w:val="bullet"/>
      <w:lvlText w:val=""/>
      <w:lvlJc w:val="left"/>
      <w:pPr>
        <w:tabs>
          <w:tab w:val="num" w:pos="3600"/>
        </w:tabs>
        <w:ind w:left="3600" w:hanging="360"/>
      </w:pPr>
      <w:rPr>
        <w:rFonts w:ascii="Wingdings" w:hAnsi="Wingdings" w:hint="default"/>
      </w:rPr>
    </w:lvl>
    <w:lvl w:ilvl="5" w:tplc="DCFA0DDE" w:tentative="1">
      <w:start w:val="1"/>
      <w:numFmt w:val="bullet"/>
      <w:lvlText w:val=""/>
      <w:lvlJc w:val="left"/>
      <w:pPr>
        <w:tabs>
          <w:tab w:val="num" w:pos="4320"/>
        </w:tabs>
        <w:ind w:left="4320" w:hanging="360"/>
      </w:pPr>
      <w:rPr>
        <w:rFonts w:ascii="Wingdings" w:hAnsi="Wingdings" w:hint="default"/>
      </w:rPr>
    </w:lvl>
    <w:lvl w:ilvl="6" w:tplc="6E66DE3E" w:tentative="1">
      <w:start w:val="1"/>
      <w:numFmt w:val="bullet"/>
      <w:lvlText w:val=""/>
      <w:lvlJc w:val="left"/>
      <w:pPr>
        <w:tabs>
          <w:tab w:val="num" w:pos="5040"/>
        </w:tabs>
        <w:ind w:left="5040" w:hanging="360"/>
      </w:pPr>
      <w:rPr>
        <w:rFonts w:ascii="Wingdings" w:hAnsi="Wingdings" w:hint="default"/>
      </w:rPr>
    </w:lvl>
    <w:lvl w:ilvl="7" w:tplc="82D6BF40" w:tentative="1">
      <w:start w:val="1"/>
      <w:numFmt w:val="bullet"/>
      <w:lvlText w:val=""/>
      <w:lvlJc w:val="left"/>
      <w:pPr>
        <w:tabs>
          <w:tab w:val="num" w:pos="5760"/>
        </w:tabs>
        <w:ind w:left="5760" w:hanging="360"/>
      </w:pPr>
      <w:rPr>
        <w:rFonts w:ascii="Wingdings" w:hAnsi="Wingdings" w:hint="default"/>
      </w:rPr>
    </w:lvl>
    <w:lvl w:ilvl="8" w:tplc="819810F2" w:tentative="1">
      <w:start w:val="1"/>
      <w:numFmt w:val="bullet"/>
      <w:lvlText w:val=""/>
      <w:lvlJc w:val="left"/>
      <w:pPr>
        <w:tabs>
          <w:tab w:val="num" w:pos="6480"/>
        </w:tabs>
        <w:ind w:left="6480" w:hanging="360"/>
      </w:pPr>
      <w:rPr>
        <w:rFonts w:ascii="Wingdings" w:hAnsi="Wingdings" w:hint="default"/>
      </w:rPr>
    </w:lvl>
  </w:abstractNum>
  <w:abstractNum w:abstractNumId="12">
    <w:nsid w:val="4A7C4C9A"/>
    <w:multiLevelType w:val="hybridMultilevel"/>
    <w:tmpl w:val="8EEA27E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33260FC"/>
    <w:multiLevelType w:val="hybridMultilevel"/>
    <w:tmpl w:val="E3086BCC"/>
    <w:lvl w:ilvl="0" w:tplc="08090017">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nsid w:val="59BC46F2"/>
    <w:multiLevelType w:val="hybridMultilevel"/>
    <w:tmpl w:val="E3F0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3F5C66"/>
    <w:multiLevelType w:val="hybridMultilevel"/>
    <w:tmpl w:val="212856A8"/>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2757F7B"/>
    <w:multiLevelType w:val="hybridMultilevel"/>
    <w:tmpl w:val="ABF66CB4"/>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7">
    <w:nsid w:val="63DC31C9"/>
    <w:multiLevelType w:val="hybridMultilevel"/>
    <w:tmpl w:val="4B545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6F74C29"/>
    <w:multiLevelType w:val="hybridMultilevel"/>
    <w:tmpl w:val="ED069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7E016EB"/>
    <w:multiLevelType w:val="hybridMultilevel"/>
    <w:tmpl w:val="D4D6AEFE"/>
    <w:lvl w:ilvl="0" w:tplc="EE12E508">
      <w:start w:val="1"/>
      <w:numFmt w:val="decimal"/>
      <w:pStyle w:val="Heading2"/>
      <w:lvlText w:val="%1."/>
      <w:lvlJc w:val="left"/>
      <w:pPr>
        <w:ind w:left="644" w:hanging="360"/>
      </w:p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0">
    <w:nsid w:val="791C7667"/>
    <w:multiLevelType w:val="hybridMultilevel"/>
    <w:tmpl w:val="4F086370"/>
    <w:lvl w:ilvl="0" w:tplc="0809000F">
      <w:start w:val="1"/>
      <w:numFmt w:val="decimal"/>
      <w:lvlText w:val="%1."/>
      <w:lvlJc w:val="left"/>
      <w:pPr>
        <w:ind w:left="720" w:hanging="360"/>
      </w:pPr>
      <w:rPr>
        <w:rFonts w:hint="default"/>
      </w:rPr>
    </w:lvl>
    <w:lvl w:ilvl="1" w:tplc="E9421FA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EE29AA"/>
    <w:multiLevelType w:val="hybridMultilevel"/>
    <w:tmpl w:val="275EC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12"/>
  </w:num>
  <w:num w:numId="5">
    <w:abstractNumId w:val="19"/>
  </w:num>
  <w:num w:numId="6">
    <w:abstractNumId w:val="19"/>
  </w:num>
  <w:num w:numId="7">
    <w:abstractNumId w:val="19"/>
  </w:num>
  <w:num w:numId="8">
    <w:abstractNumId w:val="19"/>
  </w:num>
  <w:num w:numId="9">
    <w:abstractNumId w:val="19"/>
    <w:lvlOverride w:ilvl="0">
      <w:startOverride w:val="1"/>
    </w:lvlOverride>
  </w:num>
  <w:num w:numId="10">
    <w:abstractNumId w:val="0"/>
  </w:num>
  <w:num w:numId="11">
    <w:abstractNumId w:val="4"/>
  </w:num>
  <w:num w:numId="12">
    <w:abstractNumId w:val="15"/>
  </w:num>
  <w:num w:numId="13">
    <w:abstractNumId w:val="13"/>
  </w:num>
  <w:num w:numId="14">
    <w:abstractNumId w:val="11"/>
  </w:num>
  <w:num w:numId="15">
    <w:abstractNumId w:val="20"/>
  </w:num>
  <w:num w:numId="16">
    <w:abstractNumId w:val="21"/>
  </w:num>
  <w:num w:numId="17">
    <w:abstractNumId w:val="9"/>
  </w:num>
  <w:num w:numId="18">
    <w:abstractNumId w:val="6"/>
  </w:num>
  <w:num w:numId="19">
    <w:abstractNumId w:val="3"/>
  </w:num>
  <w:num w:numId="20">
    <w:abstractNumId w:val="2"/>
  </w:num>
  <w:num w:numId="21">
    <w:abstractNumId w:val="19"/>
  </w:num>
  <w:num w:numId="22">
    <w:abstractNumId w:val="19"/>
  </w:num>
  <w:num w:numId="23">
    <w:abstractNumId w:val="19"/>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19"/>
    <w:lvlOverride w:ilvl="0">
      <w:startOverride w:val="1"/>
    </w:lvlOverride>
  </w:num>
  <w:num w:numId="29">
    <w:abstractNumId w:val="19"/>
  </w:num>
  <w:num w:numId="30">
    <w:abstractNumId w:val="19"/>
  </w:num>
  <w:num w:numId="31">
    <w:abstractNumId w:val="14"/>
  </w:num>
  <w:num w:numId="32">
    <w:abstractNumId w:val="18"/>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2B09ED-EB99-4BFB-9CFF-44A966EEAEF2"/>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newable Energy Progress Report"/>
    <w:docVar w:name="LW_TYPE.DOC.CP" w:val="REPORT FROM THE COMMISSION TO THE EUROPEAN PARLIAMENT, THE COUNCIL, THE EUROPEAN ECONOMIC AND SOCIAL COMMITTEE AND THE COMMITTEE OF THE REGIONS"/>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val="de-DE"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val="de-DE"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 w:type="paragraph" w:styleId="BodyText">
    <w:name w:val="Body Text"/>
    <w:basedOn w:val="Normal"/>
    <w:link w:val="BodyTextChar"/>
    <w:semiHidden/>
    <w:unhideWhenUsed/>
    <w:qFormat/>
    <w:pPr>
      <w:spacing w:after="240" w:line="240" w:lineRule="auto"/>
    </w:pPr>
    <w:rPr>
      <w:rFonts w:ascii="Arial" w:eastAsia="Times New Roman" w:hAnsi="Arial" w:cs="Times New Roman"/>
      <w:szCs w:val="20"/>
      <w:lang w:val="en-US" w:eastAsia="en-US"/>
    </w:rPr>
  </w:style>
  <w:style w:type="character" w:customStyle="1" w:styleId="BodyTextChar">
    <w:name w:val="Body Text Char"/>
    <w:basedOn w:val="DefaultParagraphFont"/>
    <w:link w:val="BodyText"/>
    <w:semiHidden/>
    <w:rPr>
      <w:rFonts w:ascii="Arial" w:eastAsia="Times New Roman" w:hAnsi="Arial" w:cs="Times New Roman"/>
      <w:szCs w:val="20"/>
      <w:lang w:val="en-US" w:eastAsia="en-US"/>
    </w:rPr>
  </w:style>
  <w:style w:type="paragraph" w:customStyle="1" w:styleId="TableFigureNote">
    <w:name w:val="Table/Figure Note"/>
    <w:basedOn w:val="Normal"/>
    <w:next w:val="Normal"/>
    <w:qFormat/>
    <w:pPr>
      <w:spacing w:before="40" w:after="40" w:line="240" w:lineRule="auto"/>
    </w:pPr>
    <w:rPr>
      <w:rFonts w:ascii="Arial" w:eastAsia="Times New Roman" w:hAnsi="Arial" w:cs="Times New Roman"/>
      <w:b/>
      <w:sz w:val="18"/>
      <w:szCs w:val="20"/>
      <w:lang w:val="en-US" w:eastAsia="en-US"/>
    </w:rPr>
  </w:style>
  <w:style w:type="character" w:customStyle="1" w:styleId="CaptionChar">
    <w:name w:val="Caption Char"/>
    <w:aliases w:val="Table/Figure Caption Char,Table Caption Char,Char Char,Caption Char1 Char Char,Caption-table Char,Figure Char,_Main body - Caption Char,Podpis nad obiektem Char,Beschriftung_tab Char,tab_überschrift Char Char,Citation Char,DNV-cap Char"/>
    <w:link w:val="Caption"/>
    <w:uiPriority w:val="99"/>
    <w:semiHidden/>
    <w:locked/>
    <w:rPr>
      <w:b/>
      <w:bCs/>
      <w:color w:val="4F81BD" w:themeColor="accent1"/>
    </w:rPr>
  </w:style>
  <w:style w:type="paragraph" w:styleId="Caption">
    <w:name w:val="caption"/>
    <w:aliases w:val="Table/Figure Caption,Table Caption,Char,Caption Char1 Char,Caption-table,Figure,_Main body - Caption,Podpis nad obiektem,Beschriftung_tab,tab_überschrift Char,Citation,DNV-cap,Caption-tables Char,Caption-tables"/>
    <w:basedOn w:val="Normal"/>
    <w:next w:val="Normal"/>
    <w:link w:val="CaptionChar"/>
    <w:uiPriority w:val="35"/>
    <w:semiHidden/>
    <w:unhideWhenUsed/>
    <w:qFormat/>
    <w:pPr>
      <w:keepNext/>
      <w:spacing w:after="120" w:line="240" w:lineRule="auto"/>
      <w:jc w:val="center"/>
    </w:pPr>
    <w:rPr>
      <w:b/>
      <w:bCs/>
      <w:color w:val="4F81BD" w:themeColor="accent1"/>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val="de-DE"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val="de-DE"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 w:type="paragraph" w:styleId="BodyText">
    <w:name w:val="Body Text"/>
    <w:basedOn w:val="Normal"/>
    <w:link w:val="BodyTextChar"/>
    <w:semiHidden/>
    <w:unhideWhenUsed/>
    <w:qFormat/>
    <w:pPr>
      <w:spacing w:after="240" w:line="240" w:lineRule="auto"/>
    </w:pPr>
    <w:rPr>
      <w:rFonts w:ascii="Arial" w:eastAsia="Times New Roman" w:hAnsi="Arial" w:cs="Times New Roman"/>
      <w:szCs w:val="20"/>
      <w:lang w:val="en-US" w:eastAsia="en-US"/>
    </w:rPr>
  </w:style>
  <w:style w:type="character" w:customStyle="1" w:styleId="BodyTextChar">
    <w:name w:val="Body Text Char"/>
    <w:basedOn w:val="DefaultParagraphFont"/>
    <w:link w:val="BodyText"/>
    <w:semiHidden/>
    <w:rPr>
      <w:rFonts w:ascii="Arial" w:eastAsia="Times New Roman" w:hAnsi="Arial" w:cs="Times New Roman"/>
      <w:szCs w:val="20"/>
      <w:lang w:val="en-US" w:eastAsia="en-US"/>
    </w:rPr>
  </w:style>
  <w:style w:type="paragraph" w:customStyle="1" w:styleId="TableFigureNote">
    <w:name w:val="Table/Figure Note"/>
    <w:basedOn w:val="Normal"/>
    <w:next w:val="Normal"/>
    <w:qFormat/>
    <w:pPr>
      <w:spacing w:before="40" w:after="40" w:line="240" w:lineRule="auto"/>
    </w:pPr>
    <w:rPr>
      <w:rFonts w:ascii="Arial" w:eastAsia="Times New Roman" w:hAnsi="Arial" w:cs="Times New Roman"/>
      <w:b/>
      <w:sz w:val="18"/>
      <w:szCs w:val="20"/>
      <w:lang w:val="en-US" w:eastAsia="en-US"/>
    </w:rPr>
  </w:style>
  <w:style w:type="character" w:customStyle="1" w:styleId="CaptionChar">
    <w:name w:val="Caption Char"/>
    <w:aliases w:val="Table/Figure Caption Char,Table Caption Char,Char Char,Caption Char1 Char Char,Caption-table Char,Figure Char,_Main body - Caption Char,Podpis nad obiektem Char,Beschriftung_tab Char,tab_überschrift Char Char,Citation Char,DNV-cap Char"/>
    <w:link w:val="Caption"/>
    <w:uiPriority w:val="99"/>
    <w:semiHidden/>
    <w:locked/>
    <w:rPr>
      <w:b/>
      <w:bCs/>
      <w:color w:val="4F81BD" w:themeColor="accent1"/>
    </w:rPr>
  </w:style>
  <w:style w:type="paragraph" w:styleId="Caption">
    <w:name w:val="caption"/>
    <w:aliases w:val="Table/Figure Caption,Table Caption,Char,Caption Char1 Char,Caption-table,Figure,_Main body - Caption,Podpis nad obiektem,Beschriftung_tab,tab_überschrift Char,Citation,DNV-cap,Caption-tables Char,Caption-tables"/>
    <w:basedOn w:val="Normal"/>
    <w:next w:val="Normal"/>
    <w:link w:val="CaptionChar"/>
    <w:uiPriority w:val="35"/>
    <w:semiHidden/>
    <w:unhideWhenUsed/>
    <w:qFormat/>
    <w:pPr>
      <w:keepNext/>
      <w:spacing w:after="120" w:line="240" w:lineRule="auto"/>
      <w:jc w:val="center"/>
    </w:pPr>
    <w:rPr>
      <w:b/>
      <w:bCs/>
      <w:color w:val="4F81BD" w:themeColor="accent1"/>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645">
      <w:bodyDiv w:val="1"/>
      <w:marLeft w:val="0"/>
      <w:marRight w:val="0"/>
      <w:marTop w:val="0"/>
      <w:marBottom w:val="0"/>
      <w:divBdr>
        <w:top w:val="none" w:sz="0" w:space="0" w:color="auto"/>
        <w:left w:val="none" w:sz="0" w:space="0" w:color="auto"/>
        <w:bottom w:val="none" w:sz="0" w:space="0" w:color="auto"/>
        <w:right w:val="none" w:sz="0" w:space="0" w:color="auto"/>
      </w:divBdr>
    </w:div>
    <w:div w:id="32703816">
      <w:bodyDiv w:val="1"/>
      <w:marLeft w:val="0"/>
      <w:marRight w:val="0"/>
      <w:marTop w:val="0"/>
      <w:marBottom w:val="0"/>
      <w:divBdr>
        <w:top w:val="none" w:sz="0" w:space="0" w:color="auto"/>
        <w:left w:val="none" w:sz="0" w:space="0" w:color="auto"/>
        <w:bottom w:val="none" w:sz="0" w:space="0" w:color="auto"/>
        <w:right w:val="none" w:sz="0" w:space="0" w:color="auto"/>
      </w:divBdr>
    </w:div>
    <w:div w:id="142623188">
      <w:bodyDiv w:val="1"/>
      <w:marLeft w:val="0"/>
      <w:marRight w:val="0"/>
      <w:marTop w:val="0"/>
      <w:marBottom w:val="0"/>
      <w:divBdr>
        <w:top w:val="none" w:sz="0" w:space="0" w:color="auto"/>
        <w:left w:val="none" w:sz="0" w:space="0" w:color="auto"/>
        <w:bottom w:val="none" w:sz="0" w:space="0" w:color="auto"/>
        <w:right w:val="none" w:sz="0" w:space="0" w:color="auto"/>
      </w:divBdr>
    </w:div>
    <w:div w:id="164974368">
      <w:bodyDiv w:val="1"/>
      <w:marLeft w:val="0"/>
      <w:marRight w:val="0"/>
      <w:marTop w:val="0"/>
      <w:marBottom w:val="0"/>
      <w:divBdr>
        <w:top w:val="none" w:sz="0" w:space="0" w:color="auto"/>
        <w:left w:val="none" w:sz="0" w:space="0" w:color="auto"/>
        <w:bottom w:val="none" w:sz="0" w:space="0" w:color="auto"/>
        <w:right w:val="none" w:sz="0" w:space="0" w:color="auto"/>
      </w:divBdr>
    </w:div>
    <w:div w:id="220599560">
      <w:bodyDiv w:val="1"/>
      <w:marLeft w:val="0"/>
      <w:marRight w:val="0"/>
      <w:marTop w:val="0"/>
      <w:marBottom w:val="0"/>
      <w:divBdr>
        <w:top w:val="none" w:sz="0" w:space="0" w:color="auto"/>
        <w:left w:val="none" w:sz="0" w:space="0" w:color="auto"/>
        <w:bottom w:val="none" w:sz="0" w:space="0" w:color="auto"/>
        <w:right w:val="none" w:sz="0" w:space="0" w:color="auto"/>
      </w:divBdr>
    </w:div>
    <w:div w:id="225191113">
      <w:bodyDiv w:val="1"/>
      <w:marLeft w:val="0"/>
      <w:marRight w:val="0"/>
      <w:marTop w:val="0"/>
      <w:marBottom w:val="0"/>
      <w:divBdr>
        <w:top w:val="none" w:sz="0" w:space="0" w:color="auto"/>
        <w:left w:val="none" w:sz="0" w:space="0" w:color="auto"/>
        <w:bottom w:val="none" w:sz="0" w:space="0" w:color="auto"/>
        <w:right w:val="none" w:sz="0" w:space="0" w:color="auto"/>
      </w:divBdr>
    </w:div>
    <w:div w:id="274555244">
      <w:bodyDiv w:val="1"/>
      <w:marLeft w:val="0"/>
      <w:marRight w:val="0"/>
      <w:marTop w:val="0"/>
      <w:marBottom w:val="0"/>
      <w:divBdr>
        <w:top w:val="none" w:sz="0" w:space="0" w:color="auto"/>
        <w:left w:val="none" w:sz="0" w:space="0" w:color="auto"/>
        <w:bottom w:val="none" w:sz="0" w:space="0" w:color="auto"/>
        <w:right w:val="none" w:sz="0" w:space="0" w:color="auto"/>
      </w:divBdr>
    </w:div>
    <w:div w:id="320473223">
      <w:bodyDiv w:val="1"/>
      <w:marLeft w:val="0"/>
      <w:marRight w:val="0"/>
      <w:marTop w:val="0"/>
      <w:marBottom w:val="0"/>
      <w:divBdr>
        <w:top w:val="none" w:sz="0" w:space="0" w:color="auto"/>
        <w:left w:val="none" w:sz="0" w:space="0" w:color="auto"/>
        <w:bottom w:val="none" w:sz="0" w:space="0" w:color="auto"/>
        <w:right w:val="none" w:sz="0" w:space="0" w:color="auto"/>
      </w:divBdr>
    </w:div>
    <w:div w:id="377052964">
      <w:bodyDiv w:val="1"/>
      <w:marLeft w:val="0"/>
      <w:marRight w:val="0"/>
      <w:marTop w:val="0"/>
      <w:marBottom w:val="0"/>
      <w:divBdr>
        <w:top w:val="none" w:sz="0" w:space="0" w:color="auto"/>
        <w:left w:val="none" w:sz="0" w:space="0" w:color="auto"/>
        <w:bottom w:val="none" w:sz="0" w:space="0" w:color="auto"/>
        <w:right w:val="none" w:sz="0" w:space="0" w:color="auto"/>
      </w:divBdr>
    </w:div>
    <w:div w:id="394857189">
      <w:bodyDiv w:val="1"/>
      <w:marLeft w:val="0"/>
      <w:marRight w:val="0"/>
      <w:marTop w:val="0"/>
      <w:marBottom w:val="0"/>
      <w:divBdr>
        <w:top w:val="none" w:sz="0" w:space="0" w:color="auto"/>
        <w:left w:val="none" w:sz="0" w:space="0" w:color="auto"/>
        <w:bottom w:val="none" w:sz="0" w:space="0" w:color="auto"/>
        <w:right w:val="none" w:sz="0" w:space="0" w:color="auto"/>
      </w:divBdr>
      <w:divsChild>
        <w:div w:id="902058367">
          <w:marLeft w:val="446"/>
          <w:marRight w:val="0"/>
          <w:marTop w:val="0"/>
          <w:marBottom w:val="0"/>
          <w:divBdr>
            <w:top w:val="none" w:sz="0" w:space="0" w:color="auto"/>
            <w:left w:val="none" w:sz="0" w:space="0" w:color="auto"/>
            <w:bottom w:val="none" w:sz="0" w:space="0" w:color="auto"/>
            <w:right w:val="none" w:sz="0" w:space="0" w:color="auto"/>
          </w:divBdr>
        </w:div>
        <w:div w:id="1232037879">
          <w:marLeft w:val="1166"/>
          <w:marRight w:val="0"/>
          <w:marTop w:val="120"/>
          <w:marBottom w:val="0"/>
          <w:divBdr>
            <w:top w:val="none" w:sz="0" w:space="0" w:color="auto"/>
            <w:left w:val="none" w:sz="0" w:space="0" w:color="auto"/>
            <w:bottom w:val="none" w:sz="0" w:space="0" w:color="auto"/>
            <w:right w:val="none" w:sz="0" w:space="0" w:color="auto"/>
          </w:divBdr>
        </w:div>
        <w:div w:id="1272587569">
          <w:marLeft w:val="1166"/>
          <w:marRight w:val="0"/>
          <w:marTop w:val="120"/>
          <w:marBottom w:val="0"/>
          <w:divBdr>
            <w:top w:val="none" w:sz="0" w:space="0" w:color="auto"/>
            <w:left w:val="none" w:sz="0" w:space="0" w:color="auto"/>
            <w:bottom w:val="none" w:sz="0" w:space="0" w:color="auto"/>
            <w:right w:val="none" w:sz="0" w:space="0" w:color="auto"/>
          </w:divBdr>
        </w:div>
        <w:div w:id="1600016838">
          <w:marLeft w:val="1166"/>
          <w:marRight w:val="0"/>
          <w:marTop w:val="120"/>
          <w:marBottom w:val="0"/>
          <w:divBdr>
            <w:top w:val="none" w:sz="0" w:space="0" w:color="auto"/>
            <w:left w:val="none" w:sz="0" w:space="0" w:color="auto"/>
            <w:bottom w:val="none" w:sz="0" w:space="0" w:color="auto"/>
            <w:right w:val="none" w:sz="0" w:space="0" w:color="auto"/>
          </w:divBdr>
        </w:div>
        <w:div w:id="1443575271">
          <w:marLeft w:val="1166"/>
          <w:marRight w:val="0"/>
          <w:marTop w:val="120"/>
          <w:marBottom w:val="0"/>
          <w:divBdr>
            <w:top w:val="none" w:sz="0" w:space="0" w:color="auto"/>
            <w:left w:val="none" w:sz="0" w:space="0" w:color="auto"/>
            <w:bottom w:val="none" w:sz="0" w:space="0" w:color="auto"/>
            <w:right w:val="none" w:sz="0" w:space="0" w:color="auto"/>
          </w:divBdr>
        </w:div>
        <w:div w:id="2097700191">
          <w:marLeft w:val="446"/>
          <w:marRight w:val="0"/>
          <w:marTop w:val="0"/>
          <w:marBottom w:val="0"/>
          <w:divBdr>
            <w:top w:val="none" w:sz="0" w:space="0" w:color="auto"/>
            <w:left w:val="none" w:sz="0" w:space="0" w:color="auto"/>
            <w:bottom w:val="none" w:sz="0" w:space="0" w:color="auto"/>
            <w:right w:val="none" w:sz="0" w:space="0" w:color="auto"/>
          </w:divBdr>
        </w:div>
        <w:div w:id="346250767">
          <w:marLeft w:val="446"/>
          <w:marRight w:val="0"/>
          <w:marTop w:val="0"/>
          <w:marBottom w:val="0"/>
          <w:divBdr>
            <w:top w:val="none" w:sz="0" w:space="0" w:color="auto"/>
            <w:left w:val="none" w:sz="0" w:space="0" w:color="auto"/>
            <w:bottom w:val="none" w:sz="0" w:space="0" w:color="auto"/>
            <w:right w:val="none" w:sz="0" w:space="0" w:color="auto"/>
          </w:divBdr>
        </w:div>
        <w:div w:id="593049214">
          <w:marLeft w:val="446"/>
          <w:marRight w:val="0"/>
          <w:marTop w:val="0"/>
          <w:marBottom w:val="0"/>
          <w:divBdr>
            <w:top w:val="none" w:sz="0" w:space="0" w:color="auto"/>
            <w:left w:val="none" w:sz="0" w:space="0" w:color="auto"/>
            <w:bottom w:val="none" w:sz="0" w:space="0" w:color="auto"/>
            <w:right w:val="none" w:sz="0" w:space="0" w:color="auto"/>
          </w:divBdr>
        </w:div>
      </w:divsChild>
    </w:div>
    <w:div w:id="461772440">
      <w:bodyDiv w:val="1"/>
      <w:marLeft w:val="0"/>
      <w:marRight w:val="0"/>
      <w:marTop w:val="0"/>
      <w:marBottom w:val="0"/>
      <w:divBdr>
        <w:top w:val="none" w:sz="0" w:space="0" w:color="auto"/>
        <w:left w:val="none" w:sz="0" w:space="0" w:color="auto"/>
        <w:bottom w:val="none" w:sz="0" w:space="0" w:color="auto"/>
        <w:right w:val="none" w:sz="0" w:space="0" w:color="auto"/>
      </w:divBdr>
    </w:div>
    <w:div w:id="496848935">
      <w:bodyDiv w:val="1"/>
      <w:marLeft w:val="0"/>
      <w:marRight w:val="0"/>
      <w:marTop w:val="0"/>
      <w:marBottom w:val="0"/>
      <w:divBdr>
        <w:top w:val="none" w:sz="0" w:space="0" w:color="auto"/>
        <w:left w:val="none" w:sz="0" w:space="0" w:color="auto"/>
        <w:bottom w:val="none" w:sz="0" w:space="0" w:color="auto"/>
        <w:right w:val="none" w:sz="0" w:space="0" w:color="auto"/>
      </w:divBdr>
    </w:div>
    <w:div w:id="496918674">
      <w:bodyDiv w:val="1"/>
      <w:marLeft w:val="0"/>
      <w:marRight w:val="0"/>
      <w:marTop w:val="0"/>
      <w:marBottom w:val="0"/>
      <w:divBdr>
        <w:top w:val="none" w:sz="0" w:space="0" w:color="auto"/>
        <w:left w:val="none" w:sz="0" w:space="0" w:color="auto"/>
        <w:bottom w:val="none" w:sz="0" w:space="0" w:color="auto"/>
        <w:right w:val="none" w:sz="0" w:space="0" w:color="auto"/>
      </w:divBdr>
    </w:div>
    <w:div w:id="508495073">
      <w:bodyDiv w:val="1"/>
      <w:marLeft w:val="0"/>
      <w:marRight w:val="0"/>
      <w:marTop w:val="0"/>
      <w:marBottom w:val="0"/>
      <w:divBdr>
        <w:top w:val="none" w:sz="0" w:space="0" w:color="auto"/>
        <w:left w:val="none" w:sz="0" w:space="0" w:color="auto"/>
        <w:bottom w:val="none" w:sz="0" w:space="0" w:color="auto"/>
        <w:right w:val="none" w:sz="0" w:space="0" w:color="auto"/>
      </w:divBdr>
    </w:div>
    <w:div w:id="537350549">
      <w:bodyDiv w:val="1"/>
      <w:marLeft w:val="0"/>
      <w:marRight w:val="0"/>
      <w:marTop w:val="0"/>
      <w:marBottom w:val="0"/>
      <w:divBdr>
        <w:top w:val="none" w:sz="0" w:space="0" w:color="auto"/>
        <w:left w:val="none" w:sz="0" w:space="0" w:color="auto"/>
        <w:bottom w:val="none" w:sz="0" w:space="0" w:color="auto"/>
        <w:right w:val="none" w:sz="0" w:space="0" w:color="auto"/>
      </w:divBdr>
    </w:div>
    <w:div w:id="585648775">
      <w:bodyDiv w:val="1"/>
      <w:marLeft w:val="0"/>
      <w:marRight w:val="0"/>
      <w:marTop w:val="0"/>
      <w:marBottom w:val="0"/>
      <w:divBdr>
        <w:top w:val="none" w:sz="0" w:space="0" w:color="auto"/>
        <w:left w:val="none" w:sz="0" w:space="0" w:color="auto"/>
        <w:bottom w:val="none" w:sz="0" w:space="0" w:color="auto"/>
        <w:right w:val="none" w:sz="0" w:space="0" w:color="auto"/>
      </w:divBdr>
    </w:div>
    <w:div w:id="657808420">
      <w:bodyDiv w:val="1"/>
      <w:marLeft w:val="0"/>
      <w:marRight w:val="0"/>
      <w:marTop w:val="0"/>
      <w:marBottom w:val="0"/>
      <w:divBdr>
        <w:top w:val="none" w:sz="0" w:space="0" w:color="auto"/>
        <w:left w:val="none" w:sz="0" w:space="0" w:color="auto"/>
        <w:bottom w:val="none" w:sz="0" w:space="0" w:color="auto"/>
        <w:right w:val="none" w:sz="0" w:space="0" w:color="auto"/>
      </w:divBdr>
    </w:div>
    <w:div w:id="659623065">
      <w:bodyDiv w:val="1"/>
      <w:marLeft w:val="0"/>
      <w:marRight w:val="0"/>
      <w:marTop w:val="0"/>
      <w:marBottom w:val="0"/>
      <w:divBdr>
        <w:top w:val="none" w:sz="0" w:space="0" w:color="auto"/>
        <w:left w:val="none" w:sz="0" w:space="0" w:color="auto"/>
        <w:bottom w:val="none" w:sz="0" w:space="0" w:color="auto"/>
        <w:right w:val="none" w:sz="0" w:space="0" w:color="auto"/>
      </w:divBdr>
    </w:div>
    <w:div w:id="778913970">
      <w:bodyDiv w:val="1"/>
      <w:marLeft w:val="0"/>
      <w:marRight w:val="0"/>
      <w:marTop w:val="0"/>
      <w:marBottom w:val="0"/>
      <w:divBdr>
        <w:top w:val="none" w:sz="0" w:space="0" w:color="auto"/>
        <w:left w:val="none" w:sz="0" w:space="0" w:color="auto"/>
        <w:bottom w:val="none" w:sz="0" w:space="0" w:color="auto"/>
        <w:right w:val="none" w:sz="0" w:space="0" w:color="auto"/>
      </w:divBdr>
    </w:div>
    <w:div w:id="782308144">
      <w:bodyDiv w:val="1"/>
      <w:marLeft w:val="0"/>
      <w:marRight w:val="0"/>
      <w:marTop w:val="0"/>
      <w:marBottom w:val="0"/>
      <w:divBdr>
        <w:top w:val="none" w:sz="0" w:space="0" w:color="auto"/>
        <w:left w:val="none" w:sz="0" w:space="0" w:color="auto"/>
        <w:bottom w:val="none" w:sz="0" w:space="0" w:color="auto"/>
        <w:right w:val="none" w:sz="0" w:space="0" w:color="auto"/>
      </w:divBdr>
    </w:div>
    <w:div w:id="790173814">
      <w:bodyDiv w:val="1"/>
      <w:marLeft w:val="0"/>
      <w:marRight w:val="0"/>
      <w:marTop w:val="0"/>
      <w:marBottom w:val="0"/>
      <w:divBdr>
        <w:top w:val="none" w:sz="0" w:space="0" w:color="auto"/>
        <w:left w:val="none" w:sz="0" w:space="0" w:color="auto"/>
        <w:bottom w:val="none" w:sz="0" w:space="0" w:color="auto"/>
        <w:right w:val="none" w:sz="0" w:space="0" w:color="auto"/>
      </w:divBdr>
      <w:divsChild>
        <w:div w:id="105933229">
          <w:marLeft w:val="0"/>
          <w:marRight w:val="0"/>
          <w:marTop w:val="0"/>
          <w:marBottom w:val="0"/>
          <w:divBdr>
            <w:top w:val="none" w:sz="0" w:space="0" w:color="auto"/>
            <w:left w:val="none" w:sz="0" w:space="0" w:color="auto"/>
            <w:bottom w:val="none" w:sz="0" w:space="0" w:color="auto"/>
            <w:right w:val="none" w:sz="0" w:space="0" w:color="auto"/>
          </w:divBdr>
        </w:div>
        <w:div w:id="723679239">
          <w:marLeft w:val="0"/>
          <w:marRight w:val="0"/>
          <w:marTop w:val="0"/>
          <w:marBottom w:val="0"/>
          <w:divBdr>
            <w:top w:val="none" w:sz="0" w:space="0" w:color="auto"/>
            <w:left w:val="none" w:sz="0" w:space="0" w:color="auto"/>
            <w:bottom w:val="none" w:sz="0" w:space="0" w:color="auto"/>
            <w:right w:val="none" w:sz="0" w:space="0" w:color="auto"/>
          </w:divBdr>
        </w:div>
        <w:div w:id="1353192411">
          <w:marLeft w:val="0"/>
          <w:marRight w:val="0"/>
          <w:marTop w:val="0"/>
          <w:marBottom w:val="0"/>
          <w:divBdr>
            <w:top w:val="none" w:sz="0" w:space="0" w:color="auto"/>
            <w:left w:val="none" w:sz="0" w:space="0" w:color="auto"/>
            <w:bottom w:val="none" w:sz="0" w:space="0" w:color="auto"/>
            <w:right w:val="none" w:sz="0" w:space="0" w:color="auto"/>
          </w:divBdr>
        </w:div>
        <w:div w:id="1339038297">
          <w:marLeft w:val="0"/>
          <w:marRight w:val="0"/>
          <w:marTop w:val="0"/>
          <w:marBottom w:val="0"/>
          <w:divBdr>
            <w:top w:val="none" w:sz="0" w:space="0" w:color="auto"/>
            <w:left w:val="none" w:sz="0" w:space="0" w:color="auto"/>
            <w:bottom w:val="none" w:sz="0" w:space="0" w:color="auto"/>
            <w:right w:val="none" w:sz="0" w:space="0" w:color="auto"/>
          </w:divBdr>
        </w:div>
        <w:div w:id="1463038868">
          <w:marLeft w:val="0"/>
          <w:marRight w:val="0"/>
          <w:marTop w:val="0"/>
          <w:marBottom w:val="0"/>
          <w:divBdr>
            <w:top w:val="none" w:sz="0" w:space="0" w:color="auto"/>
            <w:left w:val="none" w:sz="0" w:space="0" w:color="auto"/>
            <w:bottom w:val="none" w:sz="0" w:space="0" w:color="auto"/>
            <w:right w:val="none" w:sz="0" w:space="0" w:color="auto"/>
          </w:divBdr>
        </w:div>
        <w:div w:id="1090080788">
          <w:marLeft w:val="0"/>
          <w:marRight w:val="0"/>
          <w:marTop w:val="0"/>
          <w:marBottom w:val="0"/>
          <w:divBdr>
            <w:top w:val="none" w:sz="0" w:space="0" w:color="auto"/>
            <w:left w:val="none" w:sz="0" w:space="0" w:color="auto"/>
            <w:bottom w:val="none" w:sz="0" w:space="0" w:color="auto"/>
            <w:right w:val="none" w:sz="0" w:space="0" w:color="auto"/>
          </w:divBdr>
        </w:div>
      </w:divsChild>
    </w:div>
    <w:div w:id="806556867">
      <w:bodyDiv w:val="1"/>
      <w:marLeft w:val="0"/>
      <w:marRight w:val="0"/>
      <w:marTop w:val="0"/>
      <w:marBottom w:val="0"/>
      <w:divBdr>
        <w:top w:val="none" w:sz="0" w:space="0" w:color="auto"/>
        <w:left w:val="none" w:sz="0" w:space="0" w:color="auto"/>
        <w:bottom w:val="none" w:sz="0" w:space="0" w:color="auto"/>
        <w:right w:val="none" w:sz="0" w:space="0" w:color="auto"/>
      </w:divBdr>
    </w:div>
    <w:div w:id="848452426">
      <w:bodyDiv w:val="1"/>
      <w:marLeft w:val="0"/>
      <w:marRight w:val="0"/>
      <w:marTop w:val="0"/>
      <w:marBottom w:val="0"/>
      <w:divBdr>
        <w:top w:val="none" w:sz="0" w:space="0" w:color="auto"/>
        <w:left w:val="none" w:sz="0" w:space="0" w:color="auto"/>
        <w:bottom w:val="none" w:sz="0" w:space="0" w:color="auto"/>
        <w:right w:val="none" w:sz="0" w:space="0" w:color="auto"/>
      </w:divBdr>
    </w:div>
    <w:div w:id="870532033">
      <w:bodyDiv w:val="1"/>
      <w:marLeft w:val="0"/>
      <w:marRight w:val="0"/>
      <w:marTop w:val="0"/>
      <w:marBottom w:val="0"/>
      <w:divBdr>
        <w:top w:val="none" w:sz="0" w:space="0" w:color="auto"/>
        <w:left w:val="none" w:sz="0" w:space="0" w:color="auto"/>
        <w:bottom w:val="none" w:sz="0" w:space="0" w:color="auto"/>
        <w:right w:val="none" w:sz="0" w:space="0" w:color="auto"/>
      </w:divBdr>
    </w:div>
    <w:div w:id="889878095">
      <w:bodyDiv w:val="1"/>
      <w:marLeft w:val="0"/>
      <w:marRight w:val="0"/>
      <w:marTop w:val="0"/>
      <w:marBottom w:val="0"/>
      <w:divBdr>
        <w:top w:val="none" w:sz="0" w:space="0" w:color="auto"/>
        <w:left w:val="none" w:sz="0" w:space="0" w:color="auto"/>
        <w:bottom w:val="none" w:sz="0" w:space="0" w:color="auto"/>
        <w:right w:val="none" w:sz="0" w:space="0" w:color="auto"/>
      </w:divBdr>
    </w:div>
    <w:div w:id="892428815">
      <w:bodyDiv w:val="1"/>
      <w:marLeft w:val="0"/>
      <w:marRight w:val="0"/>
      <w:marTop w:val="0"/>
      <w:marBottom w:val="0"/>
      <w:divBdr>
        <w:top w:val="none" w:sz="0" w:space="0" w:color="auto"/>
        <w:left w:val="none" w:sz="0" w:space="0" w:color="auto"/>
        <w:bottom w:val="none" w:sz="0" w:space="0" w:color="auto"/>
        <w:right w:val="none" w:sz="0" w:space="0" w:color="auto"/>
      </w:divBdr>
    </w:div>
    <w:div w:id="895555285">
      <w:bodyDiv w:val="1"/>
      <w:marLeft w:val="0"/>
      <w:marRight w:val="0"/>
      <w:marTop w:val="0"/>
      <w:marBottom w:val="0"/>
      <w:divBdr>
        <w:top w:val="none" w:sz="0" w:space="0" w:color="auto"/>
        <w:left w:val="none" w:sz="0" w:space="0" w:color="auto"/>
        <w:bottom w:val="none" w:sz="0" w:space="0" w:color="auto"/>
        <w:right w:val="none" w:sz="0" w:space="0" w:color="auto"/>
      </w:divBdr>
    </w:div>
    <w:div w:id="902184038">
      <w:bodyDiv w:val="1"/>
      <w:marLeft w:val="0"/>
      <w:marRight w:val="0"/>
      <w:marTop w:val="0"/>
      <w:marBottom w:val="0"/>
      <w:divBdr>
        <w:top w:val="none" w:sz="0" w:space="0" w:color="auto"/>
        <w:left w:val="none" w:sz="0" w:space="0" w:color="auto"/>
        <w:bottom w:val="none" w:sz="0" w:space="0" w:color="auto"/>
        <w:right w:val="none" w:sz="0" w:space="0" w:color="auto"/>
      </w:divBdr>
    </w:div>
    <w:div w:id="973603427">
      <w:bodyDiv w:val="1"/>
      <w:marLeft w:val="0"/>
      <w:marRight w:val="0"/>
      <w:marTop w:val="0"/>
      <w:marBottom w:val="0"/>
      <w:divBdr>
        <w:top w:val="none" w:sz="0" w:space="0" w:color="auto"/>
        <w:left w:val="none" w:sz="0" w:space="0" w:color="auto"/>
        <w:bottom w:val="none" w:sz="0" w:space="0" w:color="auto"/>
        <w:right w:val="none" w:sz="0" w:space="0" w:color="auto"/>
      </w:divBdr>
    </w:div>
    <w:div w:id="981889918">
      <w:bodyDiv w:val="1"/>
      <w:marLeft w:val="0"/>
      <w:marRight w:val="0"/>
      <w:marTop w:val="0"/>
      <w:marBottom w:val="0"/>
      <w:divBdr>
        <w:top w:val="none" w:sz="0" w:space="0" w:color="auto"/>
        <w:left w:val="none" w:sz="0" w:space="0" w:color="auto"/>
        <w:bottom w:val="none" w:sz="0" w:space="0" w:color="auto"/>
        <w:right w:val="none" w:sz="0" w:space="0" w:color="auto"/>
      </w:divBdr>
    </w:div>
    <w:div w:id="986593984">
      <w:bodyDiv w:val="1"/>
      <w:marLeft w:val="0"/>
      <w:marRight w:val="0"/>
      <w:marTop w:val="0"/>
      <w:marBottom w:val="0"/>
      <w:divBdr>
        <w:top w:val="none" w:sz="0" w:space="0" w:color="auto"/>
        <w:left w:val="none" w:sz="0" w:space="0" w:color="auto"/>
        <w:bottom w:val="none" w:sz="0" w:space="0" w:color="auto"/>
        <w:right w:val="none" w:sz="0" w:space="0" w:color="auto"/>
      </w:divBdr>
    </w:div>
    <w:div w:id="1033115499">
      <w:bodyDiv w:val="1"/>
      <w:marLeft w:val="0"/>
      <w:marRight w:val="0"/>
      <w:marTop w:val="0"/>
      <w:marBottom w:val="0"/>
      <w:divBdr>
        <w:top w:val="none" w:sz="0" w:space="0" w:color="auto"/>
        <w:left w:val="none" w:sz="0" w:space="0" w:color="auto"/>
        <w:bottom w:val="none" w:sz="0" w:space="0" w:color="auto"/>
        <w:right w:val="none" w:sz="0" w:space="0" w:color="auto"/>
      </w:divBdr>
    </w:div>
    <w:div w:id="1181815246">
      <w:bodyDiv w:val="1"/>
      <w:marLeft w:val="0"/>
      <w:marRight w:val="0"/>
      <w:marTop w:val="0"/>
      <w:marBottom w:val="0"/>
      <w:divBdr>
        <w:top w:val="none" w:sz="0" w:space="0" w:color="auto"/>
        <w:left w:val="none" w:sz="0" w:space="0" w:color="auto"/>
        <w:bottom w:val="none" w:sz="0" w:space="0" w:color="auto"/>
        <w:right w:val="none" w:sz="0" w:space="0" w:color="auto"/>
      </w:divBdr>
    </w:div>
    <w:div w:id="1253509040">
      <w:bodyDiv w:val="1"/>
      <w:marLeft w:val="0"/>
      <w:marRight w:val="0"/>
      <w:marTop w:val="0"/>
      <w:marBottom w:val="0"/>
      <w:divBdr>
        <w:top w:val="none" w:sz="0" w:space="0" w:color="auto"/>
        <w:left w:val="none" w:sz="0" w:space="0" w:color="auto"/>
        <w:bottom w:val="none" w:sz="0" w:space="0" w:color="auto"/>
        <w:right w:val="none" w:sz="0" w:space="0" w:color="auto"/>
      </w:divBdr>
    </w:div>
    <w:div w:id="1264144216">
      <w:bodyDiv w:val="1"/>
      <w:marLeft w:val="0"/>
      <w:marRight w:val="0"/>
      <w:marTop w:val="0"/>
      <w:marBottom w:val="0"/>
      <w:divBdr>
        <w:top w:val="none" w:sz="0" w:space="0" w:color="auto"/>
        <w:left w:val="none" w:sz="0" w:space="0" w:color="auto"/>
        <w:bottom w:val="none" w:sz="0" w:space="0" w:color="auto"/>
        <w:right w:val="none" w:sz="0" w:space="0" w:color="auto"/>
      </w:divBdr>
    </w:div>
    <w:div w:id="1345089963">
      <w:bodyDiv w:val="1"/>
      <w:marLeft w:val="0"/>
      <w:marRight w:val="0"/>
      <w:marTop w:val="0"/>
      <w:marBottom w:val="0"/>
      <w:divBdr>
        <w:top w:val="none" w:sz="0" w:space="0" w:color="auto"/>
        <w:left w:val="none" w:sz="0" w:space="0" w:color="auto"/>
        <w:bottom w:val="none" w:sz="0" w:space="0" w:color="auto"/>
        <w:right w:val="none" w:sz="0" w:space="0" w:color="auto"/>
      </w:divBdr>
    </w:div>
    <w:div w:id="1385910443">
      <w:bodyDiv w:val="1"/>
      <w:marLeft w:val="0"/>
      <w:marRight w:val="0"/>
      <w:marTop w:val="0"/>
      <w:marBottom w:val="0"/>
      <w:divBdr>
        <w:top w:val="none" w:sz="0" w:space="0" w:color="auto"/>
        <w:left w:val="none" w:sz="0" w:space="0" w:color="auto"/>
        <w:bottom w:val="none" w:sz="0" w:space="0" w:color="auto"/>
        <w:right w:val="none" w:sz="0" w:space="0" w:color="auto"/>
      </w:divBdr>
    </w:div>
    <w:div w:id="1389569694">
      <w:bodyDiv w:val="1"/>
      <w:marLeft w:val="0"/>
      <w:marRight w:val="0"/>
      <w:marTop w:val="0"/>
      <w:marBottom w:val="0"/>
      <w:divBdr>
        <w:top w:val="none" w:sz="0" w:space="0" w:color="auto"/>
        <w:left w:val="none" w:sz="0" w:space="0" w:color="auto"/>
        <w:bottom w:val="none" w:sz="0" w:space="0" w:color="auto"/>
        <w:right w:val="none" w:sz="0" w:space="0" w:color="auto"/>
      </w:divBdr>
    </w:div>
    <w:div w:id="1491483804">
      <w:bodyDiv w:val="1"/>
      <w:marLeft w:val="0"/>
      <w:marRight w:val="0"/>
      <w:marTop w:val="0"/>
      <w:marBottom w:val="0"/>
      <w:divBdr>
        <w:top w:val="none" w:sz="0" w:space="0" w:color="auto"/>
        <w:left w:val="none" w:sz="0" w:space="0" w:color="auto"/>
        <w:bottom w:val="none" w:sz="0" w:space="0" w:color="auto"/>
        <w:right w:val="none" w:sz="0" w:space="0" w:color="auto"/>
      </w:divBdr>
    </w:div>
    <w:div w:id="1595897173">
      <w:bodyDiv w:val="1"/>
      <w:marLeft w:val="0"/>
      <w:marRight w:val="0"/>
      <w:marTop w:val="0"/>
      <w:marBottom w:val="0"/>
      <w:divBdr>
        <w:top w:val="none" w:sz="0" w:space="0" w:color="auto"/>
        <w:left w:val="none" w:sz="0" w:space="0" w:color="auto"/>
        <w:bottom w:val="none" w:sz="0" w:space="0" w:color="auto"/>
        <w:right w:val="none" w:sz="0" w:space="0" w:color="auto"/>
      </w:divBdr>
    </w:div>
    <w:div w:id="1708942651">
      <w:bodyDiv w:val="1"/>
      <w:marLeft w:val="0"/>
      <w:marRight w:val="0"/>
      <w:marTop w:val="0"/>
      <w:marBottom w:val="0"/>
      <w:divBdr>
        <w:top w:val="none" w:sz="0" w:space="0" w:color="auto"/>
        <w:left w:val="none" w:sz="0" w:space="0" w:color="auto"/>
        <w:bottom w:val="none" w:sz="0" w:space="0" w:color="auto"/>
        <w:right w:val="none" w:sz="0" w:space="0" w:color="auto"/>
      </w:divBdr>
    </w:div>
    <w:div w:id="1710374543">
      <w:bodyDiv w:val="1"/>
      <w:marLeft w:val="0"/>
      <w:marRight w:val="0"/>
      <w:marTop w:val="0"/>
      <w:marBottom w:val="0"/>
      <w:divBdr>
        <w:top w:val="none" w:sz="0" w:space="0" w:color="auto"/>
        <w:left w:val="none" w:sz="0" w:space="0" w:color="auto"/>
        <w:bottom w:val="none" w:sz="0" w:space="0" w:color="auto"/>
        <w:right w:val="none" w:sz="0" w:space="0" w:color="auto"/>
      </w:divBdr>
    </w:div>
    <w:div w:id="1740126237">
      <w:bodyDiv w:val="1"/>
      <w:marLeft w:val="0"/>
      <w:marRight w:val="0"/>
      <w:marTop w:val="0"/>
      <w:marBottom w:val="0"/>
      <w:divBdr>
        <w:top w:val="none" w:sz="0" w:space="0" w:color="auto"/>
        <w:left w:val="none" w:sz="0" w:space="0" w:color="auto"/>
        <w:bottom w:val="none" w:sz="0" w:space="0" w:color="auto"/>
        <w:right w:val="none" w:sz="0" w:space="0" w:color="auto"/>
      </w:divBdr>
    </w:div>
    <w:div w:id="1745756576">
      <w:bodyDiv w:val="1"/>
      <w:marLeft w:val="0"/>
      <w:marRight w:val="0"/>
      <w:marTop w:val="0"/>
      <w:marBottom w:val="0"/>
      <w:divBdr>
        <w:top w:val="none" w:sz="0" w:space="0" w:color="auto"/>
        <w:left w:val="none" w:sz="0" w:space="0" w:color="auto"/>
        <w:bottom w:val="none" w:sz="0" w:space="0" w:color="auto"/>
        <w:right w:val="none" w:sz="0" w:space="0" w:color="auto"/>
      </w:divBdr>
    </w:div>
    <w:div w:id="1796487164">
      <w:bodyDiv w:val="1"/>
      <w:marLeft w:val="0"/>
      <w:marRight w:val="0"/>
      <w:marTop w:val="0"/>
      <w:marBottom w:val="0"/>
      <w:divBdr>
        <w:top w:val="none" w:sz="0" w:space="0" w:color="auto"/>
        <w:left w:val="none" w:sz="0" w:space="0" w:color="auto"/>
        <w:bottom w:val="none" w:sz="0" w:space="0" w:color="auto"/>
        <w:right w:val="none" w:sz="0" w:space="0" w:color="auto"/>
      </w:divBdr>
    </w:div>
    <w:div w:id="1826818754">
      <w:bodyDiv w:val="1"/>
      <w:marLeft w:val="0"/>
      <w:marRight w:val="0"/>
      <w:marTop w:val="0"/>
      <w:marBottom w:val="0"/>
      <w:divBdr>
        <w:top w:val="none" w:sz="0" w:space="0" w:color="auto"/>
        <w:left w:val="none" w:sz="0" w:space="0" w:color="auto"/>
        <w:bottom w:val="none" w:sz="0" w:space="0" w:color="auto"/>
        <w:right w:val="none" w:sz="0" w:space="0" w:color="auto"/>
      </w:divBdr>
    </w:div>
    <w:div w:id="1835954882">
      <w:bodyDiv w:val="1"/>
      <w:marLeft w:val="0"/>
      <w:marRight w:val="0"/>
      <w:marTop w:val="0"/>
      <w:marBottom w:val="0"/>
      <w:divBdr>
        <w:top w:val="none" w:sz="0" w:space="0" w:color="auto"/>
        <w:left w:val="none" w:sz="0" w:space="0" w:color="auto"/>
        <w:bottom w:val="none" w:sz="0" w:space="0" w:color="auto"/>
        <w:right w:val="none" w:sz="0" w:space="0" w:color="auto"/>
      </w:divBdr>
    </w:div>
    <w:div w:id="1847287995">
      <w:bodyDiv w:val="1"/>
      <w:marLeft w:val="0"/>
      <w:marRight w:val="0"/>
      <w:marTop w:val="0"/>
      <w:marBottom w:val="0"/>
      <w:divBdr>
        <w:top w:val="none" w:sz="0" w:space="0" w:color="auto"/>
        <w:left w:val="none" w:sz="0" w:space="0" w:color="auto"/>
        <w:bottom w:val="none" w:sz="0" w:space="0" w:color="auto"/>
        <w:right w:val="none" w:sz="0" w:space="0" w:color="auto"/>
      </w:divBdr>
    </w:div>
    <w:div w:id="1929539428">
      <w:bodyDiv w:val="1"/>
      <w:marLeft w:val="0"/>
      <w:marRight w:val="0"/>
      <w:marTop w:val="0"/>
      <w:marBottom w:val="0"/>
      <w:divBdr>
        <w:top w:val="none" w:sz="0" w:space="0" w:color="auto"/>
        <w:left w:val="none" w:sz="0" w:space="0" w:color="auto"/>
        <w:bottom w:val="none" w:sz="0" w:space="0" w:color="auto"/>
        <w:right w:val="none" w:sz="0" w:space="0" w:color="auto"/>
      </w:divBdr>
    </w:div>
    <w:div w:id="1965190524">
      <w:bodyDiv w:val="1"/>
      <w:marLeft w:val="0"/>
      <w:marRight w:val="0"/>
      <w:marTop w:val="0"/>
      <w:marBottom w:val="0"/>
      <w:divBdr>
        <w:top w:val="none" w:sz="0" w:space="0" w:color="auto"/>
        <w:left w:val="none" w:sz="0" w:space="0" w:color="auto"/>
        <w:bottom w:val="none" w:sz="0" w:space="0" w:color="auto"/>
        <w:right w:val="none" w:sz="0" w:space="0" w:color="auto"/>
      </w:divBdr>
    </w:div>
    <w:div w:id="1965380095">
      <w:bodyDiv w:val="1"/>
      <w:marLeft w:val="0"/>
      <w:marRight w:val="0"/>
      <w:marTop w:val="0"/>
      <w:marBottom w:val="0"/>
      <w:divBdr>
        <w:top w:val="none" w:sz="0" w:space="0" w:color="auto"/>
        <w:left w:val="none" w:sz="0" w:space="0" w:color="auto"/>
        <w:bottom w:val="none" w:sz="0" w:space="0" w:color="auto"/>
        <w:right w:val="none" w:sz="0" w:space="0" w:color="auto"/>
      </w:divBdr>
    </w:div>
    <w:div w:id="2053990890">
      <w:bodyDiv w:val="1"/>
      <w:marLeft w:val="0"/>
      <w:marRight w:val="0"/>
      <w:marTop w:val="0"/>
      <w:marBottom w:val="0"/>
      <w:divBdr>
        <w:top w:val="none" w:sz="0" w:space="0" w:color="auto"/>
        <w:left w:val="none" w:sz="0" w:space="0" w:color="auto"/>
        <w:bottom w:val="none" w:sz="0" w:space="0" w:color="auto"/>
        <w:right w:val="none" w:sz="0" w:space="0" w:color="auto"/>
      </w:divBdr>
    </w:div>
    <w:div w:id="2071270117">
      <w:bodyDiv w:val="1"/>
      <w:marLeft w:val="0"/>
      <w:marRight w:val="0"/>
      <w:marTop w:val="0"/>
      <w:marBottom w:val="0"/>
      <w:divBdr>
        <w:top w:val="none" w:sz="0" w:space="0" w:color="auto"/>
        <w:left w:val="none" w:sz="0" w:space="0" w:color="auto"/>
        <w:bottom w:val="none" w:sz="0" w:space="0" w:color="auto"/>
        <w:right w:val="none" w:sz="0" w:space="0" w:color="auto"/>
      </w:divBdr>
      <w:divsChild>
        <w:div w:id="1323121167">
          <w:marLeft w:val="0"/>
          <w:marRight w:val="0"/>
          <w:marTop w:val="0"/>
          <w:marBottom w:val="0"/>
          <w:divBdr>
            <w:top w:val="none" w:sz="0" w:space="0" w:color="auto"/>
            <w:left w:val="none" w:sz="0" w:space="0" w:color="auto"/>
            <w:bottom w:val="none" w:sz="0" w:space="0" w:color="auto"/>
            <w:right w:val="none" w:sz="0" w:space="0" w:color="auto"/>
          </w:divBdr>
          <w:divsChild>
            <w:div w:id="850992712">
              <w:marLeft w:val="0"/>
              <w:marRight w:val="0"/>
              <w:marTop w:val="0"/>
              <w:marBottom w:val="0"/>
              <w:divBdr>
                <w:top w:val="none" w:sz="0" w:space="0" w:color="auto"/>
                <w:left w:val="none" w:sz="0" w:space="0" w:color="auto"/>
                <w:bottom w:val="none" w:sz="0" w:space="0" w:color="auto"/>
                <w:right w:val="none" w:sz="0" w:space="0" w:color="auto"/>
              </w:divBdr>
              <w:divsChild>
                <w:div w:id="652947226">
                  <w:marLeft w:val="0"/>
                  <w:marRight w:val="0"/>
                  <w:marTop w:val="0"/>
                  <w:marBottom w:val="0"/>
                  <w:divBdr>
                    <w:top w:val="none" w:sz="0" w:space="0" w:color="auto"/>
                    <w:left w:val="none" w:sz="0" w:space="0" w:color="auto"/>
                    <w:bottom w:val="none" w:sz="0" w:space="0" w:color="auto"/>
                    <w:right w:val="none" w:sz="0" w:space="0" w:color="auto"/>
                  </w:divBdr>
                </w:div>
                <w:div w:id="475416457">
                  <w:marLeft w:val="0"/>
                  <w:marRight w:val="0"/>
                  <w:marTop w:val="0"/>
                  <w:marBottom w:val="0"/>
                  <w:divBdr>
                    <w:top w:val="none" w:sz="0" w:space="0" w:color="auto"/>
                    <w:left w:val="none" w:sz="0" w:space="0" w:color="auto"/>
                    <w:bottom w:val="none" w:sz="0" w:space="0" w:color="auto"/>
                    <w:right w:val="none" w:sz="0" w:space="0" w:color="auto"/>
                  </w:divBdr>
                </w:div>
                <w:div w:id="1695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146">
          <w:marLeft w:val="0"/>
          <w:marRight w:val="0"/>
          <w:marTop w:val="0"/>
          <w:marBottom w:val="0"/>
          <w:divBdr>
            <w:top w:val="none" w:sz="0" w:space="0" w:color="auto"/>
            <w:left w:val="none" w:sz="0" w:space="0" w:color="auto"/>
            <w:bottom w:val="none" w:sz="0" w:space="0" w:color="auto"/>
            <w:right w:val="none" w:sz="0" w:space="0" w:color="auto"/>
          </w:divBdr>
        </w:div>
      </w:divsChild>
    </w:div>
    <w:div w:id="21029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renewable-energy/progress-reports" TargetMode="External"/><Relationship Id="rId2" Type="http://schemas.openxmlformats.org/officeDocument/2006/relationships/hyperlink" Target="https://www.eurobserv-er.org/19th-annual-overview-barometer/" TargetMode="External"/><Relationship Id="rId1" Type="http://schemas.openxmlformats.org/officeDocument/2006/relationships/hyperlink" Target="http://publications.jrc.ec.europa.eu/repository/handle/JRC105642" TargetMode="External"/><Relationship Id="rId6" Type="http://schemas.openxmlformats.org/officeDocument/2006/relationships/hyperlink" Target="https://ec.europa.eu/energy/topics/renewable-energy/biofuels/voluntary-schemes_en" TargetMode="External"/><Relationship Id="rId5" Type="http://schemas.openxmlformats.org/officeDocument/2006/relationships/hyperlink" Target="https://www.bloomberg.com/news/articles/2020-09-01/the-world-added-more-solar-wind-than-anything-else-last-year" TargetMode="External"/><Relationship Id="rId4" Type="http://schemas.openxmlformats.org/officeDocument/2006/relationships/hyperlink" Target="https://ec.europa.eu/energy/en/topics/renewable-energy/national-action-plans"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01b05e8-1b4f-451b-82dc-925fd82222d6" xsi:nil="true"/>
    <EC_Collab_Status xmlns="201b05e8-1b4f-451b-82dc-925fd82222d6">Not Started</EC_Collab_Status>
    <EC_Collab_DocumentLanguage xmlns="201b05e8-1b4f-451b-82dc-925fd82222d6">EN</EC_Collab_DocumentLanguage>
    <EC_ARES_NUMBER xmlns="201b05e8-1b4f-451b-82dc-925fd82222d6">
      <Url xsi:nil="true"/>
      <Description xsi:nil="true"/>
    </EC_ARES_NUMBER>
    <EC_ARES_DATE_TRANSFERRED xmlns="201b05e8-1b4f-451b-82dc-925fd82222d6" xsi:nil="true"/>
    <EC_ARES_TRANSFERRED_BY xmlns="201b05e8-1b4f-451b-82dc-925fd82222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4F0F68B67CF1945B8B4A078243B88F3" ma:contentTypeVersion="4" ma:contentTypeDescription="Create a new document in this library." ma:contentTypeScope="" ma:versionID="e548ff0eb8a5516e267d16fbca85b44e">
  <xsd:schema xmlns:xsd="http://www.w3.org/2001/XMLSchema" xmlns:xs="http://www.w3.org/2001/XMLSchema" xmlns:p="http://schemas.microsoft.com/office/2006/metadata/properties" xmlns:ns3="201b05e8-1b4f-451b-82dc-925fd82222d6" targetNamespace="http://schemas.microsoft.com/office/2006/metadata/properties" ma:root="true" ma:fieldsID="c5658f23f79abb7146a6473380558250" ns3:_="">
    <xsd:import namespace="201b05e8-1b4f-451b-82dc-925fd82222d6"/>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05e8-1b4f-451b-82dc-925fd82222d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F53A68-698E-46B4-9BA1-4254F238641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01b05e8-1b4f-451b-82dc-925fd82222d6"/>
    <ds:schemaRef ds:uri="http://www.w3.org/XML/1998/namespace"/>
    <ds:schemaRef ds:uri="http://purl.org/dc/dcmitype/"/>
  </ds:schemaRefs>
</ds:datastoreItem>
</file>

<file path=customXml/itemProps2.xml><?xml version="1.0" encoding="utf-8"?>
<ds:datastoreItem xmlns:ds="http://schemas.openxmlformats.org/officeDocument/2006/customXml" ds:itemID="{AA8D8286-EBD5-4951-8DB6-9A1A2F74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05e8-1b4f-451b-82dc-925fd822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3D722-B8B6-49F5-8C14-46C143A28125}">
  <ds:schemaRefs>
    <ds:schemaRef ds:uri="http://schemas.microsoft.com/sharepoint/v3/contenttype/forms"/>
  </ds:schemaRefs>
</ds:datastoreItem>
</file>

<file path=customXml/itemProps4.xml><?xml version="1.0" encoding="utf-8"?>
<ds:datastoreItem xmlns:ds="http://schemas.openxmlformats.org/officeDocument/2006/customXml" ds:itemID="{ECA9B201-0A85-4200-A9AA-3D0B5316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7126</Words>
  <Characters>37342</Characters>
  <Application>Microsoft Office Word</Application>
  <DocSecurity>0</DocSecurity>
  <Lines>1623</Lines>
  <Paragraphs>1058</Paragraphs>
  <ScaleCrop>false</ScaleCrop>
  <HeadingPairs>
    <vt:vector size="2" baseType="variant">
      <vt:variant>
        <vt:lpstr>Title</vt:lpstr>
      </vt:variant>
      <vt:variant>
        <vt:i4>1</vt:i4>
      </vt:variant>
    </vt:vector>
  </HeadingPairs>
  <TitlesOfParts>
    <vt:vector size="1" baseType="lpstr">
      <vt:lpstr>RES progress report</vt:lpstr>
    </vt:vector>
  </TitlesOfParts>
  <Manager/>
  <Company/>
  <LinksUpToDate>false</LinksUpToDate>
  <CharactersWithSpaces>43410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progress report</dc:title>
  <dc:subject/>
  <dc:creator/>
  <cp:keywords/>
  <dc:description/>
  <cp:lastModifiedBy>DIGIT/C6</cp:lastModifiedBy>
  <cp:revision>14</cp:revision>
  <cp:lastPrinted>2019-03-28T14:39:00Z</cp:lastPrinted>
  <dcterms:created xsi:type="dcterms:W3CDTF">2020-10-07T11:26:00Z</dcterms:created>
  <dcterms:modified xsi:type="dcterms:W3CDTF">2020-10-07T12:31:00Z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y fmtid="{D5CDD505-2E9C-101B-9397-08002B2CF9AE}" pid="9" name="_LW_INVALIDATED__LW_INVALIDATED_ContentTypeId">
    <vt:lpwstr>0x010100258AA79CEB83498886A3A086811232500084F0F68B67CF1945B8B4A078243B88F3</vt:lpwstr>
  </property>
</Properties>
</file>