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9D8" w:rsidRDefault="007B473E" w:rsidP="007B473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9D60461B-BCD4-4408-B2D9-769B8421255C" style="width:450.3pt;height:374.65pt">
            <v:imagedata r:id="rId8" o:title=""/>
          </v:shape>
        </w:pict>
      </w:r>
    </w:p>
    <w:bookmarkEnd w:id="0"/>
    <w:p w:rsidR="007179D8" w:rsidRDefault="007179D8">
      <w:pPr>
        <w:rPr>
          <w:rFonts w:ascii="Times New Roman" w:hAnsi="Times New Roman" w:cs="Times New Roman"/>
          <w:noProof/>
        </w:rPr>
        <w:sectPr w:rsidR="007179D8" w:rsidSect="007B473E">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7179D8" w:rsidRDefault="007B473E">
      <w:pPr>
        <w:pStyle w:val="Heading1"/>
        <w:numPr>
          <w:ilvl w:val="0"/>
          <w:numId w:val="10"/>
        </w:numPr>
        <w:spacing w:after="240"/>
        <w:ind w:left="714" w:hanging="357"/>
        <w:rPr>
          <w:rFonts w:eastAsia="Times New Roman"/>
          <w:noProof/>
          <w:color w:val="auto"/>
        </w:rPr>
      </w:pPr>
      <w:bookmarkStart w:id="1" w:name="_GoBack"/>
      <w:bookmarkEnd w:id="1"/>
      <w:r>
        <w:rPr>
          <w:noProof/>
          <w:color w:val="auto"/>
        </w:rPr>
        <w:lastRenderedPageBreak/>
        <w:t>Introduction</w:t>
      </w:r>
    </w:p>
    <w:p w:rsidR="007179D8" w:rsidRDefault="007B473E">
      <w:pPr>
        <w:spacing w:after="240"/>
        <w:jc w:val="both"/>
        <w:rPr>
          <w:rFonts w:ascii="Times New Roman" w:hAnsi="Times New Roman" w:cs="Times New Roman"/>
          <w:noProof/>
          <w:sz w:val="24"/>
          <w:szCs w:val="24"/>
        </w:rPr>
      </w:pPr>
      <w:r>
        <w:rPr>
          <w:rFonts w:ascii="Times New Roman" w:hAnsi="Times New Roman"/>
          <w:noProof/>
          <w:sz w:val="24"/>
          <w:szCs w:val="24"/>
        </w:rPr>
        <w:t>Les directives «Oiseaux»</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et «Habitats»</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de l’Union européenne (ci-après les «directives relatives à la nature»), qui sous-tendent le réseau Natura 2000 de zones protégées, constituent une pierre angulaire de la politique de l’Union en matière de biodiversité. Elles ont pour objectif de garantir</w:t>
      </w:r>
      <w:r>
        <w:rPr>
          <w:rFonts w:ascii="Times New Roman" w:hAnsi="Times New Roman"/>
          <w:noProof/>
          <w:sz w:val="24"/>
          <w:szCs w:val="24"/>
        </w:rPr>
        <w:t xml:space="preserve"> la conservation des espèces et des types d’habitats d’importance pour l’Union européenne, en protégeant tous les oiseaux sauvages (plus de 460 espèces), les habitats représentatifs et menacés (233 types, des prairies sous-marines aux alpages) et près de 1</w:t>
      </w:r>
      <w:r>
        <w:rPr>
          <w:rFonts w:ascii="Times New Roman" w:hAnsi="Times New Roman"/>
          <w:noProof/>
          <w:sz w:val="24"/>
          <w:szCs w:val="24"/>
        </w:rPr>
        <w:t> 400 autres espèces, des plantes minuscules aux mammifères, y compris de nombreuses espèces sauvages emblématiques. Elles imposent aux États membres d’assurer le maintien ou le rétablissement, dans un état de conservation favorable, de ces espèces et habit</w:t>
      </w:r>
      <w:r>
        <w:rPr>
          <w:rFonts w:ascii="Times New Roman" w:hAnsi="Times New Roman"/>
          <w:noProof/>
          <w:sz w:val="24"/>
          <w:szCs w:val="24"/>
        </w:rPr>
        <w:t>ats.</w:t>
      </w:r>
    </w:p>
    <w:p w:rsidR="007179D8" w:rsidRDefault="007B473E">
      <w:pPr>
        <w:spacing w:after="240"/>
        <w:jc w:val="both"/>
        <w:rPr>
          <w:rFonts w:ascii="Times New Roman" w:hAnsi="Times New Roman" w:cs="Times New Roman"/>
          <w:noProof/>
          <w:sz w:val="24"/>
          <w:szCs w:val="24"/>
        </w:rPr>
      </w:pPr>
      <w:r>
        <w:rPr>
          <w:rFonts w:ascii="Times New Roman" w:hAnsi="Times New Roman"/>
          <w:noProof/>
          <w:sz w:val="24"/>
          <w:szCs w:val="24"/>
        </w:rPr>
        <w:t>Pour permettre à la Commission d’évaluer les progrès accomplis dans la réalisation des objectifs des directives relatives à la nature, les États membres sont tenus de lui transmettre un rapport tous les six ans, comme le prévoient l’article 12 de la d</w:t>
      </w:r>
      <w:r>
        <w:rPr>
          <w:rFonts w:ascii="Times New Roman" w:hAnsi="Times New Roman"/>
          <w:noProof/>
          <w:sz w:val="24"/>
          <w:szCs w:val="24"/>
        </w:rPr>
        <w:t>irective «Oiseaux» et l’article 17 de la directive «Habitats», en particulier sur l’état de conservation et les tendances des habitats et des espèces qu’ils protègent. Le présent rapport de synthèse, qui constitue la troisième évaluation de l’état de conse</w:t>
      </w:r>
      <w:r>
        <w:rPr>
          <w:rFonts w:ascii="Times New Roman" w:hAnsi="Times New Roman"/>
          <w:noProof/>
          <w:sz w:val="24"/>
          <w:szCs w:val="24"/>
        </w:rPr>
        <w:t>rvation de l’Union européenne réalisée conformément aux directives, est le fruit de l’exercice de collecte de données et d’établissement de rapport le plus important et le plus complet réalisé sur l’état de conservation de la nature en Europe. Il décrit l’</w:t>
      </w:r>
      <w:r>
        <w:rPr>
          <w:rFonts w:ascii="Times New Roman" w:hAnsi="Times New Roman"/>
          <w:noProof/>
          <w:sz w:val="24"/>
          <w:szCs w:val="24"/>
        </w:rPr>
        <w:t>état de conservation des habitats et des espèces ainsi que les tendances observées au cours de la période 2013</w:t>
      </w:r>
      <w:r>
        <w:rPr>
          <w:rFonts w:ascii="Times New Roman" w:hAnsi="Times New Roman"/>
          <w:noProof/>
          <w:sz w:val="24"/>
          <w:szCs w:val="24"/>
        </w:rPr>
        <w:noBreakHyphen/>
        <w:t>-2018, tels que communiqués par les 28 États membres</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fournissant un aperçu actualisé de l’état de santé de la nature dans l’Union européenne. I</w:t>
      </w:r>
      <w:r>
        <w:rPr>
          <w:rFonts w:ascii="Times New Roman" w:hAnsi="Times New Roman"/>
          <w:noProof/>
          <w:sz w:val="24"/>
          <w:szCs w:val="24"/>
        </w:rPr>
        <w:t>l analyse les changements survenus au fil du temps, les principales pressions et la contribution du réseau Natura 2000 à la conservation des espèces et des habitats protégés. L’analyse est étayée par une évaluation technique détaillée réalisée par l’Agence</w:t>
      </w:r>
      <w:r>
        <w:rPr>
          <w:rFonts w:ascii="Times New Roman" w:hAnsi="Times New Roman"/>
          <w:noProof/>
          <w:sz w:val="24"/>
          <w:szCs w:val="24"/>
        </w:rPr>
        <w:t xml:space="preserve"> européenne pour l’environnement</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w:t>
      </w:r>
    </w:p>
    <w:p w:rsidR="007179D8" w:rsidRDefault="007179D8">
      <w:pPr>
        <w:spacing w:after="240"/>
        <w:jc w:val="both"/>
        <w:rPr>
          <w:rFonts w:ascii="Times New Roman" w:hAnsi="Times New Roman" w:cs="Times New Roman"/>
          <w:noProof/>
          <w:sz w:val="24"/>
          <w:szCs w:val="24"/>
        </w:rPr>
      </w:pPr>
    </w:p>
    <w:p w:rsidR="007179D8" w:rsidRDefault="007B473E">
      <w:pPr>
        <w:pStyle w:val="Heading1"/>
        <w:numPr>
          <w:ilvl w:val="0"/>
          <w:numId w:val="10"/>
        </w:numPr>
        <w:spacing w:after="240"/>
        <w:ind w:left="714" w:hanging="357"/>
        <w:rPr>
          <w:rFonts w:eastAsia="Times New Roman"/>
          <w:noProof/>
          <w:color w:val="auto"/>
        </w:rPr>
      </w:pPr>
      <w:r>
        <w:rPr>
          <w:noProof/>
          <w:color w:val="auto"/>
        </w:rPr>
        <w:t>État des habitats et des espèces dans l’UE et tendances observées</w:t>
      </w:r>
    </w:p>
    <w:p w:rsidR="007179D8" w:rsidRDefault="007B473E">
      <w:pPr>
        <w:spacing w:after="240"/>
        <w:jc w:val="both"/>
        <w:rPr>
          <w:rFonts w:ascii="Times New Roman" w:hAnsi="Times New Roman" w:cs="Times New Roman"/>
          <w:noProof/>
          <w:sz w:val="24"/>
          <w:szCs w:val="24"/>
        </w:rPr>
      </w:pPr>
      <w:r>
        <w:rPr>
          <w:rFonts w:ascii="Times New Roman" w:hAnsi="Times New Roman"/>
          <w:noProof/>
          <w:sz w:val="24"/>
          <w:szCs w:val="24"/>
        </w:rPr>
        <w:t>Les États membres transmettent leurs données dans un format harmonisé, afin que celles-ci puissent être introduites dans les bases de données utilisées p</w:t>
      </w:r>
      <w:r>
        <w:rPr>
          <w:rFonts w:ascii="Times New Roman" w:hAnsi="Times New Roman"/>
          <w:noProof/>
          <w:sz w:val="24"/>
          <w:szCs w:val="24"/>
        </w:rPr>
        <w:t>ar l’Agence européenne pour l’environnement aux fins des évaluations agrégées au niveau de l’Union.</w:t>
      </w:r>
    </w:p>
    <w:p w:rsidR="007179D8" w:rsidRDefault="007B473E">
      <w:pPr>
        <w:spacing w:after="240"/>
        <w:jc w:val="both"/>
        <w:rPr>
          <w:rFonts w:ascii="Times New Roman" w:hAnsi="Times New Roman" w:cs="Times New Roman"/>
          <w:noProof/>
          <w:sz w:val="24"/>
          <w:szCs w:val="24"/>
        </w:rPr>
      </w:pPr>
      <w:r>
        <w:rPr>
          <w:rFonts w:ascii="Times New Roman" w:hAnsi="Times New Roman"/>
          <w:noProof/>
          <w:sz w:val="24"/>
          <w:szCs w:val="24"/>
        </w:rPr>
        <w:t>En ce qui concerne les oiseaux, l’évaluation est réalisée au niveau de l’Union européenne. Les espèces et les types d’habitats protégés couverts par la dire</w:t>
      </w:r>
      <w:r>
        <w:rPr>
          <w:rFonts w:ascii="Times New Roman" w:hAnsi="Times New Roman"/>
          <w:noProof/>
          <w:sz w:val="24"/>
          <w:szCs w:val="24"/>
        </w:rPr>
        <w:t>ctive «Habitats» sont appréciés au niveau de neuf régions «biogéographiques»</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terrestres et de cinq régions marines</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Afin de garantir une communication claire et cohérente, les résultats sont présentés à l’aide d’un code à trois couleurs (vert-ambre-rouge</w:t>
      </w:r>
      <w:r>
        <w:rPr>
          <w:rFonts w:ascii="Times New Roman" w:hAnsi="Times New Roman"/>
          <w:noProof/>
          <w:sz w:val="24"/>
          <w:szCs w:val="24"/>
        </w:rPr>
        <w:t>), pour indiquer un état de conservation «favorable», «insuffisant» et «médiocre»</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L’ensemble des données statistiques sur l’état de conservation général et les tendances globales reposent sur le nombre d’évaluations réalisées au niveau de l’Union pour de</w:t>
      </w:r>
      <w:r>
        <w:rPr>
          <w:rFonts w:ascii="Times New Roman" w:hAnsi="Times New Roman"/>
          <w:noProof/>
          <w:sz w:val="24"/>
          <w:szCs w:val="24"/>
        </w:rPr>
        <w:t>s habitats et des espèces spécifiques.</w:t>
      </w:r>
    </w:p>
    <w:p w:rsidR="007179D8" w:rsidRDefault="007B473E">
      <w:pPr>
        <w:spacing w:after="240"/>
        <w:jc w:val="both"/>
        <w:rPr>
          <w:rFonts w:ascii="Times New Roman" w:hAnsi="Times New Roman" w:cs="Times New Roman"/>
          <w:noProof/>
          <w:sz w:val="24"/>
          <w:szCs w:val="24"/>
        </w:rPr>
      </w:pPr>
      <w:r>
        <w:rPr>
          <w:rFonts w:ascii="Times New Roman" w:hAnsi="Times New Roman"/>
          <w:noProof/>
          <w:sz w:val="24"/>
          <w:szCs w:val="24"/>
        </w:rPr>
        <w:t>Si cette agrégation des données communiquées par les États membres est nécessaire pour procéder à des évaluations au niveau de l’Union européenne et des régions biogéographiques, elle peut dissimuler des évolutions po</w:t>
      </w:r>
      <w:r>
        <w:rPr>
          <w:rFonts w:ascii="Times New Roman" w:hAnsi="Times New Roman"/>
          <w:noProof/>
          <w:sz w:val="24"/>
          <w:szCs w:val="24"/>
        </w:rPr>
        <w:t>sitives à des échelons inférieurs (c’est-à-dire au niveau local, régional ou national).</w:t>
      </w:r>
    </w:p>
    <w:p w:rsidR="007179D8" w:rsidRDefault="007B473E">
      <w:pPr>
        <w:spacing w:before="240" w:after="240"/>
        <w:jc w:val="both"/>
        <w:rPr>
          <w:rFonts w:ascii="Times New Roman" w:hAnsi="Times New Roman" w:cs="Times New Roman"/>
          <w:b/>
          <w:i/>
          <w:noProof/>
          <w:sz w:val="24"/>
          <w:szCs w:val="24"/>
          <w:u w:val="single"/>
        </w:rPr>
      </w:pPr>
      <w:r>
        <w:rPr>
          <w:rFonts w:ascii="Times New Roman" w:hAnsi="Times New Roman"/>
          <w:b/>
          <w:i/>
          <w:noProof/>
          <w:sz w:val="24"/>
          <w:szCs w:val="24"/>
          <w:u w:val="single"/>
        </w:rPr>
        <w:t>2.1 Oiseaux</w:t>
      </w:r>
    </w:p>
    <w:p w:rsidR="007179D8" w:rsidRDefault="007B473E">
      <w:pPr>
        <w:spacing w:after="240"/>
        <w:jc w:val="both"/>
        <w:rPr>
          <w:rFonts w:ascii="Times New Roman" w:hAnsi="Times New Roman" w:cs="Times New Roman"/>
          <w:noProof/>
          <w:sz w:val="24"/>
          <w:szCs w:val="24"/>
        </w:rPr>
      </w:pPr>
      <w:r>
        <w:rPr>
          <w:rFonts w:ascii="Times New Roman" w:hAnsi="Times New Roman"/>
          <w:noProof/>
          <w:sz w:val="24"/>
          <w:szCs w:val="24"/>
        </w:rPr>
        <w:t xml:space="preserve">La directive «Oiseaux» protège toutes les espèces d’oiseaux vivant naturellement à l’état sauvage sur le territoire européen des États membres (plus de </w:t>
      </w:r>
      <w:r>
        <w:rPr>
          <w:rFonts w:ascii="Times New Roman" w:hAnsi="Times New Roman"/>
          <w:noProof/>
          <w:sz w:val="24"/>
          <w:szCs w:val="24"/>
        </w:rPr>
        <w:t>460 espèces). À son annexe I, elle énumère 197 (sous-)espèces qui doivent faire l’objet de mesures de conservation spéciale concernant leur habitat, y compris par la désignation de zones de protection spéciale (ZPS). L’annexe II énumère 86 (sous-)espèces q</w:t>
      </w:r>
      <w:r>
        <w:rPr>
          <w:rFonts w:ascii="Times New Roman" w:hAnsi="Times New Roman"/>
          <w:noProof/>
          <w:sz w:val="24"/>
          <w:szCs w:val="24"/>
        </w:rPr>
        <w:t>ui peuvent être chassées en vertu de la législation nationale.</w:t>
      </w:r>
    </w:p>
    <w:p w:rsidR="007179D8" w:rsidRDefault="007179D8">
      <w:pPr>
        <w:spacing w:after="240"/>
        <w:jc w:val="both"/>
        <w:rPr>
          <w:rFonts w:ascii="Times New Roman" w:hAnsi="Times New Roman" w:cs="Times New Roman"/>
          <w:noProof/>
          <w:sz w:val="24"/>
          <w:szCs w:val="24"/>
        </w:rPr>
      </w:pPr>
    </w:p>
    <w:p w:rsidR="007179D8" w:rsidRDefault="007B473E">
      <w:pPr>
        <w:spacing w:after="240"/>
        <w:rPr>
          <w:rFonts w:ascii="Times New Roman" w:eastAsia="Calibri" w:hAnsi="Times New Roman" w:cs="Times New Roman"/>
          <w:noProof/>
          <w:sz w:val="24"/>
          <w:szCs w:val="24"/>
        </w:rPr>
      </w:pPr>
      <w:r>
        <w:rPr>
          <w:rFonts w:ascii="Times New Roman" w:hAnsi="Times New Roman"/>
          <w:b/>
          <w:bCs/>
          <w:noProof/>
          <w:sz w:val="24"/>
          <w:szCs w:val="24"/>
        </w:rPr>
        <w:t>Oiseaux — état des populations au niveau de l’UE</w:t>
      </w:r>
    </w:p>
    <w:tbl>
      <w:tblPr>
        <w:tblStyle w:val="HTG1"/>
        <w:tblpPr w:leftFromText="141" w:rightFromText="141" w:vertAnchor="text" w:horzAnchor="margin" w:tblpY="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0"/>
      </w:tblGrid>
      <w:tr w:rsidR="007179D8">
        <w:tc>
          <w:tcPr>
            <w:tcW w:w="6516" w:type="dxa"/>
          </w:tcPr>
          <w:p w:rsidR="007179D8" w:rsidRDefault="007B473E">
            <w:pPr>
              <w:spacing w:after="120"/>
              <w:rPr>
                <w:rFonts w:ascii="Times New Roman" w:hAnsi="Times New Roman" w:cs="Times New Roman"/>
                <w:b/>
                <w:noProof/>
                <w:sz w:val="20"/>
                <w:szCs w:val="20"/>
              </w:rPr>
            </w:pPr>
            <w:r>
              <w:rPr>
                <w:rFonts w:ascii="Times New Roman" w:hAnsi="Times New Roman"/>
                <w:b/>
                <w:noProof/>
                <w:sz w:val="20"/>
                <w:szCs w:val="20"/>
              </w:rPr>
              <w:t>Graphique 1: état de la population des espèces d’oiseaux dans l’UE</w:t>
            </w:r>
          </w:p>
        </w:tc>
      </w:tr>
      <w:tr w:rsidR="007179D8">
        <w:tblPrEx>
          <w:tblCellMar>
            <w:left w:w="70" w:type="dxa"/>
            <w:right w:w="70" w:type="dxa"/>
          </w:tblCellMar>
        </w:tblPrEx>
        <w:trPr>
          <w:trHeight w:val="3299"/>
        </w:trPr>
        <w:tc>
          <w:tcPr>
            <w:tcW w:w="6516" w:type="dxa"/>
            <w:vAlign w:val="center"/>
          </w:tcPr>
          <w:p w:rsidR="007179D8" w:rsidRDefault="007B473E">
            <w:pPr>
              <w:jc w:val="center"/>
              <w:rPr>
                <w:rFonts w:ascii="Times New Roman" w:hAnsi="Times New Roman" w:cs="Times New Roman"/>
                <w:noProof/>
              </w:rPr>
            </w:pPr>
            <w:r>
              <w:rPr>
                <w:rFonts w:ascii="Times New Roman" w:hAnsi="Times New Roman" w:cs="Times New Roman"/>
                <w:noProof/>
                <w:lang w:val="en-GB" w:eastAsia="en-GB"/>
              </w:rPr>
              <w:drawing>
                <wp:inline distT="0" distB="0" distL="0" distR="0">
                  <wp:extent cx="4067175" cy="2620010"/>
                  <wp:effectExtent l="0" t="0" r="9525" b="8890"/>
                  <wp:docPr id="1397633221" name="Picture 139763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7175" cy="2620010"/>
                          </a:xfrm>
                          <a:prstGeom prst="rect">
                            <a:avLst/>
                          </a:prstGeom>
                          <a:noFill/>
                          <a:ln>
                            <a:noFill/>
                          </a:ln>
                        </pic:spPr>
                      </pic:pic>
                    </a:graphicData>
                  </a:graphic>
                </wp:inline>
              </w:drawing>
            </w:r>
          </w:p>
        </w:tc>
      </w:tr>
      <w:tr w:rsidR="007179D8">
        <w:tc>
          <w:tcPr>
            <w:tcW w:w="6516" w:type="dxa"/>
          </w:tcPr>
          <w:p w:rsidR="007179D8" w:rsidRDefault="007B473E">
            <w:pPr>
              <w:rPr>
                <w:rFonts w:ascii="Times New Roman" w:eastAsia="Calibri" w:hAnsi="Times New Roman" w:cs="Times New Roman"/>
                <w:noProof/>
                <w:sz w:val="18"/>
                <w:szCs w:val="18"/>
              </w:rPr>
            </w:pPr>
            <w:r>
              <w:rPr>
                <w:rFonts w:ascii="Times New Roman" w:hAnsi="Times New Roman"/>
                <w:b/>
                <w:bCs/>
                <w:noProof/>
                <w:sz w:val="18"/>
                <w:szCs w:val="18"/>
              </w:rPr>
              <w:t>Remarque</w:t>
            </w:r>
            <w:r>
              <w:rPr>
                <w:rFonts w:ascii="Times New Roman" w:hAnsi="Times New Roman"/>
                <w:noProof/>
                <w:sz w:val="18"/>
                <w:szCs w:val="18"/>
              </w:rPr>
              <w:t xml:space="preserve">: le nombre total d’évaluations est de 463 (une évaluation par </w:t>
            </w:r>
            <w:r>
              <w:rPr>
                <w:rFonts w:ascii="Times New Roman" w:hAnsi="Times New Roman"/>
                <w:noProof/>
                <w:sz w:val="18"/>
                <w:szCs w:val="18"/>
              </w:rPr>
              <w:t>espèce).</w:t>
            </w:r>
          </w:p>
        </w:tc>
      </w:tr>
    </w:tbl>
    <w:p w:rsidR="007179D8" w:rsidRDefault="007179D8">
      <w:pPr>
        <w:spacing w:before="40" w:after="40" w:line="240" w:lineRule="auto"/>
        <w:ind w:left="357"/>
        <w:rPr>
          <w:rFonts w:ascii="Times New Roman" w:hAnsi="Times New Roman" w:cs="Times New Roman"/>
          <w:noProof/>
          <w:sz w:val="20"/>
          <w:szCs w:val="20"/>
        </w:rPr>
      </w:pPr>
    </w:p>
    <w:p w:rsidR="007179D8" w:rsidRDefault="007179D8">
      <w:pPr>
        <w:spacing w:after="120"/>
        <w:rPr>
          <w:rFonts w:ascii="Times New Roman" w:eastAsia="Calibri" w:hAnsi="Times New Roman" w:cs="Times New Roman"/>
          <w:noProof/>
        </w:rPr>
      </w:pPr>
    </w:p>
    <w:p w:rsidR="007179D8" w:rsidRDefault="007179D8">
      <w:pPr>
        <w:spacing w:after="120"/>
        <w:jc w:val="both"/>
        <w:rPr>
          <w:rFonts w:ascii="Times New Roman" w:eastAsia="Calibri" w:hAnsi="Times New Roman" w:cs="Times New Roman"/>
          <w:noProof/>
        </w:rPr>
      </w:pPr>
    </w:p>
    <w:p w:rsidR="007179D8" w:rsidRDefault="007179D8">
      <w:pPr>
        <w:spacing w:after="120"/>
        <w:jc w:val="both"/>
        <w:rPr>
          <w:rFonts w:ascii="Times New Roman" w:eastAsia="Calibri" w:hAnsi="Times New Roman" w:cs="Times New Roman"/>
          <w:noProof/>
        </w:rPr>
      </w:pPr>
    </w:p>
    <w:p w:rsidR="007179D8" w:rsidRDefault="007179D8">
      <w:pPr>
        <w:spacing w:after="120"/>
        <w:jc w:val="both"/>
        <w:rPr>
          <w:rFonts w:ascii="Times New Roman" w:eastAsia="Calibri" w:hAnsi="Times New Roman" w:cs="Times New Roman"/>
          <w:noProof/>
        </w:rPr>
      </w:pPr>
    </w:p>
    <w:p w:rsidR="007179D8" w:rsidRDefault="007179D8">
      <w:pPr>
        <w:spacing w:after="120"/>
        <w:jc w:val="both"/>
        <w:rPr>
          <w:rFonts w:ascii="Times New Roman" w:eastAsia="Calibri" w:hAnsi="Times New Roman" w:cs="Times New Roman"/>
          <w:noProof/>
        </w:rPr>
      </w:pPr>
    </w:p>
    <w:p w:rsidR="007179D8" w:rsidRDefault="007179D8">
      <w:pPr>
        <w:spacing w:after="120"/>
        <w:jc w:val="both"/>
        <w:rPr>
          <w:rFonts w:ascii="Times New Roman" w:eastAsia="Calibri" w:hAnsi="Times New Roman" w:cs="Times New Roman"/>
          <w:noProof/>
        </w:rPr>
      </w:pPr>
    </w:p>
    <w:p w:rsidR="007179D8" w:rsidRDefault="007179D8">
      <w:pPr>
        <w:spacing w:after="120"/>
        <w:jc w:val="both"/>
        <w:rPr>
          <w:rFonts w:ascii="Times New Roman" w:eastAsia="Calibri" w:hAnsi="Times New Roman" w:cs="Times New Roman"/>
          <w:noProof/>
        </w:rPr>
      </w:pPr>
    </w:p>
    <w:p w:rsidR="007179D8" w:rsidRDefault="007179D8">
      <w:pPr>
        <w:spacing w:after="120"/>
        <w:jc w:val="both"/>
        <w:rPr>
          <w:rFonts w:ascii="Times New Roman" w:eastAsia="Calibri" w:hAnsi="Times New Roman" w:cs="Times New Roman"/>
          <w:noProof/>
        </w:rPr>
      </w:pPr>
    </w:p>
    <w:p w:rsidR="007179D8" w:rsidRDefault="007179D8">
      <w:pPr>
        <w:spacing w:after="120"/>
        <w:jc w:val="both"/>
        <w:rPr>
          <w:rFonts w:ascii="Times New Roman" w:eastAsia="Calibri" w:hAnsi="Times New Roman" w:cs="Times New Roman"/>
          <w:noProof/>
        </w:rPr>
      </w:pPr>
    </w:p>
    <w:p w:rsidR="007179D8" w:rsidRDefault="007179D8">
      <w:pPr>
        <w:spacing w:after="120"/>
        <w:jc w:val="both"/>
        <w:rPr>
          <w:rFonts w:ascii="Times New Roman" w:eastAsia="Calibri" w:hAnsi="Times New Roman" w:cs="Times New Roman"/>
          <w:noProof/>
        </w:rPr>
      </w:pPr>
    </w:p>
    <w:p w:rsidR="007179D8" w:rsidRDefault="007179D8">
      <w:pPr>
        <w:spacing w:after="120"/>
        <w:jc w:val="both"/>
        <w:rPr>
          <w:rFonts w:ascii="Times New Roman" w:eastAsia="Calibri" w:hAnsi="Times New Roman" w:cs="Times New Roman"/>
          <w:noProof/>
        </w:rPr>
      </w:pPr>
    </w:p>
    <w:p w:rsidR="007179D8" w:rsidRDefault="007B473E">
      <w:pPr>
        <w:spacing w:before="240" w:after="240"/>
        <w:jc w:val="both"/>
        <w:rPr>
          <w:rFonts w:ascii="Times New Roman" w:eastAsia="Calibri" w:hAnsi="Times New Roman" w:cs="Times New Roman"/>
          <w:noProof/>
          <w:sz w:val="24"/>
          <w:szCs w:val="24"/>
        </w:rPr>
      </w:pPr>
      <w:r>
        <w:rPr>
          <w:rFonts w:ascii="Times New Roman" w:hAnsi="Times New Roman"/>
          <w:noProof/>
          <w:sz w:val="24"/>
          <w:szCs w:val="24"/>
        </w:rPr>
        <w:t xml:space="preserve">L’évaluation au niveau de l’Union européenne indique que l’état des populations est jugé «favorable» pour 47 % de l’ensemble des espèces d’oiseaux, ce qui représente une baisse de cinq points de pourcentage (p.p.) par rapport au taux </w:t>
      </w:r>
      <w:r>
        <w:rPr>
          <w:rFonts w:ascii="Times New Roman" w:hAnsi="Times New Roman"/>
          <w:noProof/>
          <w:sz w:val="24"/>
          <w:szCs w:val="24"/>
        </w:rPr>
        <w:t>de 52 % enregistré en 2015</w:t>
      </w:r>
      <w:r>
        <w:rPr>
          <w:rStyle w:val="FootnoteReference"/>
          <w:rFonts w:ascii="Times New Roman" w:eastAsia="Calibri" w:hAnsi="Times New Roman" w:cs="Times New Roman"/>
          <w:noProof/>
          <w:sz w:val="24"/>
          <w:szCs w:val="24"/>
        </w:rPr>
        <w:footnoteReference w:id="8"/>
      </w:r>
      <w:r>
        <w:rPr>
          <w:rFonts w:ascii="Times New Roman" w:hAnsi="Times New Roman"/>
          <w:noProof/>
          <w:sz w:val="24"/>
          <w:szCs w:val="24"/>
        </w:rPr>
        <w:t>. La proportion d’espèces dont l’état de la population est considéré comme «insuffisant» et «médiocre» est passée de 32 % à 39 %, tandis que l’état de la population demeure «inconnu» pour 14 % des espèces (contre 16 % en 2015) en</w:t>
      </w:r>
      <w:r>
        <w:rPr>
          <w:rFonts w:ascii="Times New Roman" w:hAnsi="Times New Roman"/>
          <w:noProof/>
          <w:sz w:val="24"/>
          <w:szCs w:val="24"/>
        </w:rPr>
        <w:t xml:space="preserve"> raison du manque de données fiables.</w:t>
      </w:r>
    </w:p>
    <w:p w:rsidR="007179D8" w:rsidRDefault="007B473E">
      <w:pPr>
        <w:rPr>
          <w:rFonts w:ascii="Times New Roman" w:eastAsia="Calibri" w:hAnsi="Times New Roman" w:cs="Times New Roman"/>
          <w:b/>
          <w:bCs/>
          <w:noProof/>
        </w:rPr>
      </w:pPr>
      <w:r>
        <w:rPr>
          <w:noProof/>
        </w:rPr>
        <w:br w:type="page"/>
      </w:r>
    </w:p>
    <w:p w:rsidR="007179D8" w:rsidRDefault="007B473E">
      <w:pPr>
        <w:spacing w:after="240"/>
        <w:rPr>
          <w:rFonts w:ascii="Times New Roman" w:eastAsia="Calibri" w:hAnsi="Times New Roman" w:cs="Times New Roman"/>
          <w:b/>
          <w:bCs/>
          <w:noProof/>
          <w:sz w:val="24"/>
          <w:szCs w:val="24"/>
        </w:rPr>
      </w:pPr>
      <w:r>
        <w:rPr>
          <w:rFonts w:ascii="Times New Roman" w:hAnsi="Times New Roman"/>
          <w:b/>
          <w:bCs/>
          <w:noProof/>
          <w:sz w:val="24"/>
          <w:szCs w:val="24"/>
        </w:rPr>
        <w:t>Oiseaux — tendances des populations au niveau de l’UE</w:t>
      </w:r>
    </w:p>
    <w:tbl>
      <w:tblPr>
        <w:tblStyle w:val="TableGrid"/>
        <w:tblpPr w:leftFromText="141" w:rightFromText="141" w:vertAnchor="text" w:horzAnchor="margin" w:tblpY="57"/>
        <w:tblW w:w="9209" w:type="dxa"/>
        <w:tblCellMar>
          <w:left w:w="70" w:type="dxa"/>
          <w:right w:w="70" w:type="dxa"/>
        </w:tblCellMar>
        <w:tblLook w:val="04A0" w:firstRow="1" w:lastRow="0" w:firstColumn="1" w:lastColumn="0" w:noHBand="0" w:noVBand="1"/>
      </w:tblPr>
      <w:tblGrid>
        <w:gridCol w:w="4119"/>
        <w:gridCol w:w="5090"/>
      </w:tblGrid>
      <w:tr w:rsidR="007179D8">
        <w:trPr>
          <w:trHeight w:val="3392"/>
        </w:trPr>
        <w:tc>
          <w:tcPr>
            <w:tcW w:w="4673" w:type="dxa"/>
            <w:tcBorders>
              <w:top w:val="nil"/>
              <w:left w:val="nil"/>
              <w:bottom w:val="nil"/>
              <w:right w:val="nil"/>
            </w:tcBorders>
          </w:tcPr>
          <w:p w:rsidR="007179D8" w:rsidRDefault="007B473E">
            <w:pPr>
              <w:pStyle w:val="Caption"/>
              <w:framePr w:hSpace="0" w:wrap="auto" w:vAnchor="margin" w:hAnchor="text" w:yAlign="inline"/>
              <w:jc w:val="left"/>
              <w:rPr>
                <w:noProof/>
              </w:rPr>
            </w:pPr>
            <w:r>
              <w:rPr>
                <w:noProof/>
              </w:rPr>
              <w:t>Graphique </w:t>
            </w:r>
            <w:r>
              <w:rPr>
                <w:noProof/>
              </w:rPr>
              <w:fldChar w:fldCharType="begin"/>
            </w:r>
            <w:r>
              <w:rPr>
                <w:noProof/>
              </w:rPr>
              <w:instrText xml:space="preserve"> STYLEREF 1 \s </w:instrText>
            </w:r>
            <w:r>
              <w:rPr>
                <w:noProof/>
              </w:rPr>
              <w:fldChar w:fldCharType="separate"/>
            </w:r>
            <w:r>
              <w:rPr>
                <w:noProof/>
              </w:rPr>
              <w:t>2</w:t>
            </w:r>
            <w:r>
              <w:rPr>
                <w:noProof/>
              </w:rPr>
              <w:fldChar w:fldCharType="end"/>
            </w:r>
            <w:r>
              <w:rPr>
                <w:noProof/>
              </w:rPr>
              <w:t>a: tendances à court terme (12 ans) des populations d’oiseaux nicheurs au niveau de l’UE</w:t>
            </w:r>
          </w:p>
          <w:p w:rsidR="007179D8" w:rsidRDefault="007B473E">
            <w:pPr>
              <w:spacing w:after="120" w:line="276" w:lineRule="auto"/>
              <w:jc w:val="both"/>
              <w:rPr>
                <w:rStyle w:val="EndnoteReference"/>
                <w:rFonts w:ascii="Times New Roman" w:hAnsi="Times New Roman" w:cs="Times New Roman"/>
                <w:b/>
                <w:bCs/>
                <w:noProof/>
                <w:sz w:val="24"/>
              </w:rPr>
            </w:pPr>
            <w:r>
              <w:rPr>
                <w:noProof/>
                <w:lang w:val="en-GB" w:eastAsia="en-GB"/>
              </w:rPr>
              <w:drawing>
                <wp:inline distT="0" distB="0" distL="0" distR="0">
                  <wp:extent cx="2508597" cy="1881301"/>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2107" cy="1883934"/>
                          </a:xfrm>
                          <a:prstGeom prst="rect">
                            <a:avLst/>
                          </a:prstGeom>
                          <a:noFill/>
                        </pic:spPr>
                      </pic:pic>
                    </a:graphicData>
                  </a:graphic>
                </wp:inline>
              </w:drawing>
            </w:r>
          </w:p>
        </w:tc>
        <w:tc>
          <w:tcPr>
            <w:tcW w:w="4536" w:type="dxa"/>
            <w:tcBorders>
              <w:top w:val="nil"/>
              <w:left w:val="nil"/>
              <w:bottom w:val="nil"/>
              <w:right w:val="nil"/>
            </w:tcBorders>
          </w:tcPr>
          <w:p w:rsidR="007179D8" w:rsidRDefault="007B473E">
            <w:pPr>
              <w:pStyle w:val="Caption"/>
              <w:framePr w:hSpace="0" w:wrap="auto" w:vAnchor="margin" w:hAnchor="text" w:yAlign="inline"/>
              <w:jc w:val="left"/>
              <w:rPr>
                <w:noProof/>
              </w:rPr>
            </w:pPr>
            <w:r>
              <w:rPr>
                <w:noProof/>
              </w:rPr>
              <w:t>Graphique </w:t>
            </w:r>
            <w:r>
              <w:rPr>
                <w:noProof/>
              </w:rPr>
              <w:fldChar w:fldCharType="begin"/>
            </w:r>
            <w:r>
              <w:rPr>
                <w:noProof/>
              </w:rPr>
              <w:instrText xml:space="preserve"> STYLEREF 1 \s </w:instrText>
            </w:r>
            <w:r>
              <w:rPr>
                <w:noProof/>
              </w:rPr>
              <w:fldChar w:fldCharType="separate"/>
            </w:r>
            <w:r>
              <w:rPr>
                <w:noProof/>
              </w:rPr>
              <w:t>2</w:t>
            </w:r>
            <w:r>
              <w:rPr>
                <w:noProof/>
              </w:rPr>
              <w:fldChar w:fldCharType="end"/>
            </w:r>
            <w:r>
              <w:rPr>
                <w:noProof/>
              </w:rPr>
              <w:t xml:space="preserve">b: tendances </w:t>
            </w:r>
            <w:r>
              <w:rPr>
                <w:noProof/>
              </w:rPr>
              <w:t>à long terme (38 ans) des populations d’oiseaux nicheurs au niveau de l’UE</w:t>
            </w:r>
          </w:p>
          <w:p w:rsidR="007179D8" w:rsidRDefault="007B473E">
            <w:pPr>
              <w:jc w:val="center"/>
              <w:rPr>
                <w:rFonts w:ascii="Times New Roman" w:hAnsi="Times New Roman" w:cs="Times New Roman"/>
                <w:noProof/>
              </w:rPr>
            </w:pPr>
            <w:r>
              <w:rPr>
                <w:rFonts w:ascii="Times New Roman" w:hAnsi="Times New Roman" w:cs="Times New Roman"/>
                <w:noProof/>
                <w:lang w:val="en-GB" w:eastAsia="en-GB"/>
              </w:rPr>
              <w:drawing>
                <wp:inline distT="0" distB="0" distL="0" distR="0">
                  <wp:extent cx="3141345" cy="2249805"/>
                  <wp:effectExtent l="0" t="0" r="1905" b="0"/>
                  <wp:docPr id="1397633220" name="Picture 1397633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1345" cy="2249805"/>
                          </a:xfrm>
                          <a:prstGeom prst="rect">
                            <a:avLst/>
                          </a:prstGeom>
                          <a:noFill/>
                          <a:ln>
                            <a:noFill/>
                          </a:ln>
                        </pic:spPr>
                      </pic:pic>
                    </a:graphicData>
                  </a:graphic>
                </wp:inline>
              </w:drawing>
            </w:r>
          </w:p>
        </w:tc>
      </w:tr>
      <w:tr w:rsidR="007179D8">
        <w:tc>
          <w:tcPr>
            <w:tcW w:w="9209" w:type="dxa"/>
            <w:gridSpan w:val="2"/>
            <w:tcBorders>
              <w:top w:val="nil"/>
              <w:left w:val="nil"/>
              <w:bottom w:val="nil"/>
              <w:right w:val="nil"/>
            </w:tcBorders>
          </w:tcPr>
          <w:p w:rsidR="007179D8" w:rsidRDefault="007B473E">
            <w:pPr>
              <w:pStyle w:val="Caption"/>
              <w:framePr w:hSpace="0" w:wrap="auto" w:vAnchor="margin" w:hAnchor="text" w:yAlign="inline"/>
              <w:rPr>
                <w:noProof/>
              </w:rPr>
            </w:pPr>
            <w:r>
              <w:rPr>
                <w:noProof/>
                <w:lang w:val="en-GB" w:eastAsia="en-GB"/>
              </w:rPr>
              <w:drawing>
                <wp:inline distT="0" distB="0" distL="0" distR="0">
                  <wp:extent cx="4807585" cy="297180"/>
                  <wp:effectExtent l="0" t="0" r="0" b="7620"/>
                  <wp:docPr id="1397633219" name="Picture 1397633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07585" cy="297180"/>
                          </a:xfrm>
                          <a:prstGeom prst="rect">
                            <a:avLst/>
                          </a:prstGeom>
                          <a:noFill/>
                          <a:ln>
                            <a:noFill/>
                          </a:ln>
                        </pic:spPr>
                      </pic:pic>
                    </a:graphicData>
                  </a:graphic>
                </wp:inline>
              </w:drawing>
            </w:r>
          </w:p>
        </w:tc>
      </w:tr>
      <w:tr w:rsidR="007179D8">
        <w:trPr>
          <w:trHeight w:val="567"/>
        </w:trPr>
        <w:tc>
          <w:tcPr>
            <w:tcW w:w="9209" w:type="dxa"/>
            <w:gridSpan w:val="2"/>
            <w:tcBorders>
              <w:top w:val="nil"/>
              <w:left w:val="nil"/>
              <w:bottom w:val="nil"/>
              <w:right w:val="nil"/>
            </w:tcBorders>
          </w:tcPr>
          <w:p w:rsidR="007179D8" w:rsidRDefault="007B473E">
            <w:pPr>
              <w:spacing w:before="120" w:after="240"/>
              <w:jc w:val="both"/>
              <w:rPr>
                <w:rFonts w:ascii="Times New Roman" w:eastAsia="Calibri" w:hAnsi="Times New Roman" w:cs="Times New Roman"/>
                <w:noProof/>
                <w:sz w:val="18"/>
                <w:szCs w:val="18"/>
              </w:rPr>
            </w:pPr>
            <w:r>
              <w:rPr>
                <w:rFonts w:ascii="Times New Roman" w:hAnsi="Times New Roman"/>
                <w:b/>
                <w:bCs/>
                <w:noProof/>
                <w:sz w:val="18"/>
                <w:szCs w:val="18"/>
              </w:rPr>
              <w:t>Remarque</w:t>
            </w:r>
            <w:r>
              <w:rPr>
                <w:rFonts w:ascii="Times New Roman" w:hAnsi="Times New Roman"/>
                <w:b/>
                <w:noProof/>
                <w:sz w:val="18"/>
                <w:szCs w:val="18"/>
              </w:rPr>
              <w:t>:</w:t>
            </w:r>
            <w:r>
              <w:rPr>
                <w:rFonts w:ascii="Times New Roman" w:hAnsi="Times New Roman"/>
                <w:noProof/>
                <w:sz w:val="18"/>
                <w:szCs w:val="18"/>
              </w:rPr>
              <w:t xml:space="preserve"> statistiques fondées sur 465 tendances à court terme et 467 tendances à long terme des populations reproductrices dans l’UE. Comprend les tendances pour un nombre limité de sous-espèces et de populations biogéographiques.</w:t>
            </w:r>
          </w:p>
        </w:tc>
      </w:tr>
    </w:tbl>
    <w:p w:rsidR="007179D8" w:rsidRDefault="007179D8">
      <w:pPr>
        <w:spacing w:after="240"/>
        <w:jc w:val="both"/>
        <w:rPr>
          <w:rFonts w:ascii="Times New Roman" w:eastAsia="Calibri" w:hAnsi="Times New Roman" w:cs="Times New Roman"/>
          <w:noProof/>
          <w:sz w:val="24"/>
          <w:szCs w:val="24"/>
        </w:rPr>
      </w:pPr>
    </w:p>
    <w:p w:rsidR="007179D8" w:rsidRDefault="007B473E">
      <w:pPr>
        <w:spacing w:after="240"/>
        <w:jc w:val="both"/>
        <w:rPr>
          <w:rFonts w:ascii="Times New Roman" w:eastAsia="Calibri" w:hAnsi="Times New Roman" w:cs="Times New Roman"/>
          <w:noProof/>
          <w:sz w:val="24"/>
          <w:szCs w:val="24"/>
        </w:rPr>
      </w:pPr>
      <w:r>
        <w:rPr>
          <w:rFonts w:ascii="Times New Roman" w:hAnsi="Times New Roman"/>
          <w:noProof/>
          <w:sz w:val="24"/>
          <w:szCs w:val="24"/>
        </w:rPr>
        <w:t>Les États membres ont communiqu</w:t>
      </w:r>
      <w:r>
        <w:rPr>
          <w:rFonts w:ascii="Times New Roman" w:hAnsi="Times New Roman"/>
          <w:noProof/>
          <w:sz w:val="24"/>
          <w:szCs w:val="24"/>
        </w:rPr>
        <w:t>é les tendances à court et à long terme des populations d’oiseaux nicheurs et hivernants</w:t>
      </w:r>
      <w:r>
        <w:rPr>
          <w:rStyle w:val="FootnoteReference"/>
          <w:rFonts w:ascii="Times New Roman" w:eastAsia="Calibri" w:hAnsi="Times New Roman" w:cs="Times New Roman"/>
          <w:noProof/>
          <w:sz w:val="24"/>
          <w:szCs w:val="24"/>
        </w:rPr>
        <w:footnoteReference w:id="9"/>
      </w:r>
      <w:r>
        <w:rPr>
          <w:rFonts w:ascii="Times New Roman" w:hAnsi="Times New Roman"/>
          <w:noProof/>
          <w:sz w:val="24"/>
          <w:szCs w:val="24"/>
        </w:rPr>
        <w:t>, c’est-à-dire pour les 12 dernières années (2007-2018) et pour les 38 dernières années (1980-2018).</w:t>
      </w:r>
    </w:p>
    <w:p w:rsidR="007179D8" w:rsidRDefault="007B473E">
      <w:pPr>
        <w:spacing w:after="120"/>
        <w:jc w:val="both"/>
        <w:rPr>
          <w:rFonts w:ascii="Times New Roman" w:hAnsi="Times New Roman" w:cs="Times New Roman"/>
          <w:noProof/>
          <w:sz w:val="24"/>
          <w:szCs w:val="24"/>
        </w:rPr>
      </w:pPr>
      <w:r>
        <w:rPr>
          <w:rFonts w:ascii="Times New Roman" w:hAnsi="Times New Roman"/>
          <w:noProof/>
          <w:sz w:val="24"/>
          <w:szCs w:val="24"/>
        </w:rPr>
        <w:t>Les données indiquent que:</w:t>
      </w:r>
    </w:p>
    <w:p w:rsidR="007179D8" w:rsidRDefault="007B473E">
      <w:pPr>
        <w:pStyle w:val="ListParagraph"/>
        <w:numPr>
          <w:ilvl w:val="0"/>
          <w:numId w:val="1"/>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près d’un tiers (30 %) de toutes les </w:t>
      </w:r>
      <w:r>
        <w:rPr>
          <w:rFonts w:ascii="Times New Roman" w:hAnsi="Times New Roman"/>
          <w:noProof/>
          <w:sz w:val="24"/>
          <w:szCs w:val="24"/>
        </w:rPr>
        <w:t>espèces nicheuses évaluées sont en déclin sur la période de tendance à court terme (même pourcentage qu’en 2015);</w:t>
      </w:r>
    </w:p>
    <w:p w:rsidR="007179D8" w:rsidRDefault="007B473E">
      <w:pPr>
        <w:pStyle w:val="ListParagraph"/>
        <w:numPr>
          <w:ilvl w:val="0"/>
          <w:numId w:val="1"/>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les tendances à court terme en matière de reproduction mettent en évidence une baisse de 5 % des espèces dont les populations sont en augmenta</w:t>
      </w:r>
      <w:r>
        <w:rPr>
          <w:rFonts w:ascii="Times New Roman" w:hAnsi="Times New Roman"/>
          <w:noProof/>
          <w:sz w:val="24"/>
          <w:szCs w:val="24"/>
        </w:rPr>
        <w:t>tion par rapport à 2015 et une hausse de 7 % des espèces dont les tendances sont stables ou fluctuantes; les évaluations pour lesquelles la tendance est «inconnue» ont diminué de 2 %;</w:t>
      </w:r>
    </w:p>
    <w:p w:rsidR="007179D8" w:rsidRDefault="007B473E">
      <w:pPr>
        <w:pStyle w:val="ListParagraph"/>
        <w:numPr>
          <w:ilvl w:val="0"/>
          <w:numId w:val="1"/>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pour ce qui des tendances à long terme en matière de reproduction, les p</w:t>
      </w:r>
      <w:r>
        <w:rPr>
          <w:rFonts w:ascii="Times New Roman" w:hAnsi="Times New Roman"/>
          <w:noProof/>
          <w:sz w:val="24"/>
          <w:szCs w:val="24"/>
        </w:rPr>
        <w:t>opulations en déclin sont un peu plus nombreuses que celles en augmentation (la situation inverse était observée pour la période 2008-2012); cependant, la proportion de tendances à long terme «inconnues» en matière de reproduction a chuté de 10 p.p., passa</w:t>
      </w:r>
      <w:r>
        <w:rPr>
          <w:rFonts w:ascii="Times New Roman" w:hAnsi="Times New Roman"/>
          <w:noProof/>
          <w:sz w:val="24"/>
          <w:szCs w:val="24"/>
        </w:rPr>
        <w:t>nt de 30 % à 20 %; et</w:t>
      </w:r>
    </w:p>
    <w:p w:rsidR="007179D8" w:rsidRDefault="007B473E">
      <w:pPr>
        <w:pStyle w:val="ListParagraph"/>
        <w:numPr>
          <w:ilvl w:val="0"/>
          <w:numId w:val="1"/>
        </w:numPr>
        <w:spacing w:after="24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pour ce qui est des tendances de population des 91 espèces hivernantes, la situation à court terme est similaire à celle de 2015 (45 % en augmentation, 29 % en déclin); sur la période de tendance à long terme, 54 % des espèces sont au</w:t>
      </w:r>
      <w:r>
        <w:rPr>
          <w:rFonts w:ascii="Times New Roman" w:hAnsi="Times New Roman"/>
          <w:noProof/>
          <w:sz w:val="24"/>
          <w:szCs w:val="24"/>
        </w:rPr>
        <w:t>gmentation et 13 % sont en déclin (les premières ont ainsi diminué de 9 p.p., tandis que la proportion des secondes est restée pratiquement inchangée).</w:t>
      </w:r>
    </w:p>
    <w:p w:rsidR="007179D8" w:rsidRDefault="007B473E">
      <w:pPr>
        <w:rPr>
          <w:rFonts w:ascii="Times New Roman" w:hAnsi="Times New Roman" w:cs="Times New Roman"/>
          <w:b/>
          <w:bCs/>
          <w:noProof/>
          <w:sz w:val="24"/>
          <w:szCs w:val="24"/>
        </w:rPr>
      </w:pPr>
      <w:r>
        <w:rPr>
          <w:noProof/>
        </w:rPr>
        <w:br w:type="page"/>
      </w:r>
    </w:p>
    <w:p w:rsidR="007179D8" w:rsidRDefault="007B473E">
      <w:pPr>
        <w:spacing w:after="240"/>
        <w:rPr>
          <w:rFonts w:ascii="Times New Roman" w:hAnsi="Times New Roman" w:cs="Times New Roman"/>
          <w:noProof/>
        </w:rPr>
      </w:pPr>
      <w:r>
        <w:rPr>
          <w:rFonts w:ascii="Times New Roman" w:hAnsi="Times New Roman"/>
          <w:b/>
          <w:bCs/>
          <w:noProof/>
          <w:sz w:val="24"/>
          <w:szCs w:val="24"/>
        </w:rPr>
        <w:t>État et tendances des populations d’oiseaux selon leur recensement dans la directive «Oiseaux»</w:t>
      </w:r>
    </w:p>
    <w:tbl>
      <w:tblPr>
        <w:tblStyle w:val="HTG1"/>
        <w:tblpPr w:leftFromText="141" w:rightFromText="141" w:vertAnchor="text" w:horzAnchor="margin" w:tblpY="85"/>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4252"/>
      </w:tblGrid>
      <w:tr w:rsidR="007179D8">
        <w:trPr>
          <w:trHeight w:val="672"/>
        </w:trPr>
        <w:tc>
          <w:tcPr>
            <w:tcW w:w="4815" w:type="dxa"/>
          </w:tcPr>
          <w:p w:rsidR="007179D8" w:rsidRDefault="007B473E">
            <w:pPr>
              <w:keepNext/>
              <w:spacing w:after="120"/>
              <w:rPr>
                <w:rFonts w:ascii="Times New Roman" w:eastAsia="ヒラギノ角ゴ Pro W3" w:hAnsi="Times New Roman" w:cs="Times New Roman"/>
                <w:b/>
                <w:noProof/>
                <w:sz w:val="20"/>
                <w:szCs w:val="20"/>
              </w:rPr>
            </w:pPr>
            <w:r>
              <w:rPr>
                <w:rFonts w:ascii="Times New Roman" w:hAnsi="Times New Roman"/>
                <w:b/>
                <w:noProof/>
                <w:sz w:val="20"/>
                <w:szCs w:val="20"/>
              </w:rPr>
              <w:t>Graphiq</w:t>
            </w:r>
            <w:r>
              <w:rPr>
                <w:rFonts w:ascii="Times New Roman" w:hAnsi="Times New Roman"/>
                <w:b/>
                <w:noProof/>
                <w:sz w:val="20"/>
                <w:szCs w:val="20"/>
              </w:rPr>
              <w:t>ue 3a:</w:t>
            </w:r>
            <w:r>
              <w:rPr>
                <w:rFonts w:ascii="Times New Roman" w:hAnsi="Times New Roman"/>
                <w:b/>
                <w:iCs/>
                <w:noProof/>
                <w:color w:val="000000"/>
                <w:sz w:val="20"/>
                <w:szCs w:val="20"/>
              </w:rPr>
              <w:t xml:space="preserve"> </w:t>
            </w:r>
            <w:r>
              <w:rPr>
                <w:rFonts w:ascii="Times New Roman" w:hAnsi="Times New Roman"/>
                <w:b/>
                <w:noProof/>
                <w:sz w:val="20"/>
                <w:szCs w:val="20"/>
              </w:rPr>
              <w:t>état des populations des espèces inscrites aux annexes I et II, des espèces hors annexe I/II et de toutes les espèces d’oiseaux dans l’UE</w:t>
            </w:r>
          </w:p>
        </w:tc>
        <w:tc>
          <w:tcPr>
            <w:tcW w:w="4252" w:type="dxa"/>
          </w:tcPr>
          <w:p w:rsidR="007179D8" w:rsidRDefault="007B473E">
            <w:pPr>
              <w:keepNext/>
              <w:spacing w:after="120"/>
              <w:rPr>
                <w:rFonts w:ascii="Times New Roman" w:eastAsia="ヒラギノ角ゴ Pro W3" w:hAnsi="Times New Roman" w:cs="Times New Roman"/>
                <w:b/>
                <w:noProof/>
                <w:sz w:val="20"/>
                <w:szCs w:val="20"/>
              </w:rPr>
            </w:pPr>
            <w:r>
              <w:rPr>
                <w:rFonts w:ascii="Times New Roman" w:hAnsi="Times New Roman"/>
                <w:b/>
                <w:noProof/>
                <w:sz w:val="20"/>
                <w:szCs w:val="20"/>
              </w:rPr>
              <w:t xml:space="preserve">Graphique 3b: tendances à court terme des populations d’oiseaux nicheurs inscrits aux annexes I et II, des </w:t>
            </w:r>
            <w:r>
              <w:rPr>
                <w:rFonts w:ascii="Times New Roman" w:hAnsi="Times New Roman"/>
                <w:b/>
                <w:noProof/>
                <w:sz w:val="20"/>
                <w:szCs w:val="20"/>
              </w:rPr>
              <w:t>espèces hors annexe I/II et de toutes les espèces d’oiseaux dans l’UE</w:t>
            </w:r>
          </w:p>
        </w:tc>
      </w:tr>
      <w:tr w:rsidR="007179D8">
        <w:trPr>
          <w:trHeight w:val="2132"/>
        </w:trPr>
        <w:tc>
          <w:tcPr>
            <w:tcW w:w="4815" w:type="dxa"/>
          </w:tcPr>
          <w:p w:rsidR="007179D8" w:rsidRDefault="007B473E">
            <w:pPr>
              <w:keepNext/>
              <w:spacing w:after="60"/>
              <w:jc w:val="both"/>
              <w:rPr>
                <w:rFonts w:ascii="Times New Roman" w:eastAsia="ヒラギノ角ゴ Pro W3" w:hAnsi="Times New Roman" w:cs="Times New Roman"/>
                <w:b/>
                <w:noProof/>
                <w:sz w:val="18"/>
                <w:szCs w:val="20"/>
              </w:rPr>
            </w:pPr>
            <w:r>
              <w:rPr>
                <w:rFonts w:ascii="Times New Roman" w:eastAsia="ヒラギノ角ゴ Pro W3" w:hAnsi="Times New Roman" w:cs="Times New Roman"/>
                <w:b/>
                <w:noProof/>
                <w:sz w:val="18"/>
                <w:szCs w:val="20"/>
                <w:lang w:val="en-GB" w:eastAsia="en-GB"/>
              </w:rPr>
              <w:drawing>
                <wp:inline distT="0" distB="0" distL="0" distR="0">
                  <wp:extent cx="2917190" cy="2350770"/>
                  <wp:effectExtent l="0" t="0" r="0" b="0"/>
                  <wp:docPr id="1397633231" name="Picture 1397633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17190" cy="2350770"/>
                          </a:xfrm>
                          <a:prstGeom prst="rect">
                            <a:avLst/>
                          </a:prstGeom>
                          <a:noFill/>
                          <a:ln>
                            <a:noFill/>
                          </a:ln>
                        </pic:spPr>
                      </pic:pic>
                    </a:graphicData>
                  </a:graphic>
                </wp:inline>
              </w:drawing>
            </w:r>
          </w:p>
        </w:tc>
        <w:tc>
          <w:tcPr>
            <w:tcW w:w="4252" w:type="dxa"/>
          </w:tcPr>
          <w:p w:rsidR="007179D8" w:rsidRDefault="007B473E">
            <w:pPr>
              <w:keepNext/>
              <w:spacing w:after="60"/>
              <w:jc w:val="both"/>
              <w:rPr>
                <w:rFonts w:ascii="Times New Roman" w:eastAsia="ヒラギノ角ゴ Pro W3" w:hAnsi="Times New Roman" w:cs="Times New Roman"/>
                <w:b/>
                <w:noProof/>
                <w:sz w:val="18"/>
                <w:szCs w:val="20"/>
              </w:rPr>
            </w:pPr>
            <w:r>
              <w:rPr>
                <w:rFonts w:ascii="Times New Roman" w:eastAsia="ヒラギノ角ゴ Pro W3" w:hAnsi="Times New Roman" w:cs="Times New Roman"/>
                <w:b/>
                <w:noProof/>
                <w:sz w:val="18"/>
                <w:szCs w:val="20"/>
                <w:lang w:val="en-GB" w:eastAsia="en-GB"/>
              </w:rPr>
              <w:drawing>
                <wp:inline distT="0" distB="0" distL="0" distR="0">
                  <wp:extent cx="2602763" cy="2210124"/>
                  <wp:effectExtent l="0" t="0" r="7620" b="0"/>
                  <wp:docPr id="1397633232" name="Picture 139763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7360" cy="2214027"/>
                          </a:xfrm>
                          <a:prstGeom prst="rect">
                            <a:avLst/>
                          </a:prstGeom>
                          <a:noFill/>
                          <a:ln>
                            <a:noFill/>
                          </a:ln>
                        </pic:spPr>
                      </pic:pic>
                    </a:graphicData>
                  </a:graphic>
                </wp:inline>
              </w:drawing>
            </w:r>
          </w:p>
        </w:tc>
      </w:tr>
      <w:tr w:rsidR="007179D8">
        <w:trPr>
          <w:trHeight w:val="526"/>
        </w:trPr>
        <w:tc>
          <w:tcPr>
            <w:tcW w:w="4815" w:type="dxa"/>
          </w:tcPr>
          <w:p w:rsidR="007179D8" w:rsidRDefault="007B473E">
            <w:pPr>
              <w:spacing w:before="120" w:after="240"/>
              <w:jc w:val="both"/>
              <w:rPr>
                <w:rFonts w:ascii="Times New Roman" w:hAnsi="Times New Roman" w:cs="Times New Roman"/>
                <w:noProof/>
              </w:rPr>
            </w:pPr>
            <w:r>
              <w:rPr>
                <w:rFonts w:ascii="Times New Roman" w:hAnsi="Times New Roman"/>
                <w:b/>
                <w:noProof/>
                <w:sz w:val="18"/>
                <w:szCs w:val="20"/>
              </w:rPr>
              <w:t>Remarque:</w:t>
            </w:r>
            <w:r>
              <w:rPr>
                <w:rFonts w:ascii="Times New Roman" w:hAnsi="Times New Roman"/>
                <w:noProof/>
                <w:sz w:val="18"/>
                <w:szCs w:val="18"/>
              </w:rPr>
              <w:t xml:space="preserve"> le nombre total d’évaluations est de 505.</w:t>
            </w:r>
          </w:p>
        </w:tc>
        <w:tc>
          <w:tcPr>
            <w:tcW w:w="4252" w:type="dxa"/>
          </w:tcPr>
          <w:p w:rsidR="007179D8" w:rsidRDefault="007B473E">
            <w:pPr>
              <w:spacing w:before="120"/>
              <w:jc w:val="both"/>
              <w:rPr>
                <w:rFonts w:ascii="Times New Roman" w:hAnsi="Times New Roman" w:cs="Times New Roman"/>
                <w:noProof/>
                <w:sz w:val="18"/>
                <w:szCs w:val="20"/>
              </w:rPr>
            </w:pPr>
            <w:r>
              <w:rPr>
                <w:rFonts w:ascii="Times New Roman" w:hAnsi="Times New Roman"/>
                <w:b/>
                <w:noProof/>
                <w:sz w:val="18"/>
                <w:szCs w:val="20"/>
              </w:rPr>
              <w:t>Remarque:</w:t>
            </w:r>
            <w:r>
              <w:rPr>
                <w:rFonts w:ascii="Times New Roman" w:hAnsi="Times New Roman"/>
                <w:noProof/>
                <w:sz w:val="18"/>
                <w:szCs w:val="18"/>
              </w:rPr>
              <w:t xml:space="preserve"> le nombre total d’évaluations est de 465.</w:t>
            </w:r>
          </w:p>
        </w:tc>
      </w:tr>
    </w:tbl>
    <w:p w:rsidR="007179D8" w:rsidRDefault="007179D8">
      <w:pPr>
        <w:spacing w:after="120"/>
        <w:jc w:val="both"/>
        <w:rPr>
          <w:rFonts w:ascii="Times New Roman" w:hAnsi="Times New Roman" w:cs="Times New Roman"/>
          <w:noProof/>
          <w:sz w:val="24"/>
          <w:szCs w:val="24"/>
        </w:rPr>
      </w:pPr>
    </w:p>
    <w:p w:rsidR="007179D8" w:rsidRDefault="007B473E">
      <w:pPr>
        <w:spacing w:after="120"/>
        <w:jc w:val="both"/>
        <w:rPr>
          <w:rFonts w:ascii="Times New Roman" w:hAnsi="Times New Roman" w:cs="Times New Roman"/>
          <w:noProof/>
          <w:sz w:val="24"/>
          <w:szCs w:val="24"/>
        </w:rPr>
      </w:pPr>
      <w:r>
        <w:rPr>
          <w:rFonts w:ascii="Times New Roman" w:hAnsi="Times New Roman"/>
          <w:noProof/>
          <w:sz w:val="24"/>
          <w:szCs w:val="24"/>
        </w:rPr>
        <w:t xml:space="preserve">L’analyse de l’état et des tendances des populations pour les espèces </w:t>
      </w:r>
      <w:r>
        <w:rPr>
          <w:rFonts w:ascii="Times New Roman" w:hAnsi="Times New Roman"/>
          <w:noProof/>
          <w:sz w:val="24"/>
          <w:szCs w:val="24"/>
        </w:rPr>
        <w:t>inscrites aux annexes I et II de la directive «Oiseaux» montre que:</w:t>
      </w:r>
    </w:p>
    <w:p w:rsidR="007179D8" w:rsidRDefault="007B473E">
      <w:pPr>
        <w:pStyle w:val="ListParagraph"/>
        <w:numPr>
          <w:ilvl w:val="0"/>
          <w:numId w:val="1"/>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la proportion des espèces inscrites à l’annexe I dont l’état de la population est «hors de danger» a diminué de 8 p.p. (de 48 % à 40 %) par rapport à 2015, tandis que la proportion de cell</w:t>
      </w:r>
      <w:r>
        <w:rPr>
          <w:rFonts w:ascii="Times New Roman" w:hAnsi="Times New Roman"/>
          <w:noProof/>
          <w:sz w:val="24"/>
          <w:szCs w:val="24"/>
        </w:rPr>
        <w:t>es dont l’état de la population est jugé «insuffisant» et «médiocre» a augmenté de 6 p.p. (de 38 % à 44 %). Cela suggère que l’état des populations de plusieurs espèces visées à l’annexe I s’est dégradé, malgré les mesures de conservation spéciales des hab</w:t>
      </w:r>
      <w:r>
        <w:rPr>
          <w:rFonts w:ascii="Times New Roman" w:hAnsi="Times New Roman"/>
          <w:noProof/>
          <w:sz w:val="24"/>
          <w:szCs w:val="24"/>
        </w:rPr>
        <w:t xml:space="preserve">itats imposées par la directive. Le fait que l’état des populations de 16 % des espèces inscrites à l’annexe I demeure inconnu est particulièrement préoccupant et fait apparaître la nécessité d’améliorer les systèmes de suivi de ces espèces dans les États </w:t>
      </w:r>
      <w:r>
        <w:rPr>
          <w:rFonts w:ascii="Times New Roman" w:hAnsi="Times New Roman"/>
          <w:noProof/>
          <w:sz w:val="24"/>
          <w:szCs w:val="24"/>
        </w:rPr>
        <w:t>membres;</w:t>
      </w:r>
    </w:p>
    <w:p w:rsidR="007179D8" w:rsidRDefault="007B473E">
      <w:pPr>
        <w:pStyle w:val="ListParagraph"/>
        <w:numPr>
          <w:ilvl w:val="0"/>
          <w:numId w:val="1"/>
        </w:numPr>
        <w:spacing w:after="120"/>
        <w:ind w:left="681" w:hanging="397"/>
        <w:contextualSpacing w:val="0"/>
        <w:jc w:val="both"/>
        <w:rPr>
          <w:rFonts w:ascii="Times New Roman" w:eastAsia="Calibri" w:hAnsi="Times New Roman" w:cs="Times New Roman"/>
          <w:noProof/>
          <w:sz w:val="24"/>
          <w:szCs w:val="24"/>
        </w:rPr>
      </w:pPr>
      <w:r>
        <w:rPr>
          <w:rFonts w:ascii="Times New Roman" w:hAnsi="Times New Roman"/>
          <w:noProof/>
          <w:sz w:val="24"/>
          <w:szCs w:val="24"/>
        </w:rPr>
        <w:t>la proportion des espèces inscrites à l’annexe II (qui peuvent être chassées) dont l’état de la population est jugé «favorable» a diminué de 9 p.p. (de 55 % à 46 %) par rapport à 2015, tandis que la proportion de celles dont l’état de la populatio</w:t>
      </w:r>
      <w:r>
        <w:rPr>
          <w:rFonts w:ascii="Times New Roman" w:hAnsi="Times New Roman"/>
          <w:noProof/>
          <w:sz w:val="24"/>
          <w:szCs w:val="24"/>
        </w:rPr>
        <w:t>n est considéré comme «insuffisant» et «médiocre» a augmenté de 9 p.p. (de 39 % à 48 %); et</w:t>
      </w:r>
    </w:p>
    <w:p w:rsidR="007179D8" w:rsidRDefault="007B473E">
      <w:pPr>
        <w:pStyle w:val="ListParagraph"/>
        <w:numPr>
          <w:ilvl w:val="0"/>
          <w:numId w:val="1"/>
        </w:numPr>
        <w:spacing w:after="24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en ce qui concerne les tendances de population à court terme pour les oiseaux nicheurs, les espèces visées à l’annexe II présentent de loin le taux de déclin le plu</w:t>
      </w:r>
      <w:r>
        <w:rPr>
          <w:rFonts w:ascii="Times New Roman" w:hAnsi="Times New Roman"/>
          <w:noProof/>
          <w:sz w:val="24"/>
          <w:szCs w:val="24"/>
        </w:rPr>
        <w:t>s élevé – environ 46 %, soit le double du taux enregistré pour les espèces inscrites à l’annexe I (23 %).</w:t>
      </w:r>
    </w:p>
    <w:p w:rsidR="007179D8" w:rsidRDefault="007B473E">
      <w:pPr>
        <w:spacing w:before="240" w:after="240"/>
        <w:jc w:val="both"/>
        <w:rPr>
          <w:rFonts w:ascii="Times New Roman" w:hAnsi="Times New Roman" w:cs="Times New Roman"/>
          <w:b/>
          <w:i/>
          <w:noProof/>
          <w:sz w:val="24"/>
          <w:szCs w:val="24"/>
          <w:u w:val="single"/>
        </w:rPr>
      </w:pPr>
      <w:r>
        <w:rPr>
          <w:rFonts w:ascii="Times New Roman" w:hAnsi="Times New Roman"/>
          <w:b/>
          <w:i/>
          <w:noProof/>
          <w:sz w:val="24"/>
          <w:szCs w:val="24"/>
          <w:u w:val="single"/>
        </w:rPr>
        <w:t>2.2 Types d’habitats</w:t>
      </w:r>
    </w:p>
    <w:p w:rsidR="007179D8" w:rsidRDefault="007B473E">
      <w:pPr>
        <w:spacing w:after="240"/>
        <w:jc w:val="both"/>
        <w:rPr>
          <w:rFonts w:ascii="Times New Roman" w:hAnsi="Times New Roman" w:cs="Times New Roman"/>
          <w:noProof/>
          <w:color w:val="000000" w:themeColor="text1"/>
          <w:sz w:val="24"/>
          <w:szCs w:val="24"/>
        </w:rPr>
      </w:pPr>
      <w:r>
        <w:rPr>
          <w:rFonts w:ascii="Times New Roman" w:hAnsi="Times New Roman"/>
          <w:noProof/>
          <w:sz w:val="24"/>
          <w:szCs w:val="24"/>
        </w:rPr>
        <w:t>Sur les 233 types d’habitats énumérés à l’annexe I de la directive «Habitats», 224 sont terrestres et neuf sont exclusivement mar</w:t>
      </w:r>
      <w:r>
        <w:rPr>
          <w:rFonts w:ascii="Times New Roman" w:hAnsi="Times New Roman"/>
          <w:noProof/>
          <w:sz w:val="24"/>
          <w:szCs w:val="24"/>
        </w:rPr>
        <w:t>ins. La superficie déclarée pour les premiers représente près d’un tiers de la superficie terrestre de l’EU-28, soit 1,3 million de km</w:t>
      </w:r>
      <w:r>
        <w:rPr>
          <w:rFonts w:ascii="Times New Roman" w:hAnsi="Times New Roman"/>
          <w:noProof/>
          <w:sz w:val="24"/>
          <w:szCs w:val="24"/>
          <w:vertAlign w:val="superscript"/>
        </w:rPr>
        <w:t>2</w:t>
      </w:r>
      <w:r>
        <w:rPr>
          <w:rFonts w:ascii="Times New Roman" w:hAnsi="Times New Roman"/>
          <w:noProof/>
          <w:sz w:val="24"/>
          <w:szCs w:val="24"/>
        </w:rPr>
        <w:t>. Les seconds couvrent une superficie de 0,4 million de km</w:t>
      </w:r>
      <w:r>
        <w:rPr>
          <w:rFonts w:ascii="Times New Roman" w:hAnsi="Times New Roman"/>
          <w:noProof/>
          <w:sz w:val="24"/>
          <w:szCs w:val="24"/>
          <w:vertAlign w:val="superscript"/>
        </w:rPr>
        <w:t>2</w:t>
      </w:r>
      <w:r>
        <w:rPr>
          <w:rFonts w:ascii="Times New Roman" w:hAnsi="Times New Roman"/>
          <w:noProof/>
          <w:sz w:val="24"/>
          <w:szCs w:val="24"/>
        </w:rPr>
        <w:t xml:space="preserve"> dans les eaux de l’Union européenne.</w:t>
      </w:r>
    </w:p>
    <w:p w:rsidR="007179D8" w:rsidRDefault="007B473E">
      <w:pPr>
        <w:spacing w:after="240"/>
        <w:jc w:val="both"/>
        <w:rPr>
          <w:rFonts w:ascii="Times New Roman" w:hAnsi="Times New Roman" w:cs="Times New Roman"/>
          <w:b/>
          <w:noProof/>
          <w:sz w:val="24"/>
          <w:szCs w:val="24"/>
        </w:rPr>
      </w:pPr>
      <w:r>
        <w:rPr>
          <w:rFonts w:ascii="Times New Roman" w:hAnsi="Times New Roman"/>
          <w:noProof/>
          <w:sz w:val="24"/>
          <w:szCs w:val="24"/>
        </w:rPr>
        <w:t>Il existe un très large éventail d’habitats. Certains couvrent de grandes surfaces, tandis que d’autres ne concernent que de très petites parcelles. Les types d’habitats forestiers constituent le plus grand groupe de l’annexe I (35 % de tous les types), su</w:t>
      </w:r>
      <w:r>
        <w:rPr>
          <w:rFonts w:ascii="Times New Roman" w:hAnsi="Times New Roman"/>
          <w:noProof/>
          <w:sz w:val="24"/>
          <w:szCs w:val="24"/>
        </w:rPr>
        <w:t>ivi des pelouses naturelles et des formations herbeuses semi-naturelles (14 %). Des groupes tels que les landes et fourrés tempérés, les fourrés sclérophylles, les tourbières et les bas-marais ainsi que les habitats rocheux ne constituent chacun qu’environ</w:t>
      </w:r>
      <w:r>
        <w:rPr>
          <w:rFonts w:ascii="Times New Roman" w:hAnsi="Times New Roman"/>
          <w:noProof/>
          <w:sz w:val="24"/>
          <w:szCs w:val="24"/>
        </w:rPr>
        <w:t xml:space="preserve"> 5 % des types d’habitats répertoriés. </w:t>
      </w:r>
    </w:p>
    <w:p w:rsidR="007179D8" w:rsidRDefault="007B473E">
      <w:pPr>
        <w:spacing w:after="240"/>
        <w:jc w:val="both"/>
        <w:rPr>
          <w:rFonts w:ascii="Times New Roman" w:hAnsi="Times New Roman" w:cs="Times New Roman"/>
          <w:b/>
          <w:noProof/>
          <w:sz w:val="24"/>
          <w:szCs w:val="24"/>
        </w:rPr>
      </w:pPr>
      <w:r>
        <w:rPr>
          <w:rFonts w:ascii="Times New Roman" w:hAnsi="Times New Roman"/>
          <w:b/>
          <w:noProof/>
          <w:sz w:val="24"/>
          <w:szCs w:val="24"/>
        </w:rPr>
        <w:t>État de conservation des habitats</w:t>
      </w:r>
    </w:p>
    <w:tbl>
      <w:tblPr>
        <w:tblStyle w:val="TableGrid"/>
        <w:tblpPr w:leftFromText="141" w:rightFromText="141" w:vertAnchor="text" w:horzAnchor="margin" w:tblpY="179"/>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gridCol w:w="5026"/>
      </w:tblGrid>
      <w:tr w:rsidR="007179D8">
        <w:tc>
          <w:tcPr>
            <w:tcW w:w="3403" w:type="dxa"/>
          </w:tcPr>
          <w:p w:rsidR="007179D8" w:rsidRDefault="007B473E">
            <w:pPr>
              <w:pStyle w:val="Caption"/>
              <w:framePr w:hSpace="0" w:wrap="auto" w:vAnchor="margin" w:hAnchor="text" w:yAlign="inline"/>
              <w:jc w:val="left"/>
              <w:rPr>
                <w:noProof/>
              </w:rPr>
            </w:pPr>
            <w:r>
              <w:rPr>
                <w:noProof/>
              </w:rPr>
              <w:t>Graphique 4a: état de conservation des habitats au niveau de l’UE</w:t>
            </w:r>
          </w:p>
        </w:tc>
        <w:tc>
          <w:tcPr>
            <w:tcW w:w="5664" w:type="dxa"/>
          </w:tcPr>
          <w:p w:rsidR="007179D8" w:rsidRDefault="007B473E">
            <w:pPr>
              <w:pStyle w:val="Caption"/>
              <w:framePr w:hSpace="0" w:wrap="auto" w:vAnchor="margin" w:hAnchor="text" w:yAlign="inline"/>
              <w:jc w:val="left"/>
              <w:rPr>
                <w:noProof/>
              </w:rPr>
            </w:pPr>
            <w:r>
              <w:rPr>
                <w:noProof/>
              </w:rPr>
              <w:t>Graphique 4b: état de conservation par groupe d’habitats au niveau de l’UE</w:t>
            </w:r>
          </w:p>
        </w:tc>
      </w:tr>
      <w:tr w:rsidR="007179D8">
        <w:tblPrEx>
          <w:tblCellMar>
            <w:left w:w="70" w:type="dxa"/>
            <w:right w:w="70" w:type="dxa"/>
          </w:tblCellMar>
        </w:tblPrEx>
        <w:tc>
          <w:tcPr>
            <w:tcW w:w="3403" w:type="dxa"/>
            <w:vAlign w:val="center"/>
          </w:tcPr>
          <w:p w:rsidR="007179D8" w:rsidRDefault="007B473E">
            <w:pPr>
              <w:pStyle w:val="Caption"/>
              <w:framePr w:hSpace="0" w:wrap="auto" w:vAnchor="margin" w:hAnchor="text" w:yAlign="inline"/>
              <w:rPr>
                <w:noProof/>
              </w:rPr>
            </w:pPr>
            <w:r>
              <w:rPr>
                <w:noProof/>
                <w:lang w:val="en-GB" w:eastAsia="en-GB"/>
              </w:rPr>
              <w:drawing>
                <wp:inline distT="0" distB="0" distL="0" distR="0">
                  <wp:extent cx="2861006" cy="2098072"/>
                  <wp:effectExtent l="0" t="0" r="15875" b="16510"/>
                  <wp:docPr id="27" name="Chart 27">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5664" w:type="dxa"/>
          </w:tcPr>
          <w:p w:rsidR="007179D8" w:rsidRDefault="007B473E">
            <w:pPr>
              <w:pStyle w:val="Caption"/>
              <w:framePr w:hSpace="0" w:wrap="auto" w:vAnchor="margin" w:hAnchor="text" w:yAlign="inline"/>
              <w:rPr>
                <w:noProof/>
              </w:rPr>
            </w:pPr>
            <w:r>
              <w:rPr>
                <w:noProof/>
                <w:lang w:val="en-GB" w:eastAsia="en-GB"/>
              </w:rPr>
              <w:drawing>
                <wp:inline distT="0" distB="0" distL="0" distR="0">
                  <wp:extent cx="3449955" cy="1363345"/>
                  <wp:effectExtent l="0" t="0" r="0" b="8255"/>
                  <wp:docPr id="1397633218" name="Picture 1397633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49955" cy="1363345"/>
                          </a:xfrm>
                          <a:prstGeom prst="rect">
                            <a:avLst/>
                          </a:prstGeom>
                          <a:noFill/>
                          <a:ln>
                            <a:noFill/>
                          </a:ln>
                        </pic:spPr>
                      </pic:pic>
                    </a:graphicData>
                  </a:graphic>
                </wp:inline>
              </w:drawing>
            </w:r>
          </w:p>
        </w:tc>
      </w:tr>
      <w:tr w:rsidR="007179D8">
        <w:tc>
          <w:tcPr>
            <w:tcW w:w="9067" w:type="dxa"/>
            <w:gridSpan w:val="2"/>
            <w:vAlign w:val="center"/>
          </w:tcPr>
          <w:p w:rsidR="007179D8" w:rsidRDefault="007B473E">
            <w:pPr>
              <w:pStyle w:val="Caption"/>
              <w:framePr w:hSpace="0" w:wrap="auto" w:vAnchor="margin" w:hAnchor="text" w:yAlign="inline"/>
              <w:rPr>
                <w:noProof/>
              </w:rPr>
            </w:pPr>
            <w:r>
              <w:rPr>
                <w:noProof/>
                <w:lang w:val="en-GB" w:eastAsia="en-GB"/>
              </w:rPr>
              <w:drawing>
                <wp:inline distT="0" distB="0" distL="0" distR="0">
                  <wp:extent cx="2541270" cy="257810"/>
                  <wp:effectExtent l="0" t="0" r="0" b="8890"/>
                  <wp:docPr id="1397633217" name="Picture 1397633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41270" cy="257810"/>
                          </a:xfrm>
                          <a:prstGeom prst="rect">
                            <a:avLst/>
                          </a:prstGeom>
                          <a:noFill/>
                          <a:ln>
                            <a:noFill/>
                          </a:ln>
                        </pic:spPr>
                      </pic:pic>
                    </a:graphicData>
                  </a:graphic>
                </wp:inline>
              </w:drawing>
            </w:r>
          </w:p>
        </w:tc>
      </w:tr>
      <w:tr w:rsidR="007179D8">
        <w:tc>
          <w:tcPr>
            <w:tcW w:w="3403" w:type="dxa"/>
          </w:tcPr>
          <w:p w:rsidR="007179D8" w:rsidRDefault="007B473E">
            <w:pPr>
              <w:keepNext/>
              <w:jc w:val="both"/>
              <w:rPr>
                <w:rFonts w:ascii="Times New Roman" w:hAnsi="Times New Roman" w:cs="Times New Roman"/>
                <w:iCs/>
                <w:noProof/>
              </w:rPr>
            </w:pPr>
            <w:r>
              <w:rPr>
                <w:rFonts w:ascii="Times New Roman" w:hAnsi="Times New Roman"/>
                <w:b/>
                <w:noProof/>
                <w:sz w:val="18"/>
                <w:szCs w:val="18"/>
              </w:rPr>
              <w:t>Remarque:</w:t>
            </w:r>
            <w:r>
              <w:rPr>
                <w:rFonts w:ascii="Times New Roman" w:hAnsi="Times New Roman"/>
                <w:noProof/>
                <w:sz w:val="18"/>
                <w:szCs w:val="18"/>
              </w:rPr>
              <w:t xml:space="preserve"> statistiques fondées sur le nombre d’évaluations d’habitats de l’Union européenne (818).</w:t>
            </w:r>
          </w:p>
        </w:tc>
        <w:tc>
          <w:tcPr>
            <w:tcW w:w="5664" w:type="dxa"/>
          </w:tcPr>
          <w:p w:rsidR="007179D8" w:rsidRDefault="007B473E">
            <w:pPr>
              <w:keepNext/>
              <w:spacing w:after="240"/>
              <w:jc w:val="both"/>
              <w:rPr>
                <w:noProof/>
              </w:rPr>
            </w:pPr>
            <w:r>
              <w:rPr>
                <w:rFonts w:ascii="Times New Roman" w:hAnsi="Times New Roman"/>
                <w:b/>
                <w:noProof/>
                <w:sz w:val="18"/>
                <w:szCs w:val="18"/>
              </w:rPr>
              <w:t>Remarque:</w:t>
            </w:r>
            <w:r>
              <w:rPr>
                <w:rFonts w:ascii="Times New Roman" w:hAnsi="Times New Roman"/>
                <w:noProof/>
                <w:sz w:val="18"/>
                <w:szCs w:val="18"/>
              </w:rPr>
              <w:t xml:space="preserve"> le nombre d’évaluations par groupe est indiqué entre parenthèses. Les habitats marins font partie du groupe des «habitats côtiers». Le nombre total d’évalua</w:t>
            </w:r>
            <w:r>
              <w:rPr>
                <w:rFonts w:ascii="Times New Roman" w:hAnsi="Times New Roman"/>
                <w:noProof/>
                <w:sz w:val="18"/>
                <w:szCs w:val="18"/>
              </w:rPr>
              <w:t>tions est de 818.</w:t>
            </w:r>
          </w:p>
        </w:tc>
      </w:tr>
    </w:tbl>
    <w:p w:rsidR="007179D8" w:rsidRDefault="007179D8">
      <w:pPr>
        <w:spacing w:after="240"/>
        <w:jc w:val="both"/>
        <w:rPr>
          <w:rFonts w:ascii="Times New Roman" w:hAnsi="Times New Roman" w:cs="Times New Roman"/>
          <w:noProof/>
          <w:sz w:val="24"/>
          <w:szCs w:val="24"/>
        </w:rPr>
      </w:pPr>
    </w:p>
    <w:p w:rsidR="007179D8" w:rsidRDefault="007B473E">
      <w:pPr>
        <w:spacing w:after="240"/>
        <w:jc w:val="both"/>
        <w:rPr>
          <w:rFonts w:ascii="Times New Roman" w:hAnsi="Times New Roman" w:cs="Times New Roman"/>
          <w:iCs/>
          <w:noProof/>
          <w:sz w:val="24"/>
          <w:szCs w:val="24"/>
        </w:rPr>
      </w:pPr>
      <w:r>
        <w:rPr>
          <w:rFonts w:ascii="Times New Roman" w:hAnsi="Times New Roman"/>
          <w:noProof/>
          <w:sz w:val="24"/>
          <w:szCs w:val="24"/>
        </w:rPr>
        <w:t>L’état de conservation des habitats ne s’est pas amélioré au cours de la période de référence. Seulement 15 % des évaluations d’habitats indiquent un état de conservation favorable, contre 16 % en 2015. La grande majorité fait apparaîtr</w:t>
      </w:r>
      <w:r>
        <w:rPr>
          <w:rFonts w:ascii="Times New Roman" w:hAnsi="Times New Roman"/>
          <w:noProof/>
          <w:sz w:val="24"/>
          <w:szCs w:val="24"/>
        </w:rPr>
        <w:t>e un état de conservation défavorable (dont 45 % d’habitats jugés dans un état «insuffisant» et 36 % dans un état «médiocre», contre 47 % et 30 % en 2015). Si les évaluations «insuffisantes» ont diminué de 2 p.p. et celles indiquant un état de conservation</w:t>
      </w:r>
      <w:r>
        <w:rPr>
          <w:rFonts w:ascii="Times New Roman" w:hAnsi="Times New Roman"/>
          <w:noProof/>
          <w:sz w:val="24"/>
          <w:szCs w:val="24"/>
        </w:rPr>
        <w:t xml:space="preserve"> «médiocre» ont augmenté de 6 p.p., la plupart des changements ne résultent pas d’une dégradation réelle sur le terrain, mais de l’amélioration des méthodes d’évaluation au niveau de l’Union européenne ou des États membres.  </w:t>
      </w:r>
    </w:p>
    <w:p w:rsidR="007179D8" w:rsidRDefault="007B473E">
      <w:pPr>
        <w:spacing w:after="240"/>
        <w:jc w:val="both"/>
        <w:rPr>
          <w:rFonts w:ascii="Times New Roman" w:hAnsi="Times New Roman" w:cs="Times New Roman"/>
          <w:noProof/>
          <w:sz w:val="24"/>
          <w:szCs w:val="24"/>
        </w:rPr>
      </w:pPr>
      <w:r>
        <w:rPr>
          <w:rFonts w:ascii="Times New Roman" w:hAnsi="Times New Roman"/>
          <w:noProof/>
          <w:sz w:val="24"/>
          <w:szCs w:val="24"/>
        </w:rPr>
        <w:t>Sur les neuf groupes d’habitat</w:t>
      </w:r>
      <w:r>
        <w:rPr>
          <w:rFonts w:ascii="Times New Roman" w:hAnsi="Times New Roman"/>
          <w:noProof/>
          <w:sz w:val="24"/>
          <w:szCs w:val="24"/>
        </w:rPr>
        <w:t>s communiqués, les habitats côtiers (qui comprennent les types d’habitats marins) enregistrent la plus faible proportion d’évaluations «favorables». Les dunes ainsi que les tourbières et les bas-marais sont les habitats dont l’état de conservation est le p</w:t>
      </w:r>
      <w:r>
        <w:rPr>
          <w:rFonts w:ascii="Times New Roman" w:hAnsi="Times New Roman"/>
          <w:noProof/>
          <w:sz w:val="24"/>
          <w:szCs w:val="24"/>
        </w:rPr>
        <w:t>lus souvent jugé «médiocre» (plus de 50 %). Les pelouses, qui comprennent des habitats très riches en espèces, figurent également parmi les habitats qui présentent la plus forte proportion d’évaluations «médiocres» (49 %). Celles qui nécessitent une gestio</w:t>
      </w:r>
      <w:r>
        <w:rPr>
          <w:rFonts w:ascii="Times New Roman" w:hAnsi="Times New Roman"/>
          <w:noProof/>
          <w:sz w:val="24"/>
          <w:szCs w:val="24"/>
        </w:rPr>
        <w:t>n active se trouvent dans un état de conservation particulièrement médiocre.</w:t>
      </w:r>
      <w:bookmarkStart w:id="2" w:name="_Toc42152720"/>
    </w:p>
    <w:p w:rsidR="007179D8" w:rsidRDefault="007B473E">
      <w:pPr>
        <w:spacing w:after="240"/>
        <w:jc w:val="both"/>
        <w:rPr>
          <w:rFonts w:ascii="Times New Roman" w:hAnsi="Times New Roman" w:cs="Times New Roman"/>
          <w:b/>
          <w:noProof/>
          <w:sz w:val="24"/>
          <w:szCs w:val="24"/>
        </w:rPr>
      </w:pPr>
      <w:r>
        <w:rPr>
          <w:rFonts w:ascii="Times New Roman" w:hAnsi="Times New Roman"/>
          <w:noProof/>
          <w:sz w:val="24"/>
          <w:szCs w:val="24"/>
        </w:rPr>
        <w:t>Le manque de connaissances au sujet des neuf habitats marins reste problématique. L’état de conservation d’environ 26 % des habitats marins des États membres demeure inconnu (cont</w:t>
      </w:r>
      <w:r>
        <w:rPr>
          <w:rFonts w:ascii="Times New Roman" w:hAnsi="Times New Roman"/>
          <w:noProof/>
          <w:sz w:val="24"/>
          <w:szCs w:val="24"/>
        </w:rPr>
        <w:t>re 4 % pour les habitats terrestres).</w:t>
      </w:r>
    </w:p>
    <w:p w:rsidR="007179D8" w:rsidRDefault="007B473E">
      <w:pPr>
        <w:rPr>
          <w:rFonts w:ascii="Times New Roman" w:hAnsi="Times New Roman" w:cs="Times New Roman"/>
          <w:b/>
          <w:noProof/>
          <w:sz w:val="24"/>
          <w:szCs w:val="24"/>
        </w:rPr>
      </w:pPr>
      <w:r>
        <w:rPr>
          <w:noProof/>
        </w:rPr>
        <w:br w:type="page"/>
      </w:r>
    </w:p>
    <w:p w:rsidR="007179D8" w:rsidRDefault="007B473E">
      <w:pPr>
        <w:spacing w:after="240" w:line="240" w:lineRule="auto"/>
        <w:jc w:val="both"/>
        <w:rPr>
          <w:rFonts w:ascii="Times New Roman" w:hAnsi="Times New Roman" w:cs="Times New Roman"/>
          <w:b/>
          <w:noProof/>
        </w:rPr>
      </w:pPr>
      <w:r>
        <w:rPr>
          <w:rFonts w:ascii="Times New Roman" w:hAnsi="Times New Roman"/>
          <w:b/>
          <w:noProof/>
          <w:sz w:val="24"/>
          <w:szCs w:val="24"/>
        </w:rPr>
        <w:t xml:space="preserve">Tendances de l’état de conservation </w:t>
      </w:r>
      <w:bookmarkEnd w:id="2"/>
      <w:r>
        <w:rPr>
          <w:rFonts w:ascii="Times New Roman" w:hAnsi="Times New Roman"/>
          <w:b/>
          <w:noProof/>
          <w:sz w:val="24"/>
          <w:szCs w:val="24"/>
        </w:rPr>
        <w:t>des habitats</w:t>
      </w:r>
    </w:p>
    <w:tbl>
      <w:tblPr>
        <w:tblStyle w:val="HTG2"/>
        <w:tblW w:w="9952" w:type="dxa"/>
        <w:tblInd w:w="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424"/>
        <w:gridCol w:w="5528"/>
      </w:tblGrid>
      <w:tr w:rsidR="007179D8">
        <w:tc>
          <w:tcPr>
            <w:tcW w:w="4424" w:type="dxa"/>
          </w:tcPr>
          <w:p w:rsidR="007179D8" w:rsidRDefault="007B473E">
            <w:pPr>
              <w:keepNext/>
              <w:spacing w:after="120"/>
              <w:rPr>
                <w:rFonts w:ascii="Times New Roman" w:hAnsi="Times New Roman" w:cs="Times New Roman"/>
                <w:b/>
                <w:noProof/>
                <w:sz w:val="20"/>
                <w:szCs w:val="20"/>
              </w:rPr>
            </w:pPr>
            <w:r>
              <w:rPr>
                <w:rFonts w:ascii="Times New Roman" w:hAnsi="Times New Roman"/>
                <w:b/>
                <w:noProof/>
                <w:sz w:val="20"/>
                <w:szCs w:val="20"/>
              </w:rPr>
              <w:t>Graphique 5a: tendances de l’état de conservation des habitats dont l’état est jugé défavorable (c’est-à-dire pas favorable) ou est inconnu au niveau de l’UE</w:t>
            </w:r>
          </w:p>
        </w:tc>
        <w:tc>
          <w:tcPr>
            <w:tcW w:w="5528" w:type="dxa"/>
          </w:tcPr>
          <w:p w:rsidR="007179D8" w:rsidRDefault="007B473E">
            <w:pPr>
              <w:keepNext/>
              <w:spacing w:after="120"/>
              <w:jc w:val="both"/>
              <w:rPr>
                <w:rFonts w:ascii="Times New Roman" w:hAnsi="Times New Roman" w:cs="Times New Roman"/>
                <w:b/>
                <w:noProof/>
                <w:sz w:val="20"/>
                <w:szCs w:val="20"/>
              </w:rPr>
            </w:pPr>
            <w:r>
              <w:rPr>
                <w:rFonts w:ascii="Times New Roman" w:hAnsi="Times New Roman"/>
                <w:b/>
                <w:noProof/>
                <w:sz w:val="20"/>
                <w:szCs w:val="20"/>
              </w:rPr>
              <w:t>Graphique 5b: tendances de l’état de conservation des habitats dont l’état est jugé défavorable (c’est-à-dire pas favorable) ou est inconnu, par groupe d’habitats, au niveau de l’UE</w:t>
            </w:r>
          </w:p>
        </w:tc>
      </w:tr>
      <w:tr w:rsidR="007179D8">
        <w:tc>
          <w:tcPr>
            <w:tcW w:w="4424" w:type="dxa"/>
            <w:vAlign w:val="center"/>
          </w:tcPr>
          <w:p w:rsidR="007179D8" w:rsidRDefault="007179D8">
            <w:pPr>
              <w:keepNext/>
              <w:spacing w:after="120"/>
              <w:jc w:val="center"/>
              <w:rPr>
                <w:rFonts w:ascii="Times New Roman" w:hAnsi="Times New Roman" w:cs="Times New Roman"/>
                <w:noProof/>
                <w:lang w:val="fr-BE"/>
              </w:rPr>
            </w:pPr>
          </w:p>
          <w:p w:rsidR="007179D8" w:rsidRDefault="007B473E">
            <w:pPr>
              <w:keepNext/>
              <w:spacing w:after="120"/>
              <w:jc w:val="center"/>
              <w:rPr>
                <w:rFonts w:ascii="Times New Roman" w:hAnsi="Times New Roman" w:cs="Times New Roman"/>
                <w:noProof/>
              </w:rPr>
            </w:pPr>
            <w:r>
              <w:rPr>
                <w:rFonts w:ascii="Times New Roman" w:hAnsi="Times New Roman"/>
                <w:noProof/>
                <w:lang w:val="en-GB" w:eastAsia="en-GB"/>
              </w:rPr>
              <w:drawing>
                <wp:inline distT="0" distB="0" distL="0" distR="0">
                  <wp:extent cx="1591310" cy="1591310"/>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91310" cy="1591310"/>
                          </a:xfrm>
                          <a:prstGeom prst="rect">
                            <a:avLst/>
                          </a:prstGeom>
                          <a:noFill/>
                        </pic:spPr>
                      </pic:pic>
                    </a:graphicData>
                  </a:graphic>
                </wp:inline>
              </w:drawing>
            </w:r>
          </w:p>
          <w:p w:rsidR="007179D8" w:rsidRDefault="007179D8">
            <w:pPr>
              <w:keepNext/>
              <w:spacing w:after="120"/>
              <w:jc w:val="center"/>
              <w:rPr>
                <w:rFonts w:ascii="Times New Roman" w:hAnsi="Times New Roman" w:cs="Times New Roman"/>
                <w:noProof/>
                <w:lang w:val="en-GB"/>
              </w:rPr>
            </w:pPr>
          </w:p>
        </w:tc>
        <w:tc>
          <w:tcPr>
            <w:tcW w:w="5528" w:type="dxa"/>
          </w:tcPr>
          <w:p w:rsidR="007179D8" w:rsidRDefault="007B473E">
            <w:pPr>
              <w:keepNext/>
              <w:spacing w:after="120"/>
              <w:jc w:val="both"/>
              <w:rPr>
                <w:rFonts w:ascii="Times New Roman" w:hAnsi="Times New Roman" w:cs="Times New Roman"/>
                <w:b/>
                <w:noProof/>
              </w:rPr>
            </w:pPr>
            <w:r>
              <w:rPr>
                <w:rFonts w:ascii="Times New Roman" w:hAnsi="Times New Roman" w:cs="Times New Roman"/>
                <w:b/>
                <w:noProof/>
                <w:lang w:val="en-GB" w:eastAsia="en-GB"/>
              </w:rPr>
              <w:drawing>
                <wp:inline distT="0" distB="0" distL="0" distR="0">
                  <wp:extent cx="3388360" cy="1705610"/>
                  <wp:effectExtent l="0" t="0" r="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88360" cy="1705610"/>
                          </a:xfrm>
                          <a:prstGeom prst="rect">
                            <a:avLst/>
                          </a:prstGeom>
                          <a:noFill/>
                          <a:ln>
                            <a:noFill/>
                          </a:ln>
                        </pic:spPr>
                      </pic:pic>
                    </a:graphicData>
                  </a:graphic>
                </wp:inline>
              </w:drawing>
            </w:r>
          </w:p>
        </w:tc>
      </w:tr>
      <w:tr w:rsidR="007179D8">
        <w:tc>
          <w:tcPr>
            <w:tcW w:w="9952" w:type="dxa"/>
            <w:gridSpan w:val="2"/>
          </w:tcPr>
          <w:p w:rsidR="007179D8" w:rsidRDefault="007B473E">
            <w:pPr>
              <w:keepNext/>
              <w:spacing w:after="120"/>
              <w:jc w:val="both"/>
              <w:rPr>
                <w:rFonts w:ascii="Times New Roman" w:hAnsi="Times New Roman" w:cs="Times New Roman"/>
                <w:noProof/>
              </w:rPr>
            </w:pPr>
            <w:r>
              <w:rPr>
                <w:rFonts w:ascii="Times New Roman" w:hAnsi="Times New Roman" w:cs="Times New Roman"/>
                <w:noProof/>
                <w:lang w:val="en-GB" w:eastAsia="en-GB"/>
              </w:rPr>
              <w:drawing>
                <wp:inline distT="0" distB="0" distL="0" distR="0">
                  <wp:extent cx="5721985" cy="286385"/>
                  <wp:effectExtent l="0" t="0" r="0" b="0"/>
                  <wp:docPr id="1397633222" name="Picture 139763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21985" cy="286385"/>
                          </a:xfrm>
                          <a:prstGeom prst="rect">
                            <a:avLst/>
                          </a:prstGeom>
                          <a:noFill/>
                          <a:ln>
                            <a:noFill/>
                          </a:ln>
                        </pic:spPr>
                      </pic:pic>
                    </a:graphicData>
                  </a:graphic>
                </wp:inline>
              </w:drawing>
            </w:r>
          </w:p>
        </w:tc>
      </w:tr>
      <w:tr w:rsidR="007179D8">
        <w:tc>
          <w:tcPr>
            <w:tcW w:w="4424" w:type="dxa"/>
          </w:tcPr>
          <w:p w:rsidR="007179D8" w:rsidRDefault="007B473E">
            <w:pPr>
              <w:keepNext/>
              <w:jc w:val="both"/>
              <w:rPr>
                <w:rFonts w:ascii="Times New Roman" w:hAnsi="Times New Roman" w:cs="Times New Roman"/>
                <w:b/>
                <w:noProof/>
                <w:sz w:val="18"/>
                <w:szCs w:val="18"/>
              </w:rPr>
            </w:pPr>
            <w:r>
              <w:rPr>
                <w:rFonts w:ascii="Times New Roman" w:hAnsi="Times New Roman"/>
                <w:b/>
                <w:noProof/>
                <w:sz w:val="18"/>
                <w:szCs w:val="18"/>
              </w:rPr>
              <w:t>Remarque:</w:t>
            </w:r>
            <w:r>
              <w:rPr>
                <w:rFonts w:ascii="Times New Roman" w:hAnsi="Times New Roman"/>
                <w:noProof/>
                <w:sz w:val="18"/>
                <w:szCs w:val="18"/>
              </w:rPr>
              <w:t xml:space="preserve"> les tendances de l’état de conservation reposent sur les évaluations d’habitats de l’Union européenne (698).</w:t>
            </w:r>
          </w:p>
        </w:tc>
        <w:tc>
          <w:tcPr>
            <w:tcW w:w="5528" w:type="dxa"/>
          </w:tcPr>
          <w:p w:rsidR="007179D8" w:rsidRDefault="007B473E">
            <w:pPr>
              <w:keepNext/>
              <w:spacing w:after="240"/>
              <w:jc w:val="both"/>
              <w:rPr>
                <w:rFonts w:ascii="Times New Roman" w:hAnsi="Times New Roman" w:cs="Times New Roman"/>
                <w:noProof/>
              </w:rPr>
            </w:pPr>
            <w:r>
              <w:rPr>
                <w:rFonts w:ascii="Times New Roman" w:hAnsi="Times New Roman"/>
                <w:b/>
                <w:noProof/>
                <w:sz w:val="18"/>
                <w:szCs w:val="18"/>
              </w:rPr>
              <w:t>Remarque:</w:t>
            </w:r>
            <w:r>
              <w:rPr>
                <w:rFonts w:ascii="Times New Roman" w:hAnsi="Times New Roman"/>
                <w:noProof/>
                <w:sz w:val="18"/>
                <w:szCs w:val="18"/>
              </w:rPr>
              <w:t xml:space="preserve"> le nombre d’évaluations est indiqué entre parenthèses. Le nombre total d’évaluations est de 698.</w:t>
            </w:r>
          </w:p>
        </w:tc>
      </w:tr>
    </w:tbl>
    <w:p w:rsidR="007179D8" w:rsidRDefault="007179D8">
      <w:pPr>
        <w:spacing w:after="240"/>
        <w:jc w:val="both"/>
        <w:rPr>
          <w:rFonts w:ascii="Times New Roman" w:hAnsi="Times New Roman" w:cs="Times New Roman"/>
          <w:iCs/>
          <w:noProof/>
          <w:sz w:val="24"/>
          <w:szCs w:val="24"/>
        </w:rPr>
      </w:pPr>
    </w:p>
    <w:p w:rsidR="007179D8" w:rsidRDefault="007B473E">
      <w:pPr>
        <w:spacing w:after="240"/>
        <w:jc w:val="both"/>
        <w:rPr>
          <w:rFonts w:ascii="Times New Roman" w:hAnsi="Times New Roman" w:cs="Times New Roman"/>
          <w:iCs/>
          <w:noProof/>
          <w:sz w:val="24"/>
          <w:szCs w:val="24"/>
        </w:rPr>
      </w:pPr>
      <w:r>
        <w:rPr>
          <w:rFonts w:ascii="Times New Roman" w:hAnsi="Times New Roman"/>
          <w:iCs/>
          <w:noProof/>
          <w:sz w:val="24"/>
          <w:szCs w:val="24"/>
        </w:rPr>
        <w:t xml:space="preserve">L’état de conservation de 81 % des habitats répertoriés est jugé «insuffisant» ou «médiocre» au niveau de l’Union européenne. Seuls 9 % d’entre eux affichent des tendances à l’amélioration, tandis que 36 % enregistrent une dégradation continue. </w:t>
      </w:r>
      <w:r>
        <w:rPr>
          <w:rFonts w:ascii="Times New Roman" w:hAnsi="Times New Roman"/>
          <w:noProof/>
          <w:sz w:val="24"/>
          <w:szCs w:val="24"/>
        </w:rPr>
        <w:t>Au moins 25</w:t>
      </w:r>
      <w:r>
        <w:rPr>
          <w:rFonts w:ascii="Times New Roman" w:hAnsi="Times New Roman"/>
          <w:noProof/>
          <w:sz w:val="24"/>
          <w:szCs w:val="24"/>
        </w:rPr>
        <w:t xml:space="preserve"> % de toutes les évaluations des différents groupes d’habitats, à l’exception des habitats rocheux (15 %), font état de tendances à la dégradation. Les tourbières et les bas-marais, les pelouses et les habitats de dunes présentent la plus forte proportion </w:t>
      </w:r>
      <w:r>
        <w:rPr>
          <w:rFonts w:ascii="Times New Roman" w:hAnsi="Times New Roman"/>
          <w:noProof/>
          <w:sz w:val="24"/>
          <w:szCs w:val="24"/>
        </w:rPr>
        <w:t>de tendances à la dégradation (plus de 50 % pour chaque groupe). En ce qui concerne les habitats herbeux, principalement les prairies de fauche</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les prairies à </w:t>
      </w:r>
      <w:r>
        <w:rPr>
          <w:rFonts w:ascii="Times New Roman" w:hAnsi="Times New Roman"/>
          <w:i/>
          <w:noProof/>
          <w:sz w:val="24"/>
          <w:szCs w:val="24"/>
        </w:rPr>
        <w:t>Molinia</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et plusieurs types de formations herbeuses semi-naturelles</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leur état de conservation</w:t>
      </w:r>
      <w:r>
        <w:rPr>
          <w:rFonts w:ascii="Times New Roman" w:hAnsi="Times New Roman"/>
          <w:noProof/>
          <w:sz w:val="24"/>
          <w:szCs w:val="24"/>
        </w:rPr>
        <w:t xml:space="preserve"> enregistre une tendance à la dégradation, ce qui atteste de leur dépendance à l’égard de pratiques agricoles extensives qui sont toujours en déclin dans l’Union européenne. Les habitats forestiers présentent la plus forte proportion de tendances à l’améli</w:t>
      </w:r>
      <w:r>
        <w:rPr>
          <w:rFonts w:ascii="Times New Roman" w:hAnsi="Times New Roman"/>
          <w:noProof/>
          <w:sz w:val="24"/>
          <w:szCs w:val="24"/>
        </w:rPr>
        <w:t>oration parmi les évaluations (13 %).</w:t>
      </w:r>
    </w:p>
    <w:p w:rsidR="007179D8" w:rsidRDefault="007B473E">
      <w:pPr>
        <w:spacing w:after="240"/>
        <w:jc w:val="both"/>
        <w:rPr>
          <w:rFonts w:ascii="Times New Roman" w:hAnsi="Times New Roman" w:cs="Times New Roman"/>
          <w:b/>
          <w:i/>
          <w:noProof/>
          <w:sz w:val="24"/>
          <w:szCs w:val="24"/>
          <w:u w:val="single"/>
        </w:rPr>
      </w:pPr>
      <w:r>
        <w:rPr>
          <w:rFonts w:ascii="Times New Roman" w:hAnsi="Times New Roman"/>
          <w:b/>
          <w:i/>
          <w:noProof/>
          <w:sz w:val="24"/>
          <w:szCs w:val="24"/>
          <w:u w:val="single"/>
        </w:rPr>
        <w:t>2.3 Espèces autres que les oiseaux</w:t>
      </w:r>
    </w:p>
    <w:p w:rsidR="007179D8" w:rsidRDefault="007B473E">
      <w:pPr>
        <w:spacing w:after="240"/>
        <w:jc w:val="both"/>
        <w:rPr>
          <w:rFonts w:ascii="Times New Roman" w:eastAsia="ヒラギノ角ゴ Pro W3" w:hAnsi="Times New Roman" w:cs="Times New Roman"/>
          <w:iCs/>
          <w:noProof/>
          <w:sz w:val="24"/>
          <w:szCs w:val="24"/>
        </w:rPr>
      </w:pPr>
      <w:r>
        <w:rPr>
          <w:rFonts w:ascii="Times New Roman" w:hAnsi="Times New Roman"/>
          <w:noProof/>
          <w:sz w:val="24"/>
          <w:szCs w:val="24"/>
        </w:rPr>
        <w:t>Les annexes II, IV et V de la directive «Habitats» énumèrent 1 389 espèces d’intérêt européen</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Dans certains</w:t>
      </w:r>
      <w:r>
        <w:rPr>
          <w:rFonts w:ascii="Times New Roman" w:hAnsi="Times New Roman"/>
          <w:iCs/>
          <w:noProof/>
          <w:sz w:val="24"/>
          <w:szCs w:val="24"/>
        </w:rPr>
        <w:t xml:space="preserve"> groupes taxonomiques plus importants tels que les mollusques, les arthrop</w:t>
      </w:r>
      <w:r>
        <w:rPr>
          <w:rFonts w:ascii="Times New Roman" w:hAnsi="Times New Roman"/>
          <w:iCs/>
          <w:noProof/>
          <w:sz w:val="24"/>
          <w:szCs w:val="24"/>
        </w:rPr>
        <w:t>odes et les plantes vasculaires, la proportion d’espèces couvertes par les annexes est très faible. Les groupes les mieux représentés sont les vertébrés, avec 85 % d’amphibiens, 70 % de reptiles, 64 % de mammifères et 39 % d’espèces de poissons d’eau douce</w:t>
      </w:r>
      <w:r>
        <w:rPr>
          <w:rFonts w:ascii="Times New Roman" w:hAnsi="Times New Roman"/>
          <w:iCs/>
          <w:noProof/>
          <w:sz w:val="24"/>
          <w:szCs w:val="24"/>
        </w:rPr>
        <w:t xml:space="preserve"> répertoriés. De nombreuses espèces non répertoriées, y compris un grand nombre des espèces les plus communes, tirent profit des mesures prévues par la directive, notamment la protection des types d’habitats visés à l’annexe I.</w:t>
      </w:r>
    </w:p>
    <w:p w:rsidR="007179D8" w:rsidRDefault="007B473E">
      <w:pPr>
        <w:rPr>
          <w:rFonts w:ascii="Times New Roman" w:eastAsia="ヒラギノ角ゴ Pro W3" w:hAnsi="Times New Roman" w:cs="Times New Roman"/>
          <w:b/>
          <w:iCs/>
          <w:noProof/>
        </w:rPr>
      </w:pPr>
      <w:r>
        <w:rPr>
          <w:rFonts w:ascii="Times New Roman" w:hAnsi="Times New Roman"/>
          <w:b/>
          <w:iCs/>
          <w:noProof/>
          <w:sz w:val="24"/>
          <w:szCs w:val="24"/>
        </w:rPr>
        <w:t>État de conservation des esp</w:t>
      </w:r>
      <w:r>
        <w:rPr>
          <w:rFonts w:ascii="Times New Roman" w:hAnsi="Times New Roman"/>
          <w:b/>
          <w:iCs/>
          <w:noProof/>
          <w:sz w:val="24"/>
          <w:szCs w:val="24"/>
        </w:rPr>
        <w:t>èces</w:t>
      </w:r>
    </w:p>
    <w:tbl>
      <w:tblPr>
        <w:tblStyle w:val="HTG3"/>
        <w:tblpPr w:leftFromText="142" w:rightFromText="142" w:vertAnchor="text" w:horzAnchor="margin" w:tblpY="38"/>
        <w:tblOverlap w:val="nev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848"/>
      </w:tblGrid>
      <w:tr w:rsidR="007179D8">
        <w:tc>
          <w:tcPr>
            <w:tcW w:w="4503" w:type="dxa"/>
          </w:tcPr>
          <w:p w:rsidR="007179D8" w:rsidRDefault="007B473E">
            <w:pPr>
              <w:keepNext/>
              <w:tabs>
                <w:tab w:val="center" w:pos="2370"/>
                <w:tab w:val="right" w:pos="4741"/>
              </w:tabs>
              <w:spacing w:after="120"/>
              <w:ind w:left="-105"/>
              <w:rPr>
                <w:rFonts w:ascii="Times New Roman" w:hAnsi="Times New Roman" w:cs="Times New Roman"/>
                <w:b/>
                <w:noProof/>
                <w:sz w:val="20"/>
                <w:szCs w:val="20"/>
              </w:rPr>
            </w:pPr>
            <w:r>
              <w:rPr>
                <w:rFonts w:ascii="Times New Roman" w:hAnsi="Times New Roman"/>
                <w:b/>
                <w:noProof/>
                <w:sz w:val="20"/>
                <w:szCs w:val="20"/>
              </w:rPr>
              <w:t xml:space="preserve">Graphique 6a: état de conservation des espèces au niveau de l’UE </w:t>
            </w:r>
          </w:p>
        </w:tc>
        <w:tc>
          <w:tcPr>
            <w:tcW w:w="4848" w:type="dxa"/>
          </w:tcPr>
          <w:p w:rsidR="007179D8" w:rsidRDefault="007B473E">
            <w:pPr>
              <w:keepNext/>
              <w:tabs>
                <w:tab w:val="center" w:pos="2370"/>
                <w:tab w:val="right" w:pos="4741"/>
              </w:tabs>
              <w:spacing w:after="120"/>
              <w:ind w:left="-105"/>
              <w:rPr>
                <w:rFonts w:ascii="Times New Roman" w:hAnsi="Times New Roman" w:cs="Times New Roman"/>
                <w:b/>
                <w:noProof/>
                <w:sz w:val="20"/>
                <w:szCs w:val="20"/>
              </w:rPr>
            </w:pPr>
            <w:r>
              <w:rPr>
                <w:rFonts w:ascii="Times New Roman" w:hAnsi="Times New Roman"/>
                <w:b/>
                <w:noProof/>
                <w:sz w:val="20"/>
                <w:szCs w:val="20"/>
              </w:rPr>
              <w:t>Graphique 6b: état de conservation par groupe d’espèces au niveau de l’UE</w:t>
            </w:r>
          </w:p>
        </w:tc>
      </w:tr>
      <w:tr w:rsidR="007179D8">
        <w:trPr>
          <w:trHeight w:val="3011"/>
        </w:trPr>
        <w:tc>
          <w:tcPr>
            <w:tcW w:w="4503" w:type="dxa"/>
            <w:vAlign w:val="center"/>
          </w:tcPr>
          <w:p w:rsidR="007179D8" w:rsidRDefault="007B473E">
            <w:pPr>
              <w:keepNext/>
              <w:tabs>
                <w:tab w:val="center" w:pos="2370"/>
                <w:tab w:val="right" w:pos="4741"/>
              </w:tabs>
              <w:ind w:left="-105"/>
              <w:jc w:val="center"/>
              <w:rPr>
                <w:rFonts w:ascii="Times New Roman" w:hAnsi="Times New Roman" w:cs="Times New Roman"/>
                <w:noProof/>
              </w:rPr>
            </w:pPr>
            <w:r>
              <w:rPr>
                <w:rFonts w:ascii="Times New Roman" w:hAnsi="Times New Roman"/>
                <w:noProof/>
                <w:lang w:val="en-GB" w:eastAsia="en-GB"/>
              </w:rPr>
              <w:drawing>
                <wp:inline distT="0" distB="0" distL="0" distR="0">
                  <wp:extent cx="1581235" cy="1609725"/>
                  <wp:effectExtent l="0" t="0" r="0" b="0"/>
                  <wp:docPr id="198" name="Grafik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7" cstate="screen">
                            <a:extLst>
                              <a:ext uri="{28A0092B-C50C-407E-A947-70E740481C1C}">
                                <a14:useLocalDpi xmlns:a14="http://schemas.microsoft.com/office/drawing/2010/main"/>
                              </a:ext>
                            </a:extLst>
                          </a:blip>
                          <a:srcRect/>
                          <a:stretch/>
                        </pic:blipFill>
                        <pic:spPr bwMode="auto">
                          <a:xfrm>
                            <a:off x="0" y="0"/>
                            <a:ext cx="1587253" cy="1615852"/>
                          </a:xfrm>
                          <a:prstGeom prst="rect">
                            <a:avLst/>
                          </a:prstGeom>
                          <a:noFill/>
                          <a:ln>
                            <a:noFill/>
                          </a:ln>
                          <a:extLst>
                            <a:ext uri="{53640926-AAD7-44D8-BBD7-CCE9431645EC}">
                              <a14:shadowObscured xmlns:a14="http://schemas.microsoft.com/office/drawing/2010/main"/>
                            </a:ext>
                          </a:extLst>
                        </pic:spPr>
                      </pic:pic>
                    </a:graphicData>
                  </a:graphic>
                </wp:inline>
              </w:drawing>
            </w:r>
          </w:p>
          <w:p w:rsidR="007179D8" w:rsidRDefault="007179D8">
            <w:pPr>
              <w:keepNext/>
              <w:spacing w:after="60"/>
              <w:ind w:left="-105"/>
              <w:jc w:val="center"/>
              <w:rPr>
                <w:rFonts w:ascii="Times New Roman" w:eastAsia="ヒラギノ角ゴ Pro W3" w:hAnsi="Times New Roman" w:cs="Times New Roman"/>
                <w:b/>
                <w:noProof/>
                <w:sz w:val="18"/>
                <w:szCs w:val="20"/>
                <w:lang w:val="en-GB" w:eastAsia="de-DE"/>
              </w:rPr>
            </w:pPr>
          </w:p>
        </w:tc>
        <w:tc>
          <w:tcPr>
            <w:tcW w:w="4848" w:type="dxa"/>
          </w:tcPr>
          <w:p w:rsidR="007179D8" w:rsidRDefault="007B473E">
            <w:pPr>
              <w:keepNext/>
              <w:tabs>
                <w:tab w:val="center" w:pos="2370"/>
                <w:tab w:val="right" w:pos="4741"/>
              </w:tabs>
              <w:ind w:left="-105"/>
              <w:jc w:val="both"/>
              <w:rPr>
                <w:rFonts w:ascii="Times New Roman" w:hAnsi="Times New Roman" w:cs="Times New Roman"/>
                <w:noProof/>
              </w:rPr>
            </w:pPr>
            <w:r>
              <w:rPr>
                <w:rFonts w:ascii="Times New Roman" w:hAnsi="Times New Roman" w:cs="Times New Roman"/>
                <w:noProof/>
                <w:lang w:val="en-GB" w:eastAsia="en-GB"/>
              </w:rPr>
              <w:drawing>
                <wp:inline distT="0" distB="0" distL="0" distR="0">
                  <wp:extent cx="2691215" cy="1946465"/>
                  <wp:effectExtent l="0" t="0" r="0" b="0"/>
                  <wp:docPr id="1397633229" name="Picture 1397633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93798" cy="1948333"/>
                          </a:xfrm>
                          <a:prstGeom prst="rect">
                            <a:avLst/>
                          </a:prstGeom>
                          <a:noFill/>
                          <a:ln>
                            <a:noFill/>
                          </a:ln>
                        </pic:spPr>
                      </pic:pic>
                    </a:graphicData>
                  </a:graphic>
                </wp:inline>
              </w:drawing>
            </w:r>
          </w:p>
          <w:p w:rsidR="007179D8" w:rsidRDefault="007179D8">
            <w:pPr>
              <w:keepNext/>
              <w:spacing w:after="60"/>
              <w:ind w:left="-105"/>
              <w:jc w:val="both"/>
              <w:rPr>
                <w:rFonts w:ascii="Times New Roman" w:eastAsia="ヒラギノ角ゴ Pro W3" w:hAnsi="Times New Roman" w:cs="Times New Roman"/>
                <w:b/>
                <w:noProof/>
                <w:sz w:val="18"/>
                <w:szCs w:val="20"/>
                <w:lang w:val="en-GB" w:eastAsia="de-DE"/>
              </w:rPr>
            </w:pPr>
          </w:p>
        </w:tc>
      </w:tr>
      <w:tr w:rsidR="007179D8">
        <w:tc>
          <w:tcPr>
            <w:tcW w:w="9351" w:type="dxa"/>
            <w:gridSpan w:val="2"/>
          </w:tcPr>
          <w:p w:rsidR="007179D8" w:rsidRDefault="007B473E">
            <w:pPr>
              <w:keepNext/>
              <w:tabs>
                <w:tab w:val="center" w:pos="2370"/>
                <w:tab w:val="right" w:pos="4741"/>
              </w:tabs>
              <w:jc w:val="center"/>
              <w:rPr>
                <w:rFonts w:ascii="Times New Roman" w:hAnsi="Times New Roman" w:cs="Times New Roman"/>
                <w:b/>
                <w:noProof/>
                <w:sz w:val="18"/>
              </w:rPr>
            </w:pPr>
            <w:r>
              <w:rPr>
                <w:noProof/>
                <w:lang w:val="en-GB" w:eastAsia="en-GB"/>
              </w:rPr>
              <w:drawing>
                <wp:inline distT="0" distB="0" distL="0" distR="0">
                  <wp:extent cx="3048000" cy="314325"/>
                  <wp:effectExtent l="0" t="0" r="0" b="9525"/>
                  <wp:docPr id="1397633230" name="Picture 139763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048000" cy="314325"/>
                          </a:xfrm>
                          <a:prstGeom prst="rect">
                            <a:avLst/>
                          </a:prstGeom>
                        </pic:spPr>
                      </pic:pic>
                    </a:graphicData>
                  </a:graphic>
                </wp:inline>
              </w:drawing>
            </w:r>
          </w:p>
        </w:tc>
      </w:tr>
      <w:tr w:rsidR="007179D8">
        <w:tc>
          <w:tcPr>
            <w:tcW w:w="4503" w:type="dxa"/>
          </w:tcPr>
          <w:p w:rsidR="007179D8" w:rsidRDefault="007B473E">
            <w:pPr>
              <w:keepNext/>
              <w:tabs>
                <w:tab w:val="center" w:pos="2370"/>
                <w:tab w:val="right" w:pos="4741"/>
              </w:tabs>
              <w:spacing w:before="120"/>
              <w:jc w:val="both"/>
              <w:rPr>
                <w:rFonts w:ascii="Times New Roman" w:hAnsi="Times New Roman" w:cs="Times New Roman"/>
                <w:noProof/>
                <w:sz w:val="18"/>
                <w:szCs w:val="18"/>
              </w:rPr>
            </w:pPr>
            <w:r>
              <w:rPr>
                <w:rFonts w:ascii="Times New Roman" w:hAnsi="Times New Roman"/>
                <w:b/>
                <w:noProof/>
                <w:sz w:val="18"/>
                <w:szCs w:val="18"/>
              </w:rPr>
              <w:t>Remarque:</w:t>
            </w:r>
            <w:r>
              <w:rPr>
                <w:rFonts w:ascii="Times New Roman" w:hAnsi="Times New Roman"/>
                <w:noProof/>
                <w:sz w:val="18"/>
                <w:szCs w:val="18"/>
              </w:rPr>
              <w:t xml:space="preserve"> statistiques fondées sur le nombre d’évaluations d’espèces de l’Union européenne (2 825). </w:t>
            </w:r>
          </w:p>
        </w:tc>
        <w:tc>
          <w:tcPr>
            <w:tcW w:w="4848" w:type="dxa"/>
          </w:tcPr>
          <w:p w:rsidR="007179D8" w:rsidRDefault="007B473E">
            <w:pPr>
              <w:keepNext/>
              <w:tabs>
                <w:tab w:val="center" w:pos="2370"/>
                <w:tab w:val="right" w:pos="4741"/>
              </w:tabs>
              <w:spacing w:before="120" w:after="240"/>
              <w:jc w:val="both"/>
              <w:rPr>
                <w:rFonts w:ascii="Times New Roman" w:hAnsi="Times New Roman" w:cs="Times New Roman"/>
                <w:b/>
                <w:noProof/>
                <w:sz w:val="18"/>
              </w:rPr>
            </w:pPr>
            <w:r>
              <w:rPr>
                <w:rFonts w:ascii="Times New Roman" w:hAnsi="Times New Roman"/>
                <w:b/>
                <w:noProof/>
                <w:sz w:val="18"/>
                <w:szCs w:val="18"/>
              </w:rPr>
              <w:t>Remarque:</w:t>
            </w:r>
            <w:r>
              <w:rPr>
                <w:rFonts w:ascii="Times New Roman" w:hAnsi="Times New Roman"/>
                <w:noProof/>
                <w:sz w:val="18"/>
                <w:szCs w:val="18"/>
              </w:rPr>
              <w:t xml:space="preserve"> le nombre d’évaluations par groupe est indiqué entre parenthèses. Le nombre total d’évaluations est de 2 825.</w:t>
            </w:r>
          </w:p>
        </w:tc>
      </w:tr>
    </w:tbl>
    <w:p w:rsidR="007179D8" w:rsidRDefault="007179D8">
      <w:pPr>
        <w:spacing w:after="240"/>
        <w:jc w:val="both"/>
        <w:rPr>
          <w:rFonts w:ascii="Times New Roman" w:eastAsia="ヒラギノ角ゴ Pro W3" w:hAnsi="Times New Roman" w:cs="Times New Roman"/>
          <w:iCs/>
          <w:noProof/>
        </w:rPr>
      </w:pPr>
    </w:p>
    <w:p w:rsidR="007179D8" w:rsidRDefault="007B473E">
      <w:pPr>
        <w:spacing w:after="240"/>
        <w:jc w:val="both"/>
        <w:rPr>
          <w:rFonts w:ascii="Times New Roman" w:hAnsi="Times New Roman" w:cs="Times New Roman"/>
          <w:noProof/>
          <w:sz w:val="24"/>
          <w:szCs w:val="24"/>
        </w:rPr>
      </w:pPr>
      <w:r>
        <w:rPr>
          <w:rFonts w:ascii="Times New Roman" w:hAnsi="Times New Roman"/>
          <w:iCs/>
          <w:noProof/>
        </w:rPr>
        <w:t>Plus</w:t>
      </w:r>
      <w:r>
        <w:rPr>
          <w:rFonts w:ascii="Times New Roman" w:hAnsi="Times New Roman"/>
          <w:iCs/>
          <w:noProof/>
          <w:sz w:val="24"/>
          <w:szCs w:val="24"/>
        </w:rPr>
        <w:t xml:space="preserve"> d’un quart (27 %) des évaluations d’espèces indiquent un état de conservation «favorable», contre 23 % en 2015. Pour 63 % des es</w:t>
      </w:r>
      <w:r>
        <w:rPr>
          <w:rFonts w:ascii="Times New Roman" w:hAnsi="Times New Roman"/>
          <w:iCs/>
          <w:noProof/>
          <w:sz w:val="24"/>
          <w:szCs w:val="24"/>
        </w:rPr>
        <w:t xml:space="preserve">pèces, l’état de conservation est jugé «insuffisant» ou «médiocre», soit un chiffre similaire à celui de 2015 (60 %). </w:t>
      </w:r>
      <w:r>
        <w:rPr>
          <w:rFonts w:ascii="Times New Roman" w:hAnsi="Times New Roman"/>
          <w:noProof/>
          <w:sz w:val="24"/>
          <w:szCs w:val="24"/>
        </w:rPr>
        <w:t>Le nombre d’évaluations avec un état «inconnu» a diminué par rapport à la dernière période de référence (de 17 % à 10 %), mais reste nette</w:t>
      </w:r>
      <w:r>
        <w:rPr>
          <w:rFonts w:ascii="Times New Roman" w:hAnsi="Times New Roman"/>
          <w:noProof/>
          <w:sz w:val="24"/>
          <w:szCs w:val="24"/>
        </w:rPr>
        <w:t xml:space="preserve">ment supérieur à celui des habitats (4 %). Au niveau des États membres, l’état de conservation de la majorité des espèces marines (59 %) est inconnu, contre seulement 8 % pour les espèces terrestres, </w:t>
      </w:r>
      <w:r>
        <w:rPr>
          <w:rFonts w:ascii="Times New Roman" w:hAnsi="Times New Roman"/>
          <w:iCs/>
          <w:noProof/>
          <w:sz w:val="24"/>
          <w:szCs w:val="24"/>
        </w:rPr>
        <w:t>ce qui laisse supposer que les ressources consacrées à l</w:t>
      </w:r>
      <w:r>
        <w:rPr>
          <w:rFonts w:ascii="Times New Roman" w:hAnsi="Times New Roman"/>
          <w:iCs/>
          <w:noProof/>
          <w:sz w:val="24"/>
          <w:szCs w:val="24"/>
        </w:rPr>
        <w:t>eur suivi sont insuffisantes.</w:t>
      </w:r>
    </w:p>
    <w:p w:rsidR="007179D8" w:rsidRDefault="007B473E">
      <w:pPr>
        <w:spacing w:after="240"/>
        <w:jc w:val="both"/>
        <w:rPr>
          <w:rFonts w:ascii="Times New Roman" w:hAnsi="Times New Roman" w:cs="Times New Roman"/>
          <w:noProof/>
          <w:sz w:val="24"/>
          <w:szCs w:val="24"/>
        </w:rPr>
      </w:pPr>
      <w:r>
        <w:rPr>
          <w:rFonts w:ascii="Times New Roman" w:hAnsi="Times New Roman"/>
          <w:noProof/>
          <w:sz w:val="24"/>
          <w:szCs w:val="24"/>
        </w:rPr>
        <w:t xml:space="preserve">Les groupes d’espèces qui enregistrent le pourcentage le plus élevé d’évaluations «favorables» au niveau de l’Union européenne sont les reptiles et les plantes vasculaires (respectivement 36 % et 40 %). L’état de conservation </w:t>
      </w:r>
      <w:r>
        <w:rPr>
          <w:rFonts w:ascii="Times New Roman" w:hAnsi="Times New Roman"/>
          <w:noProof/>
          <w:sz w:val="24"/>
          <w:szCs w:val="24"/>
        </w:rPr>
        <w:t>d’environ 30 % des espèces de mollusques et de poissons a été jugé «médiocre».</w:t>
      </w:r>
    </w:p>
    <w:p w:rsidR="007179D8" w:rsidRDefault="007B473E">
      <w:pPr>
        <w:rPr>
          <w:rFonts w:ascii="Times New Roman" w:eastAsia="ヒラギノ角ゴ Pro W3" w:hAnsi="Times New Roman" w:cs="Times New Roman"/>
          <w:iCs/>
          <w:noProof/>
          <w:sz w:val="24"/>
          <w:szCs w:val="24"/>
        </w:rPr>
      </w:pPr>
      <w:r>
        <w:rPr>
          <w:noProof/>
        </w:rPr>
        <w:br w:type="page"/>
      </w:r>
    </w:p>
    <w:p w:rsidR="007179D8" w:rsidRDefault="007B473E">
      <w:pPr>
        <w:spacing w:after="240"/>
        <w:rPr>
          <w:rFonts w:ascii="Times New Roman" w:eastAsia="ヒラギノ角ゴ Pro W3" w:hAnsi="Times New Roman" w:cs="Times New Roman"/>
          <w:b/>
          <w:iCs/>
          <w:noProof/>
          <w:sz w:val="24"/>
          <w:szCs w:val="24"/>
        </w:rPr>
      </w:pPr>
      <w:r>
        <w:rPr>
          <w:rFonts w:ascii="Times New Roman" w:hAnsi="Times New Roman"/>
          <w:b/>
          <w:iCs/>
          <w:noProof/>
          <w:sz w:val="24"/>
          <w:szCs w:val="24"/>
        </w:rPr>
        <w:t>Tendances de l’état de conservation des espèces</w:t>
      </w:r>
    </w:p>
    <w:tbl>
      <w:tblPr>
        <w:tblStyle w:val="HTG3"/>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4106"/>
        <w:gridCol w:w="5103"/>
      </w:tblGrid>
      <w:tr w:rsidR="007179D8">
        <w:tc>
          <w:tcPr>
            <w:tcW w:w="4106" w:type="dxa"/>
          </w:tcPr>
          <w:p w:rsidR="007179D8" w:rsidRDefault="007B473E">
            <w:pPr>
              <w:spacing w:after="120"/>
              <w:jc w:val="both"/>
              <w:rPr>
                <w:rFonts w:ascii="Times New Roman" w:hAnsi="Times New Roman" w:cs="Times New Roman"/>
                <w:b/>
                <w:noProof/>
                <w:sz w:val="20"/>
                <w:szCs w:val="20"/>
              </w:rPr>
            </w:pPr>
            <w:r>
              <w:rPr>
                <w:rFonts w:ascii="Times New Roman" w:hAnsi="Times New Roman"/>
                <w:b/>
                <w:noProof/>
                <w:sz w:val="20"/>
                <w:szCs w:val="20"/>
              </w:rPr>
              <w:t xml:space="preserve">Graphique 7a: tendances de l’état de conservation des espèces dont l’état est jugé défavorable (c’est-à-dire pas favorable) ou </w:t>
            </w:r>
            <w:r>
              <w:rPr>
                <w:rFonts w:ascii="Times New Roman" w:hAnsi="Times New Roman"/>
                <w:b/>
                <w:noProof/>
                <w:sz w:val="20"/>
                <w:szCs w:val="20"/>
              </w:rPr>
              <w:t>est inconnu au niveau de l’UE</w:t>
            </w:r>
          </w:p>
        </w:tc>
        <w:tc>
          <w:tcPr>
            <w:tcW w:w="5103" w:type="dxa"/>
          </w:tcPr>
          <w:p w:rsidR="007179D8" w:rsidRDefault="007B473E">
            <w:pPr>
              <w:spacing w:after="120"/>
              <w:jc w:val="both"/>
              <w:rPr>
                <w:rFonts w:ascii="Times New Roman" w:hAnsi="Times New Roman" w:cs="Times New Roman"/>
                <w:b/>
                <w:noProof/>
                <w:sz w:val="20"/>
                <w:szCs w:val="20"/>
              </w:rPr>
            </w:pPr>
            <w:r>
              <w:rPr>
                <w:rFonts w:ascii="Times New Roman" w:hAnsi="Times New Roman"/>
                <w:b/>
                <w:noProof/>
                <w:sz w:val="20"/>
                <w:szCs w:val="20"/>
              </w:rPr>
              <w:t>Graphique 7b: tendances de l’état de conservation des espèces dont l’état est jugé défavorable (c’est-à-dire pas favorable) ou est inconnu au niveau de l’UE, par groupe</w:t>
            </w:r>
          </w:p>
        </w:tc>
      </w:tr>
      <w:tr w:rsidR="007179D8">
        <w:tc>
          <w:tcPr>
            <w:tcW w:w="4106" w:type="dxa"/>
            <w:vAlign w:val="center"/>
          </w:tcPr>
          <w:p w:rsidR="007179D8" w:rsidRDefault="007179D8">
            <w:pPr>
              <w:keepNext/>
              <w:jc w:val="center"/>
              <w:rPr>
                <w:rFonts w:ascii="Times New Roman" w:hAnsi="Times New Roman" w:cs="Times New Roman"/>
                <w:noProof/>
                <w:lang w:val="fr-BE" w:eastAsia="en-GB"/>
              </w:rPr>
            </w:pPr>
          </w:p>
          <w:p w:rsidR="007179D8" w:rsidRDefault="007B473E">
            <w:pPr>
              <w:keepNext/>
              <w:jc w:val="center"/>
              <w:rPr>
                <w:rFonts w:ascii="Times New Roman" w:hAnsi="Times New Roman" w:cs="Times New Roman"/>
                <w:noProof/>
              </w:rPr>
            </w:pPr>
            <w:r>
              <w:rPr>
                <w:rFonts w:ascii="Times New Roman" w:hAnsi="Times New Roman"/>
                <w:noProof/>
                <w:lang w:val="en-GB" w:eastAsia="en-GB"/>
              </w:rPr>
              <w:drawing>
                <wp:inline distT="0" distB="0" distL="0" distR="0">
                  <wp:extent cx="1542415" cy="154876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42415" cy="1548765"/>
                          </a:xfrm>
                          <a:prstGeom prst="rect">
                            <a:avLst/>
                          </a:prstGeom>
                          <a:noFill/>
                        </pic:spPr>
                      </pic:pic>
                    </a:graphicData>
                  </a:graphic>
                </wp:inline>
              </w:drawing>
            </w:r>
          </w:p>
          <w:p w:rsidR="007179D8" w:rsidRDefault="007179D8">
            <w:pPr>
              <w:keepNext/>
              <w:jc w:val="center"/>
              <w:rPr>
                <w:rFonts w:ascii="Times New Roman" w:hAnsi="Times New Roman" w:cs="Times New Roman"/>
                <w:noProof/>
                <w:lang w:val="en-GB"/>
              </w:rPr>
            </w:pPr>
          </w:p>
        </w:tc>
        <w:tc>
          <w:tcPr>
            <w:tcW w:w="5103" w:type="dxa"/>
            <w:vAlign w:val="center"/>
          </w:tcPr>
          <w:p w:rsidR="007179D8" w:rsidRDefault="007B473E">
            <w:pPr>
              <w:keepNext/>
              <w:jc w:val="center"/>
              <w:rPr>
                <w:rFonts w:ascii="Times New Roman" w:hAnsi="Times New Roman" w:cs="Times New Roman"/>
                <w:noProof/>
              </w:rPr>
            </w:pPr>
            <w:r>
              <w:rPr>
                <w:rFonts w:ascii="Times New Roman" w:hAnsi="Times New Roman" w:cs="Times New Roman"/>
                <w:noProof/>
                <w:lang w:val="en-GB" w:eastAsia="en-GB"/>
              </w:rPr>
              <w:drawing>
                <wp:inline distT="0" distB="0" distL="0" distR="0">
                  <wp:extent cx="3262976" cy="18359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64879" cy="1836988"/>
                          </a:xfrm>
                          <a:prstGeom prst="rect">
                            <a:avLst/>
                          </a:prstGeom>
                          <a:noFill/>
                          <a:ln>
                            <a:noFill/>
                          </a:ln>
                        </pic:spPr>
                      </pic:pic>
                    </a:graphicData>
                  </a:graphic>
                </wp:inline>
              </w:drawing>
            </w:r>
          </w:p>
          <w:p w:rsidR="007179D8" w:rsidRDefault="007179D8">
            <w:pPr>
              <w:keepNext/>
              <w:jc w:val="center"/>
              <w:rPr>
                <w:rFonts w:ascii="Times New Roman" w:hAnsi="Times New Roman" w:cs="Times New Roman"/>
                <w:noProof/>
                <w:lang w:val="en-GB"/>
              </w:rPr>
            </w:pPr>
          </w:p>
        </w:tc>
      </w:tr>
      <w:tr w:rsidR="007179D8">
        <w:tc>
          <w:tcPr>
            <w:tcW w:w="9209" w:type="dxa"/>
            <w:gridSpan w:val="2"/>
          </w:tcPr>
          <w:p w:rsidR="007179D8" w:rsidRDefault="007B473E">
            <w:pPr>
              <w:keepNext/>
              <w:jc w:val="both"/>
              <w:rPr>
                <w:rFonts w:ascii="Times New Roman" w:hAnsi="Times New Roman" w:cs="Times New Roman"/>
                <w:noProof/>
              </w:rPr>
            </w:pPr>
            <w:r>
              <w:rPr>
                <w:noProof/>
                <w:lang w:val="en-GB" w:eastAsia="en-GB"/>
              </w:rPr>
              <w:drawing>
                <wp:inline distT="0" distB="0" distL="0" distR="0">
                  <wp:extent cx="5758815" cy="276860"/>
                  <wp:effectExtent l="0" t="0" r="0" b="8890"/>
                  <wp:docPr id="1397633227" name="Picture 1397633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58815" cy="276860"/>
                          </a:xfrm>
                          <a:prstGeom prst="rect">
                            <a:avLst/>
                          </a:prstGeom>
                        </pic:spPr>
                      </pic:pic>
                    </a:graphicData>
                  </a:graphic>
                </wp:inline>
              </w:drawing>
            </w:r>
          </w:p>
        </w:tc>
      </w:tr>
      <w:tr w:rsidR="007179D8">
        <w:tc>
          <w:tcPr>
            <w:tcW w:w="4106" w:type="dxa"/>
          </w:tcPr>
          <w:p w:rsidR="007179D8" w:rsidRDefault="007B473E">
            <w:pPr>
              <w:keepNext/>
              <w:spacing w:before="120"/>
              <w:jc w:val="both"/>
              <w:rPr>
                <w:rFonts w:ascii="Times New Roman" w:hAnsi="Times New Roman" w:cs="Times New Roman"/>
                <w:b/>
                <w:noProof/>
                <w:sz w:val="18"/>
                <w:szCs w:val="18"/>
              </w:rPr>
            </w:pPr>
            <w:r>
              <w:rPr>
                <w:rFonts w:ascii="Times New Roman" w:hAnsi="Times New Roman"/>
                <w:b/>
                <w:noProof/>
                <w:sz w:val="18"/>
                <w:szCs w:val="18"/>
              </w:rPr>
              <w:t>Remarque:</w:t>
            </w:r>
            <w:r>
              <w:rPr>
                <w:rFonts w:ascii="Times New Roman" w:hAnsi="Times New Roman"/>
                <w:noProof/>
                <w:sz w:val="18"/>
                <w:szCs w:val="18"/>
              </w:rPr>
              <w:t xml:space="preserve"> les tendances de l’état de conservation reposent sur les évaluations d’espèces de l’Union européenne (2 049).</w:t>
            </w:r>
          </w:p>
        </w:tc>
        <w:tc>
          <w:tcPr>
            <w:tcW w:w="5103" w:type="dxa"/>
          </w:tcPr>
          <w:p w:rsidR="007179D8" w:rsidRDefault="007B473E">
            <w:pPr>
              <w:keepNext/>
              <w:spacing w:before="120" w:after="240"/>
              <w:jc w:val="both"/>
              <w:rPr>
                <w:rFonts w:ascii="Times New Roman" w:hAnsi="Times New Roman" w:cs="Times New Roman"/>
                <w:noProof/>
              </w:rPr>
            </w:pPr>
            <w:r>
              <w:rPr>
                <w:rFonts w:ascii="Times New Roman" w:hAnsi="Times New Roman"/>
                <w:b/>
                <w:noProof/>
                <w:sz w:val="18"/>
                <w:szCs w:val="18"/>
              </w:rPr>
              <w:t>Remarque:</w:t>
            </w:r>
            <w:r>
              <w:rPr>
                <w:rFonts w:ascii="Times New Roman" w:hAnsi="Times New Roman"/>
                <w:noProof/>
                <w:sz w:val="18"/>
                <w:szCs w:val="18"/>
              </w:rPr>
              <w:t xml:space="preserve"> le nombre d’évaluations est indiqué entre parenthèses. Le nombre total d’évaluations est de 2 049.</w:t>
            </w:r>
          </w:p>
        </w:tc>
      </w:tr>
    </w:tbl>
    <w:p w:rsidR="007179D8" w:rsidRDefault="007179D8">
      <w:pPr>
        <w:spacing w:after="240"/>
        <w:jc w:val="both"/>
        <w:rPr>
          <w:rFonts w:ascii="Times New Roman" w:hAnsi="Times New Roman" w:cs="Times New Roman"/>
          <w:noProof/>
          <w:sz w:val="24"/>
          <w:szCs w:val="24"/>
        </w:rPr>
      </w:pPr>
    </w:p>
    <w:p w:rsidR="007179D8" w:rsidRDefault="007B473E">
      <w:pPr>
        <w:spacing w:after="240"/>
        <w:jc w:val="both"/>
        <w:rPr>
          <w:rFonts w:ascii="Times New Roman" w:hAnsi="Times New Roman" w:cs="Times New Roman"/>
          <w:noProof/>
          <w:sz w:val="24"/>
          <w:szCs w:val="24"/>
        </w:rPr>
      </w:pPr>
      <w:r>
        <w:rPr>
          <w:rFonts w:ascii="Times New Roman" w:hAnsi="Times New Roman"/>
          <w:noProof/>
          <w:sz w:val="24"/>
          <w:szCs w:val="24"/>
        </w:rPr>
        <w:t xml:space="preserve">Sur les 2 049 espèces dont l’état </w:t>
      </w:r>
      <w:r>
        <w:rPr>
          <w:rFonts w:ascii="Times New Roman" w:hAnsi="Times New Roman"/>
          <w:noProof/>
          <w:sz w:val="24"/>
          <w:szCs w:val="24"/>
        </w:rPr>
        <w:t>de conservation est jugé «insuffisant» ou «médiocre» au niveau de l’Union européenne, 35 % affichent une tendance à la dégradation et 6 % une tendance à l’amélioration. La tendance est «inconnue» pour 31 % d’entre elles. À l’exception des mammifères, des p</w:t>
      </w:r>
      <w:r>
        <w:rPr>
          <w:rFonts w:ascii="Times New Roman" w:hAnsi="Times New Roman"/>
          <w:noProof/>
          <w:sz w:val="24"/>
          <w:szCs w:val="24"/>
        </w:rPr>
        <w:t xml:space="preserve">oissons et des plantes non vasculaires (respectivement 10 %, 9 % et 6 %), la proportion d’espèces dont l’état de conservation est jugé «insuffisant» ou «médiocre», mais avec des tendances à l’amélioration, reste inférieure à 5 %. Si les poissons affichent </w:t>
      </w:r>
      <w:r>
        <w:rPr>
          <w:rFonts w:ascii="Times New Roman" w:hAnsi="Times New Roman"/>
          <w:noProof/>
          <w:sz w:val="24"/>
          <w:szCs w:val="24"/>
        </w:rPr>
        <w:t>des tendances à l’amélioration plus marquées que d’autres groupes d’espèces, ils enregistrent également (avec les amphibiens) la plus forte proportion de tendances à la dégradation (près de 50 %). De fortes tendances à la dégradation sont signalées pour d’</w:t>
      </w:r>
      <w:r>
        <w:rPr>
          <w:rFonts w:ascii="Times New Roman" w:hAnsi="Times New Roman"/>
          <w:noProof/>
          <w:sz w:val="24"/>
          <w:szCs w:val="24"/>
        </w:rPr>
        <w:t>autres groupes d’espèces, comme les habitués des habitats herbeux que sont le damier de la succise (</w:t>
      </w:r>
      <w:r>
        <w:rPr>
          <w:rFonts w:ascii="Times New Roman" w:hAnsi="Times New Roman"/>
          <w:i/>
          <w:noProof/>
          <w:sz w:val="24"/>
          <w:szCs w:val="24"/>
        </w:rPr>
        <w:t>Euphydryas aurinia</w:t>
      </w:r>
      <w:r>
        <w:rPr>
          <w:rFonts w:ascii="Times New Roman" w:hAnsi="Times New Roman"/>
          <w:noProof/>
          <w:sz w:val="24"/>
          <w:szCs w:val="24"/>
        </w:rPr>
        <w:t xml:space="preserve">) et le chardon </w:t>
      </w:r>
      <w:r>
        <w:rPr>
          <w:rFonts w:ascii="Times New Roman" w:hAnsi="Times New Roman"/>
          <w:i/>
          <w:noProof/>
          <w:sz w:val="24"/>
          <w:szCs w:val="24"/>
        </w:rPr>
        <w:t>Jurinea cyanoides</w:t>
      </w:r>
      <w:r>
        <w:rPr>
          <w:rFonts w:ascii="Times New Roman" w:hAnsi="Times New Roman"/>
          <w:noProof/>
          <w:sz w:val="24"/>
          <w:szCs w:val="24"/>
        </w:rPr>
        <w:t>.</w:t>
      </w:r>
    </w:p>
    <w:p w:rsidR="007179D8" w:rsidRDefault="007179D8">
      <w:pPr>
        <w:spacing w:after="240"/>
        <w:jc w:val="both"/>
        <w:rPr>
          <w:rFonts w:ascii="Times New Roman" w:eastAsia="ヒラギノ角ゴ Pro W3" w:hAnsi="Times New Roman" w:cs="Times New Roman"/>
          <w:iCs/>
          <w:noProof/>
          <w:sz w:val="24"/>
          <w:szCs w:val="24"/>
        </w:rPr>
      </w:pPr>
    </w:p>
    <w:p w:rsidR="007179D8" w:rsidRDefault="007B473E">
      <w:pPr>
        <w:pStyle w:val="Heading1"/>
        <w:numPr>
          <w:ilvl w:val="0"/>
          <w:numId w:val="10"/>
        </w:numPr>
        <w:spacing w:after="240"/>
        <w:ind w:left="714" w:hanging="357"/>
        <w:rPr>
          <w:rFonts w:eastAsia="Times New Roman"/>
          <w:noProof/>
          <w:color w:val="auto"/>
        </w:rPr>
      </w:pPr>
      <w:r>
        <w:rPr>
          <w:noProof/>
          <w:color w:val="auto"/>
        </w:rPr>
        <w:t>Évolution de l’état et des tendances</w:t>
      </w:r>
    </w:p>
    <w:p w:rsidR="007179D8" w:rsidRDefault="007B473E">
      <w:pPr>
        <w:spacing w:after="240"/>
        <w:jc w:val="both"/>
        <w:rPr>
          <w:rFonts w:ascii="Times New Roman" w:hAnsi="Times New Roman" w:cs="Times New Roman"/>
          <w:b/>
          <w:i/>
          <w:noProof/>
          <w:sz w:val="24"/>
          <w:szCs w:val="24"/>
          <w:u w:val="single"/>
        </w:rPr>
      </w:pPr>
      <w:r>
        <w:rPr>
          <w:rFonts w:ascii="Times New Roman" w:hAnsi="Times New Roman"/>
          <w:b/>
          <w:i/>
          <w:noProof/>
          <w:sz w:val="24"/>
          <w:szCs w:val="24"/>
          <w:u w:val="single"/>
        </w:rPr>
        <w:t>3.1 Progrès accomplis dans la réalisation de l’objectif 1 de la s</w:t>
      </w:r>
      <w:r>
        <w:rPr>
          <w:rFonts w:ascii="Times New Roman" w:hAnsi="Times New Roman"/>
          <w:b/>
          <w:i/>
          <w:noProof/>
          <w:sz w:val="24"/>
          <w:szCs w:val="24"/>
          <w:u w:val="single"/>
        </w:rPr>
        <w:t>tratégie de l’UE en faveur de la biodiversité à l’horizon 2020</w:t>
      </w:r>
    </w:p>
    <w:p w:rsidR="007179D8" w:rsidRDefault="007B473E">
      <w:pPr>
        <w:spacing w:after="120"/>
        <w:jc w:val="both"/>
        <w:rPr>
          <w:rFonts w:ascii="Times New Roman" w:hAnsi="Times New Roman" w:cs="Times New Roman"/>
          <w:noProof/>
          <w:sz w:val="24"/>
          <w:szCs w:val="24"/>
        </w:rPr>
      </w:pPr>
      <w:r>
        <w:rPr>
          <w:rFonts w:ascii="Times New Roman" w:hAnsi="Times New Roman"/>
          <w:noProof/>
          <w:sz w:val="24"/>
          <w:szCs w:val="24"/>
        </w:rPr>
        <w:t xml:space="preserve">Sur la base des informations fournies par les États membres aux fins de cette évaluation, nous avons déterminé la mesure dans laquelle l’objectif 1 de la stratégie en faveur de la biodiversité </w:t>
      </w:r>
      <w:r>
        <w:rPr>
          <w:rFonts w:ascii="Times New Roman" w:hAnsi="Times New Roman"/>
          <w:noProof/>
          <w:sz w:val="24"/>
          <w:szCs w:val="24"/>
        </w:rPr>
        <w:t>à l’horizon 2020</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avait été atteint. L’objectif était d’enrayer la détérioration de l’état de l’ensemble des espèces et habitats couverts par la législation de l’UE relative à la nature et d’améliorer leur état de manière significative et mesurable de faço</w:t>
      </w:r>
      <w:r>
        <w:rPr>
          <w:rFonts w:ascii="Times New Roman" w:hAnsi="Times New Roman"/>
          <w:noProof/>
          <w:sz w:val="24"/>
          <w:szCs w:val="24"/>
        </w:rPr>
        <w:t>n à ce que, d’ici à 2020 (par rapport aux évaluations de 2010):</w:t>
      </w:r>
    </w:p>
    <w:p w:rsidR="007179D8" w:rsidRDefault="007B473E">
      <w:pPr>
        <w:numPr>
          <w:ilvl w:val="0"/>
          <w:numId w:val="9"/>
        </w:numPr>
        <w:spacing w:after="120"/>
        <w:ind w:left="681" w:hanging="397"/>
        <w:jc w:val="both"/>
        <w:rPr>
          <w:rFonts w:ascii="Times New Roman" w:hAnsi="Times New Roman" w:cs="Times New Roman"/>
          <w:noProof/>
          <w:sz w:val="24"/>
          <w:szCs w:val="24"/>
        </w:rPr>
      </w:pPr>
      <w:r>
        <w:rPr>
          <w:rFonts w:ascii="Times New Roman" w:hAnsi="Times New Roman"/>
          <w:noProof/>
          <w:sz w:val="24"/>
          <w:szCs w:val="24"/>
        </w:rPr>
        <w:t>100 % des évaluations supplémentaires d’habitats indiquent un état de conservation favorable ou une amélioration de l’état de conservation (c’est-à-dire 34 % du total);</w:t>
      </w:r>
    </w:p>
    <w:p w:rsidR="007179D8" w:rsidRDefault="007B473E">
      <w:pPr>
        <w:numPr>
          <w:ilvl w:val="0"/>
          <w:numId w:val="9"/>
        </w:numPr>
        <w:spacing w:after="120"/>
        <w:ind w:left="681" w:hanging="397"/>
        <w:jc w:val="both"/>
        <w:rPr>
          <w:rFonts w:ascii="Times New Roman" w:hAnsi="Times New Roman" w:cs="Times New Roman"/>
          <w:noProof/>
          <w:sz w:val="24"/>
          <w:szCs w:val="24"/>
        </w:rPr>
      </w:pPr>
      <w:r>
        <w:rPr>
          <w:rFonts w:ascii="Times New Roman" w:hAnsi="Times New Roman"/>
          <w:noProof/>
          <w:sz w:val="24"/>
          <w:szCs w:val="24"/>
        </w:rPr>
        <w:t>50 % des évaluations su</w:t>
      </w:r>
      <w:r>
        <w:rPr>
          <w:rFonts w:ascii="Times New Roman" w:hAnsi="Times New Roman"/>
          <w:noProof/>
          <w:sz w:val="24"/>
          <w:szCs w:val="24"/>
        </w:rPr>
        <w:t>pplémentaires d’espèces, effectuées au titre de la directive «Habitats», indiquent un état de conservation favorable ou une amélioration de l’état de conservation (35 %); et</w:t>
      </w:r>
    </w:p>
    <w:p w:rsidR="007179D8" w:rsidRDefault="007B473E">
      <w:pPr>
        <w:numPr>
          <w:ilvl w:val="0"/>
          <w:numId w:val="9"/>
        </w:numPr>
        <w:spacing w:after="240"/>
        <w:ind w:left="681" w:hanging="397"/>
        <w:jc w:val="both"/>
        <w:rPr>
          <w:rFonts w:ascii="Times New Roman" w:hAnsi="Times New Roman" w:cs="Times New Roman"/>
          <w:noProof/>
          <w:sz w:val="24"/>
          <w:szCs w:val="24"/>
        </w:rPr>
      </w:pPr>
      <w:r>
        <w:rPr>
          <w:rFonts w:ascii="Times New Roman" w:hAnsi="Times New Roman"/>
          <w:noProof/>
          <w:sz w:val="24"/>
          <w:szCs w:val="24"/>
        </w:rPr>
        <w:t>50 % des évaluations supplémentaires d’espèces, effectuées au titre de la directiv</w:t>
      </w:r>
      <w:r>
        <w:rPr>
          <w:rFonts w:ascii="Times New Roman" w:hAnsi="Times New Roman"/>
          <w:noProof/>
          <w:sz w:val="24"/>
          <w:szCs w:val="24"/>
        </w:rPr>
        <w:t>e «Oiseaux», indiquent un état stabilisé ou en amélioration (78 %).</w:t>
      </w:r>
    </w:p>
    <w:p w:rsidR="007179D8" w:rsidRDefault="007179D8">
      <w:pPr>
        <w:spacing w:after="240"/>
        <w:ind w:left="681"/>
        <w:jc w:val="both"/>
        <w:rPr>
          <w:rFonts w:ascii="Times New Roman" w:hAnsi="Times New Roman" w:cs="Times New Roman"/>
          <w:noProof/>
          <w:sz w:val="24"/>
          <w:szCs w:val="24"/>
        </w:rPr>
      </w:pPr>
    </w:p>
    <w:tbl>
      <w:tblPr>
        <w:tblStyle w:val="HTG6"/>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7179D8">
        <w:trPr>
          <w:trHeight w:val="369"/>
        </w:trPr>
        <w:tc>
          <w:tcPr>
            <w:tcW w:w="9209" w:type="dxa"/>
          </w:tcPr>
          <w:p w:rsidR="007179D8" w:rsidRDefault="007B473E">
            <w:pPr>
              <w:spacing w:after="120"/>
              <w:jc w:val="both"/>
              <w:rPr>
                <w:rFonts w:ascii="Times New Roman" w:hAnsi="Times New Roman" w:cs="Times New Roman"/>
                <w:noProof/>
                <w:sz w:val="20"/>
                <w:szCs w:val="20"/>
              </w:rPr>
            </w:pPr>
            <w:r>
              <w:rPr>
                <w:rFonts w:ascii="Times New Roman" w:hAnsi="Times New Roman"/>
                <w:b/>
                <w:bCs/>
                <w:noProof/>
                <w:sz w:val="20"/>
                <w:szCs w:val="20"/>
              </w:rPr>
              <w:t xml:space="preserve">Graphique 8: progrès accomplis dans la réalisation de l’objectif 1 (en % des évaluations) </w:t>
            </w:r>
          </w:p>
        </w:tc>
      </w:tr>
      <w:tr w:rsidR="007179D8">
        <w:tblPrEx>
          <w:tblCellMar>
            <w:left w:w="70" w:type="dxa"/>
            <w:right w:w="70" w:type="dxa"/>
          </w:tblCellMar>
        </w:tblPrEx>
        <w:trPr>
          <w:trHeight w:val="3443"/>
        </w:trPr>
        <w:tc>
          <w:tcPr>
            <w:tcW w:w="9209" w:type="dxa"/>
            <w:vAlign w:val="center"/>
          </w:tcPr>
          <w:p w:rsidR="007179D8" w:rsidRDefault="007B473E">
            <w:pPr>
              <w:jc w:val="both"/>
              <w:rPr>
                <w:rFonts w:ascii="Times New Roman" w:hAnsi="Times New Roman" w:cs="Times New Roman"/>
                <w:noProof/>
              </w:rPr>
            </w:pPr>
            <w:r>
              <w:rPr>
                <w:rFonts w:ascii="Times New Roman" w:hAnsi="Times New Roman" w:cs="Times New Roman"/>
                <w:noProof/>
                <w:lang w:val="en-GB" w:eastAsia="en-GB"/>
              </w:rPr>
              <w:drawing>
                <wp:inline distT="0" distB="0" distL="0" distR="0">
                  <wp:extent cx="5492009" cy="2657109"/>
                  <wp:effectExtent l="19050" t="19050" r="1397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04873" cy="2663333"/>
                          </a:xfrm>
                          <a:prstGeom prst="rect">
                            <a:avLst/>
                          </a:prstGeom>
                          <a:noFill/>
                          <a:ln w="6350">
                            <a:solidFill>
                              <a:schemeClr val="bg1">
                                <a:lumMod val="85000"/>
                              </a:schemeClr>
                            </a:solidFill>
                          </a:ln>
                        </pic:spPr>
                      </pic:pic>
                    </a:graphicData>
                  </a:graphic>
                </wp:inline>
              </w:drawing>
            </w:r>
          </w:p>
        </w:tc>
      </w:tr>
      <w:tr w:rsidR="007179D8">
        <w:tblPrEx>
          <w:tblCellMar>
            <w:left w:w="70" w:type="dxa"/>
            <w:right w:w="70" w:type="dxa"/>
          </w:tblCellMar>
        </w:tblPrEx>
        <w:trPr>
          <w:trHeight w:val="454"/>
        </w:trPr>
        <w:tc>
          <w:tcPr>
            <w:tcW w:w="9209" w:type="dxa"/>
            <w:vAlign w:val="center"/>
          </w:tcPr>
          <w:p w:rsidR="007179D8" w:rsidRDefault="007B473E">
            <w:pPr>
              <w:spacing w:after="240"/>
              <w:jc w:val="both"/>
              <w:rPr>
                <w:rFonts w:ascii="Times New Roman" w:hAnsi="Times New Roman" w:cs="Times New Roman"/>
                <w:noProof/>
              </w:rPr>
            </w:pPr>
            <w:r>
              <w:rPr>
                <w:rFonts w:ascii="Times New Roman" w:hAnsi="Times New Roman"/>
                <w:b/>
                <w:noProof/>
                <w:sz w:val="18"/>
                <w:szCs w:val="18"/>
              </w:rPr>
              <w:t>Remarque:</w:t>
            </w:r>
            <w:r>
              <w:rPr>
                <w:rFonts w:ascii="Times New Roman" w:hAnsi="Times New Roman"/>
                <w:noProof/>
              </w:rPr>
              <w:t xml:space="preserve"> </w:t>
            </w:r>
            <w:r>
              <w:rPr>
                <w:rFonts w:ascii="Times New Roman" w:hAnsi="Times New Roman"/>
                <w:noProof/>
                <w:sz w:val="18"/>
              </w:rPr>
              <w:t xml:space="preserve">chaque barre représente le pourcentage d’évaluations dans lesquelles l’état de </w:t>
            </w:r>
            <w:r>
              <w:rPr>
                <w:rFonts w:ascii="Times New Roman" w:hAnsi="Times New Roman"/>
                <w:noProof/>
                <w:sz w:val="18"/>
              </w:rPr>
              <w:t>conservation est jugé «favorable» ou «en amélioration».</w:t>
            </w:r>
          </w:p>
        </w:tc>
      </w:tr>
    </w:tbl>
    <w:p w:rsidR="007179D8" w:rsidRDefault="007179D8">
      <w:pPr>
        <w:spacing w:after="240"/>
        <w:jc w:val="both"/>
        <w:rPr>
          <w:rFonts w:ascii="Times New Roman" w:hAnsi="Times New Roman" w:cs="Times New Roman"/>
          <w:noProof/>
          <w:sz w:val="24"/>
          <w:szCs w:val="24"/>
        </w:rPr>
      </w:pPr>
    </w:p>
    <w:p w:rsidR="007179D8" w:rsidRDefault="007B473E">
      <w:pPr>
        <w:spacing w:after="240"/>
        <w:jc w:val="both"/>
        <w:rPr>
          <w:rFonts w:ascii="Times New Roman" w:hAnsi="Times New Roman" w:cs="Times New Roman"/>
          <w:noProof/>
          <w:sz w:val="24"/>
          <w:szCs w:val="24"/>
        </w:rPr>
      </w:pPr>
      <w:r>
        <w:rPr>
          <w:rFonts w:ascii="Times New Roman" w:hAnsi="Times New Roman"/>
          <w:noProof/>
          <w:sz w:val="24"/>
          <w:szCs w:val="24"/>
        </w:rPr>
        <w:t xml:space="preserve">Des progrès limités ont été accomplis par rapport au niveau de référence de 2010 dans la réalisation des objectifs à l’horizon 2020, sauf dans le cas des espèces autres que les oiseaux, où </w:t>
      </w:r>
      <w:r>
        <w:rPr>
          <w:rFonts w:ascii="Times New Roman" w:hAnsi="Times New Roman"/>
          <w:noProof/>
          <w:sz w:val="24"/>
          <w:szCs w:val="24"/>
        </w:rPr>
        <w:t>l’objectif a presque été atteint. La dégradation continue de certains habitats et de certaines espèces l’emporte sur les améliorations. Les données communiquées en 2019 montrent que la proportion d’espèces et d’habitats enregistrant des tendances à la dété</w:t>
      </w:r>
      <w:r>
        <w:rPr>
          <w:rFonts w:ascii="Times New Roman" w:hAnsi="Times New Roman"/>
          <w:noProof/>
          <w:sz w:val="24"/>
          <w:szCs w:val="24"/>
        </w:rPr>
        <w:t>rioration a même légèrement augmenté: elle est passée de 20 à 23 % pour les oiseaux, de 22 à 26 % pour les espèces autres que les oiseaux et de 30 à 32 % pour les habitats.</w:t>
      </w:r>
    </w:p>
    <w:p w:rsidR="007179D8" w:rsidRDefault="007B473E">
      <w:pPr>
        <w:spacing w:after="240"/>
        <w:jc w:val="both"/>
        <w:rPr>
          <w:rFonts w:ascii="Times New Roman" w:hAnsi="Times New Roman" w:cs="Times New Roman"/>
          <w:noProof/>
          <w:sz w:val="24"/>
          <w:szCs w:val="24"/>
        </w:rPr>
      </w:pPr>
      <w:r>
        <w:rPr>
          <w:rFonts w:ascii="Times New Roman" w:hAnsi="Times New Roman"/>
          <w:noProof/>
          <w:sz w:val="24"/>
          <w:szCs w:val="24"/>
        </w:rPr>
        <w:t>L’objectif fixé pour 2020, à savoir des évaluations favorables ou en amélioration p</w:t>
      </w:r>
      <w:r>
        <w:rPr>
          <w:rFonts w:ascii="Times New Roman" w:hAnsi="Times New Roman"/>
          <w:noProof/>
          <w:sz w:val="24"/>
          <w:szCs w:val="24"/>
        </w:rPr>
        <w:t>our 34 % des évaluations d’habitats, n’a pas été atteint (le déficit est de 12 p.p.). Toutefois, la proportion d’espèces autres que les oiseaux dont l’état est jugé favorable ou en amélioration a presque atteint le sous-objectif de 35 % fixé pour 2020 (déf</w:t>
      </w:r>
      <w:r>
        <w:rPr>
          <w:rFonts w:ascii="Times New Roman" w:hAnsi="Times New Roman"/>
          <w:noProof/>
          <w:sz w:val="24"/>
          <w:szCs w:val="24"/>
        </w:rPr>
        <w:t>icit de 2 p.p.). Les tendances concernant les populations d’oiseaux se présentent en demi-teinte, avec une augmentation du nombre d’espèces dont l’état est stabilisé et en amélioration entre 2010 et 2015, mais une certaine dégradation (</w:t>
      </w:r>
      <w:r>
        <w:rPr>
          <w:rFonts w:ascii="Times New Roman" w:hAnsi="Times New Roman"/>
          <w:noProof/>
          <w:sz w:val="24"/>
          <w:szCs w:val="24"/>
        </w:rPr>
        <w:noBreakHyphen/>
        <w:t>3 p.p.) de 2015 à 2</w:t>
      </w:r>
      <w:r>
        <w:rPr>
          <w:rFonts w:ascii="Times New Roman" w:hAnsi="Times New Roman"/>
          <w:noProof/>
          <w:sz w:val="24"/>
          <w:szCs w:val="24"/>
        </w:rPr>
        <w:t xml:space="preserve">020, ce qui se traduit par un écart de plus de 20 p.p. par rapport à l’objectif de 78 %. L’objectif 1 de la stratégie en faveur de la biodiversité à l’horizon 2020 n’a donc pas été atteint.  </w:t>
      </w:r>
    </w:p>
    <w:p w:rsidR="007179D8" w:rsidRDefault="007B473E">
      <w:pPr>
        <w:spacing w:after="240"/>
        <w:jc w:val="both"/>
        <w:rPr>
          <w:rFonts w:ascii="Times New Roman" w:hAnsi="Times New Roman" w:cs="Times New Roman"/>
          <w:b/>
          <w:i/>
          <w:noProof/>
          <w:sz w:val="24"/>
          <w:szCs w:val="24"/>
          <w:u w:val="single"/>
        </w:rPr>
      </w:pPr>
      <w:r>
        <w:rPr>
          <w:rFonts w:ascii="Times New Roman" w:hAnsi="Times New Roman"/>
          <w:b/>
          <w:i/>
          <w:noProof/>
          <w:sz w:val="24"/>
          <w:szCs w:val="24"/>
          <w:u w:val="single"/>
        </w:rPr>
        <w:t>3.2 Améliorations dans les États membres</w:t>
      </w:r>
    </w:p>
    <w:p w:rsidR="007179D8" w:rsidRDefault="007B473E">
      <w:pPr>
        <w:spacing w:after="240"/>
        <w:jc w:val="both"/>
        <w:rPr>
          <w:rFonts w:ascii="Times New Roman" w:hAnsi="Times New Roman" w:cs="Times New Roman"/>
          <w:noProof/>
          <w:sz w:val="24"/>
          <w:szCs w:val="24"/>
        </w:rPr>
      </w:pPr>
      <w:r>
        <w:rPr>
          <w:rFonts w:ascii="Times New Roman" w:hAnsi="Times New Roman"/>
          <w:noProof/>
          <w:sz w:val="24"/>
          <w:szCs w:val="24"/>
        </w:rPr>
        <w:t>Il est bien connu que l</w:t>
      </w:r>
      <w:r>
        <w:rPr>
          <w:rFonts w:ascii="Times New Roman" w:hAnsi="Times New Roman"/>
          <w:noProof/>
          <w:sz w:val="24"/>
          <w:szCs w:val="24"/>
        </w:rPr>
        <w:t xml:space="preserve">’«état de conservation» évolue lentement et qu’il n’est donc pas un indicateur très fiable des améliorations à court terme. De plus, les évaluations au niveau de l’Union peuvent occulter des améliorations dans les différents États membres. Par conséquent, </w:t>
      </w:r>
      <w:r>
        <w:rPr>
          <w:rFonts w:ascii="Times New Roman" w:hAnsi="Times New Roman"/>
          <w:noProof/>
          <w:sz w:val="24"/>
          <w:szCs w:val="24"/>
        </w:rPr>
        <w:t>les tendances positives et à la stabilité observées au niveau des pays (lorsqu’une tendance passe réellement d’un déclin au cours de la période précédente à une stabilité au cours de la période actuelle) sont des phénomènes positifs qui doivent être pris e</w:t>
      </w:r>
      <w:r>
        <w:rPr>
          <w:rFonts w:ascii="Times New Roman" w:hAnsi="Times New Roman"/>
          <w:noProof/>
          <w:sz w:val="24"/>
          <w:szCs w:val="24"/>
        </w:rPr>
        <w:t xml:space="preserve">n considération et analysés en sus des évolutions positives concernant l’état de conservation.  </w:t>
      </w:r>
    </w:p>
    <w:p w:rsidR="007179D8" w:rsidRDefault="007B473E">
      <w:pPr>
        <w:spacing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En moyenne, 6 % des évaluations nationales/régionales des </w:t>
      </w:r>
      <w:r>
        <w:rPr>
          <w:rFonts w:ascii="Times New Roman" w:hAnsi="Times New Roman"/>
          <w:noProof/>
          <w:color w:val="000000" w:themeColor="text1"/>
          <w:sz w:val="24"/>
          <w:szCs w:val="24"/>
          <w:u w:val="single"/>
        </w:rPr>
        <w:t>habitats</w:t>
      </w:r>
      <w:r>
        <w:rPr>
          <w:rFonts w:ascii="Times New Roman" w:hAnsi="Times New Roman"/>
          <w:noProof/>
          <w:color w:val="000000" w:themeColor="text1"/>
          <w:sz w:val="24"/>
          <w:szCs w:val="24"/>
        </w:rPr>
        <w:t xml:space="preserve"> réalisées par les États membres font état d’améliorations, le plus souvent pour les forêts e</w:t>
      </w:r>
      <w:r>
        <w:rPr>
          <w:rFonts w:ascii="Times New Roman" w:hAnsi="Times New Roman"/>
          <w:noProof/>
          <w:color w:val="000000" w:themeColor="text1"/>
          <w:sz w:val="24"/>
          <w:szCs w:val="24"/>
        </w:rPr>
        <w:t>t les habitats d’eau douce (10 % de toutes les évaluations du groupe), les landes et les fourrés (7 %), les tourbières et les bas-marais, et les habitats de dunes (6 %). Les prairies côtières de la Baltique, en Finlande, sont un exemple d’amélioration de l</w:t>
      </w:r>
      <w:r>
        <w:rPr>
          <w:rFonts w:ascii="Times New Roman" w:hAnsi="Times New Roman"/>
          <w:noProof/>
          <w:color w:val="000000" w:themeColor="text1"/>
          <w:sz w:val="24"/>
          <w:szCs w:val="24"/>
        </w:rPr>
        <w:t>’habitat côtier.</w:t>
      </w:r>
    </w:p>
    <w:p w:rsidR="007179D8" w:rsidRDefault="007B473E">
      <w:pPr>
        <w:spacing w:after="240"/>
        <w:jc w:val="both"/>
        <w:rPr>
          <w:rFonts w:ascii="Times New Roman" w:hAnsi="Times New Roman" w:cs="Times New Roman"/>
          <w:noProof/>
          <w:sz w:val="24"/>
          <w:szCs w:val="24"/>
          <w:highlight w:val="yellow"/>
        </w:rPr>
      </w:pPr>
      <w:r>
        <w:rPr>
          <w:rFonts w:ascii="Times New Roman" w:hAnsi="Times New Roman"/>
          <w:iCs/>
          <w:noProof/>
          <w:sz w:val="24"/>
          <w:szCs w:val="24"/>
        </w:rPr>
        <w:t xml:space="preserve">De même, une moyenne de 6 % de toutes </w:t>
      </w:r>
      <w:r>
        <w:rPr>
          <w:rFonts w:ascii="Times New Roman" w:hAnsi="Times New Roman"/>
          <w:noProof/>
          <w:color w:val="000000" w:themeColor="text1"/>
          <w:sz w:val="24"/>
          <w:szCs w:val="24"/>
        </w:rPr>
        <w:t xml:space="preserve">les évaluations </w:t>
      </w:r>
      <w:r>
        <w:rPr>
          <w:rFonts w:ascii="Times New Roman" w:hAnsi="Times New Roman"/>
          <w:iCs/>
          <w:noProof/>
          <w:sz w:val="24"/>
          <w:szCs w:val="24"/>
        </w:rPr>
        <w:t xml:space="preserve">nationales/régionales pour les </w:t>
      </w:r>
      <w:r>
        <w:rPr>
          <w:rFonts w:ascii="Times New Roman" w:hAnsi="Times New Roman"/>
          <w:iCs/>
          <w:noProof/>
          <w:sz w:val="24"/>
          <w:szCs w:val="24"/>
          <w:u w:val="single"/>
        </w:rPr>
        <w:t>espèces autres que les oiseaux</w:t>
      </w:r>
      <w:r>
        <w:rPr>
          <w:rFonts w:ascii="Times New Roman" w:hAnsi="Times New Roman"/>
          <w:iCs/>
          <w:noProof/>
          <w:sz w:val="24"/>
          <w:szCs w:val="24"/>
        </w:rPr>
        <w:t xml:space="preserve"> fait apparaître des améliorations. Les améliorations sont les plus nombreuses pour les mammifères (9 % de toutes les évaluations de mammifères enregistrées montrent des améliorations), suivis par les poissons (8 %) et les plantes vasculaires (5 %). Parmi </w:t>
      </w:r>
      <w:r>
        <w:rPr>
          <w:rFonts w:ascii="Times New Roman" w:hAnsi="Times New Roman"/>
          <w:iCs/>
          <w:noProof/>
          <w:sz w:val="24"/>
          <w:szCs w:val="24"/>
        </w:rPr>
        <w:t>les mammifères, on peut citer les castors (</w:t>
      </w:r>
      <w:r>
        <w:rPr>
          <w:rFonts w:ascii="Times New Roman" w:hAnsi="Times New Roman"/>
          <w:i/>
          <w:iCs/>
          <w:noProof/>
          <w:sz w:val="24"/>
          <w:szCs w:val="24"/>
        </w:rPr>
        <w:t>Castor fiber</w:t>
      </w:r>
      <w:r>
        <w:rPr>
          <w:rFonts w:ascii="Times New Roman" w:hAnsi="Times New Roman"/>
          <w:iCs/>
          <w:noProof/>
          <w:sz w:val="24"/>
          <w:szCs w:val="24"/>
        </w:rPr>
        <w:t>), les phoques gris (</w:t>
      </w:r>
      <w:r>
        <w:rPr>
          <w:rFonts w:ascii="Times New Roman" w:hAnsi="Times New Roman"/>
          <w:i/>
          <w:iCs/>
          <w:noProof/>
          <w:sz w:val="24"/>
          <w:szCs w:val="24"/>
        </w:rPr>
        <w:t>Halichoerus grypus</w:t>
      </w:r>
      <w:r>
        <w:rPr>
          <w:rFonts w:ascii="Times New Roman" w:hAnsi="Times New Roman"/>
          <w:iCs/>
          <w:noProof/>
          <w:sz w:val="24"/>
          <w:szCs w:val="24"/>
        </w:rPr>
        <w:t>) et les phoques communs (</w:t>
      </w:r>
      <w:r>
        <w:rPr>
          <w:rFonts w:ascii="Times New Roman" w:hAnsi="Times New Roman"/>
          <w:i/>
          <w:iCs/>
          <w:noProof/>
          <w:sz w:val="24"/>
          <w:szCs w:val="24"/>
        </w:rPr>
        <w:t>Phoca vitulina</w:t>
      </w:r>
      <w:r>
        <w:rPr>
          <w:rFonts w:ascii="Times New Roman" w:hAnsi="Times New Roman"/>
          <w:iCs/>
          <w:noProof/>
          <w:sz w:val="24"/>
          <w:szCs w:val="24"/>
        </w:rPr>
        <w:t>).</w:t>
      </w:r>
    </w:p>
    <w:p w:rsidR="007179D8" w:rsidRDefault="007B473E">
      <w:pPr>
        <w:kinsoku w:val="0"/>
        <w:overflowPunct w:val="0"/>
        <w:spacing w:after="240"/>
        <w:jc w:val="both"/>
        <w:textAlignment w:val="baseline"/>
        <w:rPr>
          <w:rFonts w:ascii="Times New Roman" w:eastAsia="ヒラギノ角ゴ Pro W3" w:hAnsi="Times New Roman" w:cs="Times New Roman"/>
          <w:iCs/>
          <w:noProof/>
          <w:sz w:val="24"/>
          <w:szCs w:val="24"/>
        </w:rPr>
      </w:pPr>
      <w:r>
        <w:rPr>
          <w:rFonts w:ascii="Times New Roman" w:hAnsi="Times New Roman"/>
          <w:iCs/>
          <w:noProof/>
          <w:sz w:val="24"/>
          <w:szCs w:val="24"/>
        </w:rPr>
        <w:t xml:space="preserve">Pour ce qui est des </w:t>
      </w:r>
      <w:r>
        <w:rPr>
          <w:rFonts w:ascii="Times New Roman" w:hAnsi="Times New Roman"/>
          <w:iCs/>
          <w:noProof/>
          <w:sz w:val="24"/>
          <w:szCs w:val="24"/>
          <w:u w:val="single"/>
        </w:rPr>
        <w:t>oiseaux</w:t>
      </w:r>
      <w:r>
        <w:rPr>
          <w:rFonts w:ascii="Times New Roman" w:hAnsi="Times New Roman"/>
          <w:iCs/>
          <w:noProof/>
          <w:sz w:val="24"/>
          <w:szCs w:val="24"/>
        </w:rPr>
        <w:t>, l’amélioration au niveau national est définie de façon différente, car il n’existe pas d’é</w:t>
      </w:r>
      <w:r>
        <w:rPr>
          <w:rFonts w:ascii="Times New Roman" w:hAnsi="Times New Roman"/>
          <w:iCs/>
          <w:noProof/>
          <w:sz w:val="24"/>
          <w:szCs w:val="24"/>
        </w:rPr>
        <w:t>valuation nationale de l’état de conservation et des tendances observées en la matière. Par conséquent, une tendance positive à court terme en matière de population ou une stabilisation après une tendance négative à long terme dans le rapport national préc</w:t>
      </w:r>
      <w:r>
        <w:rPr>
          <w:rFonts w:ascii="Times New Roman" w:hAnsi="Times New Roman"/>
          <w:iCs/>
          <w:noProof/>
          <w:sz w:val="24"/>
          <w:szCs w:val="24"/>
        </w:rPr>
        <w:t>édent est considérée comme une amélioration. Au total, 2 148 rapports des États membres font état d’améliorations selon les critères susmentionnés. Cela représente globalement 397 (sous-)espèces d’oiseaux dont l’état s’améliore dans au moins un État membre</w:t>
      </w:r>
      <w:r>
        <w:rPr>
          <w:rFonts w:ascii="Times New Roman" w:hAnsi="Times New Roman"/>
          <w:iCs/>
          <w:noProof/>
          <w:sz w:val="24"/>
          <w:szCs w:val="24"/>
        </w:rPr>
        <w:t xml:space="preserve"> au cours d’une saison donnée au moins. Environ 44 % de tous les oiseaux dont les tendances s’améliorent sont des oiseaux d’eau migrateurs</w:t>
      </w:r>
      <w:r>
        <w:rPr>
          <w:rStyle w:val="FootnoteReference"/>
          <w:rFonts w:ascii="Times New Roman" w:eastAsia="ヒラギノ角ゴ Pro W3" w:hAnsi="Times New Roman" w:cs="Times New Roman"/>
          <w:iCs/>
          <w:noProof/>
          <w:sz w:val="24"/>
          <w:szCs w:val="24"/>
        </w:rPr>
        <w:footnoteReference w:id="15"/>
      </w:r>
      <w:r>
        <w:rPr>
          <w:rFonts w:ascii="Times New Roman" w:hAnsi="Times New Roman"/>
          <w:iCs/>
          <w:noProof/>
          <w:sz w:val="24"/>
          <w:szCs w:val="24"/>
        </w:rPr>
        <w:t>. Nombre de ces espèces sont également classées dans la catégorie des espèces marines conformément à la directive-cad</w:t>
      </w:r>
      <w:r>
        <w:rPr>
          <w:rFonts w:ascii="Times New Roman" w:hAnsi="Times New Roman"/>
          <w:iCs/>
          <w:noProof/>
          <w:sz w:val="24"/>
          <w:szCs w:val="24"/>
        </w:rPr>
        <w:t xml:space="preserve">re «Stratégie pour le milieu marin» de l’Union européenne et représentent 33 % de toutes les améliorations. Les espèces d’oiseaux des terres agricoles et des forêts représentent chacune une proportion d’environ 9 %. </w:t>
      </w:r>
      <w:r>
        <w:rPr>
          <w:rFonts w:ascii="Times New Roman" w:hAnsi="Times New Roman"/>
          <w:noProof/>
          <w:sz w:val="24"/>
          <w:szCs w:val="24"/>
        </w:rPr>
        <w:t>Parmi les espèces d’oiseaux en voie d’am</w:t>
      </w:r>
      <w:r>
        <w:rPr>
          <w:rFonts w:ascii="Times New Roman" w:hAnsi="Times New Roman"/>
          <w:noProof/>
          <w:sz w:val="24"/>
          <w:szCs w:val="24"/>
        </w:rPr>
        <w:t>élioration, citons le pygargue à queue blanche (</w:t>
      </w:r>
      <w:r>
        <w:rPr>
          <w:rFonts w:ascii="Times New Roman" w:hAnsi="Times New Roman"/>
          <w:i/>
          <w:noProof/>
          <w:sz w:val="24"/>
          <w:szCs w:val="24"/>
        </w:rPr>
        <w:t>Haliaeetus albicilla</w:t>
      </w:r>
      <w:r>
        <w:rPr>
          <w:rFonts w:ascii="Times New Roman" w:hAnsi="Times New Roman"/>
          <w:noProof/>
          <w:sz w:val="24"/>
          <w:szCs w:val="24"/>
        </w:rPr>
        <w:t>), la grue cendrée (</w:t>
      </w:r>
      <w:r>
        <w:rPr>
          <w:rFonts w:ascii="Times New Roman" w:hAnsi="Times New Roman"/>
          <w:i/>
          <w:noProof/>
          <w:sz w:val="24"/>
          <w:szCs w:val="24"/>
        </w:rPr>
        <w:t>Grus grus</w:t>
      </w:r>
      <w:r>
        <w:rPr>
          <w:rFonts w:ascii="Times New Roman" w:hAnsi="Times New Roman"/>
          <w:noProof/>
          <w:sz w:val="24"/>
          <w:szCs w:val="24"/>
        </w:rPr>
        <w:t>), le milan royal (</w:t>
      </w:r>
      <w:r>
        <w:rPr>
          <w:rFonts w:ascii="Times New Roman" w:hAnsi="Times New Roman"/>
          <w:i/>
          <w:noProof/>
          <w:sz w:val="24"/>
          <w:szCs w:val="24"/>
        </w:rPr>
        <w:t>Milvus milvus</w:t>
      </w:r>
      <w:r>
        <w:rPr>
          <w:rFonts w:ascii="Times New Roman" w:hAnsi="Times New Roman"/>
          <w:noProof/>
          <w:sz w:val="24"/>
          <w:szCs w:val="24"/>
        </w:rPr>
        <w:t>) et la grande aigrette (</w:t>
      </w:r>
      <w:r>
        <w:rPr>
          <w:rFonts w:ascii="Times New Roman" w:hAnsi="Times New Roman"/>
          <w:i/>
          <w:noProof/>
          <w:sz w:val="24"/>
          <w:szCs w:val="24"/>
        </w:rPr>
        <w:t>Ardea alba</w:t>
      </w:r>
      <w:r>
        <w:rPr>
          <w:rFonts w:ascii="Times New Roman" w:hAnsi="Times New Roman"/>
          <w:noProof/>
          <w:sz w:val="24"/>
          <w:szCs w:val="24"/>
        </w:rPr>
        <w:t>).</w:t>
      </w:r>
    </w:p>
    <w:p w:rsidR="007179D8" w:rsidRDefault="007B473E">
      <w:pPr>
        <w:spacing w:after="240"/>
        <w:jc w:val="both"/>
        <w:rPr>
          <w:rFonts w:ascii="Times New Roman" w:hAnsi="Times New Roman" w:cs="Times New Roman"/>
          <w:b/>
          <w:i/>
          <w:noProof/>
          <w:sz w:val="24"/>
          <w:szCs w:val="24"/>
          <w:u w:val="single"/>
        </w:rPr>
      </w:pPr>
      <w:r>
        <w:rPr>
          <w:rFonts w:ascii="Times New Roman" w:hAnsi="Times New Roman"/>
          <w:b/>
          <w:i/>
          <w:noProof/>
          <w:sz w:val="24"/>
          <w:szCs w:val="24"/>
          <w:u w:val="single"/>
        </w:rPr>
        <w:t>3.3 Progrès en matière de qualité des données</w:t>
      </w:r>
    </w:p>
    <w:p w:rsidR="007179D8" w:rsidRDefault="007B473E">
      <w:pPr>
        <w:spacing w:after="240"/>
        <w:jc w:val="both"/>
        <w:rPr>
          <w:rFonts w:ascii="Times New Roman" w:hAnsi="Times New Roman" w:cs="Times New Roman"/>
          <w:noProof/>
          <w:sz w:val="24"/>
          <w:szCs w:val="24"/>
        </w:rPr>
      </w:pPr>
      <w:r>
        <w:rPr>
          <w:rFonts w:ascii="Times New Roman" w:hAnsi="Times New Roman"/>
          <w:noProof/>
          <w:sz w:val="24"/>
          <w:szCs w:val="24"/>
        </w:rPr>
        <w:t xml:space="preserve">L’évaluation des progrès réalisés en </w:t>
      </w:r>
      <w:r>
        <w:rPr>
          <w:rFonts w:ascii="Times New Roman" w:hAnsi="Times New Roman"/>
          <w:noProof/>
          <w:sz w:val="24"/>
          <w:szCs w:val="24"/>
        </w:rPr>
        <w:t>matière d’état de conservation nécessite la mise en place de systèmes de suivi adéquats dans tous les États membres. Cependant, dans de nombreux cas, les informations communiquées proviennent d’enquêtes partielles réalisées à d’autres fins. Dans d’autres s</w:t>
      </w:r>
      <w:r>
        <w:rPr>
          <w:rFonts w:ascii="Times New Roman" w:hAnsi="Times New Roman"/>
          <w:noProof/>
          <w:sz w:val="24"/>
          <w:szCs w:val="24"/>
        </w:rPr>
        <w:t>ituations, les États membres ne disposent pas de données fiables et s’appuient sur des avis d’experts. En ce qui concerne les habitats et les espèces visés par la directive «Habitats», plus de 40 % des informations communiquées proviennent d’enquêtes parti</w:t>
      </w:r>
      <w:r>
        <w:rPr>
          <w:rFonts w:ascii="Times New Roman" w:hAnsi="Times New Roman"/>
          <w:noProof/>
          <w:sz w:val="24"/>
          <w:szCs w:val="24"/>
        </w:rPr>
        <w:t>elles et plus de 20 % sont fondées uniquement sur des avis d’experts. Pour ce qui est des données sur les oiseaux, plus de 30 % des informations proviennent d’enquêtes partielles et plus de 15 % reposent sur des avis d’experts. Le présent cycle de rapports</w:t>
      </w:r>
      <w:r>
        <w:rPr>
          <w:rFonts w:ascii="Times New Roman" w:hAnsi="Times New Roman"/>
          <w:noProof/>
          <w:sz w:val="24"/>
          <w:szCs w:val="24"/>
        </w:rPr>
        <w:t xml:space="preserve"> démontre que des restrictions subsistent en raison de données insuffisantes ou incomplètes (bien qu’à des degrés très variables d’un État membre à l’autre et à une échelle plus réduite qu’en 2015). Néanmoins, les données présentées ici constituent une éta</w:t>
      </w:r>
      <w:r>
        <w:rPr>
          <w:rFonts w:ascii="Times New Roman" w:hAnsi="Times New Roman"/>
          <w:noProof/>
          <w:sz w:val="24"/>
          <w:szCs w:val="24"/>
        </w:rPr>
        <w:t>pe importante dans l’évaluation de l’état de la nature dans l’Union européenne et fournissent une base solide pour améliorer la communication de rapports, l’évaluation et la mise en œuvre afin de pouvoir atteindre les objectifs de la stratégie de l’UE en f</w:t>
      </w:r>
      <w:r>
        <w:rPr>
          <w:rFonts w:ascii="Times New Roman" w:hAnsi="Times New Roman"/>
          <w:noProof/>
          <w:sz w:val="24"/>
          <w:szCs w:val="24"/>
        </w:rPr>
        <w:t>aveur de la biodiversité à l’horizon 2030.</w:t>
      </w:r>
    </w:p>
    <w:p w:rsidR="007179D8" w:rsidRDefault="007B473E">
      <w:pPr>
        <w:pStyle w:val="Heading1"/>
        <w:numPr>
          <w:ilvl w:val="0"/>
          <w:numId w:val="10"/>
        </w:numPr>
        <w:spacing w:after="240"/>
        <w:ind w:left="714" w:hanging="357"/>
        <w:rPr>
          <w:rFonts w:eastAsia="Times New Roman"/>
          <w:noProof/>
          <w:color w:val="auto"/>
        </w:rPr>
      </w:pPr>
      <w:r>
        <w:rPr>
          <w:noProof/>
          <w:color w:val="auto"/>
        </w:rPr>
        <w:t>Pressions et réponses</w:t>
      </w:r>
    </w:p>
    <w:p w:rsidR="007179D8" w:rsidRDefault="007B473E">
      <w:pPr>
        <w:spacing w:after="240" w:line="240" w:lineRule="auto"/>
        <w:jc w:val="both"/>
        <w:rPr>
          <w:rFonts w:ascii="Times New Roman" w:eastAsia="Times New Roman" w:hAnsi="Times New Roman" w:cs="Times New Roman"/>
          <w:b/>
          <w:i/>
          <w:noProof/>
          <w:sz w:val="24"/>
          <w:szCs w:val="24"/>
          <w:u w:val="single"/>
        </w:rPr>
      </w:pPr>
      <w:r>
        <w:rPr>
          <w:rFonts w:ascii="Times New Roman" w:hAnsi="Times New Roman"/>
          <w:b/>
          <w:i/>
          <w:noProof/>
          <w:sz w:val="24"/>
          <w:szCs w:val="24"/>
          <w:u w:val="single"/>
        </w:rPr>
        <w:t>4.1 Pressions</w:t>
      </w:r>
    </w:p>
    <w:p w:rsidR="007179D8" w:rsidRDefault="007B473E">
      <w:pPr>
        <w:spacing w:after="240"/>
        <w:jc w:val="both"/>
        <w:rPr>
          <w:rFonts w:ascii="Times New Roman" w:hAnsi="Times New Roman" w:cs="Times New Roman"/>
          <w:noProof/>
          <w:sz w:val="24"/>
          <w:szCs w:val="24"/>
        </w:rPr>
      </w:pPr>
      <w:r>
        <w:rPr>
          <w:rFonts w:ascii="Times New Roman" w:hAnsi="Times New Roman"/>
          <w:noProof/>
          <w:sz w:val="24"/>
          <w:szCs w:val="24"/>
        </w:rPr>
        <w:t>L’Europe est l’une des régions les plus densément peuplées au monde. L’activité humaine a façonné ses paysages au fil des siècles et a contribué dans une large mesure à sa biodi</w:t>
      </w:r>
      <w:r>
        <w:rPr>
          <w:rFonts w:ascii="Times New Roman" w:hAnsi="Times New Roman"/>
          <w:noProof/>
          <w:sz w:val="24"/>
          <w:szCs w:val="24"/>
        </w:rPr>
        <w:t>versité, notamment grâce à des habitats semi-naturels tels que les prairies de fauche extensives et les formations herbeuses sèches semi-naturelles. Cependant, l’activité humaine a également provoqué la dégradation et le déclin de nombreux types d’habitats</w:t>
      </w:r>
      <w:r>
        <w:rPr>
          <w:rFonts w:ascii="Times New Roman" w:hAnsi="Times New Roman"/>
          <w:noProof/>
          <w:sz w:val="24"/>
          <w:szCs w:val="24"/>
        </w:rPr>
        <w:t xml:space="preserve"> et d’espèces indigènes — surtout (et beaucoup plus rapidement) au cours des cent dernières années. </w:t>
      </w:r>
    </w:p>
    <w:p w:rsidR="007179D8" w:rsidRDefault="007B473E">
      <w:pPr>
        <w:spacing w:after="240"/>
        <w:jc w:val="both"/>
        <w:rPr>
          <w:rFonts w:ascii="Times New Roman" w:hAnsi="Times New Roman" w:cs="Times New Roman"/>
          <w:noProof/>
          <w:sz w:val="24"/>
          <w:szCs w:val="24"/>
        </w:rPr>
      </w:pPr>
      <w:r>
        <w:rPr>
          <w:rFonts w:ascii="Times New Roman" w:hAnsi="Times New Roman"/>
          <w:noProof/>
          <w:sz w:val="24"/>
          <w:szCs w:val="24"/>
        </w:rPr>
        <w:t>Les États membres ont communiqué des informations sur les causes principales de la disparition d’espèces et de la dégradation d’habitats pour chaque espèce</w:t>
      </w:r>
      <w:r>
        <w:rPr>
          <w:rFonts w:ascii="Times New Roman" w:hAnsi="Times New Roman"/>
          <w:noProof/>
          <w:sz w:val="24"/>
          <w:szCs w:val="24"/>
        </w:rPr>
        <w:t xml:space="preserve"> et habitat. Au total, ils ont fourni 67 000 relevés en utilisant une liste de 203 pressions individuelles réparties en 15 catégories (de «A-Agriculture» à «X-Autres»).</w:t>
      </w:r>
    </w:p>
    <w:p w:rsidR="007179D8" w:rsidRDefault="007B473E">
      <w:pPr>
        <w:rPr>
          <w:rFonts w:ascii="Times New Roman" w:hAnsi="Times New Roman" w:cs="Times New Roman"/>
          <w:noProof/>
          <w:sz w:val="24"/>
          <w:szCs w:val="24"/>
        </w:rPr>
      </w:pPr>
      <w:r>
        <w:rPr>
          <w:rFonts w:ascii="Times New Roman" w:hAnsi="Times New Roman" w:cs="Times New Roman"/>
          <w:noProof/>
          <w:sz w:val="24"/>
          <w:szCs w:val="24"/>
        </w:rPr>
        <w:br w:type="page"/>
      </w:r>
    </w:p>
    <w:p w:rsidR="007179D8" w:rsidRDefault="007179D8">
      <w:pPr>
        <w:spacing w:after="240"/>
        <w:jc w:val="both"/>
        <w:rPr>
          <w:rFonts w:ascii="Times New Roman" w:hAnsi="Times New Roman" w:cs="Times New Roman"/>
          <w:noProof/>
          <w:sz w:val="2"/>
          <w:szCs w:val="2"/>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1"/>
      </w:tblGrid>
      <w:tr w:rsidR="007179D8">
        <w:tc>
          <w:tcPr>
            <w:tcW w:w="10031" w:type="dxa"/>
          </w:tcPr>
          <w:p w:rsidR="007179D8" w:rsidRDefault="007B473E">
            <w:pPr>
              <w:spacing w:after="120"/>
              <w:jc w:val="both"/>
              <w:rPr>
                <w:rFonts w:ascii="Times New Roman" w:hAnsi="Times New Roman" w:cs="Times New Roman"/>
                <w:b/>
                <w:noProof/>
                <w:sz w:val="20"/>
                <w:szCs w:val="20"/>
              </w:rPr>
            </w:pPr>
            <w:r>
              <w:rPr>
                <w:rFonts w:ascii="Times New Roman" w:hAnsi="Times New Roman"/>
                <w:b/>
                <w:noProof/>
                <w:sz w:val="20"/>
                <w:szCs w:val="20"/>
              </w:rPr>
              <w:t>Graphique 9: répartition des catégories de pressions de niveau 1 parmi les habitats,</w:t>
            </w:r>
            <w:r>
              <w:rPr>
                <w:rFonts w:ascii="Times New Roman" w:hAnsi="Times New Roman"/>
                <w:b/>
                <w:noProof/>
                <w:sz w:val="20"/>
                <w:szCs w:val="20"/>
              </w:rPr>
              <w:t xml:space="preserve"> les espèces autres que les oiseaux et les oiseaux</w:t>
            </w:r>
            <w:r>
              <w:rPr>
                <w:rFonts w:ascii="Times New Roman" w:hAnsi="Times New Roman"/>
                <w:noProof/>
                <w:sz w:val="20"/>
                <w:szCs w:val="20"/>
              </w:rPr>
              <w:t xml:space="preserve"> </w:t>
            </w:r>
          </w:p>
        </w:tc>
      </w:tr>
      <w:tr w:rsidR="007179D8">
        <w:tc>
          <w:tcPr>
            <w:tcW w:w="10031" w:type="dxa"/>
          </w:tcPr>
          <w:p w:rsidR="007179D8" w:rsidRDefault="007B473E">
            <w:pPr>
              <w:spacing w:before="120" w:after="120"/>
              <w:ind w:left="33"/>
              <w:jc w:val="both"/>
              <w:rPr>
                <w:rFonts w:ascii="Times New Roman" w:hAnsi="Times New Roman" w:cs="Times New Roman"/>
                <w:noProof/>
              </w:rPr>
            </w:pPr>
            <w:r>
              <w:rPr>
                <w:rFonts w:ascii="Times New Roman" w:hAnsi="Times New Roman"/>
                <w:noProof/>
                <w:lang w:val="en-GB" w:eastAsia="en-GB"/>
              </w:rPr>
              <w:drawing>
                <wp:inline distT="0" distB="0" distL="0" distR="0">
                  <wp:extent cx="5745193" cy="4533265"/>
                  <wp:effectExtent l="0" t="0" r="8255" b="63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Fig 4.1_pressure_matrix.png"/>
                          <pic:cNvPicPr/>
                        </pic:nvPicPr>
                        <pic:blipFill rotWithShape="1">
                          <a:blip r:embed="rId34" cstate="screen">
                            <a:extLst>
                              <a:ext uri="{28A0092B-C50C-407E-A947-70E740481C1C}">
                                <a14:useLocalDpi xmlns:a14="http://schemas.microsoft.com/office/drawing/2010/main"/>
                              </a:ext>
                            </a:extLst>
                          </a:blip>
                          <a:srcRect b="11525"/>
                          <a:stretch/>
                        </pic:blipFill>
                        <pic:spPr bwMode="auto">
                          <a:xfrm>
                            <a:off x="0" y="0"/>
                            <a:ext cx="5772771" cy="4555025"/>
                          </a:xfrm>
                          <a:prstGeom prst="rect">
                            <a:avLst/>
                          </a:prstGeom>
                          <a:ln>
                            <a:noFill/>
                          </a:ln>
                          <a:extLst>
                            <a:ext uri="{53640926-AAD7-44D8-BBD7-CCE9431645EC}">
                              <a14:shadowObscured xmlns:a14="http://schemas.microsoft.com/office/drawing/2010/main"/>
                            </a:ext>
                          </a:extLst>
                        </pic:spPr>
                      </pic:pic>
                    </a:graphicData>
                  </a:graphic>
                </wp:inline>
              </w:drawing>
            </w:r>
          </w:p>
        </w:tc>
      </w:tr>
      <w:tr w:rsidR="007179D8">
        <w:tc>
          <w:tcPr>
            <w:tcW w:w="10031" w:type="dxa"/>
          </w:tcPr>
          <w:p w:rsidR="007179D8" w:rsidRDefault="007179D8">
            <w:pPr>
              <w:ind w:left="360"/>
              <w:jc w:val="both"/>
              <w:rPr>
                <w:rFonts w:ascii="Times New Roman" w:hAnsi="Times New Roman" w:cs="Times New Roman"/>
                <w:noProof/>
              </w:rPr>
            </w:pPr>
          </w:p>
        </w:tc>
      </w:tr>
    </w:tbl>
    <w:p w:rsidR="007179D8" w:rsidRDefault="007B473E">
      <w:pPr>
        <w:spacing w:after="240"/>
        <w:jc w:val="both"/>
        <w:rPr>
          <w:rFonts w:ascii="Times New Roman" w:hAnsi="Times New Roman" w:cs="Times New Roman"/>
          <w:noProof/>
          <w:sz w:val="24"/>
          <w:szCs w:val="24"/>
        </w:rPr>
      </w:pPr>
      <w:r>
        <w:rPr>
          <w:rFonts w:ascii="Times New Roman" w:hAnsi="Times New Roman"/>
          <w:iCs/>
          <w:noProof/>
          <w:sz w:val="24"/>
          <w:szCs w:val="24"/>
        </w:rPr>
        <w:t>Les pressions les plus fréquemment signalées, tant pour les habitats que pour les espèces, proviennent de l’</w:t>
      </w:r>
      <w:r>
        <w:rPr>
          <w:rFonts w:ascii="Times New Roman" w:hAnsi="Times New Roman"/>
          <w:iCs/>
          <w:noProof/>
          <w:sz w:val="24"/>
          <w:szCs w:val="24"/>
          <w:u w:val="single"/>
        </w:rPr>
        <w:t>agriculture</w:t>
      </w:r>
      <w:r>
        <w:rPr>
          <w:rFonts w:ascii="Times New Roman" w:hAnsi="Times New Roman"/>
          <w:iCs/>
          <w:noProof/>
          <w:sz w:val="24"/>
          <w:szCs w:val="24"/>
        </w:rPr>
        <w:t>, ce qui témoigne de l’importance relative de l’utilisation des terres agricoles et de la modification des pratiques agricoles (intensification et abandon de l’agriculture extensive). La gestion agricole extensive contribue à créer et à maintenir des habit</w:t>
      </w:r>
      <w:r>
        <w:rPr>
          <w:rFonts w:ascii="Times New Roman" w:hAnsi="Times New Roman"/>
          <w:iCs/>
          <w:noProof/>
          <w:sz w:val="24"/>
          <w:szCs w:val="24"/>
        </w:rPr>
        <w:t xml:space="preserve">ats semi-naturels dont la faune et la flore sont diversifiées. Cependant, depuis les années 50, une agriculture plus intensive et spécialisée a progressivement contribué à l’appauvrissement continu de la biodiversité. </w:t>
      </w:r>
      <w:r>
        <w:rPr>
          <w:rFonts w:ascii="Times New Roman" w:hAnsi="Times New Roman"/>
          <w:noProof/>
          <w:sz w:val="24"/>
          <w:szCs w:val="24"/>
        </w:rPr>
        <w:t>Les pelouses, les habitats d’eau douce</w:t>
      </w:r>
      <w:r>
        <w:rPr>
          <w:rFonts w:ascii="Times New Roman" w:hAnsi="Times New Roman"/>
          <w:noProof/>
          <w:sz w:val="24"/>
          <w:szCs w:val="24"/>
        </w:rPr>
        <w:t>, les landes et les fourrés, ainsi que les tourbières et les bas-marais ont été les plus gravement touchés. Les habitats semi-naturels tributaires de l’agriculture</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tels que les pelouses, sont particulièrement menacés et leur état de conservation est nett</w:t>
      </w:r>
      <w:r>
        <w:rPr>
          <w:rFonts w:ascii="Times New Roman" w:hAnsi="Times New Roman"/>
          <w:noProof/>
          <w:sz w:val="24"/>
          <w:szCs w:val="24"/>
        </w:rPr>
        <w:t>ement plus mauvais que celui des autres types d’habitats qui ne dépendent pas de l’agriculture (45 % sont jugés dans un état «médiocre», contre 31 % pour les autres habitats). Par rapport à 2015, les évaluations des habitats agricoles indiquent une dégrada</w:t>
      </w:r>
      <w:r>
        <w:rPr>
          <w:rFonts w:ascii="Times New Roman" w:hAnsi="Times New Roman"/>
          <w:noProof/>
          <w:sz w:val="24"/>
          <w:szCs w:val="24"/>
        </w:rPr>
        <w:t>tion générale de l’état de conservation: la proportion d’habitats dont l’état est jugé «favorable» a diminué de 14 % à 12 %, tandis que les évaluations «médiocres» sont passées de 39 % à 45 %. Seuls 8 % des habitats agricoles enregistrent une tendance à l’</w:t>
      </w:r>
      <w:r>
        <w:rPr>
          <w:rFonts w:ascii="Times New Roman" w:hAnsi="Times New Roman"/>
          <w:noProof/>
          <w:sz w:val="24"/>
          <w:szCs w:val="24"/>
        </w:rPr>
        <w:t>amélioration, alors que 45 % connaissent une dégradation. De nombreuses espèces d’oiseaux, de reptiles, de mollusques, d’amphibiens, d’arthropodes et de plantes vasculaires sont également touchées et la biodiversité des terres agricoles poursuit son déclin</w:t>
      </w:r>
      <w:r>
        <w:rPr>
          <w:rFonts w:ascii="Times New Roman" w:hAnsi="Times New Roman"/>
          <w:noProof/>
          <w:sz w:val="24"/>
          <w:szCs w:val="24"/>
        </w:rPr>
        <w:t>.</w:t>
      </w:r>
    </w:p>
    <w:p w:rsidR="007179D8" w:rsidRDefault="007B473E">
      <w:pPr>
        <w:jc w:val="both"/>
        <w:rPr>
          <w:rFonts w:ascii="Times New Roman" w:hAnsi="Times New Roman" w:cs="Times New Roman"/>
          <w:noProof/>
          <w:sz w:val="24"/>
          <w:szCs w:val="24"/>
          <w:u w:val="single"/>
        </w:rPr>
      </w:pPr>
      <w:r>
        <w:rPr>
          <w:rFonts w:ascii="Times New Roman" w:hAnsi="Times New Roman"/>
          <w:noProof/>
          <w:sz w:val="24"/>
          <w:szCs w:val="24"/>
        </w:rPr>
        <w:t xml:space="preserve">Dans l’ensemble, toutes catégories confondues, la </w:t>
      </w:r>
      <w:r>
        <w:rPr>
          <w:rFonts w:ascii="Times New Roman" w:hAnsi="Times New Roman"/>
          <w:noProof/>
          <w:sz w:val="24"/>
          <w:szCs w:val="24"/>
          <w:u w:val="single"/>
        </w:rPr>
        <w:t>modification des régimes hydrologiques</w:t>
      </w:r>
      <w:r>
        <w:rPr>
          <w:rFonts w:ascii="Times New Roman" w:hAnsi="Times New Roman"/>
          <w:noProof/>
          <w:sz w:val="24"/>
          <w:szCs w:val="24"/>
        </w:rPr>
        <w:t xml:space="preserve"> (y compris les changements servant de multiples objectifs dans la catégorie «K-Modification des régimes hydrologiques» et les changements hydrologiques imputables à </w:t>
      </w:r>
      <w:r>
        <w:rPr>
          <w:rFonts w:ascii="Times New Roman" w:hAnsi="Times New Roman"/>
          <w:noProof/>
          <w:sz w:val="24"/>
          <w:szCs w:val="24"/>
        </w:rPr>
        <w:t>d’autres catégories, par exemple «A</w:t>
      </w:r>
      <w:r>
        <w:rPr>
          <w:rFonts w:ascii="Times New Roman" w:hAnsi="Times New Roman"/>
          <w:noProof/>
          <w:sz w:val="24"/>
          <w:szCs w:val="24"/>
        </w:rPr>
        <w:noBreakHyphen/>
        <w:t>Agriculture») est le deuxième type de pression le plus fréquemment signalé, suivi par l’</w:t>
      </w:r>
      <w:r>
        <w:rPr>
          <w:rFonts w:ascii="Times New Roman" w:hAnsi="Times New Roman"/>
          <w:noProof/>
          <w:sz w:val="24"/>
          <w:szCs w:val="24"/>
          <w:u w:val="single"/>
        </w:rPr>
        <w:t>urbanisation</w:t>
      </w:r>
      <w:r>
        <w:rPr>
          <w:rFonts w:ascii="Times New Roman" w:hAnsi="Times New Roman"/>
          <w:noProof/>
          <w:sz w:val="24"/>
          <w:szCs w:val="24"/>
        </w:rPr>
        <w:t xml:space="preserve"> et la </w:t>
      </w:r>
      <w:r>
        <w:rPr>
          <w:rFonts w:ascii="Times New Roman" w:hAnsi="Times New Roman"/>
          <w:noProof/>
          <w:sz w:val="24"/>
          <w:szCs w:val="24"/>
          <w:u w:val="single"/>
        </w:rPr>
        <w:t>pollution</w:t>
      </w:r>
      <w:r>
        <w:rPr>
          <w:rFonts w:ascii="Times New Roman" w:hAnsi="Times New Roman"/>
          <w:noProof/>
          <w:sz w:val="24"/>
          <w:szCs w:val="24"/>
        </w:rPr>
        <w:t>:</w:t>
      </w:r>
    </w:p>
    <w:p w:rsidR="007179D8" w:rsidRDefault="007B473E">
      <w:pPr>
        <w:pStyle w:val="ListParagraph"/>
        <w:numPr>
          <w:ilvl w:val="0"/>
          <w:numId w:val="1"/>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les pressions liées aux </w:t>
      </w:r>
      <w:r>
        <w:rPr>
          <w:rFonts w:ascii="Times New Roman" w:hAnsi="Times New Roman"/>
          <w:noProof/>
          <w:sz w:val="24"/>
          <w:szCs w:val="24"/>
          <w:u w:val="single"/>
        </w:rPr>
        <w:t>modifications du régime des eaux</w:t>
      </w:r>
      <w:r>
        <w:rPr>
          <w:rFonts w:ascii="Times New Roman" w:hAnsi="Times New Roman"/>
          <w:noProof/>
          <w:sz w:val="24"/>
          <w:szCs w:val="24"/>
        </w:rPr>
        <w:t xml:space="preserve"> ont de multiples origines. Par exemple, les a</w:t>
      </w:r>
      <w:r>
        <w:rPr>
          <w:rFonts w:ascii="Times New Roman" w:hAnsi="Times New Roman"/>
          <w:noProof/>
          <w:sz w:val="24"/>
          <w:szCs w:val="24"/>
        </w:rPr>
        <w:t>ctivités de drainage agricole et les centrales hydroélectriques représentent 14 % et 13 % de toutes les pressions liées à l’hydrologie. Les pressions exercées dans cette catégorie sont, sans surprise, particulièrement pertinentes pour les habitats d’eau do</w:t>
      </w:r>
      <w:r>
        <w:rPr>
          <w:rFonts w:ascii="Times New Roman" w:hAnsi="Times New Roman"/>
          <w:noProof/>
          <w:sz w:val="24"/>
          <w:szCs w:val="24"/>
        </w:rPr>
        <w:t>uce et les espèces de poissons, mais aussi pour les écosystèmes riches en carbone tels que les tourbières et les bas-marais;</w:t>
      </w:r>
    </w:p>
    <w:p w:rsidR="007179D8" w:rsidRDefault="007B473E">
      <w:pPr>
        <w:pStyle w:val="ListParagraph"/>
        <w:numPr>
          <w:ilvl w:val="0"/>
          <w:numId w:val="1"/>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les principales pressions liées à l’</w:t>
      </w:r>
      <w:r>
        <w:rPr>
          <w:rFonts w:ascii="Times New Roman" w:hAnsi="Times New Roman"/>
          <w:noProof/>
          <w:sz w:val="24"/>
          <w:szCs w:val="24"/>
          <w:u w:val="single"/>
        </w:rPr>
        <w:t>urbanisation</w:t>
      </w:r>
      <w:r>
        <w:rPr>
          <w:rFonts w:ascii="Times New Roman" w:hAnsi="Times New Roman"/>
          <w:noProof/>
          <w:sz w:val="24"/>
          <w:szCs w:val="24"/>
        </w:rPr>
        <w:t xml:space="preserve"> englobent les sports, le tourisme et les activités de loisirs, et touchent particu</w:t>
      </w:r>
      <w:r>
        <w:rPr>
          <w:rFonts w:ascii="Times New Roman" w:hAnsi="Times New Roman"/>
          <w:noProof/>
          <w:sz w:val="24"/>
          <w:szCs w:val="24"/>
        </w:rPr>
        <w:t>lièrement les habitats marins et côtiers. La conversion de terres naturelles et semi</w:t>
      </w:r>
      <w:r>
        <w:rPr>
          <w:rFonts w:ascii="Times New Roman" w:hAnsi="Times New Roman"/>
          <w:noProof/>
          <w:sz w:val="24"/>
          <w:szCs w:val="24"/>
        </w:rPr>
        <w:noBreakHyphen/>
        <w:t>naturelles en zones de résidence, d’habitation ou de loisirs touche principalement les habitats herbeux et les forêts; et</w:t>
      </w:r>
    </w:p>
    <w:p w:rsidR="007179D8" w:rsidRDefault="007B473E">
      <w:pPr>
        <w:pStyle w:val="ListParagraph"/>
        <w:numPr>
          <w:ilvl w:val="0"/>
          <w:numId w:val="1"/>
        </w:numPr>
        <w:spacing w:after="24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noProof/>
          <w:sz w:val="24"/>
          <w:szCs w:val="24"/>
          <w:u w:val="single"/>
        </w:rPr>
        <w:t>pollution</w:t>
      </w:r>
      <w:r>
        <w:rPr>
          <w:rFonts w:ascii="Times New Roman" w:hAnsi="Times New Roman"/>
          <w:noProof/>
          <w:sz w:val="24"/>
          <w:szCs w:val="24"/>
        </w:rPr>
        <w:t xml:space="preserve"> fait peser une pression importante sur de nombreux habitats et espèces, et les activités agricoles sont responsables de près de la moitié (48 %) des pressions liées à la pollution, suivies par la pollution de sources mixtes (28 %, comme indiqué dans la ca</w:t>
      </w:r>
      <w:r>
        <w:rPr>
          <w:rFonts w:ascii="Times New Roman" w:hAnsi="Times New Roman"/>
          <w:noProof/>
          <w:sz w:val="24"/>
          <w:szCs w:val="24"/>
        </w:rPr>
        <w:t>tégorie «J-Pollution») et l’urbanisation (21 %).</w:t>
      </w:r>
    </w:p>
    <w:p w:rsidR="007179D8" w:rsidRDefault="007B473E">
      <w:pPr>
        <w:spacing w:after="120"/>
        <w:jc w:val="both"/>
        <w:rPr>
          <w:rFonts w:ascii="Times New Roman" w:hAnsi="Times New Roman" w:cs="Times New Roman"/>
          <w:noProof/>
          <w:sz w:val="24"/>
          <w:szCs w:val="24"/>
        </w:rPr>
      </w:pPr>
      <w:r>
        <w:rPr>
          <w:rFonts w:ascii="Times New Roman" w:hAnsi="Times New Roman"/>
          <w:noProof/>
          <w:sz w:val="24"/>
          <w:szCs w:val="24"/>
        </w:rPr>
        <w:t>Les catégories de pression ont des répercussions relatives différentes selon les groupes d’habitats et d’espèces:</w:t>
      </w:r>
    </w:p>
    <w:p w:rsidR="007179D8" w:rsidRDefault="007B473E">
      <w:pPr>
        <w:pStyle w:val="ListParagraph"/>
        <w:numPr>
          <w:ilvl w:val="0"/>
          <w:numId w:val="1"/>
        </w:numPr>
        <w:spacing w:after="120"/>
        <w:ind w:left="709"/>
        <w:contextualSpacing w:val="0"/>
        <w:jc w:val="both"/>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noProof/>
          <w:sz w:val="24"/>
          <w:szCs w:val="24"/>
          <w:u w:val="single"/>
        </w:rPr>
        <w:t>activités d’exploitation forestière</w:t>
      </w:r>
      <w:r>
        <w:rPr>
          <w:rFonts w:ascii="Times New Roman" w:hAnsi="Times New Roman"/>
          <w:noProof/>
          <w:sz w:val="24"/>
          <w:szCs w:val="24"/>
        </w:rPr>
        <w:t xml:space="preserve"> constituent la deuxième catégorie de pression la plus</w:t>
      </w:r>
      <w:r>
        <w:rPr>
          <w:rFonts w:ascii="Times New Roman" w:hAnsi="Times New Roman"/>
          <w:noProof/>
          <w:sz w:val="24"/>
          <w:szCs w:val="24"/>
        </w:rPr>
        <w:t xml:space="preserve"> importante signalée pour les espèces, et elles touchent en particulier les arthropodes, les mammifères et les plantes non vasculaires. De nombreuses espèces dépendantes des forêts seraient menacées par l’</w:t>
      </w:r>
      <w:r>
        <w:rPr>
          <w:rFonts w:ascii="Times New Roman" w:hAnsi="Times New Roman"/>
          <w:noProof/>
          <w:sz w:val="24"/>
          <w:szCs w:val="24"/>
          <w:u w:val="single"/>
        </w:rPr>
        <w:t>enlèvement d’arbres morts, mourants et vieux</w:t>
      </w:r>
      <w:r>
        <w:rPr>
          <w:rFonts w:ascii="Times New Roman" w:hAnsi="Times New Roman"/>
          <w:noProof/>
          <w:sz w:val="24"/>
          <w:szCs w:val="24"/>
        </w:rPr>
        <w:t xml:space="preserve"> (y com</w:t>
      </w:r>
      <w:r>
        <w:rPr>
          <w:rFonts w:ascii="Times New Roman" w:hAnsi="Times New Roman"/>
          <w:noProof/>
          <w:sz w:val="24"/>
          <w:szCs w:val="24"/>
        </w:rPr>
        <w:t xml:space="preserve">pris l’exploitation complémentaire), la </w:t>
      </w:r>
      <w:r>
        <w:rPr>
          <w:rFonts w:ascii="Times New Roman" w:hAnsi="Times New Roman"/>
          <w:noProof/>
          <w:sz w:val="24"/>
          <w:szCs w:val="24"/>
          <w:u w:val="single"/>
        </w:rPr>
        <w:t>gestion forestière réduisant les forêts anciennes</w:t>
      </w:r>
      <w:r>
        <w:rPr>
          <w:rFonts w:ascii="Times New Roman" w:hAnsi="Times New Roman"/>
          <w:noProof/>
          <w:sz w:val="24"/>
          <w:szCs w:val="24"/>
        </w:rPr>
        <w:t xml:space="preserve"> et les </w:t>
      </w:r>
      <w:r>
        <w:rPr>
          <w:rFonts w:ascii="Times New Roman" w:hAnsi="Times New Roman"/>
          <w:noProof/>
          <w:sz w:val="24"/>
          <w:szCs w:val="24"/>
          <w:u w:val="single"/>
        </w:rPr>
        <w:t>coupes à blanc</w:t>
      </w:r>
      <w:r>
        <w:rPr>
          <w:rFonts w:ascii="Times New Roman" w:hAnsi="Times New Roman"/>
          <w:noProof/>
          <w:sz w:val="24"/>
          <w:szCs w:val="24"/>
        </w:rPr>
        <w:t>. L’exploitation forestière représente également le principal groupe de pressions signalées pour la plupart des types de forêts visés à l’annexe </w:t>
      </w:r>
      <w:r>
        <w:rPr>
          <w:rFonts w:ascii="Times New Roman" w:hAnsi="Times New Roman"/>
          <w:noProof/>
          <w:sz w:val="24"/>
          <w:szCs w:val="24"/>
        </w:rPr>
        <w:t>I, dont l’état de conservation s’est dégradé par rapport à 2015: la proportion de forêts dont l’état est jugé «favorable» a diminué de 16 % à 14 %, tandis que les évaluations «médiocres» sont passées de 27 % à 31 %;</w:t>
      </w:r>
    </w:p>
    <w:p w:rsidR="007179D8" w:rsidRDefault="007B473E">
      <w:pPr>
        <w:pStyle w:val="ListParagraph"/>
        <w:numPr>
          <w:ilvl w:val="0"/>
          <w:numId w:val="1"/>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l’</w:t>
      </w:r>
      <w:r>
        <w:rPr>
          <w:rFonts w:ascii="Times New Roman" w:hAnsi="Times New Roman"/>
          <w:noProof/>
          <w:sz w:val="24"/>
          <w:szCs w:val="24"/>
          <w:u w:val="single"/>
        </w:rPr>
        <w:t>exploitation des espèces</w:t>
      </w:r>
      <w:r>
        <w:rPr>
          <w:rFonts w:ascii="Times New Roman" w:hAnsi="Times New Roman"/>
          <w:noProof/>
          <w:sz w:val="24"/>
          <w:szCs w:val="24"/>
        </w:rPr>
        <w:t xml:space="preserve"> est la plus g</w:t>
      </w:r>
      <w:r>
        <w:rPr>
          <w:rFonts w:ascii="Times New Roman" w:hAnsi="Times New Roman"/>
          <w:noProof/>
          <w:sz w:val="24"/>
          <w:szCs w:val="24"/>
        </w:rPr>
        <w:t xml:space="preserve">rande pression exercée sur les oiseaux hivernants et de passage. Elle concerne </w:t>
      </w:r>
      <w:r>
        <w:rPr>
          <w:rFonts w:ascii="Times New Roman" w:hAnsi="Times New Roman"/>
          <w:noProof/>
          <w:sz w:val="24"/>
          <w:szCs w:val="24"/>
          <w:u w:val="single"/>
        </w:rPr>
        <w:t>le tir ou l’abattage illégal, la chasse</w:t>
      </w:r>
      <w:r>
        <w:rPr>
          <w:rFonts w:ascii="Times New Roman" w:hAnsi="Times New Roman"/>
          <w:noProof/>
          <w:sz w:val="24"/>
          <w:szCs w:val="24"/>
        </w:rPr>
        <w:t xml:space="preserve"> et </w:t>
      </w:r>
      <w:r>
        <w:rPr>
          <w:rFonts w:ascii="Times New Roman" w:hAnsi="Times New Roman"/>
          <w:noProof/>
          <w:sz w:val="24"/>
          <w:szCs w:val="24"/>
          <w:u w:val="single"/>
        </w:rPr>
        <w:t>l’abattage accidentel</w:t>
      </w:r>
      <w:r>
        <w:rPr>
          <w:rFonts w:ascii="Times New Roman" w:hAnsi="Times New Roman"/>
          <w:noProof/>
          <w:sz w:val="24"/>
          <w:szCs w:val="24"/>
        </w:rPr>
        <w:t>. Selon de récentes recherches menées dans 26 pays européens, les prises de chasse annuelles s’élèvent à au moins</w:t>
      </w:r>
      <w:r>
        <w:rPr>
          <w:rFonts w:ascii="Times New Roman" w:hAnsi="Times New Roman"/>
          <w:noProof/>
          <w:sz w:val="24"/>
          <w:szCs w:val="24"/>
        </w:rPr>
        <w:t xml:space="preserve"> 52 millions d’oiseaux</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Parmi les autres espèces touchées par l’exploitation figurent les poissons, les mammifères et les reptiles. </w:t>
      </w:r>
      <w:r>
        <w:rPr>
          <w:rFonts w:ascii="Times New Roman" w:hAnsi="Times New Roman"/>
          <w:iCs/>
          <w:noProof/>
          <w:sz w:val="24"/>
          <w:szCs w:val="24"/>
        </w:rPr>
        <w:t>Les poissons comptent parmi les groupes les plus touchés en raison de l’</w:t>
      </w:r>
      <w:r>
        <w:rPr>
          <w:rFonts w:ascii="Times New Roman" w:hAnsi="Times New Roman"/>
          <w:iCs/>
          <w:noProof/>
          <w:sz w:val="24"/>
          <w:szCs w:val="24"/>
          <w:u w:val="single"/>
        </w:rPr>
        <w:t>exploitation des ressources marines</w:t>
      </w:r>
      <w:r>
        <w:rPr>
          <w:rStyle w:val="FootnoteReference"/>
          <w:rFonts w:ascii="Times New Roman" w:eastAsia="ヒラギノ角ゴ Pro W3" w:hAnsi="Times New Roman" w:cs="Times New Roman"/>
          <w:iCs/>
          <w:noProof/>
          <w:sz w:val="24"/>
          <w:szCs w:val="24"/>
          <w:u w:val="single"/>
        </w:rPr>
        <w:footnoteReference w:id="18"/>
      </w:r>
      <w:r>
        <w:rPr>
          <w:rFonts w:ascii="Times New Roman" w:hAnsi="Times New Roman"/>
          <w:iCs/>
          <w:noProof/>
          <w:sz w:val="24"/>
          <w:szCs w:val="24"/>
          <w:u w:val="single"/>
        </w:rPr>
        <w:t xml:space="preserve"> et d’eau douce</w:t>
      </w:r>
      <w:r>
        <w:rPr>
          <w:rFonts w:ascii="Times New Roman" w:hAnsi="Times New Roman"/>
          <w:iCs/>
          <w:noProof/>
          <w:sz w:val="24"/>
          <w:szCs w:val="24"/>
        </w:rPr>
        <w:t xml:space="preserve">. Les répercussions sur les mammifères sont doubles: </w:t>
      </w:r>
    </w:p>
    <w:p w:rsidR="007179D8" w:rsidRDefault="007B473E">
      <w:pPr>
        <w:pStyle w:val="ListParagraph"/>
        <w:numPr>
          <w:ilvl w:val="1"/>
          <w:numId w:val="1"/>
        </w:numPr>
        <w:spacing w:after="120"/>
        <w:ind w:left="1361" w:hanging="397"/>
        <w:contextualSpacing w:val="0"/>
        <w:jc w:val="both"/>
        <w:rPr>
          <w:rFonts w:ascii="Times New Roman" w:hAnsi="Times New Roman" w:cs="Times New Roman"/>
          <w:noProof/>
          <w:sz w:val="24"/>
          <w:szCs w:val="24"/>
        </w:rPr>
      </w:pPr>
      <w:r>
        <w:rPr>
          <w:rFonts w:ascii="Times New Roman" w:hAnsi="Times New Roman"/>
          <w:iCs/>
          <w:noProof/>
          <w:sz w:val="24"/>
          <w:szCs w:val="24"/>
        </w:rPr>
        <w:t>les grands mammifères terrestres tels que le loup (</w:t>
      </w:r>
      <w:r>
        <w:rPr>
          <w:rFonts w:ascii="Times New Roman" w:hAnsi="Times New Roman"/>
          <w:i/>
          <w:iCs/>
          <w:noProof/>
          <w:sz w:val="24"/>
          <w:szCs w:val="24"/>
        </w:rPr>
        <w:t>Canis lupus</w:t>
      </w:r>
      <w:r>
        <w:rPr>
          <w:rFonts w:ascii="Times New Roman" w:hAnsi="Times New Roman"/>
          <w:iCs/>
          <w:noProof/>
          <w:sz w:val="24"/>
          <w:szCs w:val="24"/>
        </w:rPr>
        <w:t>), le lynx d’Europe (</w:t>
      </w:r>
      <w:r>
        <w:rPr>
          <w:rFonts w:ascii="Times New Roman" w:hAnsi="Times New Roman"/>
          <w:i/>
          <w:iCs/>
          <w:noProof/>
          <w:sz w:val="24"/>
          <w:szCs w:val="24"/>
        </w:rPr>
        <w:t>Lynx lynx</w:t>
      </w:r>
      <w:r>
        <w:rPr>
          <w:rFonts w:ascii="Times New Roman" w:hAnsi="Times New Roman"/>
          <w:iCs/>
          <w:noProof/>
          <w:sz w:val="24"/>
          <w:szCs w:val="24"/>
        </w:rPr>
        <w:t>) et la loutre d’Europe (</w:t>
      </w:r>
      <w:r>
        <w:rPr>
          <w:rFonts w:ascii="Times New Roman" w:hAnsi="Times New Roman"/>
          <w:i/>
          <w:iCs/>
          <w:noProof/>
          <w:sz w:val="24"/>
          <w:szCs w:val="24"/>
        </w:rPr>
        <w:t>Lutra lutra</w:t>
      </w:r>
      <w:r>
        <w:rPr>
          <w:rFonts w:ascii="Times New Roman" w:hAnsi="Times New Roman"/>
          <w:iCs/>
          <w:noProof/>
          <w:sz w:val="24"/>
          <w:szCs w:val="24"/>
        </w:rPr>
        <w:t>) sont principalement victimes d’abattages illégaux;</w:t>
      </w:r>
    </w:p>
    <w:p w:rsidR="007179D8" w:rsidRDefault="007B473E">
      <w:pPr>
        <w:pStyle w:val="ListParagraph"/>
        <w:numPr>
          <w:ilvl w:val="1"/>
          <w:numId w:val="1"/>
        </w:numPr>
        <w:spacing w:after="120"/>
        <w:ind w:left="1361"/>
        <w:contextualSpacing w:val="0"/>
        <w:jc w:val="both"/>
        <w:rPr>
          <w:rFonts w:ascii="Times New Roman" w:eastAsia="ヒラギノ角ゴ Pro W3" w:hAnsi="Times New Roman" w:cs="Times New Roman"/>
          <w:iCs/>
          <w:noProof/>
          <w:sz w:val="24"/>
          <w:szCs w:val="24"/>
        </w:rPr>
      </w:pPr>
      <w:r>
        <w:rPr>
          <w:rFonts w:ascii="Times New Roman" w:hAnsi="Times New Roman"/>
          <w:iCs/>
          <w:noProof/>
          <w:sz w:val="24"/>
          <w:szCs w:val="24"/>
        </w:rPr>
        <w:t>les petits cétacés te</w:t>
      </w:r>
      <w:r>
        <w:rPr>
          <w:rFonts w:ascii="Times New Roman" w:hAnsi="Times New Roman"/>
          <w:iCs/>
          <w:noProof/>
          <w:sz w:val="24"/>
          <w:szCs w:val="24"/>
        </w:rPr>
        <w:t>ls que le dauphin commun (</w:t>
      </w:r>
      <w:r>
        <w:rPr>
          <w:rFonts w:ascii="Times New Roman" w:hAnsi="Times New Roman"/>
          <w:i/>
          <w:iCs/>
          <w:noProof/>
          <w:sz w:val="24"/>
          <w:szCs w:val="24"/>
        </w:rPr>
        <w:t>Delphinus delphis</w:t>
      </w:r>
      <w:r>
        <w:rPr>
          <w:rFonts w:ascii="Times New Roman" w:hAnsi="Times New Roman"/>
          <w:iCs/>
          <w:noProof/>
          <w:sz w:val="24"/>
          <w:szCs w:val="24"/>
        </w:rPr>
        <w:t>) et le marsouin commun (</w:t>
      </w:r>
      <w:r>
        <w:rPr>
          <w:rFonts w:ascii="Times New Roman" w:hAnsi="Times New Roman"/>
          <w:i/>
          <w:iCs/>
          <w:noProof/>
          <w:sz w:val="24"/>
          <w:szCs w:val="24"/>
        </w:rPr>
        <w:t>Phocoena phocoena</w:t>
      </w:r>
      <w:r>
        <w:rPr>
          <w:rFonts w:ascii="Times New Roman" w:hAnsi="Times New Roman"/>
          <w:iCs/>
          <w:noProof/>
          <w:sz w:val="24"/>
          <w:szCs w:val="24"/>
        </w:rPr>
        <w:t xml:space="preserve">) sont principalement victimes de </w:t>
      </w:r>
      <w:r>
        <w:rPr>
          <w:rFonts w:ascii="Times New Roman" w:hAnsi="Times New Roman"/>
          <w:iCs/>
          <w:noProof/>
          <w:sz w:val="24"/>
          <w:szCs w:val="24"/>
          <w:u w:val="single"/>
        </w:rPr>
        <w:t>prises accessoires</w:t>
      </w:r>
      <w:r>
        <w:rPr>
          <w:rFonts w:ascii="Times New Roman" w:hAnsi="Times New Roman"/>
          <w:iCs/>
          <w:noProof/>
          <w:sz w:val="24"/>
          <w:szCs w:val="24"/>
        </w:rPr>
        <w:t xml:space="preserve"> dans les engins de pêche et d’autres effets des </w:t>
      </w:r>
      <w:r>
        <w:rPr>
          <w:rFonts w:ascii="Times New Roman" w:hAnsi="Times New Roman"/>
          <w:iCs/>
          <w:noProof/>
          <w:sz w:val="24"/>
          <w:szCs w:val="24"/>
          <w:u w:val="single"/>
        </w:rPr>
        <w:t>activités de capture en mer</w:t>
      </w:r>
      <w:r>
        <w:rPr>
          <w:rFonts w:ascii="Times New Roman" w:hAnsi="Times New Roman"/>
          <w:iCs/>
          <w:noProof/>
          <w:sz w:val="24"/>
          <w:szCs w:val="24"/>
        </w:rPr>
        <w:t xml:space="preserve">, tels que la réduction des populations de </w:t>
      </w:r>
      <w:r>
        <w:rPr>
          <w:rFonts w:ascii="Times New Roman" w:hAnsi="Times New Roman"/>
          <w:iCs/>
          <w:noProof/>
          <w:sz w:val="24"/>
          <w:szCs w:val="24"/>
        </w:rPr>
        <w:t xml:space="preserve">proies et la perturbation des espèces;  les mammifères marins sont également fréquemment touchés par la </w:t>
      </w:r>
      <w:r>
        <w:rPr>
          <w:rFonts w:ascii="Times New Roman" w:hAnsi="Times New Roman"/>
          <w:iCs/>
          <w:noProof/>
          <w:sz w:val="24"/>
          <w:szCs w:val="24"/>
          <w:u w:val="single"/>
        </w:rPr>
        <w:t>pollution</w:t>
      </w:r>
      <w:r>
        <w:rPr>
          <w:rFonts w:ascii="Times New Roman" w:hAnsi="Times New Roman"/>
          <w:iCs/>
          <w:noProof/>
          <w:sz w:val="24"/>
          <w:szCs w:val="24"/>
        </w:rPr>
        <w:t xml:space="preserve"> générée par diverses sources, par </w:t>
      </w:r>
      <w:r>
        <w:rPr>
          <w:rFonts w:ascii="Times New Roman" w:hAnsi="Times New Roman"/>
          <w:iCs/>
          <w:noProof/>
          <w:sz w:val="24"/>
          <w:szCs w:val="24"/>
          <w:u w:val="single"/>
        </w:rPr>
        <w:t>l’exploitation des routes de navigation et de transbordeurs</w:t>
      </w:r>
      <w:r>
        <w:rPr>
          <w:rFonts w:ascii="Times New Roman" w:hAnsi="Times New Roman"/>
          <w:iCs/>
          <w:noProof/>
          <w:sz w:val="24"/>
          <w:szCs w:val="24"/>
        </w:rPr>
        <w:t xml:space="preserve"> (en raison du bruit sous-marin et des collisions</w:t>
      </w:r>
      <w:r>
        <w:rPr>
          <w:rFonts w:ascii="Times New Roman" w:hAnsi="Times New Roman"/>
          <w:iCs/>
          <w:noProof/>
          <w:sz w:val="24"/>
          <w:szCs w:val="24"/>
        </w:rPr>
        <w:t xml:space="preserve"> avec les navires) ainsi que par les </w:t>
      </w:r>
      <w:r>
        <w:rPr>
          <w:rFonts w:ascii="Times New Roman" w:hAnsi="Times New Roman"/>
          <w:iCs/>
          <w:noProof/>
          <w:sz w:val="24"/>
          <w:szCs w:val="24"/>
          <w:u w:val="single"/>
        </w:rPr>
        <w:t>opérations militaires</w:t>
      </w:r>
      <w:r>
        <w:rPr>
          <w:rFonts w:ascii="Times New Roman" w:hAnsi="Times New Roman"/>
          <w:iCs/>
          <w:noProof/>
          <w:sz w:val="24"/>
          <w:szCs w:val="24"/>
        </w:rPr>
        <w:t xml:space="preserve"> (collisions avec les navires, perturbations par les sonars militaires);</w:t>
      </w:r>
    </w:p>
    <w:p w:rsidR="007179D8" w:rsidRDefault="007B473E">
      <w:pPr>
        <w:pStyle w:val="ListParagraph"/>
        <w:numPr>
          <w:ilvl w:val="0"/>
          <w:numId w:val="1"/>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noProof/>
          <w:sz w:val="24"/>
          <w:szCs w:val="24"/>
          <w:u w:val="single"/>
        </w:rPr>
        <w:t>centrales hydroélectriques</w:t>
      </w:r>
      <w:r>
        <w:rPr>
          <w:rFonts w:ascii="Times New Roman" w:hAnsi="Times New Roman"/>
          <w:noProof/>
          <w:sz w:val="24"/>
          <w:szCs w:val="24"/>
        </w:rPr>
        <w:t xml:space="preserve"> constituent la principale source de </w:t>
      </w:r>
      <w:r>
        <w:rPr>
          <w:rFonts w:ascii="Times New Roman" w:hAnsi="Times New Roman"/>
          <w:noProof/>
          <w:sz w:val="24"/>
          <w:szCs w:val="24"/>
          <w:u w:val="single"/>
        </w:rPr>
        <w:t>pression associée à l’énergie</w:t>
      </w:r>
      <w:r>
        <w:rPr>
          <w:rFonts w:ascii="Times New Roman" w:hAnsi="Times New Roman"/>
          <w:noProof/>
          <w:sz w:val="24"/>
          <w:szCs w:val="24"/>
        </w:rPr>
        <w:t xml:space="preserve"> qui est exercée sur les pois</w:t>
      </w:r>
      <w:r>
        <w:rPr>
          <w:rFonts w:ascii="Times New Roman" w:hAnsi="Times New Roman"/>
          <w:noProof/>
          <w:sz w:val="24"/>
          <w:szCs w:val="24"/>
        </w:rPr>
        <w:t>sons migrateurs et d’eau douce.</w:t>
      </w:r>
      <w:r>
        <w:rPr>
          <w:rFonts w:ascii="Times New Roman" w:hAnsi="Times New Roman"/>
          <w:iCs/>
          <w:noProof/>
          <w:sz w:val="24"/>
          <w:szCs w:val="24"/>
        </w:rPr>
        <w:t xml:space="preserve"> </w:t>
      </w:r>
      <w:r>
        <w:rPr>
          <w:rFonts w:ascii="Times New Roman" w:hAnsi="Times New Roman"/>
          <w:noProof/>
          <w:sz w:val="24"/>
          <w:szCs w:val="24"/>
        </w:rPr>
        <w:t xml:space="preserve">Si les pressions exercées par les </w:t>
      </w:r>
      <w:r>
        <w:rPr>
          <w:rFonts w:ascii="Times New Roman" w:hAnsi="Times New Roman"/>
          <w:noProof/>
          <w:sz w:val="24"/>
          <w:szCs w:val="24"/>
          <w:u w:val="single"/>
        </w:rPr>
        <w:t>énergies éolienne, houlomotrice et marémotrice</w:t>
      </w:r>
      <w:r>
        <w:rPr>
          <w:rFonts w:ascii="Times New Roman" w:hAnsi="Times New Roman"/>
          <w:noProof/>
          <w:sz w:val="24"/>
          <w:szCs w:val="24"/>
        </w:rPr>
        <w:t xml:space="preserve"> présentent des risques pour de nombreuses espèces, les oiseaux sont aussi particulièrement vulnérables aux infrastructures de transmission d’él</w:t>
      </w:r>
      <w:r>
        <w:rPr>
          <w:rFonts w:ascii="Times New Roman" w:hAnsi="Times New Roman"/>
          <w:noProof/>
          <w:sz w:val="24"/>
          <w:szCs w:val="24"/>
        </w:rPr>
        <w:t>ectricité et de communication. L’expansion des énergies renouvelables constitue une politique essentielle de l’Union pour contribuer à lutter contre le changement climatique (qui lui-même exerce une pression importante et croissante sur la biodiversité), m</w:t>
      </w:r>
      <w:r>
        <w:rPr>
          <w:rFonts w:ascii="Times New Roman" w:hAnsi="Times New Roman"/>
          <w:noProof/>
          <w:sz w:val="24"/>
          <w:szCs w:val="24"/>
        </w:rPr>
        <w:t>ais des aménagements mal conçus et mal situés peuvent engendrer des pressions supplémentaires sur les espèces et les types d’habitats protégés;</w:t>
      </w:r>
    </w:p>
    <w:p w:rsidR="007179D8" w:rsidRDefault="007B473E">
      <w:pPr>
        <w:pStyle w:val="ListParagraph"/>
        <w:numPr>
          <w:ilvl w:val="0"/>
          <w:numId w:val="1"/>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noProof/>
          <w:sz w:val="24"/>
          <w:szCs w:val="24"/>
          <w:u w:val="single"/>
        </w:rPr>
        <w:t>espèces exotiques envahissantes</w:t>
      </w:r>
      <w:r>
        <w:rPr>
          <w:rFonts w:ascii="Times New Roman" w:hAnsi="Times New Roman"/>
          <w:noProof/>
          <w:sz w:val="24"/>
          <w:szCs w:val="24"/>
        </w:rPr>
        <w:t xml:space="preserve"> (EEE) représentent une menace majeure et croissante pour la flore et la faun</w:t>
      </w:r>
      <w:r>
        <w:rPr>
          <w:rFonts w:ascii="Times New Roman" w:hAnsi="Times New Roman"/>
          <w:noProof/>
          <w:sz w:val="24"/>
          <w:szCs w:val="24"/>
        </w:rPr>
        <w:t>e indigènes européennes. Leur influence s’est considérablement accrue depuis la dernière période de référence. Les «espèces envahissantes préoccupantes pour l’Union»</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représentent environ 20 % des pressions signalées dans cette catégorie, tandis que de nom</w:t>
      </w:r>
      <w:r>
        <w:rPr>
          <w:rFonts w:ascii="Times New Roman" w:hAnsi="Times New Roman"/>
          <w:noProof/>
          <w:sz w:val="24"/>
          <w:szCs w:val="24"/>
        </w:rPr>
        <w:t>breuses autres incidences sont imputables à des EEE qui ne sont pas encore répertoriées comme des espèces préoccupantes pour l’Union. Les EEE influent sur les habitats plus que sur les espèces, mais on sait aussi qu’elles ont une incidence directe sur cert</w:t>
      </w:r>
      <w:r>
        <w:rPr>
          <w:rFonts w:ascii="Times New Roman" w:hAnsi="Times New Roman"/>
          <w:noProof/>
          <w:sz w:val="24"/>
          <w:szCs w:val="24"/>
        </w:rPr>
        <w:t xml:space="preserve">aines espèces d’oiseaux, d’amphibiens, de poissons et de plantes vasculaires; </w:t>
      </w:r>
    </w:p>
    <w:p w:rsidR="007179D8" w:rsidRDefault="007B473E">
      <w:pPr>
        <w:pStyle w:val="ListParagraph"/>
        <w:numPr>
          <w:ilvl w:val="0"/>
          <w:numId w:val="1"/>
        </w:numPr>
        <w:spacing w:after="240"/>
        <w:ind w:left="681" w:hanging="397"/>
        <w:contextualSpacing w:val="0"/>
        <w:jc w:val="both"/>
        <w:rPr>
          <w:rFonts w:ascii="Times New Roman" w:hAnsi="Times New Roman" w:cs="Times New Roman"/>
          <w:b/>
          <w:i/>
          <w:noProof/>
          <w:sz w:val="24"/>
          <w:szCs w:val="24"/>
          <w:u w:val="single"/>
        </w:rPr>
      </w:pPr>
      <w:r>
        <w:rPr>
          <w:rFonts w:ascii="Times New Roman" w:hAnsi="Times New Roman"/>
          <w:iCs/>
          <w:noProof/>
          <w:sz w:val="24"/>
          <w:szCs w:val="24"/>
        </w:rPr>
        <w:t xml:space="preserve">même si le </w:t>
      </w:r>
      <w:r>
        <w:rPr>
          <w:rFonts w:ascii="Times New Roman" w:hAnsi="Times New Roman"/>
          <w:iCs/>
          <w:noProof/>
          <w:sz w:val="24"/>
          <w:szCs w:val="24"/>
          <w:u w:val="single"/>
        </w:rPr>
        <w:t>changement climatique</w:t>
      </w:r>
      <w:r>
        <w:rPr>
          <w:rFonts w:ascii="Times New Roman" w:hAnsi="Times New Roman"/>
          <w:iCs/>
          <w:noProof/>
          <w:sz w:val="24"/>
          <w:szCs w:val="24"/>
        </w:rPr>
        <w:t xml:space="preserve"> n’a pas été signalé comme une pression particulièrement pertinente pour la période 2013</w:t>
      </w:r>
      <w:r>
        <w:rPr>
          <w:rFonts w:ascii="Times New Roman" w:hAnsi="Times New Roman"/>
          <w:iCs/>
          <w:noProof/>
          <w:sz w:val="24"/>
          <w:szCs w:val="24"/>
        </w:rPr>
        <w:noBreakHyphen/>
        <w:t>2018, les scénarios pour l’avenir</w:t>
      </w:r>
      <w:r>
        <w:rPr>
          <w:rStyle w:val="FootnoteReference"/>
          <w:rFonts w:ascii="Times New Roman" w:eastAsia="ヒラギノ角ゴ Pro W3" w:hAnsi="Times New Roman" w:cs="Times New Roman"/>
          <w:iCs/>
          <w:noProof/>
          <w:sz w:val="24"/>
          <w:szCs w:val="24"/>
        </w:rPr>
        <w:footnoteReference w:id="20"/>
      </w:r>
      <w:r>
        <w:rPr>
          <w:rFonts w:ascii="Times New Roman" w:hAnsi="Times New Roman"/>
          <w:iCs/>
          <w:noProof/>
          <w:sz w:val="24"/>
          <w:szCs w:val="24"/>
        </w:rPr>
        <w:t xml:space="preserve"> prévoient qu’il aura des conséquences dramatiques sur les plantes et les animaux européens et qu’il se traduira par une accélération de l’appauvrissement de la biodiversité et de la désertification dans de nombreuses régions.</w:t>
      </w:r>
      <w:r>
        <w:rPr>
          <w:rFonts w:ascii="Times New Roman" w:hAnsi="Times New Roman"/>
          <w:noProof/>
          <w:sz w:val="24"/>
          <w:szCs w:val="24"/>
        </w:rPr>
        <w:t xml:space="preserve"> </w:t>
      </w:r>
      <w:r>
        <w:rPr>
          <w:rFonts w:ascii="Times New Roman" w:hAnsi="Times New Roman"/>
          <w:iCs/>
          <w:noProof/>
          <w:sz w:val="24"/>
          <w:szCs w:val="24"/>
        </w:rPr>
        <w:t>Les pressions liées au change</w:t>
      </w:r>
      <w:r>
        <w:rPr>
          <w:rFonts w:ascii="Times New Roman" w:hAnsi="Times New Roman"/>
          <w:iCs/>
          <w:noProof/>
          <w:sz w:val="24"/>
          <w:szCs w:val="24"/>
        </w:rPr>
        <w:t xml:space="preserve">ment climatique les plus fréquemment signalées sont </w:t>
      </w:r>
      <w:r>
        <w:rPr>
          <w:rFonts w:ascii="Times New Roman" w:hAnsi="Times New Roman"/>
          <w:iCs/>
          <w:noProof/>
          <w:sz w:val="24"/>
          <w:szCs w:val="24"/>
          <w:u w:val="single"/>
        </w:rPr>
        <w:t>les sécheresses et la diminution des précipitations</w:t>
      </w:r>
      <w:r>
        <w:rPr>
          <w:rFonts w:ascii="Times New Roman" w:hAnsi="Times New Roman"/>
          <w:iCs/>
          <w:noProof/>
          <w:sz w:val="24"/>
          <w:szCs w:val="24"/>
        </w:rPr>
        <w:t>; celles-ci représentaient 5 % de toutes les pressions signalées touchant les amphibiens.</w:t>
      </w:r>
    </w:p>
    <w:p w:rsidR="007179D8" w:rsidRDefault="007B473E">
      <w:pPr>
        <w:spacing w:after="240"/>
        <w:jc w:val="both"/>
        <w:rPr>
          <w:rFonts w:ascii="Times New Roman" w:hAnsi="Times New Roman" w:cs="Times New Roman"/>
          <w:b/>
          <w:i/>
          <w:noProof/>
          <w:sz w:val="24"/>
          <w:szCs w:val="24"/>
          <w:u w:val="single"/>
        </w:rPr>
      </w:pPr>
      <w:r>
        <w:rPr>
          <w:rFonts w:ascii="Times New Roman" w:hAnsi="Times New Roman"/>
          <w:b/>
          <w:i/>
          <w:noProof/>
          <w:sz w:val="24"/>
          <w:szCs w:val="24"/>
          <w:u w:val="single"/>
        </w:rPr>
        <w:t>4.2 Réponses (mesures de conservation)</w:t>
      </w:r>
    </w:p>
    <w:p w:rsidR="007179D8" w:rsidRDefault="007B473E">
      <w:pPr>
        <w:shd w:val="clear" w:color="auto" w:fill="FFFFFF" w:themeFill="background1"/>
        <w:spacing w:after="240"/>
        <w:jc w:val="both"/>
        <w:rPr>
          <w:rFonts w:ascii="Times New Roman" w:hAnsi="Times New Roman" w:cs="Times New Roman"/>
          <w:noProof/>
          <w:sz w:val="24"/>
          <w:szCs w:val="24"/>
        </w:rPr>
      </w:pPr>
      <w:r>
        <w:rPr>
          <w:rFonts w:ascii="Times New Roman" w:hAnsi="Times New Roman"/>
          <w:noProof/>
          <w:sz w:val="24"/>
          <w:szCs w:val="24"/>
        </w:rPr>
        <w:t>Parallèlement aux inform</w:t>
      </w:r>
      <w:r>
        <w:rPr>
          <w:rFonts w:ascii="Times New Roman" w:hAnsi="Times New Roman"/>
          <w:noProof/>
          <w:sz w:val="24"/>
          <w:szCs w:val="24"/>
        </w:rPr>
        <w:t>ations communiquées sur les pressions, les États membres ont précisé si la majorité des mesures nécessaires pour une espèce ou un habitat d’importance pour l’Union européenne et nécessitant la désignation d’un site Natura 2000 avaient été prises ou non. Ce</w:t>
      </w:r>
      <w:r>
        <w:rPr>
          <w:rFonts w:ascii="Times New Roman" w:hAnsi="Times New Roman"/>
          <w:noProof/>
          <w:sz w:val="24"/>
          <w:szCs w:val="24"/>
        </w:rPr>
        <w:t>s mesures visent à assurer le maintien ou le rétablissement, dans un état de conservation favorable, des espèces et des habitats, et supposent une action spécifique sur le terrain pour atténuer les pressions actuelles et passées et en neutraliser les effet</w:t>
      </w:r>
      <w:r>
        <w:rPr>
          <w:rFonts w:ascii="Times New Roman" w:hAnsi="Times New Roman"/>
          <w:noProof/>
          <w:sz w:val="24"/>
          <w:szCs w:val="24"/>
        </w:rPr>
        <w:t xml:space="preserve">s. Les États membres sont tenus de prendre les mesures de conservation qui s’imposent pour les sites Natura 2000. </w:t>
      </w:r>
    </w:p>
    <w:p w:rsidR="007179D8" w:rsidRDefault="007B473E">
      <w:pPr>
        <w:shd w:val="clear" w:color="auto" w:fill="FFFFFF" w:themeFill="background1"/>
        <w:spacing w:after="240"/>
        <w:jc w:val="both"/>
        <w:rPr>
          <w:rFonts w:ascii="Times New Roman" w:hAnsi="Times New Roman" w:cs="Times New Roman"/>
          <w:noProof/>
          <w:sz w:val="24"/>
          <w:szCs w:val="24"/>
        </w:rPr>
      </w:pPr>
      <w:r>
        <w:rPr>
          <w:rFonts w:ascii="Times New Roman" w:hAnsi="Times New Roman"/>
          <w:noProof/>
          <w:sz w:val="24"/>
          <w:szCs w:val="24"/>
        </w:rPr>
        <w:t>Leurs rapports nationaux indiquent que:</w:t>
      </w:r>
    </w:p>
    <w:p w:rsidR="007179D8" w:rsidRDefault="007B473E">
      <w:pPr>
        <w:pStyle w:val="ListParagraph"/>
        <w:numPr>
          <w:ilvl w:val="0"/>
          <w:numId w:val="3"/>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la plupart des mesures sont appliquées tant à l’intérieur qu’à l’extérieur du réseau Natura 2000;</w:t>
      </w:r>
    </w:p>
    <w:p w:rsidR="007179D8" w:rsidRDefault="007B473E">
      <w:pPr>
        <w:pStyle w:val="ListParagraph"/>
        <w:numPr>
          <w:ilvl w:val="0"/>
          <w:numId w:val="3"/>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pour environ 60 % des habitats des États membres, les mesures nécessaires ont été notifiées comme étant prises, principalement pour maintenir l’état de conservation actuel ou pour rétablir la structure et les fonctions des habitats; seulement 4 % des mesur</w:t>
      </w:r>
      <w:r>
        <w:rPr>
          <w:rFonts w:ascii="Times New Roman" w:hAnsi="Times New Roman"/>
          <w:noProof/>
          <w:sz w:val="24"/>
          <w:szCs w:val="24"/>
        </w:rPr>
        <w:t xml:space="preserve">es signalées comme ayant été prises visent à augmenter la superficie de l’habitat; </w:t>
      </w:r>
    </w:p>
    <w:p w:rsidR="007179D8" w:rsidRDefault="007B473E">
      <w:pPr>
        <w:pStyle w:val="ListParagraph"/>
        <w:numPr>
          <w:ilvl w:val="0"/>
          <w:numId w:val="3"/>
        </w:numPr>
        <w:spacing w:after="24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les mesures de conservation destinées à maintenir les zones agricoles dans des conditions écologiques appropriées, permettant ainsi de faire face aux pressions exercées par</w:t>
      </w:r>
      <w:r>
        <w:rPr>
          <w:rFonts w:ascii="Times New Roman" w:hAnsi="Times New Roman"/>
          <w:noProof/>
          <w:sz w:val="24"/>
          <w:szCs w:val="24"/>
        </w:rPr>
        <w:t xml:space="preserve"> l’agriculture, sont de loin les plus courantes;</w:t>
      </w:r>
    </w:p>
    <w:p w:rsidR="007179D8" w:rsidRDefault="007179D8">
      <w:pPr>
        <w:spacing w:after="240"/>
        <w:ind w:left="284"/>
        <w:jc w:val="both"/>
        <w:rPr>
          <w:rFonts w:ascii="Times New Roman" w:hAnsi="Times New Roman" w:cs="Times New Roman"/>
          <w:noProof/>
          <w:sz w:val="24"/>
          <w:szCs w:val="24"/>
        </w:rPr>
      </w:pPr>
    </w:p>
    <w:p w:rsidR="007179D8" w:rsidRDefault="007B473E">
      <w:pPr>
        <w:keepNext/>
        <w:spacing w:after="120" w:line="240" w:lineRule="auto"/>
        <w:jc w:val="both"/>
        <w:rPr>
          <w:rFonts w:ascii="Times New Roman" w:eastAsia="ヒラギノ角ゴ Pro W3" w:hAnsi="Times New Roman" w:cs="Times New Roman"/>
          <w:b/>
          <w:noProof/>
          <w:sz w:val="20"/>
          <w:szCs w:val="20"/>
        </w:rPr>
      </w:pPr>
      <w:r>
        <w:rPr>
          <w:rFonts w:ascii="Times New Roman" w:hAnsi="Times New Roman"/>
          <w:b/>
          <w:noProof/>
          <w:sz w:val="20"/>
          <w:szCs w:val="20"/>
        </w:rPr>
        <w:t xml:space="preserve">Graphique 10: état de la mise en œuvre des mesures de conservation des habitats (en % de toutes les évaluations des types d’habitats effectuées par les États membres) </w:t>
      </w:r>
    </w:p>
    <w:p w:rsidR="007179D8" w:rsidRDefault="007B473E">
      <w:pPr>
        <w:jc w:val="both"/>
        <w:rPr>
          <w:rFonts w:ascii="Times New Roman" w:hAnsi="Times New Roman" w:cs="Times New Roman"/>
          <w:noProof/>
          <w:sz w:val="24"/>
          <w:szCs w:val="24"/>
        </w:rPr>
      </w:pPr>
      <w:r>
        <w:rPr>
          <w:noProof/>
          <w:lang w:val="en-GB" w:eastAsia="en-GB"/>
        </w:rPr>
        <w:drawing>
          <wp:inline distT="0" distB="0" distL="0" distR="0">
            <wp:extent cx="5731510" cy="1785946"/>
            <wp:effectExtent l="0" t="0" r="2540" b="5080"/>
            <wp:docPr id="1397633233" name="Picture 139763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31510" cy="1785946"/>
                    </a:xfrm>
                    <a:prstGeom prst="rect">
                      <a:avLst/>
                    </a:prstGeom>
                    <a:noFill/>
                    <a:ln>
                      <a:noFill/>
                    </a:ln>
                  </pic:spPr>
                </pic:pic>
              </a:graphicData>
            </a:graphic>
          </wp:inline>
        </w:drawing>
      </w:r>
    </w:p>
    <w:p w:rsidR="007179D8" w:rsidRDefault="007B473E">
      <w:pPr>
        <w:pStyle w:val="ListParagraph"/>
        <w:numPr>
          <w:ilvl w:val="0"/>
          <w:numId w:val="8"/>
        </w:numPr>
        <w:spacing w:before="120" w:after="0"/>
        <w:contextualSpacing w:val="0"/>
        <w:jc w:val="both"/>
        <w:rPr>
          <w:rFonts w:ascii="Times New Roman" w:hAnsi="Times New Roman" w:cs="Times New Roman"/>
          <w:noProof/>
          <w:sz w:val="24"/>
          <w:szCs w:val="24"/>
        </w:rPr>
      </w:pPr>
      <w:r>
        <w:rPr>
          <w:rFonts w:ascii="Times New Roman" w:hAnsi="Times New Roman"/>
          <w:noProof/>
          <w:sz w:val="24"/>
          <w:szCs w:val="24"/>
        </w:rPr>
        <w:t xml:space="preserve">la situation est similaire pour les </w:t>
      </w:r>
      <w:r>
        <w:rPr>
          <w:rFonts w:ascii="Times New Roman" w:hAnsi="Times New Roman"/>
          <w:noProof/>
          <w:sz w:val="24"/>
          <w:szCs w:val="24"/>
          <w:u w:val="single"/>
        </w:rPr>
        <w:t>espèces</w:t>
      </w:r>
      <w:r>
        <w:rPr>
          <w:rFonts w:ascii="Times New Roman" w:hAnsi="Times New Roman"/>
          <w:noProof/>
          <w:sz w:val="24"/>
          <w:szCs w:val="24"/>
        </w:rPr>
        <w:t>. Environ 40 % des rapports relatifs aux oiseaux et 50 % de ceux ayant trait aux espèces autres que les oiseaux indiquent que des mesures ont été prises. La majeure partie des mesures prises en faveur des espèces autres que les oiseaux vise à mainte</w:t>
      </w:r>
      <w:r>
        <w:rPr>
          <w:rFonts w:ascii="Times New Roman" w:hAnsi="Times New Roman"/>
          <w:noProof/>
          <w:sz w:val="24"/>
          <w:szCs w:val="24"/>
        </w:rPr>
        <w:t>nir leur état de conservation actuel. Les mesures de rétablissement jouent un rôle moins important.</w:t>
      </w:r>
    </w:p>
    <w:p w:rsidR="007179D8" w:rsidRDefault="007179D8">
      <w:pPr>
        <w:spacing w:before="120" w:after="0"/>
        <w:ind w:left="360"/>
        <w:jc w:val="both"/>
        <w:rPr>
          <w:rFonts w:ascii="Times New Roman" w:hAnsi="Times New Roman" w:cs="Times New Roman"/>
          <w:noProof/>
          <w:sz w:val="24"/>
          <w:szCs w:val="24"/>
        </w:rPr>
      </w:pPr>
    </w:p>
    <w:p w:rsidR="007179D8" w:rsidRDefault="007B473E">
      <w:pPr>
        <w:keepNext/>
        <w:spacing w:after="120" w:line="240" w:lineRule="auto"/>
        <w:jc w:val="both"/>
        <w:rPr>
          <w:rFonts w:ascii="Times New Roman" w:eastAsia="ヒラギノ角ゴ Pro W3" w:hAnsi="Times New Roman" w:cs="Times New Roman"/>
          <w:b/>
          <w:noProof/>
          <w:sz w:val="20"/>
          <w:szCs w:val="20"/>
        </w:rPr>
      </w:pPr>
      <w:r>
        <w:rPr>
          <w:rFonts w:ascii="Times New Roman" w:hAnsi="Times New Roman"/>
          <w:b/>
          <w:noProof/>
          <w:sz w:val="20"/>
          <w:szCs w:val="20"/>
        </w:rPr>
        <w:t xml:space="preserve">Graphique 11: état de la mise en œuvre des mesures de conservation des espèces (en % de toutes les évaluations des espèces effectuées par les États membres pour les espèces nécessitant une désignation de site) </w:t>
      </w:r>
    </w:p>
    <w:p w:rsidR="007179D8" w:rsidRDefault="007B473E">
      <w:pPr>
        <w:jc w:val="both"/>
        <w:rPr>
          <w:rFonts w:ascii="Times New Roman" w:hAnsi="Times New Roman" w:cs="Times New Roman"/>
          <w:noProof/>
        </w:rPr>
      </w:pPr>
      <w:r>
        <w:rPr>
          <w:noProof/>
          <w:lang w:val="en-GB" w:eastAsia="en-GB"/>
        </w:rPr>
        <w:drawing>
          <wp:inline distT="0" distB="0" distL="0" distR="0">
            <wp:extent cx="5731510" cy="2229490"/>
            <wp:effectExtent l="0" t="0" r="2540" b="0"/>
            <wp:docPr id="1397633234" name="Picture 1397633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31510" cy="2229490"/>
                    </a:xfrm>
                    <a:prstGeom prst="rect">
                      <a:avLst/>
                    </a:prstGeom>
                    <a:noFill/>
                    <a:ln>
                      <a:noFill/>
                    </a:ln>
                  </pic:spPr>
                </pic:pic>
              </a:graphicData>
            </a:graphic>
          </wp:inline>
        </w:drawing>
      </w:r>
    </w:p>
    <w:p w:rsidR="007179D8" w:rsidRDefault="007B473E">
      <w:pPr>
        <w:spacing w:before="240" w:after="240"/>
        <w:jc w:val="both"/>
        <w:rPr>
          <w:rFonts w:ascii="Times New Roman" w:hAnsi="Times New Roman" w:cs="Times New Roman"/>
          <w:noProof/>
          <w:sz w:val="24"/>
          <w:szCs w:val="24"/>
        </w:rPr>
      </w:pPr>
      <w:r>
        <w:rPr>
          <w:rFonts w:ascii="Times New Roman" w:hAnsi="Times New Roman"/>
          <w:noProof/>
          <w:sz w:val="24"/>
          <w:szCs w:val="24"/>
        </w:rPr>
        <w:t>Malgré les mesures prises par les États mem</w:t>
      </w:r>
      <w:r>
        <w:rPr>
          <w:rFonts w:ascii="Times New Roman" w:hAnsi="Times New Roman"/>
          <w:noProof/>
          <w:sz w:val="24"/>
          <w:szCs w:val="24"/>
        </w:rPr>
        <w:t>bres, l’état de conservation et les tendances observées ne se sont pas améliorés au cours de la période de référence; en réalité, pour de nombreux types d’habitats et de nombreuses espèces (y compris ceux pour lesquels la désignation au titre de Natura 200</w:t>
      </w:r>
      <w:r>
        <w:rPr>
          <w:rFonts w:ascii="Times New Roman" w:hAnsi="Times New Roman"/>
          <w:noProof/>
          <w:sz w:val="24"/>
          <w:szCs w:val="24"/>
        </w:rPr>
        <w:t>0 est un mécanisme essentiel en matière de conservation), ils se sont dégradés davantage. Il est donc clair (et les rapports le confirment) que les États membres n’ont pas pris les mesures de conservation nécessaires (au moins dans la mesure requise) et, d</w:t>
      </w:r>
      <w:r>
        <w:rPr>
          <w:rFonts w:ascii="Times New Roman" w:hAnsi="Times New Roman"/>
          <w:noProof/>
          <w:sz w:val="24"/>
          <w:szCs w:val="24"/>
        </w:rPr>
        <w:t xml:space="preserve">ans certains cas, ne sont même pas parvenus à les définir de manière adéquate. </w:t>
      </w:r>
    </w:p>
    <w:p w:rsidR="007179D8" w:rsidRDefault="007B473E">
      <w:pPr>
        <w:spacing w:after="240"/>
        <w:jc w:val="both"/>
        <w:rPr>
          <w:rFonts w:ascii="Times New Roman" w:hAnsi="Times New Roman" w:cs="Times New Roman"/>
          <w:noProof/>
          <w:sz w:val="24"/>
          <w:szCs w:val="24"/>
        </w:rPr>
      </w:pPr>
      <w:r>
        <w:rPr>
          <w:rFonts w:ascii="Times New Roman" w:hAnsi="Times New Roman"/>
          <w:noProof/>
          <w:sz w:val="24"/>
          <w:szCs w:val="24"/>
        </w:rPr>
        <w:t xml:space="preserve">L’analyse de l’efficacité des mesures révèle </w:t>
      </w:r>
      <w:r>
        <w:rPr>
          <w:rFonts w:ascii="Times New Roman" w:hAnsi="Times New Roman"/>
          <w:iCs/>
          <w:noProof/>
          <w:sz w:val="24"/>
          <w:szCs w:val="24"/>
        </w:rPr>
        <w:t>une corrélation positive entre</w:t>
      </w:r>
      <w:r>
        <w:rPr>
          <w:rFonts w:ascii="Times New Roman" w:hAnsi="Times New Roman"/>
          <w:noProof/>
          <w:sz w:val="24"/>
          <w:szCs w:val="24"/>
        </w:rPr>
        <w:t xml:space="preserve"> les mesures prises et l’état de conservation favorable de </w:t>
      </w:r>
      <w:r>
        <w:rPr>
          <w:rFonts w:ascii="Times New Roman" w:hAnsi="Times New Roman"/>
          <w:iCs/>
          <w:noProof/>
          <w:sz w:val="24"/>
          <w:szCs w:val="24"/>
        </w:rPr>
        <w:t>la plupart des groupes d’habitats et d’esp</w:t>
      </w:r>
      <w:r>
        <w:rPr>
          <w:rFonts w:ascii="Times New Roman" w:hAnsi="Times New Roman"/>
          <w:iCs/>
          <w:noProof/>
          <w:sz w:val="24"/>
          <w:szCs w:val="24"/>
        </w:rPr>
        <w:t>èces</w:t>
      </w:r>
      <w:r>
        <w:rPr>
          <w:rFonts w:ascii="Times New Roman" w:hAnsi="Times New Roman"/>
          <w:noProof/>
          <w:sz w:val="24"/>
          <w:szCs w:val="24"/>
        </w:rPr>
        <w:t>. En outre, des mesures de rétablissement proactives (par exemple, pour rétablir la structure et les fonctions) débouchent bel et bien sur des améliorations.</w:t>
      </w:r>
    </w:p>
    <w:p w:rsidR="007179D8" w:rsidRDefault="007B473E">
      <w:pPr>
        <w:shd w:val="clear" w:color="auto" w:fill="FFFFFF" w:themeFill="background1"/>
        <w:spacing w:after="240"/>
        <w:jc w:val="both"/>
        <w:rPr>
          <w:rFonts w:ascii="Times New Roman" w:hAnsi="Times New Roman" w:cs="Times New Roman"/>
          <w:b/>
          <w:i/>
          <w:noProof/>
          <w:sz w:val="24"/>
          <w:szCs w:val="24"/>
          <w:u w:val="single"/>
        </w:rPr>
      </w:pPr>
      <w:bookmarkStart w:id="3" w:name="_Toc42152722"/>
      <w:r>
        <w:rPr>
          <w:rFonts w:ascii="Times New Roman" w:hAnsi="Times New Roman"/>
          <w:b/>
          <w:i/>
          <w:noProof/>
          <w:sz w:val="24"/>
          <w:szCs w:val="24"/>
          <w:u w:val="single"/>
        </w:rPr>
        <w:t>4.3 Besoins de rétablissement des habitats</w:t>
      </w:r>
      <w:bookmarkEnd w:id="3"/>
    </w:p>
    <w:p w:rsidR="007179D8" w:rsidRDefault="007B473E">
      <w:pPr>
        <w:spacing w:after="120"/>
        <w:jc w:val="both"/>
        <w:rPr>
          <w:rFonts w:ascii="Times New Roman" w:hAnsi="Times New Roman" w:cs="Times New Roman"/>
          <w:noProof/>
          <w:sz w:val="24"/>
          <w:szCs w:val="24"/>
        </w:rPr>
      </w:pPr>
      <w:r>
        <w:rPr>
          <w:rFonts w:ascii="Times New Roman" w:hAnsi="Times New Roman"/>
          <w:noProof/>
          <w:sz w:val="24"/>
          <w:szCs w:val="24"/>
        </w:rPr>
        <w:t xml:space="preserve">L’expression «état de conservation favorable» pour </w:t>
      </w:r>
      <w:r>
        <w:rPr>
          <w:rFonts w:ascii="Times New Roman" w:hAnsi="Times New Roman"/>
          <w:noProof/>
          <w:sz w:val="24"/>
          <w:szCs w:val="24"/>
        </w:rPr>
        <w:t>un type d’habitat donné signifie que son aire de répartition naturelle, sa superficie, sa structure et ses fonctions sont suffisamment grandes et en bon état; de plus, ses perspectives d’avenir sont positives. Dans ce contexte, on entend par «rétablissemen</w:t>
      </w:r>
      <w:r>
        <w:rPr>
          <w:rFonts w:ascii="Times New Roman" w:hAnsi="Times New Roman"/>
          <w:noProof/>
          <w:sz w:val="24"/>
          <w:szCs w:val="24"/>
        </w:rPr>
        <w:t>t»:</w:t>
      </w:r>
    </w:p>
    <w:p w:rsidR="007179D8" w:rsidRDefault="007B473E">
      <w:pPr>
        <w:pStyle w:val="ListParagraph"/>
        <w:numPr>
          <w:ilvl w:val="0"/>
          <w:numId w:val="4"/>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u w:val="single"/>
        </w:rPr>
        <w:t>l’amélioration de l’état</w:t>
      </w:r>
      <w:r>
        <w:rPr>
          <w:rFonts w:ascii="Times New Roman" w:hAnsi="Times New Roman"/>
          <w:noProof/>
          <w:sz w:val="24"/>
          <w:szCs w:val="24"/>
        </w:rPr>
        <w:t xml:space="preserve"> (c’est-à-dire de la qualité) des zones existantes de l’habitat par des mesures de conservation ciblées; et</w:t>
      </w:r>
    </w:p>
    <w:p w:rsidR="007179D8" w:rsidRDefault="007B473E">
      <w:pPr>
        <w:pStyle w:val="ListParagraph"/>
        <w:numPr>
          <w:ilvl w:val="0"/>
          <w:numId w:val="4"/>
        </w:numPr>
        <w:spacing w:after="24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la garantie d’une superficie suffisante par la </w:t>
      </w:r>
      <w:r>
        <w:rPr>
          <w:rFonts w:ascii="Times New Roman" w:hAnsi="Times New Roman"/>
          <w:noProof/>
          <w:sz w:val="24"/>
          <w:szCs w:val="24"/>
          <w:u w:val="single"/>
        </w:rPr>
        <w:t>(re)création d’habitats</w:t>
      </w:r>
      <w:r>
        <w:rPr>
          <w:rFonts w:ascii="Times New Roman" w:hAnsi="Times New Roman"/>
          <w:noProof/>
          <w:sz w:val="24"/>
          <w:szCs w:val="24"/>
        </w:rPr>
        <w:t xml:space="preserve"> (c’est-à-dire la création de zones supplémentaires d’un habitat, comme le rétablissement d’un habitat en zone humide à partir de terres agricoles anciennement drainées ou l’extension de la zone destinée aux habitats forestiers protégés indigènes).</w:t>
      </w:r>
    </w:p>
    <w:p w:rsidR="007179D8" w:rsidRDefault="007B473E">
      <w:pPr>
        <w:spacing w:after="240"/>
        <w:jc w:val="both"/>
        <w:rPr>
          <w:rFonts w:ascii="Times New Roman" w:hAnsi="Times New Roman" w:cs="Times New Roman"/>
          <w:iCs/>
          <w:noProof/>
          <w:sz w:val="24"/>
          <w:szCs w:val="24"/>
        </w:rPr>
      </w:pPr>
      <w:r>
        <w:rPr>
          <w:rFonts w:ascii="Times New Roman" w:hAnsi="Times New Roman"/>
          <w:iCs/>
          <w:noProof/>
          <w:sz w:val="24"/>
          <w:szCs w:val="24"/>
        </w:rPr>
        <w:t>Une éva</w:t>
      </w:r>
      <w:r>
        <w:rPr>
          <w:rFonts w:ascii="Times New Roman" w:hAnsi="Times New Roman"/>
          <w:iCs/>
          <w:noProof/>
          <w:sz w:val="24"/>
          <w:szCs w:val="24"/>
        </w:rPr>
        <w:t>luation des besoins de rétablissement des types d’habitats visés à l’annexe I révèle que ceux-ci varient considérablement en fonction des groupes d’habitats et des régions biogéographiques.</w:t>
      </w:r>
    </w:p>
    <w:p w:rsidR="007179D8" w:rsidRDefault="007B473E">
      <w:pPr>
        <w:rPr>
          <w:rFonts w:ascii="Times New Roman" w:hAnsi="Times New Roman" w:cs="Times New Roman"/>
          <w:iCs/>
          <w:noProof/>
          <w:sz w:val="24"/>
          <w:szCs w:val="24"/>
        </w:rPr>
      </w:pPr>
      <w:r>
        <w:rPr>
          <w:noProof/>
        </w:rPr>
        <w:br w:type="page"/>
      </w:r>
    </w:p>
    <w:p w:rsidR="007179D8" w:rsidRDefault="007179D8">
      <w:pPr>
        <w:spacing w:after="240"/>
        <w:jc w:val="both"/>
        <w:rPr>
          <w:rFonts w:ascii="Times New Roman" w:hAnsi="Times New Roman" w:cs="Times New Roman"/>
          <w:iCs/>
          <w:noProof/>
          <w:sz w:val="24"/>
          <w:szCs w:val="24"/>
        </w:rPr>
      </w:pPr>
    </w:p>
    <w:p w:rsidR="007179D8" w:rsidRDefault="007B473E">
      <w:pPr>
        <w:spacing w:after="120"/>
        <w:jc w:val="both"/>
        <w:rPr>
          <w:rFonts w:ascii="Times New Roman" w:hAnsi="Times New Roman" w:cs="Times New Roman"/>
          <w:b/>
          <w:noProof/>
          <w:sz w:val="20"/>
          <w:szCs w:val="20"/>
        </w:rPr>
      </w:pPr>
      <w:bookmarkStart w:id="4" w:name="OLE_LINK1"/>
      <w:bookmarkStart w:id="5" w:name="OLE_LINK2"/>
      <w:r>
        <w:rPr>
          <w:rFonts w:ascii="Times New Roman" w:hAnsi="Times New Roman"/>
          <w:b/>
          <w:noProof/>
          <w:sz w:val="20"/>
          <w:szCs w:val="20"/>
        </w:rPr>
        <w:t xml:space="preserve">Graphique 12: proportions des zones couvertes par les groupes </w:t>
      </w:r>
      <w:r>
        <w:rPr>
          <w:rFonts w:ascii="Times New Roman" w:hAnsi="Times New Roman"/>
          <w:b/>
          <w:noProof/>
          <w:sz w:val="20"/>
          <w:szCs w:val="20"/>
        </w:rPr>
        <w:t>d’habitats visés à l’annexe I qui doivent être améliorées, telles qu’indiquées par les États membres</w:t>
      </w:r>
    </w:p>
    <w:p w:rsidR="007179D8" w:rsidRDefault="007B473E">
      <w:pPr>
        <w:jc w:val="both"/>
        <w:rPr>
          <w:rFonts w:ascii="Times New Roman" w:hAnsi="Times New Roman" w:cs="Times New Roman"/>
          <w:b/>
          <w:noProof/>
          <w:sz w:val="18"/>
          <w:szCs w:val="18"/>
        </w:rPr>
      </w:pPr>
      <w:r>
        <w:rPr>
          <w:noProof/>
          <w:lang w:val="en-GB" w:eastAsia="en-GB"/>
        </w:rPr>
        <w:drawing>
          <wp:inline distT="0" distB="0" distL="0" distR="0">
            <wp:extent cx="5731510" cy="2966886"/>
            <wp:effectExtent l="0" t="0" r="2540" b="5080"/>
            <wp:docPr id="1397633235" name="Picture 1397633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1510" cy="2966886"/>
                    </a:xfrm>
                    <a:prstGeom prst="rect">
                      <a:avLst/>
                    </a:prstGeom>
                    <a:noFill/>
                    <a:ln>
                      <a:noFill/>
                    </a:ln>
                  </pic:spPr>
                </pic:pic>
              </a:graphicData>
            </a:graphic>
          </wp:inline>
        </w:drawing>
      </w:r>
    </w:p>
    <w:p w:rsidR="007179D8" w:rsidRDefault="007B473E">
      <w:pPr>
        <w:spacing w:after="240"/>
        <w:jc w:val="both"/>
        <w:rPr>
          <w:rFonts w:ascii="Times New Roman" w:hAnsi="Times New Roman" w:cs="Times New Roman"/>
          <w:noProof/>
          <w:sz w:val="18"/>
          <w:szCs w:val="18"/>
        </w:rPr>
      </w:pPr>
      <w:r>
        <w:rPr>
          <w:rFonts w:ascii="Times New Roman" w:hAnsi="Times New Roman"/>
          <w:b/>
          <w:noProof/>
          <w:sz w:val="18"/>
          <w:szCs w:val="18"/>
        </w:rPr>
        <w:t xml:space="preserve">Remarque: </w:t>
      </w:r>
      <w:r>
        <w:rPr>
          <w:rFonts w:ascii="Times New Roman" w:hAnsi="Times New Roman"/>
          <w:noProof/>
          <w:sz w:val="18"/>
          <w:szCs w:val="18"/>
        </w:rPr>
        <w:t>le Royaume-Uni et l’habitat 8310 (grottes naturelles) ont été exclus des calculs.</w:t>
      </w:r>
      <w:bookmarkEnd w:id="4"/>
      <w:bookmarkEnd w:id="5"/>
    </w:p>
    <w:p w:rsidR="007179D8" w:rsidRDefault="007B473E">
      <w:pPr>
        <w:rPr>
          <w:rFonts w:ascii="Times New Roman" w:hAnsi="Times New Roman" w:cs="Times New Roman"/>
          <w:noProof/>
          <w:sz w:val="24"/>
          <w:szCs w:val="24"/>
        </w:rPr>
      </w:pPr>
      <w:r>
        <w:rPr>
          <w:rFonts w:ascii="Times New Roman" w:hAnsi="Times New Roman"/>
          <w:noProof/>
          <w:sz w:val="24"/>
          <w:szCs w:val="24"/>
        </w:rPr>
        <w:t>Voici quelques-unes des principales conclusions de l’évaluati</w:t>
      </w:r>
      <w:r>
        <w:rPr>
          <w:rFonts w:ascii="Times New Roman" w:hAnsi="Times New Roman"/>
          <w:noProof/>
          <w:sz w:val="24"/>
          <w:szCs w:val="24"/>
        </w:rPr>
        <w:t>on:</w:t>
      </w:r>
    </w:p>
    <w:p w:rsidR="007179D8" w:rsidRDefault="007B473E">
      <w:pPr>
        <w:pStyle w:val="ListParagraph"/>
        <w:numPr>
          <w:ilvl w:val="0"/>
          <w:numId w:val="6"/>
        </w:numPr>
        <w:spacing w:after="120"/>
        <w:ind w:left="681" w:hanging="397"/>
        <w:contextualSpacing w:val="0"/>
        <w:jc w:val="both"/>
        <w:rPr>
          <w:rFonts w:ascii="Times New Roman" w:hAnsi="Times New Roman" w:cs="Times New Roman"/>
          <w:b/>
          <w:noProof/>
          <w:sz w:val="24"/>
          <w:szCs w:val="24"/>
        </w:rPr>
      </w:pPr>
      <w:r>
        <w:rPr>
          <w:rFonts w:ascii="Times New Roman" w:hAnsi="Times New Roman"/>
          <w:noProof/>
          <w:sz w:val="24"/>
          <w:szCs w:val="24"/>
        </w:rPr>
        <w:t>la superficie des habitats protégés nécessitant une amélioration est estimée, en moyenne, à quelque 215 000 km</w:t>
      </w:r>
      <w:r>
        <w:rPr>
          <w:rFonts w:ascii="Times New Roman" w:hAnsi="Times New Roman"/>
          <w:noProof/>
          <w:sz w:val="24"/>
          <w:szCs w:val="24"/>
          <w:vertAlign w:val="superscript"/>
        </w:rPr>
        <w:t>2</w:t>
      </w:r>
      <w:r>
        <w:rPr>
          <w:rFonts w:ascii="Times New Roman" w:hAnsi="Times New Roman"/>
          <w:noProof/>
          <w:sz w:val="24"/>
          <w:szCs w:val="24"/>
        </w:rPr>
        <w:t xml:space="preserve"> (soit 5 % du territoire de l’EU-27</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Les forêts sont les habitats qui présentent les plus grands besoins, puisqu’environ 19,5 % d’entre ell</w:t>
      </w:r>
      <w:r>
        <w:rPr>
          <w:rFonts w:ascii="Times New Roman" w:hAnsi="Times New Roman"/>
          <w:noProof/>
          <w:sz w:val="24"/>
          <w:szCs w:val="24"/>
        </w:rPr>
        <w:t>es (environ 100 000 km</w:t>
      </w:r>
      <w:r>
        <w:rPr>
          <w:rFonts w:ascii="Times New Roman" w:hAnsi="Times New Roman"/>
          <w:noProof/>
          <w:sz w:val="24"/>
          <w:szCs w:val="24"/>
          <w:vertAlign w:val="superscript"/>
        </w:rPr>
        <w:t>2</w:t>
      </w:r>
      <w:r>
        <w:rPr>
          <w:rFonts w:ascii="Times New Roman" w:hAnsi="Times New Roman"/>
          <w:noProof/>
          <w:sz w:val="24"/>
          <w:szCs w:val="24"/>
        </w:rPr>
        <w:t>) nécessitent des améliorations, suivies par les habitats côtiers avec 16 % (environ 46 000 km</w:t>
      </w:r>
      <w:r>
        <w:rPr>
          <w:rFonts w:ascii="Times New Roman" w:hAnsi="Times New Roman"/>
          <w:noProof/>
          <w:sz w:val="24"/>
          <w:szCs w:val="24"/>
          <w:vertAlign w:val="superscript"/>
        </w:rPr>
        <w:t>2</w:t>
      </w:r>
      <w:r>
        <w:rPr>
          <w:rFonts w:ascii="Times New Roman" w:hAnsi="Times New Roman"/>
          <w:noProof/>
          <w:sz w:val="24"/>
          <w:szCs w:val="24"/>
        </w:rPr>
        <w:t>), les pelouses avec 13,5 % (environ 33 000 km</w:t>
      </w:r>
      <w:r>
        <w:rPr>
          <w:rFonts w:ascii="Times New Roman" w:hAnsi="Times New Roman"/>
          <w:noProof/>
          <w:sz w:val="24"/>
          <w:szCs w:val="24"/>
          <w:vertAlign w:val="superscript"/>
        </w:rPr>
        <w:t>2</w:t>
      </w:r>
      <w:r>
        <w:rPr>
          <w:rFonts w:ascii="Times New Roman" w:hAnsi="Times New Roman"/>
          <w:noProof/>
          <w:sz w:val="24"/>
          <w:szCs w:val="24"/>
        </w:rPr>
        <w:t>), les habitats d’eau douce avec 10,5 % (environ 13 500 km</w:t>
      </w:r>
      <w:r>
        <w:rPr>
          <w:rFonts w:ascii="Times New Roman" w:hAnsi="Times New Roman"/>
          <w:noProof/>
          <w:sz w:val="24"/>
          <w:szCs w:val="24"/>
          <w:vertAlign w:val="superscript"/>
        </w:rPr>
        <w:t>2</w:t>
      </w:r>
      <w:r>
        <w:rPr>
          <w:rFonts w:ascii="Times New Roman" w:hAnsi="Times New Roman"/>
          <w:noProof/>
          <w:sz w:val="24"/>
          <w:szCs w:val="24"/>
        </w:rPr>
        <w:t>) ainsi que les tourbières et le</w:t>
      </w:r>
      <w:r>
        <w:rPr>
          <w:rFonts w:ascii="Times New Roman" w:hAnsi="Times New Roman"/>
          <w:noProof/>
          <w:sz w:val="24"/>
          <w:szCs w:val="24"/>
        </w:rPr>
        <w:t>s bas-marais avec 9 % (environ 10 900 km</w:t>
      </w:r>
      <w:r>
        <w:rPr>
          <w:rFonts w:ascii="Times New Roman" w:hAnsi="Times New Roman"/>
          <w:noProof/>
          <w:sz w:val="24"/>
          <w:szCs w:val="24"/>
          <w:vertAlign w:val="superscript"/>
        </w:rPr>
        <w:t>2</w:t>
      </w:r>
      <w:r>
        <w:rPr>
          <w:rFonts w:ascii="Times New Roman" w:hAnsi="Times New Roman"/>
          <w:noProof/>
          <w:sz w:val="24"/>
          <w:szCs w:val="24"/>
        </w:rPr>
        <w:t>);</w:t>
      </w:r>
    </w:p>
    <w:p w:rsidR="007179D8" w:rsidRDefault="007B473E">
      <w:pPr>
        <w:pStyle w:val="ListParagraph"/>
        <w:numPr>
          <w:ilvl w:val="0"/>
          <w:numId w:val="6"/>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au moins 11 000 km</w:t>
      </w:r>
      <w:r>
        <w:rPr>
          <w:rFonts w:ascii="Times New Roman" w:hAnsi="Times New Roman"/>
          <w:noProof/>
          <w:sz w:val="24"/>
          <w:szCs w:val="24"/>
          <w:vertAlign w:val="superscript"/>
        </w:rPr>
        <w:t>2</w:t>
      </w:r>
      <w:r>
        <w:rPr>
          <w:rFonts w:ascii="Times New Roman" w:hAnsi="Times New Roman"/>
          <w:noProof/>
          <w:sz w:val="24"/>
          <w:szCs w:val="24"/>
        </w:rPr>
        <w:t xml:space="preserve"> d’habitats visés à l’annexe I doivent être (re)créés pour compléter la superficie existante afin de garantir la viabilité à long terme de tous les types d’habitats. Les groupes d’habitats qui présentent les plus grandes surfaces de (re)création sont les f</w:t>
      </w:r>
      <w:r>
        <w:rPr>
          <w:rFonts w:ascii="Times New Roman" w:hAnsi="Times New Roman"/>
          <w:noProof/>
          <w:sz w:val="24"/>
          <w:szCs w:val="24"/>
        </w:rPr>
        <w:t>orêts (4 600 km</w:t>
      </w:r>
      <w:r>
        <w:rPr>
          <w:rFonts w:ascii="Times New Roman" w:hAnsi="Times New Roman"/>
          <w:noProof/>
          <w:sz w:val="24"/>
          <w:szCs w:val="24"/>
          <w:vertAlign w:val="superscript"/>
        </w:rPr>
        <w:t>2</w:t>
      </w:r>
      <w:r>
        <w:rPr>
          <w:rFonts w:ascii="Times New Roman" w:hAnsi="Times New Roman"/>
          <w:noProof/>
          <w:sz w:val="24"/>
          <w:szCs w:val="24"/>
        </w:rPr>
        <w:t>), les pelouses (1 900 km</w:t>
      </w:r>
      <w:r>
        <w:rPr>
          <w:rFonts w:ascii="Times New Roman" w:hAnsi="Times New Roman"/>
          <w:noProof/>
          <w:sz w:val="24"/>
          <w:szCs w:val="24"/>
          <w:vertAlign w:val="superscript"/>
        </w:rPr>
        <w:t>2</w:t>
      </w:r>
      <w:r>
        <w:rPr>
          <w:rFonts w:ascii="Times New Roman" w:hAnsi="Times New Roman"/>
          <w:noProof/>
          <w:sz w:val="24"/>
          <w:szCs w:val="24"/>
        </w:rPr>
        <w:t>), les tourbières et les bas-marais (1 700 km</w:t>
      </w:r>
      <w:r>
        <w:rPr>
          <w:rFonts w:ascii="Times New Roman" w:hAnsi="Times New Roman"/>
          <w:noProof/>
          <w:sz w:val="24"/>
          <w:szCs w:val="24"/>
          <w:vertAlign w:val="superscript"/>
        </w:rPr>
        <w:t>2</w:t>
      </w:r>
      <w:r>
        <w:rPr>
          <w:rFonts w:ascii="Times New Roman" w:hAnsi="Times New Roman"/>
          <w:noProof/>
          <w:sz w:val="24"/>
          <w:szCs w:val="24"/>
        </w:rPr>
        <w:t>) et les habitats côtiers (1 400 km</w:t>
      </w:r>
      <w:r>
        <w:rPr>
          <w:rFonts w:ascii="Times New Roman" w:hAnsi="Times New Roman"/>
          <w:noProof/>
          <w:sz w:val="24"/>
          <w:szCs w:val="24"/>
          <w:vertAlign w:val="superscript"/>
        </w:rPr>
        <w:t>2</w:t>
      </w:r>
      <w:r>
        <w:rPr>
          <w:rFonts w:ascii="Times New Roman" w:hAnsi="Times New Roman"/>
          <w:noProof/>
          <w:sz w:val="24"/>
          <w:szCs w:val="24"/>
        </w:rPr>
        <w:t>). Dans l’ensemble, cela concerne 1</w:t>
      </w:r>
      <w:r>
        <w:rPr>
          <w:rFonts w:ascii="Times New Roman" w:hAnsi="Times New Roman"/>
          <w:noProof/>
          <w:sz w:val="24"/>
          <w:szCs w:val="24"/>
        </w:rPr>
        <w:noBreakHyphen/>
        <w:t>1,5 % de la superficie totale existante de ces groupes d’habitats;</w:t>
      </w:r>
    </w:p>
    <w:p w:rsidR="007179D8" w:rsidRDefault="007B473E">
      <w:pPr>
        <w:pStyle w:val="ListParagraph"/>
        <w:numPr>
          <w:ilvl w:val="0"/>
          <w:numId w:val="6"/>
        </w:numPr>
        <w:spacing w:after="120"/>
        <w:ind w:left="709"/>
        <w:contextualSpacing w:val="0"/>
        <w:jc w:val="both"/>
        <w:rPr>
          <w:rFonts w:ascii="Times New Roman" w:hAnsi="Times New Roman" w:cs="Times New Roman"/>
          <w:noProof/>
          <w:sz w:val="24"/>
          <w:szCs w:val="24"/>
        </w:rPr>
      </w:pPr>
      <w:r>
        <w:rPr>
          <w:rFonts w:ascii="Times New Roman" w:hAnsi="Times New Roman"/>
          <w:noProof/>
          <w:sz w:val="24"/>
          <w:szCs w:val="24"/>
        </w:rPr>
        <w:t xml:space="preserve">les régions biogéographiques </w:t>
      </w:r>
      <w:r>
        <w:rPr>
          <w:rFonts w:ascii="Times New Roman" w:hAnsi="Times New Roman"/>
          <w:noProof/>
          <w:sz w:val="24"/>
          <w:szCs w:val="24"/>
        </w:rPr>
        <w:t>dans lesquelles l’amélioration de l’état des zones d’habitats existantes est la plus pressante sont les régions continentale, méditerranéenne, atlantique, atlantique marine et boréale;</w:t>
      </w:r>
    </w:p>
    <w:p w:rsidR="007179D8" w:rsidRDefault="007B473E">
      <w:pPr>
        <w:pStyle w:val="ListParagraph"/>
        <w:numPr>
          <w:ilvl w:val="0"/>
          <w:numId w:val="6"/>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bon nombre des habitats visés à l’annexe I qui nécessitent un rétabliss</w:t>
      </w:r>
      <w:r>
        <w:rPr>
          <w:rFonts w:ascii="Times New Roman" w:hAnsi="Times New Roman"/>
          <w:noProof/>
          <w:sz w:val="24"/>
          <w:szCs w:val="24"/>
        </w:rPr>
        <w:t>ement sont particulièrement riches en carbone, offrant ainsi un potentiel important de stockage et de séquestration du carbone dans la biomasse aérienne et souterraine et dans le sol. Environ 16 % de ces zones riches en carbone doivent être améliorées (154</w:t>
      </w:r>
      <w:r>
        <w:rPr>
          <w:rFonts w:ascii="Times New Roman" w:hAnsi="Times New Roman"/>
          <w:noProof/>
          <w:sz w:val="24"/>
          <w:szCs w:val="24"/>
        </w:rPr>
        <w:t> 000 km</w:t>
      </w:r>
      <w:r>
        <w:rPr>
          <w:rFonts w:ascii="Times New Roman" w:hAnsi="Times New Roman"/>
          <w:noProof/>
          <w:sz w:val="24"/>
          <w:szCs w:val="24"/>
          <w:vertAlign w:val="superscript"/>
        </w:rPr>
        <w:t>2</w:t>
      </w:r>
      <w:r>
        <w:rPr>
          <w:rFonts w:ascii="Times New Roman" w:hAnsi="Times New Roman"/>
          <w:noProof/>
          <w:sz w:val="24"/>
          <w:szCs w:val="24"/>
        </w:rPr>
        <w:t>). Leur rétablissement et leur maintien pourraient contribuer de manière notable à l’atténuation du changement climatique; et</w:t>
      </w:r>
    </w:p>
    <w:p w:rsidR="007179D8" w:rsidRDefault="007B473E">
      <w:pPr>
        <w:pStyle w:val="ListParagraph"/>
        <w:numPr>
          <w:ilvl w:val="0"/>
          <w:numId w:val="6"/>
        </w:numPr>
        <w:spacing w:after="24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étant donné que les données de suivi sont insuffisantes, les zones d’habitats visés à l’annexe I qui nécessitent un rétabl</w:t>
      </w:r>
      <w:r>
        <w:rPr>
          <w:rFonts w:ascii="Times New Roman" w:hAnsi="Times New Roman"/>
          <w:noProof/>
          <w:sz w:val="24"/>
          <w:szCs w:val="24"/>
        </w:rPr>
        <w:t>issement sont probablement bien plus importantes que ce qu'indiquent les estimations actuelles. Une cartographie détaillée des zones riches en carbone et en nature, des effets de la gestion, de l’état des habitats et d’autres facteurs est nécessaire pour é</w:t>
      </w:r>
      <w:r>
        <w:rPr>
          <w:rFonts w:ascii="Times New Roman" w:hAnsi="Times New Roman"/>
          <w:noProof/>
          <w:sz w:val="24"/>
          <w:szCs w:val="24"/>
        </w:rPr>
        <w:t>tayer la prise de décisions sur les priorités de rétablissement. Les besoins de rétablissement des oiseaux et d’autres espèces devraient également être pris en considération, mais les données à ce sujet ne sont actuellement pas communiquées.</w:t>
      </w:r>
    </w:p>
    <w:p w:rsidR="007179D8" w:rsidRDefault="007179D8">
      <w:pPr>
        <w:spacing w:after="240"/>
        <w:ind w:left="284"/>
        <w:jc w:val="both"/>
        <w:rPr>
          <w:rFonts w:ascii="Times New Roman" w:hAnsi="Times New Roman" w:cs="Times New Roman"/>
          <w:noProof/>
          <w:sz w:val="24"/>
          <w:szCs w:val="24"/>
        </w:rPr>
      </w:pPr>
    </w:p>
    <w:p w:rsidR="007179D8" w:rsidRDefault="007B473E">
      <w:pPr>
        <w:pStyle w:val="Heading1"/>
        <w:numPr>
          <w:ilvl w:val="0"/>
          <w:numId w:val="10"/>
        </w:numPr>
        <w:spacing w:after="240"/>
        <w:ind w:left="714" w:hanging="357"/>
        <w:rPr>
          <w:rFonts w:eastAsia="Times New Roman"/>
          <w:noProof/>
          <w:color w:val="auto"/>
        </w:rPr>
      </w:pPr>
      <w:r>
        <w:rPr>
          <w:noProof/>
          <w:color w:val="auto"/>
        </w:rPr>
        <w:t xml:space="preserve">Le rôle du </w:t>
      </w:r>
      <w:r>
        <w:rPr>
          <w:noProof/>
          <w:color w:val="auto"/>
        </w:rPr>
        <w:t>réseau Natura 2000</w:t>
      </w:r>
    </w:p>
    <w:p w:rsidR="007179D8" w:rsidRDefault="007B473E">
      <w:pPr>
        <w:spacing w:after="240"/>
        <w:jc w:val="both"/>
        <w:rPr>
          <w:rFonts w:ascii="Times New Roman" w:eastAsia="ヒラギノ角ゴ Pro W3" w:hAnsi="Times New Roman" w:cs="Times New Roman"/>
          <w:iCs/>
          <w:noProof/>
          <w:sz w:val="24"/>
          <w:szCs w:val="24"/>
        </w:rPr>
      </w:pPr>
      <w:r>
        <w:rPr>
          <w:rFonts w:ascii="Times New Roman" w:hAnsi="Times New Roman"/>
          <w:iCs/>
          <w:noProof/>
          <w:sz w:val="24"/>
          <w:szCs w:val="24"/>
        </w:rPr>
        <w:t>Le réseau Natura 2000 est composé de</w:t>
      </w:r>
      <w:r>
        <w:rPr>
          <w:rFonts w:ascii="Times New Roman" w:hAnsi="Times New Roman"/>
          <w:noProof/>
          <w:sz w:val="24"/>
          <w:szCs w:val="24"/>
        </w:rPr>
        <w:t xml:space="preserve"> zones de protection spéciale (ZPS) classées en vertu de la directive «Oiseaux» et de zones spéciales de conservation (ZSC) désignées en vertu de la directive «Habitats»</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Il </w:t>
      </w:r>
      <w:r>
        <w:rPr>
          <w:rFonts w:ascii="Times New Roman" w:hAnsi="Times New Roman"/>
          <w:iCs/>
          <w:noProof/>
          <w:sz w:val="24"/>
          <w:szCs w:val="24"/>
        </w:rPr>
        <w:t>représente le plus grand r</w:t>
      </w:r>
      <w:r>
        <w:rPr>
          <w:rFonts w:ascii="Times New Roman" w:hAnsi="Times New Roman"/>
          <w:iCs/>
          <w:noProof/>
          <w:sz w:val="24"/>
          <w:szCs w:val="24"/>
        </w:rPr>
        <w:t>éseau coordonné de zones protégées dans le monde et constitue le principal outil de l’Union européenne pour maintenir/rétablir l’état de conservation des habitats et des espèces protégés.</w:t>
      </w:r>
    </w:p>
    <w:p w:rsidR="007179D8" w:rsidRDefault="007B473E">
      <w:pPr>
        <w:autoSpaceDE w:val="0"/>
        <w:autoSpaceDN w:val="0"/>
        <w:adjustRightInd w:val="0"/>
        <w:spacing w:after="240"/>
        <w:jc w:val="both"/>
        <w:rPr>
          <w:rFonts w:ascii="Times New Roman" w:eastAsia="Times New Roman" w:hAnsi="Times New Roman" w:cs="Times New Roman"/>
          <w:noProof/>
          <w:sz w:val="24"/>
          <w:szCs w:val="24"/>
        </w:rPr>
      </w:pPr>
      <w:r>
        <w:rPr>
          <w:rFonts w:ascii="Times New Roman" w:hAnsi="Times New Roman"/>
          <w:noProof/>
          <w:sz w:val="24"/>
          <w:szCs w:val="24"/>
        </w:rPr>
        <w:t>Fin 2019, Natura 2000 comprenait 27 852 sites pour une superficie de</w:t>
      </w:r>
      <w:r>
        <w:rPr>
          <w:rFonts w:ascii="Times New Roman" w:hAnsi="Times New Roman"/>
          <w:noProof/>
          <w:sz w:val="24"/>
          <w:szCs w:val="24"/>
        </w:rPr>
        <w:t xml:space="preserve"> 1 358 125 km</w:t>
      </w:r>
      <w:r>
        <w:rPr>
          <w:rFonts w:ascii="Times New Roman" w:hAnsi="Times New Roman"/>
          <w:noProof/>
          <w:sz w:val="24"/>
          <w:szCs w:val="24"/>
          <w:vertAlign w:val="superscript"/>
        </w:rPr>
        <w:t>2</w:t>
      </w:r>
      <w:r>
        <w:rPr>
          <w:rFonts w:ascii="Times New Roman" w:hAnsi="Times New Roman"/>
          <w:noProof/>
          <w:sz w:val="24"/>
          <w:szCs w:val="24"/>
        </w:rPr>
        <w:t>. Il couvrait 17,9 % du territoire terrestre de l’Union et 9,7 % de ses eaux marines. La couverture varie considérablement d’un État membre à l’autre: sa couverture terrestre est comprise entre 8 % au Danemark et 38 % en Slovénie et sa couver</w:t>
      </w:r>
      <w:r>
        <w:rPr>
          <w:rFonts w:ascii="Times New Roman" w:hAnsi="Times New Roman"/>
          <w:noProof/>
          <w:sz w:val="24"/>
          <w:szCs w:val="24"/>
        </w:rPr>
        <w:t>ture marine entre 2 % en Italie et 46 % en Allemagne</w:t>
      </w:r>
      <w:r>
        <w:rPr>
          <w:rStyle w:val="FootnoteReference"/>
          <w:rFonts w:ascii="Times New Roman" w:eastAsia="Times New Roman" w:hAnsi="Times New Roman" w:cs="Times New Roman"/>
          <w:noProof/>
          <w:sz w:val="24"/>
          <w:szCs w:val="24"/>
        </w:rPr>
        <w:footnoteReference w:id="23"/>
      </w:r>
      <w:r>
        <w:rPr>
          <w:rFonts w:ascii="Times New Roman" w:hAnsi="Times New Roman"/>
          <w:noProof/>
          <w:sz w:val="24"/>
          <w:szCs w:val="24"/>
        </w:rPr>
        <w:t>.</w:t>
      </w:r>
    </w:p>
    <w:p w:rsidR="007179D8" w:rsidRDefault="007B473E">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hAnsi="Times New Roman"/>
          <w:noProof/>
          <w:sz w:val="24"/>
          <w:szCs w:val="24"/>
        </w:rPr>
        <w:t>Depuis la dernière période de rapport:</w:t>
      </w:r>
    </w:p>
    <w:p w:rsidR="007179D8" w:rsidRDefault="007B473E">
      <w:pPr>
        <w:pStyle w:val="ListParagraph"/>
        <w:numPr>
          <w:ilvl w:val="0"/>
          <w:numId w:val="11"/>
        </w:numPr>
        <w:autoSpaceDE w:val="0"/>
        <w:autoSpaceDN w:val="0"/>
        <w:adjustRightInd w:val="0"/>
        <w:spacing w:after="120"/>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le réseau des zones marines a doublé en superficie;</w:t>
      </w:r>
    </w:p>
    <w:p w:rsidR="007179D8" w:rsidRDefault="007B473E">
      <w:pPr>
        <w:pStyle w:val="ListParagraph"/>
        <w:numPr>
          <w:ilvl w:val="0"/>
          <w:numId w:val="11"/>
        </w:numPr>
        <w:autoSpaceDE w:val="0"/>
        <w:autoSpaceDN w:val="0"/>
        <w:adjustRightInd w:val="0"/>
        <w:spacing w:after="120"/>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le nombre de ZSC désignées a plus que doublé, avec 7 262 nouvelles désignations; et</w:t>
      </w:r>
    </w:p>
    <w:p w:rsidR="007179D8" w:rsidRDefault="007B473E">
      <w:pPr>
        <w:pStyle w:val="ListParagraph"/>
        <w:numPr>
          <w:ilvl w:val="0"/>
          <w:numId w:val="11"/>
        </w:numPr>
        <w:autoSpaceDE w:val="0"/>
        <w:autoSpaceDN w:val="0"/>
        <w:adjustRightInd w:val="0"/>
        <w:spacing w:after="240"/>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le nombre de sites </w:t>
      </w:r>
      <w:r>
        <w:rPr>
          <w:rFonts w:ascii="Times New Roman" w:hAnsi="Times New Roman"/>
          <w:noProof/>
          <w:sz w:val="24"/>
          <w:szCs w:val="24"/>
        </w:rPr>
        <w:t>répertoriés comme disposant de plans de gestion détaillés a augmenté de manière considérable.</w:t>
      </w:r>
    </w:p>
    <w:p w:rsidR="007179D8" w:rsidRDefault="007179D8">
      <w:pPr>
        <w:autoSpaceDE w:val="0"/>
        <w:autoSpaceDN w:val="0"/>
        <w:adjustRightInd w:val="0"/>
        <w:spacing w:after="240"/>
        <w:ind w:left="284"/>
        <w:jc w:val="both"/>
        <w:rPr>
          <w:rFonts w:ascii="Times New Roman" w:eastAsia="Times New Roman" w:hAnsi="Times New Roman" w:cs="Times New Roman"/>
          <w:noProof/>
          <w:sz w:val="24"/>
          <w:szCs w:val="24"/>
        </w:rPr>
      </w:pPr>
    </w:p>
    <w:p w:rsidR="007179D8" w:rsidRDefault="007B473E">
      <w:pPr>
        <w:keepNext/>
        <w:spacing w:after="120" w:line="240" w:lineRule="auto"/>
        <w:jc w:val="both"/>
        <w:rPr>
          <w:rFonts w:ascii="Times New Roman" w:eastAsia="Times New Roman" w:hAnsi="Times New Roman" w:cs="Times New Roman"/>
          <w:b/>
          <w:iCs/>
          <w:noProof/>
          <w:sz w:val="20"/>
          <w:szCs w:val="20"/>
        </w:rPr>
      </w:pPr>
      <w:r>
        <w:rPr>
          <w:rFonts w:ascii="Times New Roman" w:hAnsi="Times New Roman"/>
          <w:b/>
          <w:iCs/>
          <w:noProof/>
          <w:color w:val="808080" w:themeColor="background1" w:themeShade="80"/>
          <w:szCs w:val="18"/>
          <w:lang w:val="en-GB" w:eastAsia="en-GB"/>
        </w:rPr>
        <w:drawing>
          <wp:anchor distT="0" distB="0" distL="114300" distR="114300" simplePos="0" relativeHeight="251657728" behindDoc="0" locked="0" layoutInCell="1" allowOverlap="1">
            <wp:simplePos x="0" y="0"/>
            <wp:positionH relativeFrom="column">
              <wp:posOffset>0</wp:posOffset>
            </wp:positionH>
            <wp:positionV relativeFrom="paragraph">
              <wp:posOffset>234315</wp:posOffset>
            </wp:positionV>
            <wp:extent cx="5276850" cy="3128010"/>
            <wp:effectExtent l="0" t="0" r="0" b="0"/>
            <wp:wrapTopAndBottom/>
            <wp:docPr id="1011755732" name="Grafik 101175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8" cstate="print">
                      <a:extLst>
                        <a:ext uri="{28A0092B-C50C-407E-A947-70E740481C1C}">
                          <a14:useLocalDpi xmlns:a14="http://schemas.microsoft.com/office/drawing/2010/main"/>
                        </a:ext>
                      </a:extLst>
                    </a:blip>
                    <a:srcRect t="-254"/>
                    <a:stretch/>
                  </pic:blipFill>
                  <pic:spPr bwMode="auto">
                    <a:xfrm>
                      <a:off x="0" y="0"/>
                      <a:ext cx="5276850" cy="3128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0"/>
          <w:szCs w:val="20"/>
        </w:rPr>
        <w:t>Graphique 13: superficie cumulée du réseau Natura 2000 en km², 1993</w:t>
      </w:r>
      <w:r>
        <w:rPr>
          <w:rFonts w:ascii="Times New Roman" w:hAnsi="Times New Roman"/>
          <w:b/>
          <w:noProof/>
          <w:sz w:val="20"/>
          <w:szCs w:val="20"/>
        </w:rPr>
        <w:noBreakHyphen/>
        <w:t>2019</w:t>
      </w:r>
    </w:p>
    <w:p w:rsidR="007179D8" w:rsidRDefault="007179D8">
      <w:pPr>
        <w:spacing w:after="0"/>
        <w:jc w:val="both"/>
        <w:rPr>
          <w:rFonts w:ascii="Times New Roman" w:hAnsi="Times New Roman" w:cs="Times New Roman"/>
          <w:noProof/>
          <w:color w:val="0070C0"/>
        </w:rPr>
      </w:pPr>
    </w:p>
    <w:p w:rsidR="007179D8" w:rsidRDefault="007B473E">
      <w:pPr>
        <w:spacing w:after="0"/>
        <w:jc w:val="both"/>
        <w:rPr>
          <w:rFonts w:ascii="Times New Roman" w:eastAsia="Times New Roman" w:hAnsi="Times New Roman" w:cs="Times New Roman"/>
          <w:b/>
          <w:iCs/>
          <w:noProof/>
          <w:sz w:val="18"/>
          <w:szCs w:val="18"/>
        </w:rPr>
      </w:pPr>
      <w:r>
        <w:rPr>
          <w:rFonts w:ascii="Times New Roman" w:hAnsi="Times New Roman"/>
          <w:b/>
          <w:noProof/>
          <w:sz w:val="18"/>
          <w:szCs w:val="18"/>
        </w:rPr>
        <w:t>Remarque:</w:t>
      </w:r>
      <w:r>
        <w:rPr>
          <w:rFonts w:ascii="Times New Roman" w:hAnsi="Times New Roman"/>
          <w:noProof/>
          <w:sz w:val="18"/>
          <w:szCs w:val="18"/>
        </w:rPr>
        <w:t xml:space="preserve"> les chiffres concernent l’EU-28 et comprennent les ZPS, les SIC, les ZSC et </w:t>
      </w:r>
      <w:r>
        <w:rPr>
          <w:rFonts w:ascii="Times New Roman" w:hAnsi="Times New Roman"/>
          <w:noProof/>
          <w:sz w:val="18"/>
          <w:szCs w:val="18"/>
        </w:rPr>
        <w:t xml:space="preserve">les SIC proposés (formant ensemble la ligne bleue des SIC). Dans de nombreux cas, les sites Natura 2000 sont (partiellement ou totalement) à la fois une ZPS et une ZSC/SCI. En raison des limites du traitement des données SIG, ce n’est qu’après 2010 que la </w:t>
      </w:r>
      <w:r>
        <w:rPr>
          <w:rFonts w:ascii="Times New Roman" w:hAnsi="Times New Roman"/>
          <w:noProof/>
          <w:sz w:val="18"/>
          <w:szCs w:val="18"/>
        </w:rPr>
        <w:t>superficie du réseau Natura 2000 a commencé à faire l’objet d’un calcul systématique.</w:t>
      </w:r>
    </w:p>
    <w:p w:rsidR="007179D8" w:rsidRDefault="007B473E">
      <w:pPr>
        <w:spacing w:after="240"/>
        <w:jc w:val="both"/>
        <w:rPr>
          <w:rFonts w:ascii="Times New Roman" w:eastAsia="Times New Roman" w:hAnsi="Times New Roman" w:cs="Times New Roman"/>
          <w:noProof/>
          <w:sz w:val="18"/>
          <w:szCs w:val="18"/>
        </w:rPr>
      </w:pPr>
      <w:r>
        <w:rPr>
          <w:rFonts w:ascii="Times New Roman" w:hAnsi="Times New Roman"/>
          <w:b/>
          <w:noProof/>
          <w:sz w:val="18"/>
          <w:szCs w:val="18"/>
        </w:rPr>
        <w:t>Source:</w:t>
      </w:r>
      <w:r>
        <w:rPr>
          <w:rFonts w:ascii="Times New Roman" w:hAnsi="Times New Roman"/>
          <w:noProof/>
          <w:sz w:val="18"/>
          <w:szCs w:val="18"/>
        </w:rPr>
        <w:t xml:space="preserve"> bases de données du réseau Natura 2000.</w:t>
      </w:r>
      <w:bookmarkStart w:id="6" w:name="_Toc42152731"/>
    </w:p>
    <w:bookmarkEnd w:id="6"/>
    <w:p w:rsidR="007179D8" w:rsidRDefault="007B473E">
      <w:pPr>
        <w:spacing w:after="240"/>
        <w:jc w:val="both"/>
        <w:rPr>
          <w:rFonts w:ascii="Times New Roman" w:hAnsi="Times New Roman" w:cs="Times New Roman"/>
          <w:b/>
          <w:i/>
          <w:noProof/>
          <w:sz w:val="24"/>
          <w:szCs w:val="24"/>
          <w:u w:val="single"/>
        </w:rPr>
      </w:pPr>
      <w:r>
        <w:rPr>
          <w:rFonts w:ascii="Times New Roman" w:hAnsi="Times New Roman"/>
          <w:b/>
          <w:i/>
          <w:noProof/>
          <w:sz w:val="24"/>
          <w:szCs w:val="24"/>
          <w:u w:val="single"/>
        </w:rPr>
        <w:t xml:space="preserve">5.1 Efficacité de Natura 2000 </w:t>
      </w:r>
    </w:p>
    <w:p w:rsidR="007179D8" w:rsidRDefault="007B473E">
      <w:pPr>
        <w:spacing w:after="120"/>
        <w:jc w:val="both"/>
        <w:rPr>
          <w:rFonts w:ascii="Times New Roman" w:hAnsi="Times New Roman" w:cs="Times New Roman"/>
          <w:noProof/>
          <w:sz w:val="24"/>
          <w:szCs w:val="24"/>
        </w:rPr>
      </w:pPr>
      <w:r>
        <w:rPr>
          <w:rFonts w:ascii="Times New Roman" w:hAnsi="Times New Roman"/>
          <w:noProof/>
          <w:sz w:val="24"/>
          <w:szCs w:val="24"/>
        </w:rPr>
        <w:t xml:space="preserve">Les rapports actuels ne fournissent pas d’informations qui permettraient de procéder à une </w:t>
      </w:r>
      <w:r>
        <w:rPr>
          <w:rFonts w:ascii="Times New Roman" w:hAnsi="Times New Roman"/>
          <w:noProof/>
          <w:sz w:val="24"/>
          <w:szCs w:val="24"/>
        </w:rPr>
        <w:t>comparaison directe de l’état de conservation des espèces et des habitats au sein du réseau Natura 2000 et à l’extérieur de celui-ci. Nous avons donc examiné d’autres indicateurs potentiels d’efficacité, tels que le lien entre la représentation des espèces</w:t>
      </w:r>
      <w:r>
        <w:rPr>
          <w:rFonts w:ascii="Times New Roman" w:hAnsi="Times New Roman"/>
          <w:noProof/>
          <w:sz w:val="24"/>
          <w:szCs w:val="24"/>
        </w:rPr>
        <w:t xml:space="preserve"> et des habitats dans le réseau et la proportion d’entre eux qui présentent un état de conservation favorable ou des tendances à l’amélioration. Les résultats, fondés sur les évaluations des États membres, montrent que:</w:t>
      </w:r>
    </w:p>
    <w:p w:rsidR="007179D8" w:rsidRDefault="007B473E">
      <w:pPr>
        <w:numPr>
          <w:ilvl w:val="0"/>
          <w:numId w:val="5"/>
        </w:numPr>
        <w:kinsoku w:val="0"/>
        <w:overflowPunct w:val="0"/>
        <w:spacing w:after="120"/>
        <w:ind w:left="681" w:hanging="397"/>
        <w:jc w:val="both"/>
        <w:textAlignment w:val="baseline"/>
        <w:rPr>
          <w:rFonts w:ascii="Times New Roman" w:hAnsi="Times New Roman" w:cs="Times New Roman"/>
          <w:noProof/>
          <w:sz w:val="24"/>
          <w:szCs w:val="24"/>
        </w:rPr>
      </w:pPr>
      <w:r>
        <w:rPr>
          <w:rFonts w:ascii="Times New Roman" w:hAnsi="Times New Roman"/>
          <w:noProof/>
          <w:sz w:val="24"/>
          <w:szCs w:val="24"/>
          <w:u w:val="single"/>
        </w:rPr>
        <w:t>les espèces et les habitats</w:t>
      </w:r>
      <w:r>
        <w:rPr>
          <w:rFonts w:ascii="Times New Roman" w:hAnsi="Times New Roman"/>
          <w:noProof/>
          <w:sz w:val="24"/>
          <w:szCs w:val="24"/>
        </w:rPr>
        <w:t xml:space="preserve"> sont en </w:t>
      </w:r>
      <w:r>
        <w:rPr>
          <w:rFonts w:ascii="Times New Roman" w:hAnsi="Times New Roman"/>
          <w:noProof/>
          <w:sz w:val="24"/>
          <w:szCs w:val="24"/>
        </w:rPr>
        <w:t>moyenne plus susceptibles de présenter un état de conservation favorable si leur zone d’habitat ou leur population est bien représentée (&gt; 75 %) dans le réseau par rapport à celles qui sont moins bien représentées. Cela vaut surtout pour les habitats de du</w:t>
      </w:r>
      <w:r>
        <w:rPr>
          <w:rFonts w:ascii="Times New Roman" w:hAnsi="Times New Roman"/>
          <w:noProof/>
          <w:sz w:val="24"/>
          <w:szCs w:val="24"/>
        </w:rPr>
        <w:t>nes et les forêts, ainsi que pour les amphibiens et les poissons; et</w:t>
      </w:r>
    </w:p>
    <w:p w:rsidR="007179D8" w:rsidRDefault="007B473E">
      <w:pPr>
        <w:numPr>
          <w:ilvl w:val="0"/>
          <w:numId w:val="5"/>
        </w:numPr>
        <w:kinsoku w:val="0"/>
        <w:overflowPunct w:val="0"/>
        <w:spacing w:after="240"/>
        <w:ind w:left="681" w:hanging="397"/>
        <w:jc w:val="both"/>
        <w:textAlignment w:val="baseline"/>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noProof/>
          <w:sz w:val="24"/>
          <w:szCs w:val="24"/>
          <w:u w:val="single"/>
        </w:rPr>
        <w:t>types d’habitats</w:t>
      </w:r>
      <w:r>
        <w:rPr>
          <w:rFonts w:ascii="Times New Roman" w:hAnsi="Times New Roman"/>
          <w:noProof/>
          <w:sz w:val="24"/>
          <w:szCs w:val="24"/>
        </w:rPr>
        <w:t xml:space="preserve"> fortement représentés (&gt; 75 %) dans les sites Natura 2000 enregistrent (légèrement) plus d’améliorations et moins de dégradations que ceux qui sont moins bien représe</w:t>
      </w:r>
      <w:r>
        <w:rPr>
          <w:rFonts w:ascii="Times New Roman" w:hAnsi="Times New Roman"/>
          <w:noProof/>
          <w:sz w:val="24"/>
          <w:szCs w:val="24"/>
        </w:rPr>
        <w:t>ntés. Avec une amélioration déclarée de plus de 8 %, les tourbières et les bas-marais semblent avoir particulièrement tiré profit de la couverture de Natura 2000. Les habitats qui ont connu les améliorations les plus importantes, par exemple les landes sèc</w:t>
      </w:r>
      <w:r>
        <w:rPr>
          <w:rFonts w:ascii="Times New Roman" w:hAnsi="Times New Roman"/>
          <w:noProof/>
          <w:sz w:val="24"/>
          <w:szCs w:val="24"/>
        </w:rPr>
        <w:t xml:space="preserve">hes atlantiques littorales à </w:t>
      </w:r>
      <w:r>
        <w:rPr>
          <w:rFonts w:ascii="Times New Roman" w:hAnsi="Times New Roman"/>
          <w:i/>
          <w:noProof/>
          <w:sz w:val="24"/>
          <w:szCs w:val="24"/>
        </w:rPr>
        <w:t>Erica vagans</w:t>
      </w:r>
      <w:r>
        <w:rPr>
          <w:rFonts w:ascii="Times New Roman" w:hAnsi="Times New Roman"/>
          <w:noProof/>
          <w:sz w:val="24"/>
          <w:szCs w:val="24"/>
        </w:rPr>
        <w:t xml:space="preserve"> et les dunes littorales à </w:t>
      </w:r>
      <w:r>
        <w:rPr>
          <w:rFonts w:ascii="Times New Roman" w:hAnsi="Times New Roman"/>
          <w:i/>
          <w:noProof/>
          <w:sz w:val="24"/>
          <w:szCs w:val="24"/>
        </w:rPr>
        <w:t>Juniperus</w:t>
      </w:r>
      <w:r>
        <w:rPr>
          <w:rFonts w:ascii="Times New Roman" w:hAnsi="Times New Roman"/>
          <w:noProof/>
          <w:sz w:val="24"/>
          <w:szCs w:val="24"/>
        </w:rPr>
        <w:t xml:space="preserve"> spp., sont largement protégés dans le réseau.</w:t>
      </w:r>
      <w:r>
        <w:rPr>
          <w:noProof/>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7179D8">
        <w:tc>
          <w:tcPr>
            <w:tcW w:w="9016" w:type="dxa"/>
          </w:tcPr>
          <w:p w:rsidR="007179D8" w:rsidRDefault="007B473E">
            <w:pPr>
              <w:spacing w:before="120" w:after="120"/>
              <w:rPr>
                <w:rFonts w:ascii="Times New Roman" w:eastAsia="ヒラギノ角ゴ Pro W3" w:hAnsi="Times New Roman" w:cs="Times New Roman"/>
                <w:b/>
                <w:noProof/>
                <w:sz w:val="20"/>
                <w:szCs w:val="20"/>
              </w:rPr>
            </w:pPr>
            <w:r>
              <w:rPr>
                <w:rFonts w:ascii="Times New Roman" w:hAnsi="Times New Roman"/>
                <w:b/>
                <w:noProof/>
                <w:sz w:val="20"/>
                <w:szCs w:val="20"/>
              </w:rPr>
              <w:t>Graphique 14: évolution de l’état de conservation et des tendances pour les habitats inscrits à l’annexe I dans les différentes cat</w:t>
            </w:r>
            <w:r>
              <w:rPr>
                <w:rFonts w:ascii="Times New Roman" w:hAnsi="Times New Roman"/>
                <w:b/>
                <w:noProof/>
                <w:sz w:val="20"/>
                <w:szCs w:val="20"/>
              </w:rPr>
              <w:t>égories de couverture de Natura 2000 (&lt; 35 %, 35 %-75 %, &gt; 75 %)</w:t>
            </w:r>
          </w:p>
          <w:p w:rsidR="007179D8" w:rsidRDefault="007179D8">
            <w:pPr>
              <w:spacing w:before="120" w:after="120"/>
              <w:rPr>
                <w:rFonts w:ascii="Times New Roman" w:hAnsi="Times New Roman" w:cs="Times New Roman"/>
                <w:noProof/>
                <w:sz w:val="24"/>
                <w:szCs w:val="24"/>
              </w:rPr>
            </w:pPr>
          </w:p>
        </w:tc>
      </w:tr>
      <w:tr w:rsidR="007179D8">
        <w:tc>
          <w:tcPr>
            <w:tcW w:w="9016" w:type="dxa"/>
          </w:tcPr>
          <w:p w:rsidR="007179D8" w:rsidRDefault="007B473E">
            <w:pPr>
              <w:kinsoku w:val="0"/>
              <w:overflowPunct w:val="0"/>
              <w:spacing w:after="240"/>
              <w:jc w:val="both"/>
              <w:textAlignment w:val="baseline"/>
              <w:rPr>
                <w:rFonts w:ascii="Times New Roman" w:hAnsi="Times New Roman" w:cs="Times New Roman"/>
                <w:noProof/>
                <w:sz w:val="24"/>
                <w:szCs w:val="24"/>
              </w:rPr>
            </w:pPr>
            <w:r>
              <w:rPr>
                <w:rFonts w:ascii="Times New Roman" w:hAnsi="Times New Roman" w:cs="Times New Roman"/>
                <w:noProof/>
                <w:sz w:val="24"/>
                <w:szCs w:val="24"/>
                <w:lang w:val="en-GB" w:eastAsia="en-GB"/>
              </w:rPr>
              <w:drawing>
                <wp:inline distT="0" distB="0" distL="0" distR="0">
                  <wp:extent cx="5727700" cy="2754630"/>
                  <wp:effectExtent l="0" t="0" r="6350" b="7620"/>
                  <wp:docPr id="1397633236" name="Picture 139763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27700" cy="2754630"/>
                          </a:xfrm>
                          <a:prstGeom prst="rect">
                            <a:avLst/>
                          </a:prstGeom>
                          <a:noFill/>
                          <a:ln>
                            <a:noFill/>
                          </a:ln>
                        </pic:spPr>
                      </pic:pic>
                    </a:graphicData>
                  </a:graphic>
                </wp:inline>
              </w:drawing>
            </w:r>
          </w:p>
        </w:tc>
      </w:tr>
      <w:tr w:rsidR="007179D8">
        <w:tc>
          <w:tcPr>
            <w:tcW w:w="9016" w:type="dxa"/>
          </w:tcPr>
          <w:p w:rsidR="007179D8" w:rsidRDefault="007B473E">
            <w:pPr>
              <w:kinsoku w:val="0"/>
              <w:overflowPunct w:val="0"/>
              <w:spacing w:after="240"/>
              <w:jc w:val="both"/>
              <w:textAlignment w:val="baseline"/>
              <w:rPr>
                <w:rFonts w:ascii="Times New Roman" w:hAnsi="Times New Roman" w:cs="Times New Roman"/>
                <w:noProof/>
                <w:sz w:val="24"/>
                <w:szCs w:val="24"/>
              </w:rPr>
            </w:pPr>
            <w:r>
              <w:rPr>
                <w:rFonts w:ascii="Times New Roman" w:hAnsi="Times New Roman"/>
                <w:b/>
                <w:noProof/>
                <w:sz w:val="18"/>
                <w:szCs w:val="18"/>
              </w:rPr>
              <w:t>Remarque:</w:t>
            </w:r>
            <w:r>
              <w:rPr>
                <w:rFonts w:ascii="Times New Roman" w:hAnsi="Times New Roman"/>
                <w:noProof/>
                <w:sz w:val="18"/>
                <w:szCs w:val="18"/>
              </w:rPr>
              <w:t xml:space="preserve"> la mention «En amélioration» correspond aux évaluations «insuffisantes» ou «médiocres» qui se sont améliorées ou sont devenues «favorables», la mention «Est restée favorable» c</w:t>
            </w:r>
            <w:r>
              <w:rPr>
                <w:rFonts w:ascii="Times New Roman" w:hAnsi="Times New Roman"/>
                <w:noProof/>
                <w:sz w:val="18"/>
                <w:szCs w:val="18"/>
              </w:rPr>
              <w:t>orrespond aux évaluations qui ont conservé leur état «favorable», la mention «Aucun changement» correspond aux évaluations «insuffisantes» ou «médiocres» qui ne se sont pas améliorées ni dégradées, la mention «En dégradation» correspond aux évaluations «in</w:t>
            </w:r>
            <w:r>
              <w:rPr>
                <w:rFonts w:ascii="Times New Roman" w:hAnsi="Times New Roman"/>
                <w:noProof/>
                <w:sz w:val="18"/>
                <w:szCs w:val="18"/>
              </w:rPr>
              <w:t>suffisantes» ou «médiocres» qui se sont encore dégradées ou sont passées de «favorables» à «insuffisantes» ou «médiocres», et la mention «Inconnue» correspond aux évaluations sans tendance.</w:t>
            </w:r>
            <w:r>
              <w:rPr>
                <w:rFonts w:ascii="Times New Roman" w:hAnsi="Times New Roman"/>
                <w:noProof/>
              </w:rPr>
              <w:t xml:space="preserve"> </w:t>
            </w:r>
            <w:r>
              <w:rPr>
                <w:rFonts w:ascii="Times New Roman" w:hAnsi="Times New Roman"/>
                <w:noProof/>
                <w:sz w:val="18"/>
                <w:szCs w:val="18"/>
              </w:rPr>
              <w:t xml:space="preserve">Le nombre d’évaluations par groupe est indiqué entre parenthèses. </w:t>
            </w:r>
            <w:r>
              <w:rPr>
                <w:rFonts w:ascii="Times New Roman" w:hAnsi="Times New Roman"/>
                <w:noProof/>
                <w:sz w:val="18"/>
                <w:szCs w:val="18"/>
              </w:rPr>
              <w:t>Le nombre total d’évaluations est de 2 970.</w:t>
            </w:r>
          </w:p>
        </w:tc>
      </w:tr>
    </w:tbl>
    <w:p w:rsidR="007179D8" w:rsidRDefault="007179D8">
      <w:pPr>
        <w:spacing w:after="240"/>
        <w:jc w:val="both"/>
        <w:rPr>
          <w:rFonts w:ascii="Times New Roman" w:hAnsi="Times New Roman" w:cs="Times New Roman"/>
          <w:noProof/>
          <w:sz w:val="24"/>
          <w:szCs w:val="24"/>
        </w:rPr>
      </w:pPr>
    </w:p>
    <w:p w:rsidR="007179D8" w:rsidRDefault="007B473E">
      <w:pPr>
        <w:spacing w:after="240"/>
        <w:jc w:val="both"/>
        <w:rPr>
          <w:rFonts w:ascii="Times New Roman" w:hAnsi="Times New Roman" w:cs="Times New Roman"/>
          <w:noProof/>
          <w:sz w:val="24"/>
          <w:szCs w:val="24"/>
        </w:rPr>
      </w:pPr>
      <w:r>
        <w:rPr>
          <w:rFonts w:ascii="Times New Roman" w:hAnsi="Times New Roman"/>
          <w:noProof/>
          <w:sz w:val="24"/>
          <w:szCs w:val="24"/>
        </w:rPr>
        <w:t xml:space="preserve">Dans l’ensemble, les informations communiquées ne nous permettent pas de tirer des conclusions définitives quant à l’efficacité du réseau Natura 2000. Cela s’explique notamment par un suivi limité, en </w:t>
      </w:r>
      <w:r>
        <w:rPr>
          <w:rFonts w:ascii="Times New Roman" w:hAnsi="Times New Roman"/>
          <w:noProof/>
          <w:sz w:val="24"/>
          <w:szCs w:val="24"/>
        </w:rPr>
        <w:t>particulier par la pratique courante qui consiste à n’assurer le suivi que d’un échantillon de sites Natura 2000. Pour pouvoir évaluer de manière satisfaisante l’efficacité des mesures liées à Natura 2000, le suivi devrait inclure la collecte de données su</w:t>
      </w:r>
      <w:r>
        <w:rPr>
          <w:rFonts w:ascii="Times New Roman" w:hAnsi="Times New Roman"/>
          <w:noProof/>
          <w:sz w:val="24"/>
          <w:szCs w:val="24"/>
        </w:rPr>
        <w:t>pplémentaires sur les zones situées à l’intérieur et à l’extérieur du réseau et sur la qualité de la gestion de la conservation.</w:t>
      </w:r>
    </w:p>
    <w:p w:rsidR="007179D8" w:rsidRDefault="007B473E">
      <w:pPr>
        <w:kinsoku w:val="0"/>
        <w:overflowPunct w:val="0"/>
        <w:spacing w:after="240"/>
        <w:jc w:val="both"/>
        <w:textAlignment w:val="baseline"/>
        <w:rPr>
          <w:rFonts w:ascii="Times New Roman" w:hAnsi="Times New Roman" w:cs="Times New Roman"/>
          <w:noProof/>
          <w:sz w:val="24"/>
          <w:szCs w:val="24"/>
        </w:rPr>
      </w:pPr>
      <w:r>
        <w:rPr>
          <w:rFonts w:ascii="Times New Roman" w:hAnsi="Times New Roman"/>
          <w:noProof/>
          <w:sz w:val="24"/>
          <w:szCs w:val="24"/>
        </w:rPr>
        <w:t>Malgré certains signes positifs concernant la contribution du réseau à l’état de conservation, les informations disponibles lai</w:t>
      </w:r>
      <w:r>
        <w:rPr>
          <w:rFonts w:ascii="Times New Roman" w:hAnsi="Times New Roman"/>
          <w:noProof/>
          <w:sz w:val="24"/>
          <w:szCs w:val="24"/>
        </w:rPr>
        <w:t>ssent fortement penser que son plein potentiel n’a pas encore été exploité et qu’il reste à combler un important déficit de mise en œuvre.</w:t>
      </w:r>
    </w:p>
    <w:p w:rsidR="007179D8" w:rsidRDefault="007179D8">
      <w:pPr>
        <w:kinsoku w:val="0"/>
        <w:overflowPunct w:val="0"/>
        <w:spacing w:after="240"/>
        <w:jc w:val="both"/>
        <w:textAlignment w:val="baseline"/>
        <w:rPr>
          <w:rFonts w:ascii="Times New Roman" w:hAnsi="Times New Roman" w:cs="Times New Roman"/>
          <w:noProof/>
          <w:sz w:val="24"/>
          <w:szCs w:val="24"/>
        </w:rPr>
      </w:pPr>
    </w:p>
    <w:p w:rsidR="007179D8" w:rsidRDefault="007B473E">
      <w:pPr>
        <w:pStyle w:val="Heading1"/>
        <w:numPr>
          <w:ilvl w:val="0"/>
          <w:numId w:val="10"/>
        </w:numPr>
        <w:spacing w:after="240"/>
        <w:ind w:left="714" w:hanging="357"/>
        <w:rPr>
          <w:rFonts w:eastAsia="Times New Roman"/>
          <w:noProof/>
          <w:color w:val="auto"/>
        </w:rPr>
      </w:pPr>
      <w:r>
        <w:rPr>
          <w:noProof/>
          <w:color w:val="auto"/>
        </w:rPr>
        <w:t>Conclusions et perspectives</w:t>
      </w:r>
    </w:p>
    <w:p w:rsidR="007179D8" w:rsidRDefault="007B473E">
      <w:pPr>
        <w:spacing w:after="240"/>
        <w:jc w:val="both"/>
        <w:rPr>
          <w:rFonts w:ascii="Times New Roman" w:hAnsi="Times New Roman" w:cs="Times New Roman"/>
          <w:noProof/>
          <w:sz w:val="24"/>
          <w:szCs w:val="24"/>
        </w:rPr>
      </w:pPr>
      <w:r>
        <w:rPr>
          <w:rFonts w:ascii="Times New Roman" w:hAnsi="Times New Roman"/>
          <w:noProof/>
          <w:sz w:val="24"/>
          <w:szCs w:val="24"/>
        </w:rPr>
        <w:t xml:space="preserve">Cette évaluation de l’état de conservation constitue le bilan de santé de la nature le </w:t>
      </w:r>
      <w:r>
        <w:rPr>
          <w:rFonts w:ascii="Times New Roman" w:hAnsi="Times New Roman"/>
          <w:noProof/>
          <w:sz w:val="24"/>
          <w:szCs w:val="24"/>
        </w:rPr>
        <w:t xml:space="preserve">plus vaste et le plus complet jamais entrepris dans l’Union européenne. Elle constitue une base solide pour évaluer la mise en œuvre des directives relatives à la nature et une référence incontournable pour mesurer les progrès réalisés dans le cadre de la </w:t>
      </w:r>
      <w:r>
        <w:rPr>
          <w:rFonts w:ascii="Times New Roman" w:hAnsi="Times New Roman"/>
          <w:noProof/>
          <w:sz w:val="24"/>
          <w:szCs w:val="24"/>
        </w:rPr>
        <w:t>nouvelle stratégie en faveur de la biodiversité à l’horizon 2030.</w:t>
      </w:r>
    </w:p>
    <w:p w:rsidR="007179D8" w:rsidRDefault="007B473E">
      <w:pPr>
        <w:spacing w:after="240"/>
        <w:jc w:val="both"/>
        <w:rPr>
          <w:rFonts w:ascii="Times New Roman" w:hAnsi="Times New Roman" w:cs="Times New Roman"/>
          <w:noProof/>
          <w:sz w:val="24"/>
          <w:szCs w:val="24"/>
        </w:rPr>
      </w:pPr>
      <w:r>
        <w:rPr>
          <w:rFonts w:ascii="Times New Roman" w:hAnsi="Times New Roman"/>
          <w:noProof/>
          <w:sz w:val="24"/>
          <w:szCs w:val="24"/>
        </w:rPr>
        <w:t>L’évaluation indique que l’Union européenne n’a pas encore réussi à enrayer le déclin des espèces et des types d’habitats protégés dont l’état de conservation est préoccupant dans l’Union. L</w:t>
      </w:r>
      <w:r>
        <w:rPr>
          <w:rFonts w:ascii="Times New Roman" w:hAnsi="Times New Roman"/>
          <w:noProof/>
          <w:sz w:val="24"/>
          <w:szCs w:val="24"/>
        </w:rPr>
        <w:t>es principales pressions liées à l’utilisation des terres et des ressources en eau qui ont contribué à la dégradation de la nature subsistent encore, ce qui se traduit par un écart important par rapport à l’objectif fixé pour 2020, à savoir enrayer et inve</w:t>
      </w:r>
      <w:r>
        <w:rPr>
          <w:rFonts w:ascii="Times New Roman" w:hAnsi="Times New Roman"/>
          <w:noProof/>
          <w:sz w:val="24"/>
          <w:szCs w:val="24"/>
        </w:rPr>
        <w:t>rser de manière mesurable la dégradation de l’état de conservation des espèces et des habitats.</w:t>
      </w:r>
    </w:p>
    <w:p w:rsidR="007179D8" w:rsidRDefault="007B473E">
      <w:pPr>
        <w:spacing w:after="240"/>
        <w:jc w:val="both"/>
        <w:rPr>
          <w:rFonts w:ascii="Times New Roman" w:hAnsi="Times New Roman" w:cs="Times New Roman"/>
          <w:noProof/>
          <w:sz w:val="24"/>
          <w:szCs w:val="24"/>
        </w:rPr>
      </w:pPr>
      <w:r>
        <w:rPr>
          <w:rFonts w:ascii="Times New Roman" w:hAnsi="Times New Roman"/>
          <w:noProof/>
          <w:sz w:val="24"/>
          <w:szCs w:val="24"/>
        </w:rPr>
        <w:t xml:space="preserve">Des exemples inspirants de réussite dans les États membres illustrent les résultats qui peuvent être obtenus par des actions ciblées, souvent soutenues par des </w:t>
      </w:r>
      <w:r>
        <w:rPr>
          <w:rFonts w:ascii="Times New Roman" w:hAnsi="Times New Roman"/>
          <w:noProof/>
          <w:sz w:val="24"/>
          <w:szCs w:val="24"/>
        </w:rPr>
        <w:t>initiatives au titre du programme LIFE de l’Union</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ou des programmes agroenvironnementaux spécifiques dans le cadre de la politique agricole commune. Cependant, ces réussites ne se concrétisent pas à une échelle suffisante.</w:t>
      </w:r>
    </w:p>
    <w:p w:rsidR="007179D8" w:rsidRDefault="007B473E">
      <w:pPr>
        <w:spacing w:after="240"/>
        <w:jc w:val="both"/>
        <w:rPr>
          <w:rFonts w:ascii="Times New Roman" w:hAnsi="Times New Roman" w:cs="Times New Roman"/>
          <w:noProof/>
          <w:sz w:val="24"/>
          <w:szCs w:val="24"/>
        </w:rPr>
      </w:pPr>
      <w:r>
        <w:rPr>
          <w:rFonts w:ascii="Times New Roman" w:hAnsi="Times New Roman"/>
          <w:noProof/>
          <w:sz w:val="24"/>
          <w:szCs w:val="24"/>
        </w:rPr>
        <w:t>Les progrès réalisés dans la mis</w:t>
      </w:r>
      <w:r>
        <w:rPr>
          <w:rFonts w:ascii="Times New Roman" w:hAnsi="Times New Roman"/>
          <w:noProof/>
          <w:sz w:val="24"/>
          <w:szCs w:val="24"/>
        </w:rPr>
        <w:t>e en œuvre des deux directives au cours des six dernières années (extension significative du réseau Natura 2000 et augmentation du nombre de sites dotés de plans de gestion) n’ont pas été suffisants pour améliorer l’état de conservation. La mise en place d</w:t>
      </w:r>
      <w:r>
        <w:rPr>
          <w:rFonts w:ascii="Times New Roman" w:hAnsi="Times New Roman"/>
          <w:noProof/>
          <w:sz w:val="24"/>
          <w:szCs w:val="24"/>
        </w:rPr>
        <w:t>’un réseau pleinement fonctionnel de zones protégées demeure incomplète, en particulier dans le milieu marin. En outre, les mesures de conservation nécessaires, reposant sur des objectifs de conservation clairement définis, doivent encore être mises en pla</w:t>
      </w:r>
      <w:r>
        <w:rPr>
          <w:rFonts w:ascii="Times New Roman" w:hAnsi="Times New Roman"/>
          <w:noProof/>
          <w:sz w:val="24"/>
          <w:szCs w:val="24"/>
        </w:rPr>
        <w:t>ce pour un grand nombre de sites. Les investissements à réaliser dans la nature, notamment en matière de rétablissement à l’intérieur et à l’extérieur du réseau de zones protégées, ne se sont pas concrétisés. Les besoins de la nature n’ont pas été suffisam</w:t>
      </w:r>
      <w:r>
        <w:rPr>
          <w:rFonts w:ascii="Times New Roman" w:hAnsi="Times New Roman"/>
          <w:noProof/>
          <w:sz w:val="24"/>
          <w:szCs w:val="24"/>
        </w:rPr>
        <w:t xml:space="preserve">ment pris en considération dans les principales politiques relatives à l’utilisation des terres et des ressources en eau pour surmonter les pressions négatives qui peuvent être exercées par des secteurs tels que l’agriculture et l’exploitation forestière. </w:t>
      </w:r>
      <w:r>
        <w:rPr>
          <w:rFonts w:ascii="Times New Roman" w:hAnsi="Times New Roman"/>
          <w:noProof/>
          <w:sz w:val="24"/>
          <w:szCs w:val="24"/>
        </w:rPr>
        <w:t>Des mesures de gestion des pêches doivent encore être adoptées et mises en place pour de nombreux sites marins Natura 2000. En outre, le changement climatique représente une menace croissante, les prévisions annonçant une forte aggravation des pressions et</w:t>
      </w:r>
      <w:r>
        <w:rPr>
          <w:rFonts w:ascii="Times New Roman" w:hAnsi="Times New Roman"/>
          <w:noProof/>
          <w:sz w:val="24"/>
          <w:szCs w:val="24"/>
        </w:rPr>
        <w:t xml:space="preserve"> des effets directs et indirects sur les espèces et les habitats, tels que des changements dans l’utilisation des terres et dans la localisation ou la qualité des habitats.</w:t>
      </w:r>
    </w:p>
    <w:p w:rsidR="007179D8" w:rsidRDefault="007B473E">
      <w:pPr>
        <w:spacing w:after="240"/>
        <w:jc w:val="both"/>
        <w:rPr>
          <w:rFonts w:ascii="Times New Roman" w:hAnsi="Times New Roman" w:cs="Times New Roman"/>
          <w:noProof/>
          <w:sz w:val="24"/>
          <w:szCs w:val="24"/>
        </w:rPr>
      </w:pPr>
      <w:r>
        <w:rPr>
          <w:rFonts w:ascii="Times New Roman" w:hAnsi="Times New Roman"/>
          <w:noProof/>
          <w:sz w:val="24"/>
          <w:szCs w:val="24"/>
        </w:rPr>
        <w:t>Cette évaluation fait apparaître la nécessité d’opérer un changement radical si nou</w:t>
      </w:r>
      <w:r>
        <w:rPr>
          <w:rFonts w:ascii="Times New Roman" w:hAnsi="Times New Roman"/>
          <w:noProof/>
          <w:sz w:val="24"/>
          <w:szCs w:val="24"/>
        </w:rPr>
        <w:t>s voulons avoir une chance réelle de faire en sorte que la biodiversité de l’Europe soit sur la voie du rétablissement d’ici 2030, comme le prévoit la nouvelle stratégie en faveur de la biodiversité</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Si nous n’y parvenons pas, non seulement notre patrimoi</w:t>
      </w:r>
      <w:r>
        <w:rPr>
          <w:rFonts w:ascii="Times New Roman" w:hAnsi="Times New Roman"/>
          <w:noProof/>
          <w:sz w:val="24"/>
          <w:szCs w:val="24"/>
        </w:rPr>
        <w:t>ne naturel commun, mais aussi les services vitaux qu’il fournit, qui sont en fin de compte les fondements de la santé et de la prospérité humaines, continueront de s’effriter.</w:t>
      </w:r>
    </w:p>
    <w:p w:rsidR="007179D8" w:rsidRDefault="007B473E">
      <w:pPr>
        <w:spacing w:after="240"/>
        <w:jc w:val="both"/>
        <w:rPr>
          <w:rFonts w:ascii="Times New Roman" w:hAnsi="Times New Roman" w:cs="Times New Roman"/>
          <w:noProof/>
          <w:sz w:val="24"/>
          <w:szCs w:val="24"/>
        </w:rPr>
      </w:pPr>
      <w:r>
        <w:rPr>
          <w:rFonts w:ascii="Times New Roman" w:hAnsi="Times New Roman"/>
          <w:noProof/>
          <w:sz w:val="24"/>
          <w:szCs w:val="24"/>
        </w:rPr>
        <w:t>La nouvelle stratégie en faveur de la biodiversité à l’horizon 2030 fournit le c</w:t>
      </w:r>
      <w:r>
        <w:rPr>
          <w:rFonts w:ascii="Times New Roman" w:hAnsi="Times New Roman"/>
          <w:noProof/>
          <w:sz w:val="24"/>
          <w:szCs w:val="24"/>
        </w:rPr>
        <w:t>adre nécessaire qui permettra d’opérer ce changement transformateur. Combinée à d’autres initiatives relevant du pacte vert, elle définit un programme d’action très ambitieux et concret visant, entre autres, à étendre la couverture des zones légalement pro</w:t>
      </w:r>
      <w:r>
        <w:rPr>
          <w:rFonts w:ascii="Times New Roman" w:hAnsi="Times New Roman"/>
          <w:noProof/>
          <w:sz w:val="24"/>
          <w:szCs w:val="24"/>
        </w:rPr>
        <w:t>tégées et gérées efficacement, tout en proposant un plan pour restaurer la nature de l’Union européenne.</w:t>
      </w:r>
    </w:p>
    <w:p w:rsidR="007179D8" w:rsidRDefault="007B473E">
      <w:pPr>
        <w:spacing w:after="240"/>
        <w:jc w:val="both"/>
        <w:rPr>
          <w:rFonts w:ascii="Times New Roman" w:hAnsi="Times New Roman" w:cs="Times New Roman"/>
          <w:noProof/>
          <w:sz w:val="24"/>
          <w:szCs w:val="24"/>
        </w:rPr>
      </w:pPr>
      <w:r>
        <w:rPr>
          <w:rFonts w:ascii="Times New Roman" w:hAnsi="Times New Roman"/>
          <w:noProof/>
          <w:sz w:val="24"/>
          <w:szCs w:val="24"/>
        </w:rPr>
        <w:t>La présente évaluation de l’état de la nature met en évidence le potentiel de restauration important des habitats protégés, tant en ce qui concerne leu</w:t>
      </w:r>
      <w:r>
        <w:rPr>
          <w:rFonts w:ascii="Times New Roman" w:hAnsi="Times New Roman"/>
          <w:noProof/>
          <w:sz w:val="24"/>
          <w:szCs w:val="24"/>
        </w:rPr>
        <w:t>r état actuel que la superficie supplémentaire nécessaire pour atteindre un état de conservation favorable. Cela comprend le rétablissement d’habitats riches en carbone qui peuvent offrir des avantages connexes en matière d’atténuation du changement climat</w:t>
      </w:r>
      <w:r>
        <w:rPr>
          <w:rFonts w:ascii="Times New Roman" w:hAnsi="Times New Roman"/>
          <w:noProof/>
          <w:sz w:val="24"/>
          <w:szCs w:val="24"/>
        </w:rPr>
        <w:t>ique. De plus, l’évaluation permet de mesurer directement la réussite des actions menées dans le cadre de la stratégie pour faire face aux principales pressions liées à l’utilisation des terres et des ressources en eau, notamment en rapport avec l’agricult</w:t>
      </w:r>
      <w:r>
        <w:rPr>
          <w:rFonts w:ascii="Times New Roman" w:hAnsi="Times New Roman"/>
          <w:noProof/>
          <w:sz w:val="24"/>
          <w:szCs w:val="24"/>
        </w:rPr>
        <w:t>ure, laquelle a été à l’origine du plus grand nombre d’évaluations médiocres accordées à l’état de conservation des espèces et des habitats dans les États membres. En combinaison avec la stratégie «De la ferme à la table»</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 les mesures visant à promouvoir </w:t>
      </w:r>
      <w:r>
        <w:rPr>
          <w:rFonts w:ascii="Times New Roman" w:hAnsi="Times New Roman"/>
          <w:noProof/>
          <w:sz w:val="24"/>
          <w:szCs w:val="24"/>
        </w:rPr>
        <w:t>l’agriculture biologique, à réduire l’utilisation de pesticides et les risques qui y sont associés, à protéger et à restaurer les écosystèmes des sols ainsi qu’à renforcer les particularités topographiques des terres agricoles devraient favoriser la recons</w:t>
      </w:r>
      <w:r>
        <w:rPr>
          <w:rFonts w:ascii="Times New Roman" w:hAnsi="Times New Roman"/>
          <w:noProof/>
          <w:sz w:val="24"/>
          <w:szCs w:val="24"/>
        </w:rPr>
        <w:t>titution des espèces et des habitats protégés par les directives relatives à la nature, y compris les pollinisateurs et leurs habitats.</w:t>
      </w:r>
    </w:p>
    <w:p w:rsidR="007179D8" w:rsidRDefault="007B473E">
      <w:pPr>
        <w:spacing w:after="240"/>
        <w:jc w:val="both"/>
        <w:rPr>
          <w:rFonts w:ascii="Times New Roman" w:hAnsi="Times New Roman" w:cs="Times New Roman"/>
          <w:noProof/>
          <w:sz w:val="24"/>
          <w:szCs w:val="24"/>
        </w:rPr>
      </w:pPr>
      <w:r>
        <w:rPr>
          <w:rFonts w:ascii="Times New Roman" w:hAnsi="Times New Roman"/>
          <w:noProof/>
          <w:sz w:val="24"/>
          <w:szCs w:val="24"/>
        </w:rPr>
        <w:t>La nouvelle stratégie en faveur de la biodiversité souligne que la lutte contre l’appauvrissement de la biodiversité doi</w:t>
      </w:r>
      <w:r>
        <w:rPr>
          <w:rFonts w:ascii="Times New Roman" w:hAnsi="Times New Roman"/>
          <w:noProof/>
          <w:sz w:val="24"/>
          <w:szCs w:val="24"/>
        </w:rPr>
        <w:t>t s’appuyer sur des données scientifiques solides. Les États membres devraient poursuivre l’amélioration de la qualité et de l’exhaustivité de leurs systèmes de suivi pour étayer leurs futurs rapports. L’observation de la Terre/la télédétection, d’autres t</w:t>
      </w:r>
      <w:r>
        <w:rPr>
          <w:rFonts w:ascii="Times New Roman" w:hAnsi="Times New Roman"/>
          <w:noProof/>
          <w:sz w:val="24"/>
          <w:szCs w:val="24"/>
        </w:rPr>
        <w:t>echnologies et outils (par exemple la modélisation), et les résultats des activités de recherche/d’innovation et de la science citoyenne pourraient compléter et appuyer les activités actuelles de suivi et d’établissement de rapports. Ce potentiel devrait ê</w:t>
      </w:r>
      <w:r>
        <w:rPr>
          <w:rFonts w:ascii="Times New Roman" w:hAnsi="Times New Roman"/>
          <w:noProof/>
          <w:sz w:val="24"/>
          <w:szCs w:val="24"/>
        </w:rPr>
        <w:t xml:space="preserve">tre mis à l’épreuve et exploité afin de faciliter le travail des organismes chargés d’établir des rapports.  </w:t>
      </w:r>
    </w:p>
    <w:p w:rsidR="007179D8" w:rsidRDefault="007B473E">
      <w:pPr>
        <w:spacing w:after="240"/>
        <w:jc w:val="both"/>
        <w:rPr>
          <w:rFonts w:ascii="Times New Roman" w:hAnsi="Times New Roman" w:cs="Times New Roman"/>
          <w:noProof/>
        </w:rPr>
      </w:pPr>
      <w:r>
        <w:rPr>
          <w:rFonts w:ascii="Times New Roman" w:hAnsi="Times New Roman"/>
          <w:noProof/>
          <w:sz w:val="24"/>
          <w:szCs w:val="24"/>
        </w:rPr>
        <w:t>La prochaine évaluation de l’état de conservation de la nature dans l’Union européenne, prévue pour 2026, devrait permettre, de manière substantie</w:t>
      </w:r>
      <w:r>
        <w:rPr>
          <w:rFonts w:ascii="Times New Roman" w:hAnsi="Times New Roman"/>
          <w:noProof/>
          <w:sz w:val="24"/>
          <w:szCs w:val="24"/>
        </w:rPr>
        <w:t>lle, de mesurer les progrès accomplis dans la réalisation des objectifs relatifs à la nature dans le cadre de la nouvelle stratégie en faveur de la biodiversité.</w:t>
      </w:r>
    </w:p>
    <w:sectPr w:rsidR="007179D8">
      <w:headerReference w:type="even" r:id="rId40"/>
      <w:headerReference w:type="default" r:id="rId41"/>
      <w:footerReference w:type="even" r:id="rId42"/>
      <w:footerReference w:type="default" r:id="rId43"/>
      <w:headerReference w:type="first" r:id="rId44"/>
      <w:footerReference w:type="first" r:id="rId45"/>
      <w:pgSz w:w="11906" w:h="16838"/>
      <w:pgMar w:top="1440" w:right="1440" w:bottom="1440" w:left="144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793D07" w16cid:durableId="22E77C85"/>
  <w16cid:commentId w16cid:paraId="192262E0" w16cid:durableId="22E7E2AC"/>
  <w16cid:commentId w16cid:paraId="06F94494" w16cid:durableId="22E7E0A0"/>
  <w16cid:commentId w16cid:paraId="5C1A33D1" w16cid:durableId="22EA1F60"/>
  <w16cid:commentId w16cid:paraId="2DC4D1B2" w16cid:durableId="22E7B4D5"/>
  <w16cid:commentId w16cid:paraId="581AC087" w16cid:durableId="22E7B50B"/>
  <w16cid:commentId w16cid:paraId="698D3BA9" w16cid:durableId="22E77C86"/>
  <w16cid:commentId w16cid:paraId="1903F046" w16cid:durableId="22E7F0DB"/>
  <w16cid:commentId w16cid:paraId="3649F7DE" w16cid:durableId="22E77C87"/>
  <w16cid:commentId w16cid:paraId="5EFAC51F" w16cid:durableId="22E7F708"/>
  <w16cid:commentId w16cid:paraId="34FDB027" w16cid:durableId="22E7F829"/>
  <w16cid:commentId w16cid:paraId="1AB4D764" w16cid:durableId="22E7F87A"/>
  <w16cid:commentId w16cid:paraId="3650B08C" w16cid:durableId="22E77C88"/>
  <w16cid:commentId w16cid:paraId="761E97D1" w16cid:durableId="22E80CC9"/>
  <w16cid:commentId w16cid:paraId="265F7902" w16cid:durableId="22E80CEE"/>
  <w16cid:commentId w16cid:paraId="44327280" w16cid:durableId="22E80D45"/>
  <w16cid:commentId w16cid:paraId="0076BC50" w16cid:durableId="22E80DAA"/>
  <w16cid:commentId w16cid:paraId="023B80BE" w16cid:durableId="22E80F5B"/>
  <w16cid:commentId w16cid:paraId="64A27F2D" w16cid:durableId="22E80FD8"/>
  <w16cid:commentId w16cid:paraId="725E8A48" w16cid:durableId="22E80FF5"/>
  <w16cid:commentId w16cid:paraId="7814632E" w16cid:durableId="22E81090"/>
  <w16cid:commentId w16cid:paraId="0EDE59F2" w16cid:durableId="22EA0BCB"/>
  <w16cid:commentId w16cid:paraId="664C3D1B" w16cid:durableId="22EA0C21"/>
  <w16cid:commentId w16cid:paraId="760CF79A" w16cid:durableId="22E92DC5"/>
  <w16cid:commentId w16cid:paraId="11BC476E" w16cid:durableId="22EA0F16"/>
  <w16cid:commentId w16cid:paraId="39C03C8F" w16cid:durableId="22E930EE"/>
  <w16cid:commentId w16cid:paraId="5EDD9FE3" w16cid:durableId="22E93174"/>
  <w16cid:commentId w16cid:paraId="7C8C3782" w16cid:durableId="22E93603"/>
  <w16cid:commentId w16cid:paraId="5FA63117" w16cid:durableId="22E94401"/>
  <w16cid:commentId w16cid:paraId="05638535" w16cid:durableId="22E94499"/>
  <w16cid:commentId w16cid:paraId="4A8A7B36" w16cid:durableId="22E9477B"/>
  <w16cid:commentId w16cid:paraId="46421BD5" w16cid:durableId="22E77C89"/>
  <w16cid:commentId w16cid:paraId="39002642" w16cid:durableId="22E947D4"/>
  <w16cid:commentId w16cid:paraId="1CE41893" w16cid:durableId="22E77C8A"/>
  <w16cid:commentId w16cid:paraId="52D84FD9" w16cid:durableId="22E94E49"/>
  <w16cid:commentId w16cid:paraId="039002BC" w16cid:durableId="22E94E98"/>
  <w16cid:commentId w16cid:paraId="4D3145F6" w16cid:durableId="22E77C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9D8" w:rsidRDefault="007B473E">
      <w:pPr>
        <w:spacing w:after="0" w:line="240" w:lineRule="auto"/>
      </w:pPr>
      <w:r>
        <w:separator/>
      </w:r>
    </w:p>
  </w:endnote>
  <w:endnote w:type="continuationSeparator" w:id="0">
    <w:p w:rsidR="007179D8" w:rsidRDefault="007B4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MS Gothic"/>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3E" w:rsidRPr="007B473E" w:rsidRDefault="007B473E" w:rsidP="007B4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3E" w:rsidRPr="007B473E" w:rsidRDefault="007B473E" w:rsidP="007B473E">
    <w:pPr>
      <w:pStyle w:val="FooterCoverPage"/>
      <w:rPr>
        <w:rFonts w:ascii="Arial" w:hAnsi="Arial" w:cs="Arial"/>
        <w:b/>
        <w:sz w:val="48"/>
      </w:rPr>
    </w:pPr>
    <w:r w:rsidRPr="007B473E">
      <w:rPr>
        <w:rFonts w:ascii="Arial" w:hAnsi="Arial" w:cs="Arial"/>
        <w:b/>
        <w:sz w:val="48"/>
      </w:rPr>
      <w:t>FR</w:t>
    </w:r>
    <w:r w:rsidRPr="007B473E">
      <w:rPr>
        <w:rFonts w:ascii="Arial" w:hAnsi="Arial" w:cs="Arial"/>
        <w:b/>
        <w:sz w:val="48"/>
      </w:rPr>
      <w:tab/>
    </w:r>
    <w:r w:rsidRPr="007B473E">
      <w:rPr>
        <w:rFonts w:ascii="Arial" w:hAnsi="Arial" w:cs="Arial"/>
        <w:b/>
        <w:sz w:val="48"/>
      </w:rPr>
      <w:tab/>
    </w:r>
    <w:r w:rsidRPr="007B473E">
      <w:tab/>
    </w:r>
    <w:r w:rsidRPr="007B473E">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3E" w:rsidRPr="007B473E" w:rsidRDefault="007B473E" w:rsidP="007B473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9D8" w:rsidRDefault="007179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076003"/>
      <w:docPartObj>
        <w:docPartGallery w:val="Page Numbers (Bottom of Page)"/>
        <w:docPartUnique/>
      </w:docPartObj>
    </w:sdtPr>
    <w:sdtEndPr/>
    <w:sdtContent>
      <w:p w:rsidR="007179D8" w:rsidRDefault="007B473E">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9D8" w:rsidRDefault="00717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9D8" w:rsidRDefault="007B473E">
      <w:pPr>
        <w:spacing w:after="0" w:line="240" w:lineRule="auto"/>
      </w:pPr>
      <w:r>
        <w:separator/>
      </w:r>
    </w:p>
  </w:footnote>
  <w:footnote w:type="continuationSeparator" w:id="0">
    <w:p w:rsidR="007179D8" w:rsidRDefault="007B473E">
      <w:pPr>
        <w:spacing w:after="0" w:line="240" w:lineRule="auto"/>
      </w:pPr>
      <w:r>
        <w:continuationSeparator/>
      </w:r>
    </w:p>
  </w:footnote>
  <w:footnote w:id="1">
    <w:p w:rsidR="007179D8" w:rsidRDefault="007B473E">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Directive 2009/147/CE du Parlement européen et du </w:t>
      </w:r>
      <w:r>
        <w:rPr>
          <w:rFonts w:ascii="Times New Roman" w:hAnsi="Times New Roman"/>
          <w:sz w:val="20"/>
        </w:rPr>
        <w:t>Conseil du 30 novembre 2009 concernant la conservation des oiseaux sauvages (JO L 20 du 26.1.2010, p. 7).</w:t>
      </w:r>
    </w:p>
  </w:footnote>
  <w:footnote w:id="2">
    <w:p w:rsidR="007179D8" w:rsidRDefault="007B473E">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Directive 92/43/CEE du Conseil, du 21 mai 1992, concernant la conservation des habitats naturels ainsi que de la faune et de la flore sauvages </w:t>
      </w:r>
      <w:r>
        <w:rPr>
          <w:rFonts w:ascii="Times New Roman" w:hAnsi="Times New Roman"/>
          <w:sz w:val="20"/>
        </w:rPr>
        <w:t>(JO L 206 du 22.7.1992, p. 7).</w:t>
      </w:r>
    </w:p>
  </w:footnote>
  <w:footnote w:id="3">
    <w:p w:rsidR="007179D8" w:rsidRDefault="007B473E">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Le présent rapport contient encore des données concernant le Royaume-Uni, qui a quitté l’Union européenne en janvier 2020. Il inclut pour la première fois des données relatives à la Croatie, qui a rejoint l’Union en juille</w:t>
      </w:r>
      <w:r>
        <w:rPr>
          <w:rFonts w:ascii="Times New Roman" w:hAnsi="Times New Roman"/>
          <w:sz w:val="20"/>
        </w:rPr>
        <w:t>t 2013. La Roumanie est le seul État membre qui n’a pas transmis de rapport sur les oiseaux.</w:t>
      </w:r>
    </w:p>
  </w:footnote>
  <w:footnote w:id="4">
    <w:p w:rsidR="007179D8" w:rsidRDefault="007B473E">
      <w:pPr>
        <w:pStyle w:val="FootnoteText"/>
        <w:ind w:left="284" w:hanging="284"/>
        <w:rPr>
          <w:rFonts w:ascii="Times New Roman" w:hAnsi="Times New Roman"/>
          <w:sz w:val="20"/>
        </w:rPr>
      </w:pPr>
      <w:r>
        <w:rPr>
          <w:rStyle w:val="FootnoteReference"/>
        </w:rPr>
        <w:t>4</w:t>
      </w:r>
      <w:r>
        <w:rPr>
          <w:rFonts w:ascii="Times New Roman" w:hAnsi="Times New Roman"/>
          <w:sz w:val="20"/>
        </w:rPr>
        <w:t xml:space="preserve"> </w:t>
      </w:r>
      <w:r>
        <w:tab/>
      </w:r>
      <w:r>
        <w:rPr>
          <w:rFonts w:ascii="Times New Roman" w:hAnsi="Times New Roman"/>
          <w:i/>
          <w:sz w:val="20"/>
        </w:rPr>
        <w:t>State of nature in the EU — results from reporting under the nature directives 2013-2018 (L’état de la nature dans l’UE — résultats des rapports établis en vert</w:t>
      </w:r>
      <w:r>
        <w:rPr>
          <w:rFonts w:ascii="Times New Roman" w:hAnsi="Times New Roman"/>
          <w:i/>
          <w:sz w:val="20"/>
        </w:rPr>
        <w:t>u des directives relatives à la nature pour la période 2013-2018)</w:t>
      </w:r>
      <w:r>
        <w:rPr>
          <w:rFonts w:ascii="Times New Roman" w:hAnsi="Times New Roman"/>
          <w:sz w:val="20"/>
        </w:rPr>
        <w:t>, Agence</w:t>
      </w:r>
      <w:r>
        <w:t xml:space="preserve"> </w:t>
      </w:r>
      <w:r>
        <w:br/>
      </w:r>
      <w:r>
        <w:rPr>
          <w:rFonts w:ascii="Times New Roman" w:hAnsi="Times New Roman"/>
          <w:sz w:val="20"/>
        </w:rPr>
        <w:t xml:space="preserve">européenne pour l’environnement; disponible avec d’autres documents en ligne, y compris des synthèses par État membre, aux adresses suivantes: </w:t>
      </w:r>
      <w:r>
        <w:tab/>
        <w:t xml:space="preserve"> </w:t>
      </w:r>
      <w:r>
        <w:br/>
      </w:r>
      <w:hyperlink r:id="rId1" w:history="1">
        <w:r>
          <w:rPr>
            <w:rStyle w:val="Hyperlink"/>
            <w:rFonts w:ascii="Times New Roman" w:hAnsi="Times New Roman"/>
            <w:sz w:val="20"/>
          </w:rPr>
          <w:t>https://www.eea.europa.eu/themes/biodiversity/state-of-nature-in-the-eu/state-of-nature-2020</w:t>
        </w:r>
      </w:hyperlink>
      <w:r>
        <w:rPr>
          <w:rFonts w:ascii="Times New Roman" w:hAnsi="Times New Roman"/>
          <w:sz w:val="20"/>
        </w:rPr>
        <w:t xml:space="preserve">; </w:t>
      </w:r>
      <w:hyperlink r:id="rId2" w:history="1">
        <w:r>
          <w:rPr>
            <w:rStyle w:val="Hyperlink"/>
            <w:rFonts w:ascii="Times New Roman" w:hAnsi="Times New Roman"/>
            <w:sz w:val="20"/>
          </w:rPr>
          <w:t>https://ec.europa.eu/environment/nature/knowledge/rep_habitats/index_en.htm</w:t>
        </w:r>
      </w:hyperlink>
      <w:r>
        <w:t>.</w:t>
      </w:r>
      <w:r>
        <w:rPr>
          <w:rFonts w:ascii="Times New Roman" w:hAnsi="Times New Roman"/>
          <w:sz w:val="20"/>
        </w:rPr>
        <w:t xml:space="preserve"> </w:t>
      </w:r>
    </w:p>
  </w:footnote>
  <w:footnote w:id="5">
    <w:p w:rsidR="007179D8" w:rsidRDefault="007B473E">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Alpine, atlantique, de la mer Noire, boréale, continentale, macaronésienne, méditerranéenne, pannonienne et steppique.</w:t>
      </w:r>
    </w:p>
  </w:footnote>
  <w:footnote w:id="6">
    <w:p w:rsidR="007179D8" w:rsidRDefault="007B473E">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Atlantique, de la mer Baltique, de la mer Noire, </w:t>
      </w:r>
      <w:r>
        <w:rPr>
          <w:rFonts w:ascii="Times New Roman" w:hAnsi="Times New Roman"/>
          <w:sz w:val="20"/>
        </w:rPr>
        <w:t>macaronésienne, méditerranéenne.</w:t>
      </w:r>
    </w:p>
  </w:footnote>
  <w:footnote w:id="7">
    <w:p w:rsidR="007179D8" w:rsidRDefault="007B473E">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Voir le rapport de l’AEE pour de plus amples informations sur les méthodes d’évaluation au titre des directives «Oiseaux» et «Habitats».</w:t>
      </w:r>
    </w:p>
  </w:footnote>
  <w:footnote w:id="8">
    <w:p w:rsidR="007179D8" w:rsidRDefault="007B473E">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i/>
          <w:sz w:val="20"/>
        </w:rPr>
        <w:t>State of nature in the EU — results from reporting under the nature directives 2</w:t>
      </w:r>
      <w:r>
        <w:rPr>
          <w:rFonts w:ascii="Times New Roman" w:hAnsi="Times New Roman"/>
          <w:i/>
          <w:sz w:val="20"/>
        </w:rPr>
        <w:t>007–2012</w:t>
      </w:r>
      <w:r>
        <w:rPr>
          <w:rFonts w:ascii="Times New Roman" w:hAnsi="Times New Roman"/>
          <w:sz w:val="20"/>
        </w:rPr>
        <w:t xml:space="preserve"> (L’état de la nature dans l’UE — résultats des rapports établis en vertu des directives relatives à la nature pour la période 2007-2012), AEE (2015), rapport technique nº 2/2015, ISSN 1725-2237, Office des publications de l’Union européenne, 2015.</w:t>
      </w:r>
    </w:p>
  </w:footnote>
  <w:footnote w:id="9">
    <w:p w:rsidR="007179D8" w:rsidRDefault="007B473E">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Pour de plus amples informations, voir le rapport de l’AEE;</w:t>
      </w:r>
      <w:r>
        <w:tab/>
        <w:t xml:space="preserve"> </w:t>
      </w:r>
      <w:r>
        <w:br/>
      </w:r>
      <w:hyperlink r:id="rId3" w:history="1">
        <w:r>
          <w:rPr>
            <w:rStyle w:val="Hyperlink"/>
            <w:rFonts w:ascii="Times New Roman" w:hAnsi="Times New Roman"/>
            <w:sz w:val="20"/>
          </w:rPr>
          <w:t>https://www.eea.europa.eu/themes/biodiversity/state-of-nature-in-the-eu/state-of-</w:t>
        </w:r>
        <w:r>
          <w:rPr>
            <w:rStyle w:val="Hyperlink"/>
            <w:rFonts w:ascii="Times New Roman" w:hAnsi="Times New Roman"/>
            <w:sz w:val="20"/>
          </w:rPr>
          <w:t>nature-2020</w:t>
        </w:r>
      </w:hyperlink>
      <w:r>
        <w:t>.</w:t>
      </w:r>
    </w:p>
  </w:footnote>
  <w:footnote w:id="10">
    <w:p w:rsidR="007179D8" w:rsidRDefault="007B473E">
      <w:pPr>
        <w:pStyle w:val="FootnoteText"/>
        <w:ind w:left="284" w:hanging="284"/>
        <w:rPr>
          <w:rStyle w:val="FootnoteReference"/>
          <w:rFonts w:ascii="Times New Roman" w:hAnsi="Times New Roman"/>
          <w:sz w:val="20"/>
          <w:vertAlign w:val="baseline"/>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 xml:space="preserve"> </w:t>
      </w:r>
      <w:r>
        <w:rPr>
          <w:rStyle w:val="FootnoteReference"/>
          <w:rFonts w:ascii="Times New Roman" w:hAnsi="Times New Roman"/>
          <w:sz w:val="20"/>
          <w:vertAlign w:val="baseline"/>
        </w:rPr>
        <w:t>Les types d’habitats de ce groupe comprennent les prairies maigres de fauche de basse altitude (6510) et les prairies de fauche de montagne (6520).</w:t>
      </w:r>
    </w:p>
  </w:footnote>
  <w:footnote w:id="11">
    <w:p w:rsidR="007179D8" w:rsidRDefault="007B473E">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Prairies à Molinia sur sols calcaires, tourbeux ou argilo-limoneux (</w:t>
      </w:r>
      <w:r>
        <w:rPr>
          <w:rFonts w:ascii="Times New Roman" w:hAnsi="Times New Roman"/>
          <w:i/>
          <w:sz w:val="20"/>
        </w:rPr>
        <w:t>Molinion caeruleae</w:t>
      </w:r>
      <w:r>
        <w:rPr>
          <w:rFonts w:ascii="Times New Roman" w:hAnsi="Times New Roman"/>
          <w:sz w:val="20"/>
        </w:rPr>
        <w:t xml:space="preserve">) </w:t>
      </w:r>
      <w:r>
        <w:rPr>
          <w:rFonts w:ascii="Times New Roman" w:hAnsi="Times New Roman"/>
          <w:sz w:val="20"/>
        </w:rPr>
        <w:t>(6410).</w:t>
      </w:r>
    </w:p>
  </w:footnote>
  <w:footnote w:id="12">
    <w:p w:rsidR="007179D8" w:rsidRDefault="007B473E">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Les types d’habitats de ce groupe comprennent les pelouses sèches semi-naturelles et faciès d’embuissonnement sur calcaires (</w:t>
      </w:r>
      <w:r>
        <w:rPr>
          <w:rFonts w:ascii="Times New Roman" w:hAnsi="Times New Roman"/>
          <w:i/>
          <w:sz w:val="20"/>
        </w:rPr>
        <w:t>Festuco-Brometalia</w:t>
      </w:r>
      <w:r>
        <w:rPr>
          <w:rFonts w:ascii="Times New Roman" w:hAnsi="Times New Roman"/>
          <w:sz w:val="20"/>
        </w:rPr>
        <w:t>) (6210) ainsi que l’alvar nordique et les roches plates calcaires pré-cambriennes (6280).</w:t>
      </w:r>
    </w:p>
  </w:footnote>
  <w:footnote w:id="13">
    <w:p w:rsidR="007179D8" w:rsidRDefault="007B473E">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Annexe II</w:t>
      </w:r>
      <w:r>
        <w:rPr>
          <w:rFonts w:ascii="Times New Roman" w:hAnsi="Times New Roman"/>
          <w:sz w:val="20"/>
        </w:rPr>
        <w:t xml:space="preserve">: espèces nécessitant la désignation de ZSC (sites Natura 2000); </w:t>
      </w:r>
      <w:r>
        <w:tab/>
        <w:t xml:space="preserve"> </w:t>
      </w:r>
      <w:r>
        <w:br/>
      </w:r>
      <w:r>
        <w:rPr>
          <w:rFonts w:ascii="Times New Roman" w:hAnsi="Times New Roman"/>
          <w:sz w:val="20"/>
        </w:rPr>
        <w:t xml:space="preserve">annexe IV: espèces nécessitant une protection stricte; </w:t>
      </w:r>
      <w:r>
        <w:tab/>
        <w:t xml:space="preserve"> </w:t>
      </w:r>
      <w:r>
        <w:br/>
      </w:r>
      <w:r>
        <w:rPr>
          <w:rFonts w:ascii="Times New Roman" w:hAnsi="Times New Roman"/>
          <w:sz w:val="20"/>
        </w:rPr>
        <w:t>annexe V: espèces dont le prélèvement dans la nature et l’exploitation sont susceptibles de faire l’objet de mesures de gestion.</w:t>
      </w:r>
    </w:p>
  </w:footnote>
  <w:footnote w:id="14">
    <w:p w:rsidR="007179D8" w:rsidRDefault="007B473E">
      <w:pPr>
        <w:pStyle w:val="FootnoteText"/>
        <w:ind w:left="284" w:hanging="284"/>
        <w:rPr>
          <w:rFonts w:ascii="Times New Roman" w:hAnsi="Times New Roman"/>
          <w:sz w:val="20"/>
        </w:rPr>
      </w:pPr>
      <w:r>
        <w:rPr>
          <w:rStyle w:val="FootnoteReference"/>
          <w:sz w:val="20"/>
        </w:rPr>
        <w:footnoteRef/>
      </w:r>
      <w:r>
        <w:rPr>
          <w:sz w:val="20"/>
        </w:rPr>
        <w:t xml:space="preserve"> </w:t>
      </w:r>
      <w:r>
        <w:tab/>
      </w:r>
      <w:r>
        <w:rPr>
          <w:rFonts w:ascii="Times New Roman" w:hAnsi="Times New Roman"/>
          <w:sz w:val="20"/>
        </w:rPr>
        <w:t xml:space="preserve">Communication de la Commission au Parlement européen, au Conseil, au Comité économique et social européen et au Comité des régions, </w:t>
      </w:r>
      <w:r>
        <w:rPr>
          <w:rFonts w:ascii="Times New Roman" w:hAnsi="Times New Roman"/>
          <w:i/>
          <w:sz w:val="20"/>
        </w:rPr>
        <w:t>La biodiversité, notre assurance-vie et notre capital naturel - stratégie de l’UE à l’horizon 2020</w:t>
      </w:r>
      <w:r>
        <w:rPr>
          <w:rFonts w:ascii="Times New Roman" w:hAnsi="Times New Roman"/>
          <w:sz w:val="20"/>
        </w:rPr>
        <w:t xml:space="preserve"> [COM(2011) 244 final].</w:t>
      </w:r>
    </w:p>
  </w:footnote>
  <w:footnote w:id="15">
    <w:p w:rsidR="007179D8" w:rsidRDefault="007B473E">
      <w:pPr>
        <w:pStyle w:val="FootnoteText"/>
        <w:ind w:left="284" w:hanging="284"/>
        <w:rPr>
          <w:rFonts w:ascii="Times New Roman" w:hAnsi="Times New Roman"/>
          <w:sz w:val="20"/>
        </w:rPr>
      </w:pPr>
      <w:r>
        <w:rPr>
          <w:rStyle w:val="FootnoteReference"/>
        </w:rPr>
        <w:footnoteRef/>
      </w:r>
      <w:r>
        <w:t xml:space="preserve"> </w:t>
      </w:r>
      <w:r>
        <w:rPr>
          <w:rFonts w:ascii="Times New Roman" w:hAnsi="Times New Roman"/>
          <w:sz w:val="20"/>
        </w:rPr>
        <w:t>Couverts par l’Accord sur la conservation des oiseaux d’eau migrateurs d’Afrique-Eurasie (AEWA)</w:t>
      </w:r>
      <w:r>
        <w:t>.</w:t>
      </w:r>
    </w:p>
  </w:footnote>
  <w:footnote w:id="16">
    <w:p w:rsidR="007179D8" w:rsidRDefault="007B473E">
      <w:pPr>
        <w:pStyle w:val="FootnoteText"/>
        <w:ind w:left="284" w:hanging="284"/>
        <w:rPr>
          <w:rFonts w:ascii="Times New Roman" w:hAnsi="Times New Roman"/>
          <w:sz w:val="20"/>
        </w:rPr>
      </w:pPr>
      <w:r>
        <w:rPr>
          <w:rStyle w:val="FootnoteReference"/>
        </w:rPr>
        <w:footnoteRef/>
      </w:r>
      <w:r>
        <w:tab/>
      </w:r>
      <w:r>
        <w:rPr>
          <w:rFonts w:ascii="Times New Roman" w:hAnsi="Times New Roman"/>
          <w:sz w:val="20"/>
        </w:rPr>
        <w:t>Halada, L., Evans, D., Romão, C. et Petersen, J. E., 2011, «Which habitats of European importance depend on agricultural practices?» (Quels sont les habita</w:t>
      </w:r>
      <w:r>
        <w:rPr>
          <w:rFonts w:ascii="Times New Roman" w:hAnsi="Times New Roman"/>
          <w:sz w:val="20"/>
        </w:rPr>
        <w:t xml:space="preserve">ts d’importance européenne qui dépendent des pratiques agricoles?), </w:t>
      </w:r>
      <w:r>
        <w:rPr>
          <w:rFonts w:ascii="Times New Roman" w:hAnsi="Times New Roman"/>
          <w:i/>
          <w:sz w:val="20"/>
        </w:rPr>
        <w:t>Biodiversity and Conservation</w:t>
      </w:r>
      <w:r>
        <w:rPr>
          <w:rFonts w:ascii="Times New Roman" w:hAnsi="Times New Roman"/>
          <w:sz w:val="20"/>
        </w:rPr>
        <w:t>, 20(11) 2 365–2 378.</w:t>
      </w:r>
    </w:p>
  </w:footnote>
  <w:footnote w:id="17">
    <w:p w:rsidR="007179D8" w:rsidRDefault="007B473E">
      <w:pPr>
        <w:pStyle w:val="NormalWeb"/>
        <w:spacing w:before="0" w:beforeAutospacing="0" w:after="0" w:afterAutospacing="0"/>
        <w:ind w:left="284" w:hanging="284"/>
        <w:jc w:val="both"/>
        <w:rPr>
          <w:sz w:val="20"/>
        </w:rPr>
      </w:pPr>
      <w:r>
        <w:rPr>
          <w:rStyle w:val="FootnoteReference"/>
          <w:sz w:val="20"/>
          <w:szCs w:val="20"/>
        </w:rPr>
        <w:footnoteRef/>
      </w:r>
      <w:r>
        <w:rPr>
          <w:sz w:val="20"/>
          <w:szCs w:val="20"/>
        </w:rPr>
        <w:t xml:space="preserve"> </w:t>
      </w:r>
      <w:r>
        <w:tab/>
      </w:r>
      <w:r>
        <w:rPr>
          <w:sz w:val="20"/>
          <w:szCs w:val="20"/>
        </w:rPr>
        <w:t>Hirschfeld, A. et al., 2019, «Bird</w:t>
      </w:r>
      <w:r>
        <w:rPr>
          <w:sz w:val="20"/>
          <w:szCs w:val="20"/>
        </w:rPr>
        <w:noBreakHyphen/>
        <w:t>hunting in Europe: an analysis of bag figures and the potential impact on the conservation of threa</w:t>
      </w:r>
      <w:r>
        <w:rPr>
          <w:sz w:val="20"/>
          <w:szCs w:val="20"/>
        </w:rPr>
        <w:t xml:space="preserve">tened species» (La chasse aux oiseaux en Europe: une analyse des chiffres des prises et les incidences potentielles sur la conservation des espèces menacées), </w:t>
      </w:r>
      <w:r>
        <w:rPr>
          <w:i/>
          <w:sz w:val="20"/>
          <w:szCs w:val="20"/>
        </w:rPr>
        <w:t>British Birds:</w:t>
      </w:r>
      <w:r>
        <w:rPr>
          <w:sz w:val="20"/>
          <w:szCs w:val="20"/>
        </w:rPr>
        <w:t xml:space="preserve"> pp. 153-166.</w:t>
      </w:r>
    </w:p>
  </w:footnote>
  <w:footnote w:id="18">
    <w:p w:rsidR="007179D8" w:rsidRDefault="007B473E">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La directive «Habitats» couvre à peine les poissons marins (elle s</w:t>
      </w:r>
      <w:r>
        <w:rPr>
          <w:rFonts w:ascii="Times New Roman" w:hAnsi="Times New Roman"/>
          <w:sz w:val="20"/>
        </w:rPr>
        <w:t>e limite à plusieurs espèces de poissons anadromes).</w:t>
      </w:r>
    </w:p>
  </w:footnote>
  <w:footnote w:id="19">
    <w:p w:rsidR="007179D8" w:rsidRDefault="007B473E">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Le règlement (UE) nº 1143/2014 relatif à la prévention et à la gestion de l’introduction et de la propagation des espèces exotiques envahissantes contient une liste des EEE préoccupantes pour l’Union </w:t>
      </w:r>
      <w:r>
        <w:rPr>
          <w:rFonts w:ascii="Times New Roman" w:hAnsi="Times New Roman"/>
          <w:sz w:val="20"/>
        </w:rPr>
        <w:t>(JO L 317 du 4.11.2014, p. 35).</w:t>
      </w:r>
    </w:p>
  </w:footnote>
  <w:footnote w:id="20">
    <w:p w:rsidR="007179D8" w:rsidRDefault="007B473E">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Voir par exemple: IPBES (2018), </w:t>
      </w:r>
      <w:r>
        <w:rPr>
          <w:rFonts w:ascii="Times New Roman" w:hAnsi="Times New Roman"/>
          <w:i/>
          <w:sz w:val="20"/>
        </w:rPr>
        <w:t>The IPBES regional assessment report on biodiversity and ecosystem services for Europe and Central Asia</w:t>
      </w:r>
      <w:r>
        <w:rPr>
          <w:rFonts w:ascii="Times New Roman" w:hAnsi="Times New Roman"/>
          <w:sz w:val="20"/>
        </w:rPr>
        <w:t xml:space="preserve"> (Le rapport d’évaluation régionale de l’IPBES sur la biodiversité et les services éco</w:t>
      </w:r>
      <w:r>
        <w:rPr>
          <w:rFonts w:ascii="Times New Roman" w:hAnsi="Times New Roman"/>
          <w:sz w:val="20"/>
        </w:rPr>
        <w:t>systémiques pour l’Europe et l’Asie centrale), Rounsevell, M. et al., secrétariat de la plateforme intergouvernementale scientifique et politique sur la biodiversité et les services écosystémiques, Bonn, Allemagne, 892 pages.</w:t>
      </w:r>
    </w:p>
  </w:footnote>
  <w:footnote w:id="21">
    <w:p w:rsidR="007179D8" w:rsidRDefault="007B473E">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Les calculs des besoins de </w:t>
      </w:r>
      <w:r>
        <w:rPr>
          <w:rFonts w:ascii="Times New Roman" w:hAnsi="Times New Roman"/>
          <w:sz w:val="20"/>
        </w:rPr>
        <w:t>rétablissement excluent le Royaume-Uni.</w:t>
      </w:r>
    </w:p>
  </w:footnote>
  <w:footnote w:id="22">
    <w:p w:rsidR="007179D8" w:rsidRDefault="007B473E">
      <w:pPr>
        <w:pStyle w:val="FootnoteText"/>
        <w:ind w:left="284" w:hanging="284"/>
        <w:rPr>
          <w:rFonts w:ascii="Times New Roman" w:eastAsia="Times New Roman" w:hAnsi="Times New Roman"/>
          <w:iCs w:val="0"/>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iCs w:val="0"/>
          <w:sz w:val="20"/>
        </w:rPr>
        <w:t xml:space="preserve">En vertu de la directive «Habitats», les États membres proposent des «sites d’importance communautaire» (SIC) que la Commission inclut ensuite dans les listes biogéographiques. Les États membres disposent ensuite </w:t>
      </w:r>
      <w:r>
        <w:rPr>
          <w:rFonts w:ascii="Times New Roman" w:hAnsi="Times New Roman"/>
          <w:iCs w:val="0"/>
          <w:sz w:val="20"/>
        </w:rPr>
        <w:t>d’un délai de six ans pour désigner les SIC en tant que ZSC.</w:t>
      </w:r>
    </w:p>
  </w:footnote>
  <w:footnote w:id="23">
    <w:p w:rsidR="007179D8" w:rsidRDefault="007B473E">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Ces chiffres concernent les zones marines situées dans un rayon de 200 milles marins du littoral; ils n’incluent pas les sites Natura 2000 sur le plateau continental étendu (valable pour l’Irl</w:t>
      </w:r>
      <w:r>
        <w:rPr>
          <w:rFonts w:ascii="Times New Roman" w:hAnsi="Times New Roman"/>
          <w:sz w:val="20"/>
        </w:rPr>
        <w:t>ande, le Portugal et le Royaume-Uni).</w:t>
      </w:r>
    </w:p>
  </w:footnote>
  <w:footnote w:id="24">
    <w:p w:rsidR="007179D8" w:rsidRDefault="007B473E">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hyperlink r:id="rId4" w:history="1">
        <w:r>
          <w:rPr>
            <w:rStyle w:val="Hyperlink"/>
            <w:rFonts w:ascii="Times New Roman" w:hAnsi="Times New Roman"/>
            <w:sz w:val="20"/>
          </w:rPr>
          <w:t>https://ec.europa.eu/easme/en/life</w:t>
        </w:r>
      </w:hyperlink>
      <w:r>
        <w:t>.</w:t>
      </w:r>
      <w:r>
        <w:rPr>
          <w:rFonts w:ascii="Times New Roman" w:hAnsi="Times New Roman"/>
          <w:sz w:val="20"/>
        </w:rPr>
        <w:t xml:space="preserve"> </w:t>
      </w:r>
    </w:p>
  </w:footnote>
  <w:footnote w:id="25">
    <w:p w:rsidR="007179D8" w:rsidRDefault="007B473E">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Communication de la Commission au Parlement européen, au Conseil, au Comité économique et social européen et au Comité des r</w:t>
      </w:r>
      <w:r>
        <w:rPr>
          <w:rFonts w:ascii="Times New Roman" w:hAnsi="Times New Roman"/>
          <w:sz w:val="20"/>
        </w:rPr>
        <w:t xml:space="preserve">égions, </w:t>
      </w:r>
      <w:r>
        <w:rPr>
          <w:rFonts w:ascii="Times New Roman" w:hAnsi="Times New Roman"/>
          <w:i/>
          <w:sz w:val="20"/>
        </w:rPr>
        <w:t>Stratégie de l’UE en faveur de la biodiversité à l’horizon 2030 — Ramener la nature dans nos vies</w:t>
      </w:r>
      <w:r>
        <w:rPr>
          <w:rFonts w:ascii="Times New Roman" w:hAnsi="Times New Roman"/>
          <w:sz w:val="20"/>
        </w:rPr>
        <w:t xml:space="preserve"> (COM/2020/380 final);</w:t>
      </w:r>
      <w:r>
        <w:tab/>
        <w:t xml:space="preserve"> </w:t>
      </w:r>
      <w:r>
        <w:br/>
      </w:r>
      <w:hyperlink r:id="rId5" w:history="1">
        <w:r>
          <w:rPr>
            <w:rStyle w:val="Hyperlink"/>
            <w:rFonts w:ascii="Times New Roman" w:hAnsi="Times New Roman"/>
            <w:sz w:val="20"/>
          </w:rPr>
          <w:t>https://eur-lex.europa.eu/legal-content/</w:t>
        </w:r>
        <w:r>
          <w:rPr>
            <w:rStyle w:val="Hyperlink"/>
            <w:rFonts w:ascii="Times New Roman" w:hAnsi="Times New Roman"/>
            <w:sz w:val="20"/>
          </w:rPr>
          <w:t>FR/TXT/?uri=CELEX:52020DC0380</w:t>
        </w:r>
      </w:hyperlink>
      <w:r>
        <w:t>.</w:t>
      </w:r>
    </w:p>
  </w:footnote>
  <w:footnote w:id="26">
    <w:p w:rsidR="007179D8" w:rsidRDefault="007B473E">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Communication de la Commission au Parlement européen, au Conseil, au Comité économique et social européen et au Comité des régions, </w:t>
      </w:r>
      <w:r>
        <w:rPr>
          <w:rFonts w:ascii="Times New Roman" w:hAnsi="Times New Roman"/>
          <w:i/>
          <w:sz w:val="20"/>
        </w:rPr>
        <w:t>Une stratégie «De la ferme à la table» pour un système alimentaire équitable, sain et resp</w:t>
      </w:r>
      <w:r>
        <w:rPr>
          <w:rFonts w:ascii="Times New Roman" w:hAnsi="Times New Roman"/>
          <w:i/>
          <w:sz w:val="20"/>
        </w:rPr>
        <w:t>ectueux de l’environnement</w:t>
      </w:r>
      <w:r>
        <w:rPr>
          <w:rFonts w:ascii="Times New Roman" w:hAnsi="Times New Roman"/>
          <w:sz w:val="20"/>
        </w:rPr>
        <w:t>, (COM/2020/381 final);</w:t>
      </w:r>
      <w:r>
        <w:tab/>
        <w:t xml:space="preserve"> </w:t>
      </w:r>
      <w:r>
        <w:br/>
      </w:r>
      <w:hyperlink r:id="rId6" w:history="1">
        <w:r>
          <w:rPr>
            <w:rStyle w:val="Hyperlink"/>
            <w:rFonts w:ascii="Times New Roman" w:hAnsi="Times New Roman"/>
            <w:sz w:val="20"/>
          </w:rPr>
          <w:t>https://eur-lex.europa.eu/legal-content/FR/TXT/?uri=CELEX:52020DC0381</w:t>
        </w:r>
      </w:hyperlink>
      <w:r>
        <w:t>.</w:t>
      </w:r>
      <w:r>
        <w:rPr>
          <w:rFonts w:ascii="Times New Roman" w:hAnsi="Times New Roman"/>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3E" w:rsidRPr="007B473E" w:rsidRDefault="007B473E" w:rsidP="007B47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3E" w:rsidRPr="007B473E" w:rsidRDefault="007B473E" w:rsidP="007B473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3E" w:rsidRPr="007B473E" w:rsidRDefault="007B473E" w:rsidP="007B473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9D8" w:rsidRDefault="007179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9D8" w:rsidRDefault="007179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9D8" w:rsidRDefault="00717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B71"/>
    <w:multiLevelType w:val="hybridMultilevel"/>
    <w:tmpl w:val="93882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13E82"/>
    <w:multiLevelType w:val="multilevel"/>
    <w:tmpl w:val="4F2E0D4E"/>
    <w:lvl w:ilvl="0">
      <w:start w:val="1"/>
      <w:numFmt w:val="decimal"/>
      <w:pStyle w:val="Style2-Annex"/>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EAE7260"/>
    <w:multiLevelType w:val="hybridMultilevel"/>
    <w:tmpl w:val="4DE8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90BE7"/>
    <w:multiLevelType w:val="hybridMultilevel"/>
    <w:tmpl w:val="43E6482E"/>
    <w:lvl w:ilvl="0" w:tplc="9CE0CE52">
      <w:start w:val="1"/>
      <w:numFmt w:val="bullet"/>
      <w:pStyle w:val="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20882"/>
    <w:multiLevelType w:val="hybridMultilevel"/>
    <w:tmpl w:val="30D6C6D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DC22BE"/>
    <w:multiLevelType w:val="hybridMultilevel"/>
    <w:tmpl w:val="CCAA494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6" w15:restartNumberingAfterBreak="0">
    <w:nsid w:val="3EF57FC0"/>
    <w:multiLevelType w:val="hybridMultilevel"/>
    <w:tmpl w:val="81CE2F44"/>
    <w:lvl w:ilvl="0" w:tplc="08090001">
      <w:start w:val="1"/>
      <w:numFmt w:val="bullet"/>
      <w:lvlText w:val=""/>
      <w:lvlJc w:val="left"/>
      <w:pPr>
        <w:tabs>
          <w:tab w:val="num" w:pos="720"/>
        </w:tabs>
        <w:ind w:left="720" w:hanging="360"/>
      </w:pPr>
      <w:rPr>
        <w:rFonts w:ascii="Symbol" w:hAnsi="Symbol" w:hint="default"/>
      </w:rPr>
    </w:lvl>
    <w:lvl w:ilvl="1" w:tplc="B62897E2">
      <w:start w:val="146"/>
      <w:numFmt w:val="bullet"/>
      <w:lvlText w:val="•"/>
      <w:lvlJc w:val="left"/>
      <w:pPr>
        <w:tabs>
          <w:tab w:val="num" w:pos="1440"/>
        </w:tabs>
        <w:ind w:left="1440" w:hanging="360"/>
      </w:pPr>
      <w:rPr>
        <w:rFonts w:ascii="Times New Roman" w:hAnsi="Times New Roman" w:hint="default"/>
      </w:rPr>
    </w:lvl>
    <w:lvl w:ilvl="2" w:tplc="3BEAF2B0" w:tentative="1">
      <w:start w:val="1"/>
      <w:numFmt w:val="bullet"/>
      <w:lvlText w:val="•"/>
      <w:lvlJc w:val="left"/>
      <w:pPr>
        <w:tabs>
          <w:tab w:val="num" w:pos="2160"/>
        </w:tabs>
        <w:ind w:left="2160" w:hanging="360"/>
      </w:pPr>
      <w:rPr>
        <w:rFonts w:ascii="Arial" w:hAnsi="Arial" w:hint="default"/>
      </w:rPr>
    </w:lvl>
    <w:lvl w:ilvl="3" w:tplc="C9125EF8" w:tentative="1">
      <w:start w:val="1"/>
      <w:numFmt w:val="bullet"/>
      <w:lvlText w:val="•"/>
      <w:lvlJc w:val="left"/>
      <w:pPr>
        <w:tabs>
          <w:tab w:val="num" w:pos="2880"/>
        </w:tabs>
        <w:ind w:left="2880" w:hanging="360"/>
      </w:pPr>
      <w:rPr>
        <w:rFonts w:ascii="Arial" w:hAnsi="Arial" w:hint="default"/>
      </w:rPr>
    </w:lvl>
    <w:lvl w:ilvl="4" w:tplc="A972FFAA" w:tentative="1">
      <w:start w:val="1"/>
      <w:numFmt w:val="bullet"/>
      <w:lvlText w:val="•"/>
      <w:lvlJc w:val="left"/>
      <w:pPr>
        <w:tabs>
          <w:tab w:val="num" w:pos="3600"/>
        </w:tabs>
        <w:ind w:left="3600" w:hanging="360"/>
      </w:pPr>
      <w:rPr>
        <w:rFonts w:ascii="Arial" w:hAnsi="Arial" w:hint="default"/>
      </w:rPr>
    </w:lvl>
    <w:lvl w:ilvl="5" w:tplc="B4026304" w:tentative="1">
      <w:start w:val="1"/>
      <w:numFmt w:val="bullet"/>
      <w:lvlText w:val="•"/>
      <w:lvlJc w:val="left"/>
      <w:pPr>
        <w:tabs>
          <w:tab w:val="num" w:pos="4320"/>
        </w:tabs>
        <w:ind w:left="4320" w:hanging="360"/>
      </w:pPr>
      <w:rPr>
        <w:rFonts w:ascii="Arial" w:hAnsi="Arial" w:hint="default"/>
      </w:rPr>
    </w:lvl>
    <w:lvl w:ilvl="6" w:tplc="0EDA22A2" w:tentative="1">
      <w:start w:val="1"/>
      <w:numFmt w:val="bullet"/>
      <w:lvlText w:val="•"/>
      <w:lvlJc w:val="left"/>
      <w:pPr>
        <w:tabs>
          <w:tab w:val="num" w:pos="5040"/>
        </w:tabs>
        <w:ind w:left="5040" w:hanging="360"/>
      </w:pPr>
      <w:rPr>
        <w:rFonts w:ascii="Arial" w:hAnsi="Arial" w:hint="default"/>
      </w:rPr>
    </w:lvl>
    <w:lvl w:ilvl="7" w:tplc="1C2C3088" w:tentative="1">
      <w:start w:val="1"/>
      <w:numFmt w:val="bullet"/>
      <w:lvlText w:val="•"/>
      <w:lvlJc w:val="left"/>
      <w:pPr>
        <w:tabs>
          <w:tab w:val="num" w:pos="5760"/>
        </w:tabs>
        <w:ind w:left="5760" w:hanging="360"/>
      </w:pPr>
      <w:rPr>
        <w:rFonts w:ascii="Arial" w:hAnsi="Arial" w:hint="default"/>
      </w:rPr>
    </w:lvl>
    <w:lvl w:ilvl="8" w:tplc="299CBF9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ECF2223"/>
    <w:multiLevelType w:val="hybridMultilevel"/>
    <w:tmpl w:val="EF808130"/>
    <w:lvl w:ilvl="0" w:tplc="08090001">
      <w:start w:val="1"/>
      <w:numFmt w:val="bullet"/>
      <w:lvlText w:val=""/>
      <w:lvlJc w:val="left"/>
      <w:pPr>
        <w:tabs>
          <w:tab w:val="num" w:pos="720"/>
        </w:tabs>
        <w:ind w:left="720" w:hanging="360"/>
      </w:pPr>
      <w:rPr>
        <w:rFonts w:ascii="Symbol" w:hAnsi="Symbol" w:hint="default"/>
      </w:rPr>
    </w:lvl>
    <w:lvl w:ilvl="1" w:tplc="27008BF0" w:tentative="1">
      <w:start w:val="1"/>
      <w:numFmt w:val="bullet"/>
      <w:lvlText w:val="•"/>
      <w:lvlJc w:val="left"/>
      <w:pPr>
        <w:tabs>
          <w:tab w:val="num" w:pos="1440"/>
        </w:tabs>
        <w:ind w:left="1440" w:hanging="360"/>
      </w:pPr>
      <w:rPr>
        <w:rFonts w:ascii="Arial" w:hAnsi="Arial" w:hint="default"/>
      </w:rPr>
    </w:lvl>
    <w:lvl w:ilvl="2" w:tplc="0C5A5742" w:tentative="1">
      <w:start w:val="1"/>
      <w:numFmt w:val="bullet"/>
      <w:lvlText w:val="•"/>
      <w:lvlJc w:val="left"/>
      <w:pPr>
        <w:tabs>
          <w:tab w:val="num" w:pos="2160"/>
        </w:tabs>
        <w:ind w:left="2160" w:hanging="360"/>
      </w:pPr>
      <w:rPr>
        <w:rFonts w:ascii="Arial" w:hAnsi="Arial" w:hint="default"/>
      </w:rPr>
    </w:lvl>
    <w:lvl w:ilvl="3" w:tplc="D354CFBA" w:tentative="1">
      <w:start w:val="1"/>
      <w:numFmt w:val="bullet"/>
      <w:lvlText w:val="•"/>
      <w:lvlJc w:val="left"/>
      <w:pPr>
        <w:tabs>
          <w:tab w:val="num" w:pos="2880"/>
        </w:tabs>
        <w:ind w:left="2880" w:hanging="360"/>
      </w:pPr>
      <w:rPr>
        <w:rFonts w:ascii="Arial" w:hAnsi="Arial" w:hint="default"/>
      </w:rPr>
    </w:lvl>
    <w:lvl w:ilvl="4" w:tplc="BABC4F78" w:tentative="1">
      <w:start w:val="1"/>
      <w:numFmt w:val="bullet"/>
      <w:lvlText w:val="•"/>
      <w:lvlJc w:val="left"/>
      <w:pPr>
        <w:tabs>
          <w:tab w:val="num" w:pos="3600"/>
        </w:tabs>
        <w:ind w:left="3600" w:hanging="360"/>
      </w:pPr>
      <w:rPr>
        <w:rFonts w:ascii="Arial" w:hAnsi="Arial" w:hint="default"/>
      </w:rPr>
    </w:lvl>
    <w:lvl w:ilvl="5" w:tplc="20BAEC22" w:tentative="1">
      <w:start w:val="1"/>
      <w:numFmt w:val="bullet"/>
      <w:lvlText w:val="•"/>
      <w:lvlJc w:val="left"/>
      <w:pPr>
        <w:tabs>
          <w:tab w:val="num" w:pos="4320"/>
        </w:tabs>
        <w:ind w:left="4320" w:hanging="360"/>
      </w:pPr>
      <w:rPr>
        <w:rFonts w:ascii="Arial" w:hAnsi="Arial" w:hint="default"/>
      </w:rPr>
    </w:lvl>
    <w:lvl w:ilvl="6" w:tplc="713A1B7E" w:tentative="1">
      <w:start w:val="1"/>
      <w:numFmt w:val="bullet"/>
      <w:lvlText w:val="•"/>
      <w:lvlJc w:val="left"/>
      <w:pPr>
        <w:tabs>
          <w:tab w:val="num" w:pos="5040"/>
        </w:tabs>
        <w:ind w:left="5040" w:hanging="360"/>
      </w:pPr>
      <w:rPr>
        <w:rFonts w:ascii="Arial" w:hAnsi="Arial" w:hint="default"/>
      </w:rPr>
    </w:lvl>
    <w:lvl w:ilvl="7" w:tplc="0E040F96" w:tentative="1">
      <w:start w:val="1"/>
      <w:numFmt w:val="bullet"/>
      <w:lvlText w:val="•"/>
      <w:lvlJc w:val="left"/>
      <w:pPr>
        <w:tabs>
          <w:tab w:val="num" w:pos="5760"/>
        </w:tabs>
        <w:ind w:left="5760" w:hanging="360"/>
      </w:pPr>
      <w:rPr>
        <w:rFonts w:ascii="Arial" w:hAnsi="Arial" w:hint="default"/>
      </w:rPr>
    </w:lvl>
    <w:lvl w:ilvl="8" w:tplc="61684B6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0097414"/>
    <w:multiLevelType w:val="hybridMultilevel"/>
    <w:tmpl w:val="0546C3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BE920D4"/>
    <w:multiLevelType w:val="hybridMultilevel"/>
    <w:tmpl w:val="052A86B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900560C"/>
    <w:multiLevelType w:val="hybridMultilevel"/>
    <w:tmpl w:val="B88A0204"/>
    <w:lvl w:ilvl="0" w:tplc="08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8"/>
  </w:num>
  <w:num w:numId="5">
    <w:abstractNumId w:val="7"/>
  </w:num>
  <w:num w:numId="6">
    <w:abstractNumId w:val="4"/>
  </w:num>
  <w:num w:numId="7">
    <w:abstractNumId w:val="3"/>
  </w:num>
  <w:num w:numId="8">
    <w:abstractNumId w:val="2"/>
  </w:num>
  <w:num w:numId="9">
    <w:abstractNumId w:val="10"/>
  </w:num>
  <w:num w:numId="10">
    <w:abstractNumId w:val="0"/>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D60461B-BCD4-4408-B2D9-769B8421255C"/>
    <w:docVar w:name="LW_COVERPAGE_TYPE" w:val="1"/>
    <w:docVar w:name="LW_CROSSREFERENCE" w:val="&lt;UNUSED&gt;"/>
    <w:docVar w:name="LW_DocType" w:val="NORMAL"/>
    <w:docVar w:name="LW_EMISSION" w:val="15.10.2020"/>
    <w:docVar w:name="LW_EMISSION_ISODATE" w:val="2020-10-15"/>
    <w:docVar w:name="LW_EMISSION_LOCATION" w:val="BRX"/>
    <w:docVar w:name="LW_EMISSION_PREFIX" w:val="Bruxelles, le "/>
    <w:docVar w:name="LW_EMISSION_SUFFIX" w:val=" "/>
    <w:docVar w:name="LW_ID_DOCTYPE_NONLW" w:val="CP-007"/>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6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État de conservation de la nature dans l'Union européenne_x000d__x000d__x000d__x000b__x000d__x000d__x000d__x000b_Rapport relatif à l'état de conservation des espèces et des habitats protégés au titre des directives «Oiseaux» et «Habitats» et aux tendances observées au cours de la période 2013 - 2018_x000d__x000d__x000d__x000b_"/>
    <w:docVar w:name="LW_TYPE.DOC.CP" w:val="RAPPORT DE LA COMMISSION AU PARLEMENT EUROPÉEN, AU CONSEIL ET AU COMITÉ ÉCONOMIQUE ET SOCIAL EUROPÉEN"/>
    <w:docVar w:name="Stamp" w:val="\\dossiers.dgt.cec.eu.int\dossiers\ENV\ENV-2020-01276\ENV-2020-01276-00-00-EN-EDT-00.20200814150325524594.DOCX"/>
  </w:docVars>
  <w:rsids>
    <w:rsidRoot w:val="007179D8"/>
    <w:rsid w:val="007179D8"/>
    <w:rsid w:val="007B4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DAD18EF8-F043-42F3-BBB3-5FC7A14B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120" w:after="120" w:line="240" w:lineRule="auto"/>
      <w:ind w:left="720" w:hanging="720"/>
      <w:jc w:val="both"/>
      <w:outlineLvl w:val="2"/>
    </w:pPr>
    <w:rPr>
      <w:rFonts w:eastAsia="ヒラギノ角ゴ Pro W3" w:cstheme="majorBidi"/>
      <w:b/>
      <w:i/>
      <w:iCs/>
      <w:color w:val="17365D"/>
      <w:sz w:val="24"/>
      <w:szCs w:val="24"/>
    </w:rPr>
  </w:style>
  <w:style w:type="paragraph" w:styleId="Heading8">
    <w:name w:val="heading 8"/>
    <w:basedOn w:val="Normal"/>
    <w:next w:val="Normal"/>
    <w:link w:val="Heading8Char"/>
    <w:uiPriority w:val="9"/>
    <w:semiHidden/>
    <w:unhideWhenUsed/>
    <w:qFormat/>
    <w:pPr>
      <w:keepNext/>
      <w:keepLines/>
      <w:spacing w:before="40" w:after="0" w:line="240" w:lineRule="auto"/>
      <w:ind w:left="1440" w:hanging="1440"/>
      <w:jc w:val="both"/>
      <w:outlineLvl w:val="7"/>
    </w:pPr>
    <w:rPr>
      <w:rFonts w:asciiTheme="majorHAnsi" w:eastAsiaTheme="majorEastAsia" w:hAnsiTheme="majorHAnsi" w:cstheme="majorBidi"/>
      <w:iCs/>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spacing w:before="40" w:after="0" w:line="240" w:lineRule="auto"/>
      <w:ind w:left="1584" w:hanging="1584"/>
      <w:jc w:val="both"/>
      <w:outlineLvl w:val="8"/>
    </w:pPr>
    <w:rPr>
      <w:rFonts w:asciiTheme="majorHAnsi" w:eastAsiaTheme="majorEastAsia" w:hAnsiTheme="majorHAnsi" w:cstheme="majorBidi"/>
      <w: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de liste 2,Reference list,Bullet List Paragraph,List Paragraph1,Numbered Para 1,Dot pt,No Spacing1,List Paragraph Char Char Char,Indicator Text,Bullet 1,Bullet Points,MAIN CONTENT,List Paragraph12,F5 List Paragraph,Heading 2_sj"/>
    <w:basedOn w:val="Normal"/>
    <w:link w:val="ListParagraphChar"/>
    <w:uiPriority w:val="34"/>
    <w:qFormat/>
    <w:pPr>
      <w:ind w:left="720"/>
      <w:contextualSpacing/>
    </w:pPr>
  </w:style>
  <w:style w:type="table" w:styleId="TableGrid">
    <w:name w:val="Table Grid"/>
    <w:aliases w:val="Table Format 1,HTG"/>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able legend,Tab_Überschrift,Figure reference,Char Char,Char Char Char,Caption1 Char Char Char Char Char Char Char Char Tegn Tegn Tegn Tegn Tegn,Caption1 Char Char Char Char Char Char Char Char Tegn Tegn Tegn,F10 Table Figure and Chart Tit"/>
    <w:basedOn w:val="Normal"/>
    <w:next w:val="Normal"/>
    <w:link w:val="CaptionChar"/>
    <w:autoRedefine/>
    <w:unhideWhenUsed/>
    <w:qFormat/>
    <w:pPr>
      <w:keepNext/>
      <w:framePr w:hSpace="141" w:wrap="around" w:vAnchor="text" w:hAnchor="margin" w:y="179"/>
      <w:spacing w:after="120" w:line="240" w:lineRule="auto"/>
      <w:jc w:val="center"/>
    </w:pPr>
    <w:rPr>
      <w:rFonts w:ascii="Times New Roman" w:eastAsia="ヒラギノ角ゴ Pro W3" w:hAnsi="Times New Roman" w:cs="Times New Roman"/>
      <w:b/>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CaptionChar">
    <w:name w:val="Caption Char"/>
    <w:aliases w:val="Table legend Char,Tab_Überschrift Char,Figure reference Char,Char Char Char1,Char Char Char Char,Caption1 Char Char Char Char Char Char Char Char Tegn Tegn Tegn Tegn Tegn Char,F10 Table Figure and Chart Tit Char"/>
    <w:basedOn w:val="DefaultParagraphFont"/>
    <w:link w:val="Caption"/>
    <w:locked/>
    <w:rPr>
      <w:rFonts w:ascii="Times New Roman" w:eastAsia="ヒラギノ角ゴ Pro W3" w:hAnsi="Times New Roman" w:cs="Times New Roman"/>
      <w:b/>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pPr>
      <w:spacing w:before="360" w:after="360" w:line="240" w:lineRule="auto"/>
      <w:ind w:left="360"/>
      <w:jc w:val="both"/>
    </w:pPr>
    <w:rPr>
      <w:rFonts w:asciiTheme="minorHAnsi" w:eastAsia="ヒラギノ角ゴ Pro W3" w:hAnsiTheme="minorHAnsi" w:cs="Times New Roman"/>
      <w:b/>
      <w:iCs/>
      <w:color w:val="17365D"/>
      <w:sz w:val="24"/>
      <w:szCs w:val="24"/>
    </w:rPr>
  </w:style>
  <w:style w:type="paragraph" w:customStyle="1" w:styleId="Style2-Annex">
    <w:name w:val="Style2 - Annex"/>
    <w:basedOn w:val="Heading2"/>
    <w:next w:val="Normal"/>
    <w:qFormat/>
    <w:pPr>
      <w:numPr>
        <w:numId w:val="2"/>
      </w:numPr>
      <w:spacing w:before="240" w:after="240" w:line="240" w:lineRule="auto"/>
      <w:ind w:left="1440" w:hanging="360"/>
      <w:jc w:val="both"/>
    </w:pPr>
    <w:rPr>
      <w:rFonts w:asciiTheme="minorHAnsi" w:eastAsia="ヒラギノ角ゴ Pro W3" w:hAnsiTheme="minorHAnsi"/>
      <w:b/>
      <w:iCs/>
      <w:color w:val="17365D"/>
      <w:sz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Paragraphe de liste 2 Char,Reference list Char,Bullet List Paragraph Char,List Paragraph1 Char,Numbered Para 1 Char,Dot pt Char,No Spacing1 Char,List Paragraph Char Char Char Char,Indicator Text Char,Bullet 1 Char,Bullet Points Char"/>
    <w:basedOn w:val="DefaultParagraphFont"/>
    <w:link w:val="ListParagraph"/>
    <w:uiPriority w:val="34"/>
    <w:qFormat/>
    <w:locked/>
  </w:style>
  <w:style w:type="character" w:customStyle="1" w:styleId="Heading3Char">
    <w:name w:val="Heading 3 Char"/>
    <w:basedOn w:val="DefaultParagraphFont"/>
    <w:link w:val="Heading3"/>
    <w:uiPriority w:val="9"/>
    <w:rPr>
      <w:rFonts w:eastAsia="ヒラギノ角ゴ Pro W3" w:cstheme="majorBidi"/>
      <w:b/>
      <w:i/>
      <w:iCs/>
      <w:color w:val="17365D"/>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Cs/>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color w:val="272727" w:themeColor="text1" w:themeTint="D8"/>
      <w:sz w:val="21"/>
      <w:szCs w:val="21"/>
    </w:rPr>
  </w:style>
  <w:style w:type="paragraph" w:styleId="FootnoteText">
    <w:name w:val="footnote text"/>
    <w:basedOn w:val="Normal"/>
    <w:uiPriority w:val="99"/>
    <w:unhideWhenUsed/>
    <w:pPr>
      <w:spacing w:after="0" w:line="240" w:lineRule="auto"/>
      <w:jc w:val="both"/>
    </w:pPr>
    <w:rPr>
      <w:rFonts w:eastAsia="ヒラギノ角ゴ Pro W3" w:cs="Times New Roman"/>
      <w:iCs/>
      <w:szCs w:val="20"/>
    </w:rPr>
  </w:style>
  <w:style w:type="character" w:customStyle="1" w:styleId="FootnoteTextChar">
    <w:name w:val="Footnote Text Char"/>
    <w:basedOn w:val="DefaultParagraphFont"/>
    <w:uiPriority w:val="99"/>
    <w:rPr>
      <w:rFonts w:eastAsia="ヒラギノ角ゴ Pro W3" w:cs="Times New Roman"/>
      <w:iCs/>
      <w:szCs w:val="20"/>
    </w:rPr>
  </w:style>
  <w:style w:type="character" w:styleId="FootnoteReference">
    <w:name w:val="footnote reference"/>
    <w:basedOn w:val="DefaultParagraphFont"/>
    <w:uiPriority w:val="99"/>
    <w:unhideWhenUsed/>
    <w:rPr>
      <w:vertAlign w:val="superscript"/>
    </w:rPr>
  </w:style>
  <w:style w:type="table" w:customStyle="1" w:styleId="HTG1">
    <w:name w:val="HTG1"/>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HTG2">
    <w:name w:val="HTG2"/>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G3">
    <w:name w:val="HTG3"/>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G4">
    <w:name w:val="HTG4"/>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G5">
    <w:name w:val="HTG5"/>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G6">
    <w:name w:val="HTG6"/>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odyText">
    <w:name w:val="Body Text"/>
    <w:aliases w:val="EEA - Body Text"/>
    <w:basedOn w:val="Normal"/>
    <w:link w:val="BodyTextChar"/>
    <w:autoRedefine/>
    <w:qFormat/>
    <w:pPr>
      <w:numPr>
        <w:numId w:val="7"/>
      </w:numPr>
      <w:spacing w:after="160" w:line="259" w:lineRule="auto"/>
    </w:pPr>
    <w:rPr>
      <w:rFonts w:eastAsia="ヒラギノ角ゴ Pro W3" w:cs="Times New Roman"/>
      <w:color w:val="000000"/>
      <w:szCs w:val="20"/>
      <w:lang w:eastAsia="en-GB"/>
    </w:rPr>
  </w:style>
  <w:style w:type="character" w:customStyle="1" w:styleId="BodyTextChar">
    <w:name w:val="Body Text Char"/>
    <w:aliases w:val="EEA - Body Text Char"/>
    <w:basedOn w:val="DefaultParagraphFont"/>
    <w:link w:val="BodyText"/>
    <w:rPr>
      <w:rFonts w:eastAsia="ヒラギノ角ゴ Pro W3" w:cs="Times New Roman"/>
      <w:color w:val="000000"/>
      <w:szCs w:val="20"/>
      <w:lang w:eastAsia="en-GB"/>
    </w:rPr>
  </w:style>
  <w:style w:type="table" w:customStyle="1" w:styleId="HTG7">
    <w:name w:val="HTG7"/>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contextualSpacing/>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contextualSpacing/>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contextualSpacing/>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0593">
      <w:bodyDiv w:val="1"/>
      <w:marLeft w:val="0"/>
      <w:marRight w:val="0"/>
      <w:marTop w:val="0"/>
      <w:marBottom w:val="0"/>
      <w:divBdr>
        <w:top w:val="none" w:sz="0" w:space="0" w:color="auto"/>
        <w:left w:val="none" w:sz="0" w:space="0" w:color="auto"/>
        <w:bottom w:val="none" w:sz="0" w:space="0" w:color="auto"/>
        <w:right w:val="none" w:sz="0" w:space="0" w:color="auto"/>
      </w:divBdr>
      <w:divsChild>
        <w:div w:id="1396275877">
          <w:marLeft w:val="547"/>
          <w:marRight w:val="0"/>
          <w:marTop w:val="115"/>
          <w:marBottom w:val="0"/>
          <w:divBdr>
            <w:top w:val="none" w:sz="0" w:space="0" w:color="auto"/>
            <w:left w:val="none" w:sz="0" w:space="0" w:color="auto"/>
            <w:bottom w:val="none" w:sz="0" w:space="0" w:color="auto"/>
            <w:right w:val="none" w:sz="0" w:space="0" w:color="auto"/>
          </w:divBdr>
        </w:div>
        <w:div w:id="1548640616">
          <w:marLeft w:val="547"/>
          <w:marRight w:val="0"/>
          <w:marTop w:val="115"/>
          <w:marBottom w:val="0"/>
          <w:divBdr>
            <w:top w:val="none" w:sz="0" w:space="0" w:color="auto"/>
            <w:left w:val="none" w:sz="0" w:space="0" w:color="auto"/>
            <w:bottom w:val="none" w:sz="0" w:space="0" w:color="auto"/>
            <w:right w:val="none" w:sz="0" w:space="0" w:color="auto"/>
          </w:divBdr>
        </w:div>
      </w:divsChild>
    </w:div>
    <w:div w:id="144862763">
      <w:bodyDiv w:val="1"/>
      <w:marLeft w:val="0"/>
      <w:marRight w:val="0"/>
      <w:marTop w:val="0"/>
      <w:marBottom w:val="0"/>
      <w:divBdr>
        <w:top w:val="none" w:sz="0" w:space="0" w:color="auto"/>
        <w:left w:val="none" w:sz="0" w:space="0" w:color="auto"/>
        <w:bottom w:val="none" w:sz="0" w:space="0" w:color="auto"/>
        <w:right w:val="none" w:sz="0" w:space="0" w:color="auto"/>
      </w:divBdr>
      <w:divsChild>
        <w:div w:id="545064902">
          <w:marLeft w:val="547"/>
          <w:marRight w:val="0"/>
          <w:marTop w:val="86"/>
          <w:marBottom w:val="0"/>
          <w:divBdr>
            <w:top w:val="none" w:sz="0" w:space="0" w:color="auto"/>
            <w:left w:val="none" w:sz="0" w:space="0" w:color="auto"/>
            <w:bottom w:val="none" w:sz="0" w:space="0" w:color="auto"/>
            <w:right w:val="none" w:sz="0" w:space="0" w:color="auto"/>
          </w:divBdr>
        </w:div>
        <w:div w:id="1278416364">
          <w:marLeft w:val="547"/>
          <w:marRight w:val="0"/>
          <w:marTop w:val="86"/>
          <w:marBottom w:val="0"/>
          <w:divBdr>
            <w:top w:val="none" w:sz="0" w:space="0" w:color="auto"/>
            <w:left w:val="none" w:sz="0" w:space="0" w:color="auto"/>
            <w:bottom w:val="none" w:sz="0" w:space="0" w:color="auto"/>
            <w:right w:val="none" w:sz="0" w:space="0" w:color="auto"/>
          </w:divBdr>
        </w:div>
        <w:div w:id="1326938521">
          <w:marLeft w:val="547"/>
          <w:marRight w:val="0"/>
          <w:marTop w:val="86"/>
          <w:marBottom w:val="0"/>
          <w:divBdr>
            <w:top w:val="none" w:sz="0" w:space="0" w:color="auto"/>
            <w:left w:val="none" w:sz="0" w:space="0" w:color="auto"/>
            <w:bottom w:val="none" w:sz="0" w:space="0" w:color="auto"/>
            <w:right w:val="none" w:sz="0" w:space="0" w:color="auto"/>
          </w:divBdr>
        </w:div>
        <w:div w:id="1916235343">
          <w:marLeft w:val="547"/>
          <w:marRight w:val="0"/>
          <w:marTop w:val="86"/>
          <w:marBottom w:val="0"/>
          <w:divBdr>
            <w:top w:val="none" w:sz="0" w:space="0" w:color="auto"/>
            <w:left w:val="none" w:sz="0" w:space="0" w:color="auto"/>
            <w:bottom w:val="none" w:sz="0" w:space="0" w:color="auto"/>
            <w:right w:val="none" w:sz="0" w:space="0" w:color="auto"/>
          </w:divBdr>
        </w:div>
      </w:divsChild>
    </w:div>
    <w:div w:id="200896669">
      <w:bodyDiv w:val="1"/>
      <w:marLeft w:val="0"/>
      <w:marRight w:val="0"/>
      <w:marTop w:val="0"/>
      <w:marBottom w:val="0"/>
      <w:divBdr>
        <w:top w:val="none" w:sz="0" w:space="0" w:color="auto"/>
        <w:left w:val="none" w:sz="0" w:space="0" w:color="auto"/>
        <w:bottom w:val="none" w:sz="0" w:space="0" w:color="auto"/>
        <w:right w:val="none" w:sz="0" w:space="0" w:color="auto"/>
      </w:divBdr>
      <w:divsChild>
        <w:div w:id="510337513">
          <w:marLeft w:val="547"/>
          <w:marRight w:val="0"/>
          <w:marTop w:val="86"/>
          <w:marBottom w:val="0"/>
          <w:divBdr>
            <w:top w:val="none" w:sz="0" w:space="0" w:color="auto"/>
            <w:left w:val="none" w:sz="0" w:space="0" w:color="auto"/>
            <w:bottom w:val="none" w:sz="0" w:space="0" w:color="auto"/>
            <w:right w:val="none" w:sz="0" w:space="0" w:color="auto"/>
          </w:divBdr>
        </w:div>
        <w:div w:id="939870130">
          <w:marLeft w:val="547"/>
          <w:marRight w:val="0"/>
          <w:marTop w:val="86"/>
          <w:marBottom w:val="0"/>
          <w:divBdr>
            <w:top w:val="none" w:sz="0" w:space="0" w:color="auto"/>
            <w:left w:val="none" w:sz="0" w:space="0" w:color="auto"/>
            <w:bottom w:val="none" w:sz="0" w:space="0" w:color="auto"/>
            <w:right w:val="none" w:sz="0" w:space="0" w:color="auto"/>
          </w:divBdr>
        </w:div>
        <w:div w:id="1377852902">
          <w:marLeft w:val="547"/>
          <w:marRight w:val="0"/>
          <w:marTop w:val="86"/>
          <w:marBottom w:val="0"/>
          <w:divBdr>
            <w:top w:val="none" w:sz="0" w:space="0" w:color="auto"/>
            <w:left w:val="none" w:sz="0" w:space="0" w:color="auto"/>
            <w:bottom w:val="none" w:sz="0" w:space="0" w:color="auto"/>
            <w:right w:val="none" w:sz="0" w:space="0" w:color="auto"/>
          </w:divBdr>
        </w:div>
        <w:div w:id="2039156541">
          <w:marLeft w:val="547"/>
          <w:marRight w:val="0"/>
          <w:marTop w:val="86"/>
          <w:marBottom w:val="0"/>
          <w:divBdr>
            <w:top w:val="none" w:sz="0" w:space="0" w:color="auto"/>
            <w:left w:val="none" w:sz="0" w:space="0" w:color="auto"/>
            <w:bottom w:val="none" w:sz="0" w:space="0" w:color="auto"/>
            <w:right w:val="none" w:sz="0" w:space="0" w:color="auto"/>
          </w:divBdr>
        </w:div>
      </w:divsChild>
    </w:div>
    <w:div w:id="249657218">
      <w:bodyDiv w:val="1"/>
      <w:marLeft w:val="0"/>
      <w:marRight w:val="0"/>
      <w:marTop w:val="0"/>
      <w:marBottom w:val="0"/>
      <w:divBdr>
        <w:top w:val="none" w:sz="0" w:space="0" w:color="auto"/>
        <w:left w:val="none" w:sz="0" w:space="0" w:color="auto"/>
        <w:bottom w:val="none" w:sz="0" w:space="0" w:color="auto"/>
        <w:right w:val="none" w:sz="0" w:space="0" w:color="auto"/>
      </w:divBdr>
      <w:divsChild>
        <w:div w:id="30113353">
          <w:marLeft w:val="547"/>
          <w:marRight w:val="0"/>
          <w:marTop w:val="115"/>
          <w:marBottom w:val="0"/>
          <w:divBdr>
            <w:top w:val="none" w:sz="0" w:space="0" w:color="auto"/>
            <w:left w:val="none" w:sz="0" w:space="0" w:color="auto"/>
            <w:bottom w:val="none" w:sz="0" w:space="0" w:color="auto"/>
            <w:right w:val="none" w:sz="0" w:space="0" w:color="auto"/>
          </w:divBdr>
        </w:div>
        <w:div w:id="860321644">
          <w:marLeft w:val="547"/>
          <w:marRight w:val="0"/>
          <w:marTop w:val="115"/>
          <w:marBottom w:val="0"/>
          <w:divBdr>
            <w:top w:val="none" w:sz="0" w:space="0" w:color="auto"/>
            <w:left w:val="none" w:sz="0" w:space="0" w:color="auto"/>
            <w:bottom w:val="none" w:sz="0" w:space="0" w:color="auto"/>
            <w:right w:val="none" w:sz="0" w:space="0" w:color="auto"/>
          </w:divBdr>
        </w:div>
        <w:div w:id="1640962737">
          <w:marLeft w:val="547"/>
          <w:marRight w:val="0"/>
          <w:marTop w:val="115"/>
          <w:marBottom w:val="0"/>
          <w:divBdr>
            <w:top w:val="none" w:sz="0" w:space="0" w:color="auto"/>
            <w:left w:val="none" w:sz="0" w:space="0" w:color="auto"/>
            <w:bottom w:val="none" w:sz="0" w:space="0" w:color="auto"/>
            <w:right w:val="none" w:sz="0" w:space="0" w:color="auto"/>
          </w:divBdr>
        </w:div>
      </w:divsChild>
    </w:div>
    <w:div w:id="325283249">
      <w:bodyDiv w:val="1"/>
      <w:marLeft w:val="0"/>
      <w:marRight w:val="0"/>
      <w:marTop w:val="0"/>
      <w:marBottom w:val="0"/>
      <w:divBdr>
        <w:top w:val="none" w:sz="0" w:space="0" w:color="auto"/>
        <w:left w:val="none" w:sz="0" w:space="0" w:color="auto"/>
        <w:bottom w:val="none" w:sz="0" w:space="0" w:color="auto"/>
        <w:right w:val="none" w:sz="0" w:space="0" w:color="auto"/>
      </w:divBdr>
    </w:div>
    <w:div w:id="336231972">
      <w:bodyDiv w:val="1"/>
      <w:marLeft w:val="0"/>
      <w:marRight w:val="0"/>
      <w:marTop w:val="0"/>
      <w:marBottom w:val="0"/>
      <w:divBdr>
        <w:top w:val="none" w:sz="0" w:space="0" w:color="auto"/>
        <w:left w:val="none" w:sz="0" w:space="0" w:color="auto"/>
        <w:bottom w:val="none" w:sz="0" w:space="0" w:color="auto"/>
        <w:right w:val="none" w:sz="0" w:space="0" w:color="auto"/>
      </w:divBdr>
      <w:divsChild>
        <w:div w:id="23217114">
          <w:marLeft w:val="547"/>
          <w:marRight w:val="0"/>
          <w:marTop w:val="115"/>
          <w:marBottom w:val="0"/>
          <w:divBdr>
            <w:top w:val="none" w:sz="0" w:space="0" w:color="auto"/>
            <w:left w:val="none" w:sz="0" w:space="0" w:color="auto"/>
            <w:bottom w:val="none" w:sz="0" w:space="0" w:color="auto"/>
            <w:right w:val="none" w:sz="0" w:space="0" w:color="auto"/>
          </w:divBdr>
        </w:div>
        <w:div w:id="171919333">
          <w:marLeft w:val="547"/>
          <w:marRight w:val="0"/>
          <w:marTop w:val="115"/>
          <w:marBottom w:val="0"/>
          <w:divBdr>
            <w:top w:val="none" w:sz="0" w:space="0" w:color="auto"/>
            <w:left w:val="none" w:sz="0" w:space="0" w:color="auto"/>
            <w:bottom w:val="none" w:sz="0" w:space="0" w:color="auto"/>
            <w:right w:val="none" w:sz="0" w:space="0" w:color="auto"/>
          </w:divBdr>
        </w:div>
        <w:div w:id="401099658">
          <w:marLeft w:val="547"/>
          <w:marRight w:val="0"/>
          <w:marTop w:val="115"/>
          <w:marBottom w:val="0"/>
          <w:divBdr>
            <w:top w:val="none" w:sz="0" w:space="0" w:color="auto"/>
            <w:left w:val="none" w:sz="0" w:space="0" w:color="auto"/>
            <w:bottom w:val="none" w:sz="0" w:space="0" w:color="auto"/>
            <w:right w:val="none" w:sz="0" w:space="0" w:color="auto"/>
          </w:divBdr>
        </w:div>
        <w:div w:id="1676109372">
          <w:marLeft w:val="547"/>
          <w:marRight w:val="0"/>
          <w:marTop w:val="115"/>
          <w:marBottom w:val="0"/>
          <w:divBdr>
            <w:top w:val="none" w:sz="0" w:space="0" w:color="auto"/>
            <w:left w:val="none" w:sz="0" w:space="0" w:color="auto"/>
            <w:bottom w:val="none" w:sz="0" w:space="0" w:color="auto"/>
            <w:right w:val="none" w:sz="0" w:space="0" w:color="auto"/>
          </w:divBdr>
        </w:div>
      </w:divsChild>
    </w:div>
    <w:div w:id="453331561">
      <w:bodyDiv w:val="1"/>
      <w:marLeft w:val="0"/>
      <w:marRight w:val="0"/>
      <w:marTop w:val="0"/>
      <w:marBottom w:val="0"/>
      <w:divBdr>
        <w:top w:val="none" w:sz="0" w:space="0" w:color="auto"/>
        <w:left w:val="none" w:sz="0" w:space="0" w:color="auto"/>
        <w:bottom w:val="none" w:sz="0" w:space="0" w:color="auto"/>
        <w:right w:val="none" w:sz="0" w:space="0" w:color="auto"/>
      </w:divBdr>
      <w:divsChild>
        <w:div w:id="1973553213">
          <w:marLeft w:val="547"/>
          <w:marRight w:val="0"/>
          <w:marTop w:val="106"/>
          <w:marBottom w:val="0"/>
          <w:divBdr>
            <w:top w:val="none" w:sz="0" w:space="0" w:color="auto"/>
            <w:left w:val="none" w:sz="0" w:space="0" w:color="auto"/>
            <w:bottom w:val="none" w:sz="0" w:space="0" w:color="auto"/>
            <w:right w:val="none" w:sz="0" w:space="0" w:color="auto"/>
          </w:divBdr>
        </w:div>
        <w:div w:id="2004313609">
          <w:marLeft w:val="547"/>
          <w:marRight w:val="0"/>
          <w:marTop w:val="106"/>
          <w:marBottom w:val="0"/>
          <w:divBdr>
            <w:top w:val="none" w:sz="0" w:space="0" w:color="auto"/>
            <w:left w:val="none" w:sz="0" w:space="0" w:color="auto"/>
            <w:bottom w:val="none" w:sz="0" w:space="0" w:color="auto"/>
            <w:right w:val="none" w:sz="0" w:space="0" w:color="auto"/>
          </w:divBdr>
        </w:div>
      </w:divsChild>
    </w:div>
    <w:div w:id="482502114">
      <w:bodyDiv w:val="1"/>
      <w:marLeft w:val="0"/>
      <w:marRight w:val="0"/>
      <w:marTop w:val="0"/>
      <w:marBottom w:val="0"/>
      <w:divBdr>
        <w:top w:val="none" w:sz="0" w:space="0" w:color="auto"/>
        <w:left w:val="none" w:sz="0" w:space="0" w:color="auto"/>
        <w:bottom w:val="none" w:sz="0" w:space="0" w:color="auto"/>
        <w:right w:val="none" w:sz="0" w:space="0" w:color="auto"/>
      </w:divBdr>
      <w:divsChild>
        <w:div w:id="40180027">
          <w:marLeft w:val="547"/>
          <w:marRight w:val="0"/>
          <w:marTop w:val="86"/>
          <w:marBottom w:val="0"/>
          <w:divBdr>
            <w:top w:val="none" w:sz="0" w:space="0" w:color="auto"/>
            <w:left w:val="none" w:sz="0" w:space="0" w:color="auto"/>
            <w:bottom w:val="none" w:sz="0" w:space="0" w:color="auto"/>
            <w:right w:val="none" w:sz="0" w:space="0" w:color="auto"/>
          </w:divBdr>
        </w:div>
        <w:div w:id="128057585">
          <w:marLeft w:val="547"/>
          <w:marRight w:val="0"/>
          <w:marTop w:val="86"/>
          <w:marBottom w:val="0"/>
          <w:divBdr>
            <w:top w:val="none" w:sz="0" w:space="0" w:color="auto"/>
            <w:left w:val="none" w:sz="0" w:space="0" w:color="auto"/>
            <w:bottom w:val="none" w:sz="0" w:space="0" w:color="auto"/>
            <w:right w:val="none" w:sz="0" w:space="0" w:color="auto"/>
          </w:divBdr>
        </w:div>
        <w:div w:id="1065764765">
          <w:marLeft w:val="547"/>
          <w:marRight w:val="0"/>
          <w:marTop w:val="86"/>
          <w:marBottom w:val="0"/>
          <w:divBdr>
            <w:top w:val="none" w:sz="0" w:space="0" w:color="auto"/>
            <w:left w:val="none" w:sz="0" w:space="0" w:color="auto"/>
            <w:bottom w:val="none" w:sz="0" w:space="0" w:color="auto"/>
            <w:right w:val="none" w:sz="0" w:space="0" w:color="auto"/>
          </w:divBdr>
        </w:div>
        <w:div w:id="1819611068">
          <w:marLeft w:val="547"/>
          <w:marRight w:val="0"/>
          <w:marTop w:val="86"/>
          <w:marBottom w:val="0"/>
          <w:divBdr>
            <w:top w:val="none" w:sz="0" w:space="0" w:color="auto"/>
            <w:left w:val="none" w:sz="0" w:space="0" w:color="auto"/>
            <w:bottom w:val="none" w:sz="0" w:space="0" w:color="auto"/>
            <w:right w:val="none" w:sz="0" w:space="0" w:color="auto"/>
          </w:divBdr>
        </w:div>
      </w:divsChild>
    </w:div>
    <w:div w:id="631591434">
      <w:bodyDiv w:val="1"/>
      <w:marLeft w:val="0"/>
      <w:marRight w:val="0"/>
      <w:marTop w:val="0"/>
      <w:marBottom w:val="0"/>
      <w:divBdr>
        <w:top w:val="none" w:sz="0" w:space="0" w:color="auto"/>
        <w:left w:val="none" w:sz="0" w:space="0" w:color="auto"/>
        <w:bottom w:val="none" w:sz="0" w:space="0" w:color="auto"/>
        <w:right w:val="none" w:sz="0" w:space="0" w:color="auto"/>
      </w:divBdr>
      <w:divsChild>
        <w:div w:id="653536133">
          <w:marLeft w:val="446"/>
          <w:marRight w:val="0"/>
          <w:marTop w:val="77"/>
          <w:marBottom w:val="0"/>
          <w:divBdr>
            <w:top w:val="none" w:sz="0" w:space="0" w:color="auto"/>
            <w:left w:val="none" w:sz="0" w:space="0" w:color="auto"/>
            <w:bottom w:val="none" w:sz="0" w:space="0" w:color="auto"/>
            <w:right w:val="none" w:sz="0" w:space="0" w:color="auto"/>
          </w:divBdr>
        </w:div>
      </w:divsChild>
    </w:div>
    <w:div w:id="690108345">
      <w:bodyDiv w:val="1"/>
      <w:marLeft w:val="0"/>
      <w:marRight w:val="0"/>
      <w:marTop w:val="0"/>
      <w:marBottom w:val="0"/>
      <w:divBdr>
        <w:top w:val="none" w:sz="0" w:space="0" w:color="auto"/>
        <w:left w:val="none" w:sz="0" w:space="0" w:color="auto"/>
        <w:bottom w:val="none" w:sz="0" w:space="0" w:color="auto"/>
        <w:right w:val="none" w:sz="0" w:space="0" w:color="auto"/>
      </w:divBdr>
      <w:divsChild>
        <w:div w:id="424763518">
          <w:marLeft w:val="547"/>
          <w:marRight w:val="0"/>
          <w:marTop w:val="106"/>
          <w:marBottom w:val="0"/>
          <w:divBdr>
            <w:top w:val="none" w:sz="0" w:space="0" w:color="auto"/>
            <w:left w:val="none" w:sz="0" w:space="0" w:color="auto"/>
            <w:bottom w:val="none" w:sz="0" w:space="0" w:color="auto"/>
            <w:right w:val="none" w:sz="0" w:space="0" w:color="auto"/>
          </w:divBdr>
        </w:div>
        <w:div w:id="1799689502">
          <w:marLeft w:val="547"/>
          <w:marRight w:val="0"/>
          <w:marTop w:val="106"/>
          <w:marBottom w:val="0"/>
          <w:divBdr>
            <w:top w:val="none" w:sz="0" w:space="0" w:color="auto"/>
            <w:left w:val="none" w:sz="0" w:space="0" w:color="auto"/>
            <w:bottom w:val="none" w:sz="0" w:space="0" w:color="auto"/>
            <w:right w:val="none" w:sz="0" w:space="0" w:color="auto"/>
          </w:divBdr>
        </w:div>
        <w:div w:id="2100591369">
          <w:marLeft w:val="547"/>
          <w:marRight w:val="0"/>
          <w:marTop w:val="106"/>
          <w:marBottom w:val="0"/>
          <w:divBdr>
            <w:top w:val="none" w:sz="0" w:space="0" w:color="auto"/>
            <w:left w:val="none" w:sz="0" w:space="0" w:color="auto"/>
            <w:bottom w:val="none" w:sz="0" w:space="0" w:color="auto"/>
            <w:right w:val="none" w:sz="0" w:space="0" w:color="auto"/>
          </w:divBdr>
        </w:div>
      </w:divsChild>
    </w:div>
    <w:div w:id="692264281">
      <w:bodyDiv w:val="1"/>
      <w:marLeft w:val="0"/>
      <w:marRight w:val="0"/>
      <w:marTop w:val="0"/>
      <w:marBottom w:val="0"/>
      <w:divBdr>
        <w:top w:val="none" w:sz="0" w:space="0" w:color="auto"/>
        <w:left w:val="none" w:sz="0" w:space="0" w:color="auto"/>
        <w:bottom w:val="none" w:sz="0" w:space="0" w:color="auto"/>
        <w:right w:val="none" w:sz="0" w:space="0" w:color="auto"/>
      </w:divBdr>
      <w:divsChild>
        <w:div w:id="17390937">
          <w:marLeft w:val="720"/>
          <w:marRight w:val="0"/>
          <w:marTop w:val="96"/>
          <w:marBottom w:val="0"/>
          <w:divBdr>
            <w:top w:val="none" w:sz="0" w:space="0" w:color="auto"/>
            <w:left w:val="none" w:sz="0" w:space="0" w:color="auto"/>
            <w:bottom w:val="none" w:sz="0" w:space="0" w:color="auto"/>
            <w:right w:val="none" w:sz="0" w:space="0" w:color="auto"/>
          </w:divBdr>
        </w:div>
        <w:div w:id="534079233">
          <w:marLeft w:val="720"/>
          <w:marRight w:val="0"/>
          <w:marTop w:val="96"/>
          <w:marBottom w:val="0"/>
          <w:divBdr>
            <w:top w:val="none" w:sz="0" w:space="0" w:color="auto"/>
            <w:left w:val="none" w:sz="0" w:space="0" w:color="auto"/>
            <w:bottom w:val="none" w:sz="0" w:space="0" w:color="auto"/>
            <w:right w:val="none" w:sz="0" w:space="0" w:color="auto"/>
          </w:divBdr>
        </w:div>
        <w:div w:id="1340502661">
          <w:marLeft w:val="720"/>
          <w:marRight w:val="0"/>
          <w:marTop w:val="96"/>
          <w:marBottom w:val="0"/>
          <w:divBdr>
            <w:top w:val="none" w:sz="0" w:space="0" w:color="auto"/>
            <w:left w:val="none" w:sz="0" w:space="0" w:color="auto"/>
            <w:bottom w:val="none" w:sz="0" w:space="0" w:color="auto"/>
            <w:right w:val="none" w:sz="0" w:space="0" w:color="auto"/>
          </w:divBdr>
        </w:div>
      </w:divsChild>
    </w:div>
    <w:div w:id="725950733">
      <w:bodyDiv w:val="1"/>
      <w:marLeft w:val="0"/>
      <w:marRight w:val="0"/>
      <w:marTop w:val="0"/>
      <w:marBottom w:val="0"/>
      <w:divBdr>
        <w:top w:val="none" w:sz="0" w:space="0" w:color="auto"/>
        <w:left w:val="none" w:sz="0" w:space="0" w:color="auto"/>
        <w:bottom w:val="none" w:sz="0" w:space="0" w:color="auto"/>
        <w:right w:val="none" w:sz="0" w:space="0" w:color="auto"/>
      </w:divBdr>
      <w:divsChild>
        <w:div w:id="14501414">
          <w:marLeft w:val="547"/>
          <w:marRight w:val="0"/>
          <w:marTop w:val="115"/>
          <w:marBottom w:val="0"/>
          <w:divBdr>
            <w:top w:val="none" w:sz="0" w:space="0" w:color="auto"/>
            <w:left w:val="none" w:sz="0" w:space="0" w:color="auto"/>
            <w:bottom w:val="none" w:sz="0" w:space="0" w:color="auto"/>
            <w:right w:val="none" w:sz="0" w:space="0" w:color="auto"/>
          </w:divBdr>
        </w:div>
        <w:div w:id="159467209">
          <w:marLeft w:val="547"/>
          <w:marRight w:val="0"/>
          <w:marTop w:val="115"/>
          <w:marBottom w:val="0"/>
          <w:divBdr>
            <w:top w:val="none" w:sz="0" w:space="0" w:color="auto"/>
            <w:left w:val="none" w:sz="0" w:space="0" w:color="auto"/>
            <w:bottom w:val="none" w:sz="0" w:space="0" w:color="auto"/>
            <w:right w:val="none" w:sz="0" w:space="0" w:color="auto"/>
          </w:divBdr>
        </w:div>
        <w:div w:id="292565799">
          <w:marLeft w:val="547"/>
          <w:marRight w:val="0"/>
          <w:marTop w:val="115"/>
          <w:marBottom w:val="0"/>
          <w:divBdr>
            <w:top w:val="none" w:sz="0" w:space="0" w:color="auto"/>
            <w:left w:val="none" w:sz="0" w:space="0" w:color="auto"/>
            <w:bottom w:val="none" w:sz="0" w:space="0" w:color="auto"/>
            <w:right w:val="none" w:sz="0" w:space="0" w:color="auto"/>
          </w:divBdr>
        </w:div>
        <w:div w:id="1409767493">
          <w:marLeft w:val="547"/>
          <w:marRight w:val="0"/>
          <w:marTop w:val="115"/>
          <w:marBottom w:val="0"/>
          <w:divBdr>
            <w:top w:val="none" w:sz="0" w:space="0" w:color="auto"/>
            <w:left w:val="none" w:sz="0" w:space="0" w:color="auto"/>
            <w:bottom w:val="none" w:sz="0" w:space="0" w:color="auto"/>
            <w:right w:val="none" w:sz="0" w:space="0" w:color="auto"/>
          </w:divBdr>
        </w:div>
      </w:divsChild>
    </w:div>
    <w:div w:id="833759114">
      <w:bodyDiv w:val="1"/>
      <w:marLeft w:val="0"/>
      <w:marRight w:val="0"/>
      <w:marTop w:val="0"/>
      <w:marBottom w:val="0"/>
      <w:divBdr>
        <w:top w:val="none" w:sz="0" w:space="0" w:color="auto"/>
        <w:left w:val="none" w:sz="0" w:space="0" w:color="auto"/>
        <w:bottom w:val="none" w:sz="0" w:space="0" w:color="auto"/>
        <w:right w:val="none" w:sz="0" w:space="0" w:color="auto"/>
      </w:divBdr>
      <w:divsChild>
        <w:div w:id="10306345">
          <w:marLeft w:val="547"/>
          <w:marRight w:val="0"/>
          <w:marTop w:val="96"/>
          <w:marBottom w:val="0"/>
          <w:divBdr>
            <w:top w:val="none" w:sz="0" w:space="0" w:color="auto"/>
            <w:left w:val="none" w:sz="0" w:space="0" w:color="auto"/>
            <w:bottom w:val="none" w:sz="0" w:space="0" w:color="auto"/>
            <w:right w:val="none" w:sz="0" w:space="0" w:color="auto"/>
          </w:divBdr>
        </w:div>
        <w:div w:id="143665433">
          <w:marLeft w:val="547"/>
          <w:marRight w:val="0"/>
          <w:marTop w:val="96"/>
          <w:marBottom w:val="0"/>
          <w:divBdr>
            <w:top w:val="none" w:sz="0" w:space="0" w:color="auto"/>
            <w:left w:val="none" w:sz="0" w:space="0" w:color="auto"/>
            <w:bottom w:val="none" w:sz="0" w:space="0" w:color="auto"/>
            <w:right w:val="none" w:sz="0" w:space="0" w:color="auto"/>
          </w:divBdr>
        </w:div>
        <w:div w:id="1185173507">
          <w:marLeft w:val="547"/>
          <w:marRight w:val="0"/>
          <w:marTop w:val="96"/>
          <w:marBottom w:val="0"/>
          <w:divBdr>
            <w:top w:val="none" w:sz="0" w:space="0" w:color="auto"/>
            <w:left w:val="none" w:sz="0" w:space="0" w:color="auto"/>
            <w:bottom w:val="none" w:sz="0" w:space="0" w:color="auto"/>
            <w:right w:val="none" w:sz="0" w:space="0" w:color="auto"/>
          </w:divBdr>
        </w:div>
        <w:div w:id="1677538199">
          <w:marLeft w:val="547"/>
          <w:marRight w:val="0"/>
          <w:marTop w:val="96"/>
          <w:marBottom w:val="0"/>
          <w:divBdr>
            <w:top w:val="none" w:sz="0" w:space="0" w:color="auto"/>
            <w:left w:val="none" w:sz="0" w:space="0" w:color="auto"/>
            <w:bottom w:val="none" w:sz="0" w:space="0" w:color="auto"/>
            <w:right w:val="none" w:sz="0" w:space="0" w:color="auto"/>
          </w:divBdr>
        </w:div>
      </w:divsChild>
    </w:div>
    <w:div w:id="968512392">
      <w:bodyDiv w:val="1"/>
      <w:marLeft w:val="0"/>
      <w:marRight w:val="0"/>
      <w:marTop w:val="0"/>
      <w:marBottom w:val="0"/>
      <w:divBdr>
        <w:top w:val="none" w:sz="0" w:space="0" w:color="auto"/>
        <w:left w:val="none" w:sz="0" w:space="0" w:color="auto"/>
        <w:bottom w:val="none" w:sz="0" w:space="0" w:color="auto"/>
        <w:right w:val="none" w:sz="0" w:space="0" w:color="auto"/>
      </w:divBdr>
      <w:divsChild>
        <w:div w:id="8220587">
          <w:marLeft w:val="446"/>
          <w:marRight w:val="0"/>
          <w:marTop w:val="86"/>
          <w:marBottom w:val="0"/>
          <w:divBdr>
            <w:top w:val="none" w:sz="0" w:space="0" w:color="auto"/>
            <w:left w:val="none" w:sz="0" w:space="0" w:color="auto"/>
            <w:bottom w:val="none" w:sz="0" w:space="0" w:color="auto"/>
            <w:right w:val="none" w:sz="0" w:space="0" w:color="auto"/>
          </w:divBdr>
        </w:div>
        <w:div w:id="26297765">
          <w:marLeft w:val="446"/>
          <w:marRight w:val="0"/>
          <w:marTop w:val="0"/>
          <w:marBottom w:val="0"/>
          <w:divBdr>
            <w:top w:val="none" w:sz="0" w:space="0" w:color="auto"/>
            <w:left w:val="none" w:sz="0" w:space="0" w:color="auto"/>
            <w:bottom w:val="none" w:sz="0" w:space="0" w:color="auto"/>
            <w:right w:val="none" w:sz="0" w:space="0" w:color="auto"/>
          </w:divBdr>
        </w:div>
        <w:div w:id="604193114">
          <w:marLeft w:val="446"/>
          <w:marRight w:val="0"/>
          <w:marTop w:val="86"/>
          <w:marBottom w:val="0"/>
          <w:divBdr>
            <w:top w:val="none" w:sz="0" w:space="0" w:color="auto"/>
            <w:left w:val="none" w:sz="0" w:space="0" w:color="auto"/>
            <w:bottom w:val="none" w:sz="0" w:space="0" w:color="auto"/>
            <w:right w:val="none" w:sz="0" w:space="0" w:color="auto"/>
          </w:divBdr>
        </w:div>
        <w:div w:id="891380635">
          <w:marLeft w:val="446"/>
          <w:marRight w:val="0"/>
          <w:marTop w:val="86"/>
          <w:marBottom w:val="0"/>
          <w:divBdr>
            <w:top w:val="none" w:sz="0" w:space="0" w:color="auto"/>
            <w:left w:val="none" w:sz="0" w:space="0" w:color="auto"/>
            <w:bottom w:val="none" w:sz="0" w:space="0" w:color="auto"/>
            <w:right w:val="none" w:sz="0" w:space="0" w:color="auto"/>
          </w:divBdr>
        </w:div>
        <w:div w:id="1326855853">
          <w:marLeft w:val="446"/>
          <w:marRight w:val="0"/>
          <w:marTop w:val="86"/>
          <w:marBottom w:val="0"/>
          <w:divBdr>
            <w:top w:val="none" w:sz="0" w:space="0" w:color="auto"/>
            <w:left w:val="none" w:sz="0" w:space="0" w:color="auto"/>
            <w:bottom w:val="none" w:sz="0" w:space="0" w:color="auto"/>
            <w:right w:val="none" w:sz="0" w:space="0" w:color="auto"/>
          </w:divBdr>
        </w:div>
        <w:div w:id="1652755591">
          <w:marLeft w:val="446"/>
          <w:marRight w:val="0"/>
          <w:marTop w:val="0"/>
          <w:marBottom w:val="0"/>
          <w:divBdr>
            <w:top w:val="none" w:sz="0" w:space="0" w:color="auto"/>
            <w:left w:val="none" w:sz="0" w:space="0" w:color="auto"/>
            <w:bottom w:val="none" w:sz="0" w:space="0" w:color="auto"/>
            <w:right w:val="none" w:sz="0" w:space="0" w:color="auto"/>
          </w:divBdr>
        </w:div>
      </w:divsChild>
    </w:div>
    <w:div w:id="992488102">
      <w:bodyDiv w:val="1"/>
      <w:marLeft w:val="0"/>
      <w:marRight w:val="0"/>
      <w:marTop w:val="0"/>
      <w:marBottom w:val="0"/>
      <w:divBdr>
        <w:top w:val="none" w:sz="0" w:space="0" w:color="auto"/>
        <w:left w:val="none" w:sz="0" w:space="0" w:color="auto"/>
        <w:bottom w:val="none" w:sz="0" w:space="0" w:color="auto"/>
        <w:right w:val="none" w:sz="0" w:space="0" w:color="auto"/>
      </w:divBdr>
      <w:divsChild>
        <w:div w:id="118306263">
          <w:marLeft w:val="547"/>
          <w:marRight w:val="0"/>
          <w:marTop w:val="82"/>
          <w:marBottom w:val="0"/>
          <w:divBdr>
            <w:top w:val="none" w:sz="0" w:space="0" w:color="auto"/>
            <w:left w:val="none" w:sz="0" w:space="0" w:color="auto"/>
            <w:bottom w:val="none" w:sz="0" w:space="0" w:color="auto"/>
            <w:right w:val="none" w:sz="0" w:space="0" w:color="auto"/>
          </w:divBdr>
        </w:div>
        <w:div w:id="306446346">
          <w:marLeft w:val="446"/>
          <w:marRight w:val="0"/>
          <w:marTop w:val="82"/>
          <w:marBottom w:val="0"/>
          <w:divBdr>
            <w:top w:val="none" w:sz="0" w:space="0" w:color="auto"/>
            <w:left w:val="none" w:sz="0" w:space="0" w:color="auto"/>
            <w:bottom w:val="none" w:sz="0" w:space="0" w:color="auto"/>
            <w:right w:val="none" w:sz="0" w:space="0" w:color="auto"/>
          </w:divBdr>
        </w:div>
        <w:div w:id="413090796">
          <w:marLeft w:val="547"/>
          <w:marRight w:val="0"/>
          <w:marTop w:val="82"/>
          <w:marBottom w:val="0"/>
          <w:divBdr>
            <w:top w:val="none" w:sz="0" w:space="0" w:color="auto"/>
            <w:left w:val="none" w:sz="0" w:space="0" w:color="auto"/>
            <w:bottom w:val="none" w:sz="0" w:space="0" w:color="auto"/>
            <w:right w:val="none" w:sz="0" w:space="0" w:color="auto"/>
          </w:divBdr>
        </w:div>
        <w:div w:id="505051249">
          <w:marLeft w:val="547"/>
          <w:marRight w:val="0"/>
          <w:marTop w:val="82"/>
          <w:marBottom w:val="0"/>
          <w:divBdr>
            <w:top w:val="none" w:sz="0" w:space="0" w:color="auto"/>
            <w:left w:val="none" w:sz="0" w:space="0" w:color="auto"/>
            <w:bottom w:val="none" w:sz="0" w:space="0" w:color="auto"/>
            <w:right w:val="none" w:sz="0" w:space="0" w:color="auto"/>
          </w:divBdr>
        </w:div>
        <w:div w:id="560796562">
          <w:marLeft w:val="547"/>
          <w:marRight w:val="0"/>
          <w:marTop w:val="82"/>
          <w:marBottom w:val="0"/>
          <w:divBdr>
            <w:top w:val="none" w:sz="0" w:space="0" w:color="auto"/>
            <w:left w:val="none" w:sz="0" w:space="0" w:color="auto"/>
            <w:bottom w:val="none" w:sz="0" w:space="0" w:color="auto"/>
            <w:right w:val="none" w:sz="0" w:space="0" w:color="auto"/>
          </w:divBdr>
        </w:div>
        <w:div w:id="666443388">
          <w:marLeft w:val="547"/>
          <w:marRight w:val="0"/>
          <w:marTop w:val="82"/>
          <w:marBottom w:val="0"/>
          <w:divBdr>
            <w:top w:val="none" w:sz="0" w:space="0" w:color="auto"/>
            <w:left w:val="none" w:sz="0" w:space="0" w:color="auto"/>
            <w:bottom w:val="none" w:sz="0" w:space="0" w:color="auto"/>
            <w:right w:val="none" w:sz="0" w:space="0" w:color="auto"/>
          </w:divBdr>
        </w:div>
        <w:div w:id="1540821205">
          <w:marLeft w:val="547"/>
          <w:marRight w:val="0"/>
          <w:marTop w:val="82"/>
          <w:marBottom w:val="0"/>
          <w:divBdr>
            <w:top w:val="none" w:sz="0" w:space="0" w:color="auto"/>
            <w:left w:val="none" w:sz="0" w:space="0" w:color="auto"/>
            <w:bottom w:val="none" w:sz="0" w:space="0" w:color="auto"/>
            <w:right w:val="none" w:sz="0" w:space="0" w:color="auto"/>
          </w:divBdr>
        </w:div>
      </w:divsChild>
    </w:div>
    <w:div w:id="1042248920">
      <w:bodyDiv w:val="1"/>
      <w:marLeft w:val="0"/>
      <w:marRight w:val="0"/>
      <w:marTop w:val="0"/>
      <w:marBottom w:val="0"/>
      <w:divBdr>
        <w:top w:val="none" w:sz="0" w:space="0" w:color="auto"/>
        <w:left w:val="none" w:sz="0" w:space="0" w:color="auto"/>
        <w:bottom w:val="none" w:sz="0" w:space="0" w:color="auto"/>
        <w:right w:val="none" w:sz="0" w:space="0" w:color="auto"/>
      </w:divBdr>
    </w:div>
    <w:div w:id="1046761426">
      <w:bodyDiv w:val="1"/>
      <w:marLeft w:val="0"/>
      <w:marRight w:val="0"/>
      <w:marTop w:val="0"/>
      <w:marBottom w:val="0"/>
      <w:divBdr>
        <w:top w:val="none" w:sz="0" w:space="0" w:color="auto"/>
        <w:left w:val="none" w:sz="0" w:space="0" w:color="auto"/>
        <w:bottom w:val="none" w:sz="0" w:space="0" w:color="auto"/>
        <w:right w:val="none" w:sz="0" w:space="0" w:color="auto"/>
      </w:divBdr>
      <w:divsChild>
        <w:div w:id="1200240395">
          <w:marLeft w:val="547"/>
          <w:marRight w:val="0"/>
          <w:marTop w:val="106"/>
          <w:marBottom w:val="0"/>
          <w:divBdr>
            <w:top w:val="none" w:sz="0" w:space="0" w:color="auto"/>
            <w:left w:val="none" w:sz="0" w:space="0" w:color="auto"/>
            <w:bottom w:val="none" w:sz="0" w:space="0" w:color="auto"/>
            <w:right w:val="none" w:sz="0" w:space="0" w:color="auto"/>
          </w:divBdr>
        </w:div>
        <w:div w:id="1835100537">
          <w:marLeft w:val="547"/>
          <w:marRight w:val="0"/>
          <w:marTop w:val="106"/>
          <w:marBottom w:val="0"/>
          <w:divBdr>
            <w:top w:val="none" w:sz="0" w:space="0" w:color="auto"/>
            <w:left w:val="none" w:sz="0" w:space="0" w:color="auto"/>
            <w:bottom w:val="none" w:sz="0" w:space="0" w:color="auto"/>
            <w:right w:val="none" w:sz="0" w:space="0" w:color="auto"/>
          </w:divBdr>
        </w:div>
      </w:divsChild>
    </w:div>
    <w:div w:id="1239176036">
      <w:bodyDiv w:val="1"/>
      <w:marLeft w:val="0"/>
      <w:marRight w:val="0"/>
      <w:marTop w:val="0"/>
      <w:marBottom w:val="0"/>
      <w:divBdr>
        <w:top w:val="none" w:sz="0" w:space="0" w:color="auto"/>
        <w:left w:val="none" w:sz="0" w:space="0" w:color="auto"/>
        <w:bottom w:val="none" w:sz="0" w:space="0" w:color="auto"/>
        <w:right w:val="none" w:sz="0" w:space="0" w:color="auto"/>
      </w:divBdr>
    </w:div>
    <w:div w:id="1261135173">
      <w:bodyDiv w:val="1"/>
      <w:marLeft w:val="0"/>
      <w:marRight w:val="0"/>
      <w:marTop w:val="0"/>
      <w:marBottom w:val="0"/>
      <w:divBdr>
        <w:top w:val="none" w:sz="0" w:space="0" w:color="auto"/>
        <w:left w:val="none" w:sz="0" w:space="0" w:color="auto"/>
        <w:bottom w:val="none" w:sz="0" w:space="0" w:color="auto"/>
        <w:right w:val="none" w:sz="0" w:space="0" w:color="auto"/>
      </w:divBdr>
      <w:divsChild>
        <w:div w:id="632835312">
          <w:marLeft w:val="547"/>
          <w:marRight w:val="0"/>
          <w:marTop w:val="115"/>
          <w:marBottom w:val="0"/>
          <w:divBdr>
            <w:top w:val="none" w:sz="0" w:space="0" w:color="auto"/>
            <w:left w:val="none" w:sz="0" w:space="0" w:color="auto"/>
            <w:bottom w:val="none" w:sz="0" w:space="0" w:color="auto"/>
            <w:right w:val="none" w:sz="0" w:space="0" w:color="auto"/>
          </w:divBdr>
        </w:div>
        <w:div w:id="803737343">
          <w:marLeft w:val="547"/>
          <w:marRight w:val="0"/>
          <w:marTop w:val="115"/>
          <w:marBottom w:val="0"/>
          <w:divBdr>
            <w:top w:val="none" w:sz="0" w:space="0" w:color="auto"/>
            <w:left w:val="none" w:sz="0" w:space="0" w:color="auto"/>
            <w:bottom w:val="none" w:sz="0" w:space="0" w:color="auto"/>
            <w:right w:val="none" w:sz="0" w:space="0" w:color="auto"/>
          </w:divBdr>
        </w:div>
        <w:div w:id="1463572182">
          <w:marLeft w:val="547"/>
          <w:marRight w:val="0"/>
          <w:marTop w:val="115"/>
          <w:marBottom w:val="0"/>
          <w:divBdr>
            <w:top w:val="none" w:sz="0" w:space="0" w:color="auto"/>
            <w:left w:val="none" w:sz="0" w:space="0" w:color="auto"/>
            <w:bottom w:val="none" w:sz="0" w:space="0" w:color="auto"/>
            <w:right w:val="none" w:sz="0" w:space="0" w:color="auto"/>
          </w:divBdr>
        </w:div>
      </w:divsChild>
    </w:div>
    <w:div w:id="1332874663">
      <w:bodyDiv w:val="1"/>
      <w:marLeft w:val="0"/>
      <w:marRight w:val="0"/>
      <w:marTop w:val="0"/>
      <w:marBottom w:val="0"/>
      <w:divBdr>
        <w:top w:val="none" w:sz="0" w:space="0" w:color="auto"/>
        <w:left w:val="none" w:sz="0" w:space="0" w:color="auto"/>
        <w:bottom w:val="none" w:sz="0" w:space="0" w:color="auto"/>
        <w:right w:val="none" w:sz="0" w:space="0" w:color="auto"/>
      </w:divBdr>
    </w:div>
    <w:div w:id="1448085942">
      <w:bodyDiv w:val="1"/>
      <w:marLeft w:val="0"/>
      <w:marRight w:val="0"/>
      <w:marTop w:val="0"/>
      <w:marBottom w:val="0"/>
      <w:divBdr>
        <w:top w:val="none" w:sz="0" w:space="0" w:color="auto"/>
        <w:left w:val="none" w:sz="0" w:space="0" w:color="auto"/>
        <w:bottom w:val="none" w:sz="0" w:space="0" w:color="auto"/>
        <w:right w:val="none" w:sz="0" w:space="0" w:color="auto"/>
      </w:divBdr>
      <w:divsChild>
        <w:div w:id="125240172">
          <w:marLeft w:val="547"/>
          <w:marRight w:val="0"/>
          <w:marTop w:val="106"/>
          <w:marBottom w:val="0"/>
          <w:divBdr>
            <w:top w:val="none" w:sz="0" w:space="0" w:color="auto"/>
            <w:left w:val="none" w:sz="0" w:space="0" w:color="auto"/>
            <w:bottom w:val="none" w:sz="0" w:space="0" w:color="auto"/>
            <w:right w:val="none" w:sz="0" w:space="0" w:color="auto"/>
          </w:divBdr>
        </w:div>
        <w:div w:id="391125269">
          <w:marLeft w:val="547"/>
          <w:marRight w:val="0"/>
          <w:marTop w:val="106"/>
          <w:marBottom w:val="0"/>
          <w:divBdr>
            <w:top w:val="none" w:sz="0" w:space="0" w:color="auto"/>
            <w:left w:val="none" w:sz="0" w:space="0" w:color="auto"/>
            <w:bottom w:val="none" w:sz="0" w:space="0" w:color="auto"/>
            <w:right w:val="none" w:sz="0" w:space="0" w:color="auto"/>
          </w:divBdr>
        </w:div>
        <w:div w:id="503086300">
          <w:marLeft w:val="547"/>
          <w:marRight w:val="0"/>
          <w:marTop w:val="106"/>
          <w:marBottom w:val="0"/>
          <w:divBdr>
            <w:top w:val="none" w:sz="0" w:space="0" w:color="auto"/>
            <w:left w:val="none" w:sz="0" w:space="0" w:color="auto"/>
            <w:bottom w:val="none" w:sz="0" w:space="0" w:color="auto"/>
            <w:right w:val="none" w:sz="0" w:space="0" w:color="auto"/>
          </w:divBdr>
        </w:div>
        <w:div w:id="1162623435">
          <w:marLeft w:val="547"/>
          <w:marRight w:val="0"/>
          <w:marTop w:val="106"/>
          <w:marBottom w:val="0"/>
          <w:divBdr>
            <w:top w:val="none" w:sz="0" w:space="0" w:color="auto"/>
            <w:left w:val="none" w:sz="0" w:space="0" w:color="auto"/>
            <w:bottom w:val="none" w:sz="0" w:space="0" w:color="auto"/>
            <w:right w:val="none" w:sz="0" w:space="0" w:color="auto"/>
          </w:divBdr>
        </w:div>
        <w:div w:id="2095546269">
          <w:marLeft w:val="547"/>
          <w:marRight w:val="0"/>
          <w:marTop w:val="106"/>
          <w:marBottom w:val="0"/>
          <w:divBdr>
            <w:top w:val="none" w:sz="0" w:space="0" w:color="auto"/>
            <w:left w:val="none" w:sz="0" w:space="0" w:color="auto"/>
            <w:bottom w:val="none" w:sz="0" w:space="0" w:color="auto"/>
            <w:right w:val="none" w:sz="0" w:space="0" w:color="auto"/>
          </w:divBdr>
        </w:div>
      </w:divsChild>
    </w:div>
    <w:div w:id="1485002361">
      <w:bodyDiv w:val="1"/>
      <w:marLeft w:val="0"/>
      <w:marRight w:val="0"/>
      <w:marTop w:val="0"/>
      <w:marBottom w:val="0"/>
      <w:divBdr>
        <w:top w:val="none" w:sz="0" w:space="0" w:color="auto"/>
        <w:left w:val="none" w:sz="0" w:space="0" w:color="auto"/>
        <w:bottom w:val="none" w:sz="0" w:space="0" w:color="auto"/>
        <w:right w:val="none" w:sz="0" w:space="0" w:color="auto"/>
      </w:divBdr>
      <w:divsChild>
        <w:div w:id="319895932">
          <w:marLeft w:val="547"/>
          <w:marRight w:val="0"/>
          <w:marTop w:val="134"/>
          <w:marBottom w:val="0"/>
          <w:divBdr>
            <w:top w:val="none" w:sz="0" w:space="0" w:color="auto"/>
            <w:left w:val="none" w:sz="0" w:space="0" w:color="auto"/>
            <w:bottom w:val="none" w:sz="0" w:space="0" w:color="auto"/>
            <w:right w:val="none" w:sz="0" w:space="0" w:color="auto"/>
          </w:divBdr>
        </w:div>
        <w:div w:id="820582436">
          <w:marLeft w:val="547"/>
          <w:marRight w:val="0"/>
          <w:marTop w:val="134"/>
          <w:marBottom w:val="0"/>
          <w:divBdr>
            <w:top w:val="none" w:sz="0" w:space="0" w:color="auto"/>
            <w:left w:val="none" w:sz="0" w:space="0" w:color="auto"/>
            <w:bottom w:val="none" w:sz="0" w:space="0" w:color="auto"/>
            <w:right w:val="none" w:sz="0" w:space="0" w:color="auto"/>
          </w:divBdr>
        </w:div>
        <w:div w:id="2121217883">
          <w:marLeft w:val="547"/>
          <w:marRight w:val="0"/>
          <w:marTop w:val="134"/>
          <w:marBottom w:val="0"/>
          <w:divBdr>
            <w:top w:val="none" w:sz="0" w:space="0" w:color="auto"/>
            <w:left w:val="none" w:sz="0" w:space="0" w:color="auto"/>
            <w:bottom w:val="none" w:sz="0" w:space="0" w:color="auto"/>
            <w:right w:val="none" w:sz="0" w:space="0" w:color="auto"/>
          </w:divBdr>
        </w:div>
      </w:divsChild>
    </w:div>
    <w:div w:id="1584877481">
      <w:bodyDiv w:val="1"/>
      <w:marLeft w:val="0"/>
      <w:marRight w:val="0"/>
      <w:marTop w:val="0"/>
      <w:marBottom w:val="0"/>
      <w:divBdr>
        <w:top w:val="none" w:sz="0" w:space="0" w:color="auto"/>
        <w:left w:val="none" w:sz="0" w:space="0" w:color="auto"/>
        <w:bottom w:val="none" w:sz="0" w:space="0" w:color="auto"/>
        <w:right w:val="none" w:sz="0" w:space="0" w:color="auto"/>
      </w:divBdr>
      <w:divsChild>
        <w:div w:id="286744003">
          <w:marLeft w:val="547"/>
          <w:marRight w:val="0"/>
          <w:marTop w:val="115"/>
          <w:marBottom w:val="0"/>
          <w:divBdr>
            <w:top w:val="none" w:sz="0" w:space="0" w:color="auto"/>
            <w:left w:val="none" w:sz="0" w:space="0" w:color="auto"/>
            <w:bottom w:val="none" w:sz="0" w:space="0" w:color="auto"/>
            <w:right w:val="none" w:sz="0" w:space="0" w:color="auto"/>
          </w:divBdr>
        </w:div>
        <w:div w:id="289897360">
          <w:marLeft w:val="1166"/>
          <w:marRight w:val="0"/>
          <w:marTop w:val="96"/>
          <w:marBottom w:val="0"/>
          <w:divBdr>
            <w:top w:val="none" w:sz="0" w:space="0" w:color="auto"/>
            <w:left w:val="none" w:sz="0" w:space="0" w:color="auto"/>
            <w:bottom w:val="none" w:sz="0" w:space="0" w:color="auto"/>
            <w:right w:val="none" w:sz="0" w:space="0" w:color="auto"/>
          </w:divBdr>
        </w:div>
        <w:div w:id="321470567">
          <w:marLeft w:val="1166"/>
          <w:marRight w:val="0"/>
          <w:marTop w:val="96"/>
          <w:marBottom w:val="0"/>
          <w:divBdr>
            <w:top w:val="none" w:sz="0" w:space="0" w:color="auto"/>
            <w:left w:val="none" w:sz="0" w:space="0" w:color="auto"/>
            <w:bottom w:val="none" w:sz="0" w:space="0" w:color="auto"/>
            <w:right w:val="none" w:sz="0" w:space="0" w:color="auto"/>
          </w:divBdr>
        </w:div>
        <w:div w:id="327640973">
          <w:marLeft w:val="547"/>
          <w:marRight w:val="0"/>
          <w:marTop w:val="115"/>
          <w:marBottom w:val="0"/>
          <w:divBdr>
            <w:top w:val="none" w:sz="0" w:space="0" w:color="auto"/>
            <w:left w:val="none" w:sz="0" w:space="0" w:color="auto"/>
            <w:bottom w:val="none" w:sz="0" w:space="0" w:color="auto"/>
            <w:right w:val="none" w:sz="0" w:space="0" w:color="auto"/>
          </w:divBdr>
        </w:div>
        <w:div w:id="517353795">
          <w:marLeft w:val="1166"/>
          <w:marRight w:val="0"/>
          <w:marTop w:val="96"/>
          <w:marBottom w:val="0"/>
          <w:divBdr>
            <w:top w:val="none" w:sz="0" w:space="0" w:color="auto"/>
            <w:left w:val="none" w:sz="0" w:space="0" w:color="auto"/>
            <w:bottom w:val="none" w:sz="0" w:space="0" w:color="auto"/>
            <w:right w:val="none" w:sz="0" w:space="0" w:color="auto"/>
          </w:divBdr>
        </w:div>
        <w:div w:id="866719950">
          <w:marLeft w:val="547"/>
          <w:marRight w:val="0"/>
          <w:marTop w:val="115"/>
          <w:marBottom w:val="0"/>
          <w:divBdr>
            <w:top w:val="none" w:sz="0" w:space="0" w:color="auto"/>
            <w:left w:val="none" w:sz="0" w:space="0" w:color="auto"/>
            <w:bottom w:val="none" w:sz="0" w:space="0" w:color="auto"/>
            <w:right w:val="none" w:sz="0" w:space="0" w:color="auto"/>
          </w:divBdr>
        </w:div>
        <w:div w:id="1631520220">
          <w:marLeft w:val="547"/>
          <w:marRight w:val="0"/>
          <w:marTop w:val="115"/>
          <w:marBottom w:val="0"/>
          <w:divBdr>
            <w:top w:val="none" w:sz="0" w:space="0" w:color="auto"/>
            <w:left w:val="none" w:sz="0" w:space="0" w:color="auto"/>
            <w:bottom w:val="none" w:sz="0" w:space="0" w:color="auto"/>
            <w:right w:val="none" w:sz="0" w:space="0" w:color="auto"/>
          </w:divBdr>
        </w:div>
      </w:divsChild>
    </w:div>
    <w:div w:id="1588880712">
      <w:bodyDiv w:val="1"/>
      <w:marLeft w:val="0"/>
      <w:marRight w:val="0"/>
      <w:marTop w:val="0"/>
      <w:marBottom w:val="0"/>
      <w:divBdr>
        <w:top w:val="none" w:sz="0" w:space="0" w:color="auto"/>
        <w:left w:val="none" w:sz="0" w:space="0" w:color="auto"/>
        <w:bottom w:val="none" w:sz="0" w:space="0" w:color="auto"/>
        <w:right w:val="none" w:sz="0" w:space="0" w:color="auto"/>
      </w:divBdr>
      <w:divsChild>
        <w:div w:id="888876115">
          <w:marLeft w:val="547"/>
          <w:marRight w:val="0"/>
          <w:marTop w:val="115"/>
          <w:marBottom w:val="0"/>
          <w:divBdr>
            <w:top w:val="none" w:sz="0" w:space="0" w:color="auto"/>
            <w:left w:val="none" w:sz="0" w:space="0" w:color="auto"/>
            <w:bottom w:val="none" w:sz="0" w:space="0" w:color="auto"/>
            <w:right w:val="none" w:sz="0" w:space="0" w:color="auto"/>
          </w:divBdr>
        </w:div>
        <w:div w:id="1565529455">
          <w:marLeft w:val="547"/>
          <w:marRight w:val="0"/>
          <w:marTop w:val="115"/>
          <w:marBottom w:val="0"/>
          <w:divBdr>
            <w:top w:val="none" w:sz="0" w:space="0" w:color="auto"/>
            <w:left w:val="none" w:sz="0" w:space="0" w:color="auto"/>
            <w:bottom w:val="none" w:sz="0" w:space="0" w:color="auto"/>
            <w:right w:val="none" w:sz="0" w:space="0" w:color="auto"/>
          </w:divBdr>
        </w:div>
        <w:div w:id="2053311756">
          <w:marLeft w:val="547"/>
          <w:marRight w:val="0"/>
          <w:marTop w:val="115"/>
          <w:marBottom w:val="0"/>
          <w:divBdr>
            <w:top w:val="none" w:sz="0" w:space="0" w:color="auto"/>
            <w:left w:val="none" w:sz="0" w:space="0" w:color="auto"/>
            <w:bottom w:val="none" w:sz="0" w:space="0" w:color="auto"/>
            <w:right w:val="none" w:sz="0" w:space="0" w:color="auto"/>
          </w:divBdr>
        </w:div>
      </w:divsChild>
    </w:div>
    <w:div w:id="1588997875">
      <w:bodyDiv w:val="1"/>
      <w:marLeft w:val="0"/>
      <w:marRight w:val="0"/>
      <w:marTop w:val="0"/>
      <w:marBottom w:val="0"/>
      <w:divBdr>
        <w:top w:val="none" w:sz="0" w:space="0" w:color="auto"/>
        <w:left w:val="none" w:sz="0" w:space="0" w:color="auto"/>
        <w:bottom w:val="none" w:sz="0" w:space="0" w:color="auto"/>
        <w:right w:val="none" w:sz="0" w:space="0" w:color="auto"/>
      </w:divBdr>
      <w:divsChild>
        <w:div w:id="405222825">
          <w:marLeft w:val="547"/>
          <w:marRight w:val="0"/>
          <w:marTop w:val="96"/>
          <w:marBottom w:val="0"/>
          <w:divBdr>
            <w:top w:val="none" w:sz="0" w:space="0" w:color="auto"/>
            <w:left w:val="none" w:sz="0" w:space="0" w:color="auto"/>
            <w:bottom w:val="none" w:sz="0" w:space="0" w:color="auto"/>
            <w:right w:val="none" w:sz="0" w:space="0" w:color="auto"/>
          </w:divBdr>
        </w:div>
        <w:div w:id="650405471">
          <w:marLeft w:val="547"/>
          <w:marRight w:val="0"/>
          <w:marTop w:val="96"/>
          <w:marBottom w:val="0"/>
          <w:divBdr>
            <w:top w:val="none" w:sz="0" w:space="0" w:color="auto"/>
            <w:left w:val="none" w:sz="0" w:space="0" w:color="auto"/>
            <w:bottom w:val="none" w:sz="0" w:space="0" w:color="auto"/>
            <w:right w:val="none" w:sz="0" w:space="0" w:color="auto"/>
          </w:divBdr>
        </w:div>
        <w:div w:id="1577087608">
          <w:marLeft w:val="547"/>
          <w:marRight w:val="0"/>
          <w:marTop w:val="96"/>
          <w:marBottom w:val="0"/>
          <w:divBdr>
            <w:top w:val="none" w:sz="0" w:space="0" w:color="auto"/>
            <w:left w:val="none" w:sz="0" w:space="0" w:color="auto"/>
            <w:bottom w:val="none" w:sz="0" w:space="0" w:color="auto"/>
            <w:right w:val="none" w:sz="0" w:space="0" w:color="auto"/>
          </w:divBdr>
        </w:div>
        <w:div w:id="1602838319">
          <w:marLeft w:val="547"/>
          <w:marRight w:val="0"/>
          <w:marTop w:val="96"/>
          <w:marBottom w:val="0"/>
          <w:divBdr>
            <w:top w:val="none" w:sz="0" w:space="0" w:color="auto"/>
            <w:left w:val="none" w:sz="0" w:space="0" w:color="auto"/>
            <w:bottom w:val="none" w:sz="0" w:space="0" w:color="auto"/>
            <w:right w:val="none" w:sz="0" w:space="0" w:color="auto"/>
          </w:divBdr>
        </w:div>
        <w:div w:id="1947998292">
          <w:marLeft w:val="547"/>
          <w:marRight w:val="0"/>
          <w:marTop w:val="96"/>
          <w:marBottom w:val="0"/>
          <w:divBdr>
            <w:top w:val="none" w:sz="0" w:space="0" w:color="auto"/>
            <w:left w:val="none" w:sz="0" w:space="0" w:color="auto"/>
            <w:bottom w:val="none" w:sz="0" w:space="0" w:color="auto"/>
            <w:right w:val="none" w:sz="0" w:space="0" w:color="auto"/>
          </w:divBdr>
        </w:div>
      </w:divsChild>
    </w:div>
    <w:div w:id="1634406327">
      <w:bodyDiv w:val="1"/>
      <w:marLeft w:val="0"/>
      <w:marRight w:val="0"/>
      <w:marTop w:val="0"/>
      <w:marBottom w:val="0"/>
      <w:divBdr>
        <w:top w:val="none" w:sz="0" w:space="0" w:color="auto"/>
        <w:left w:val="none" w:sz="0" w:space="0" w:color="auto"/>
        <w:bottom w:val="none" w:sz="0" w:space="0" w:color="auto"/>
        <w:right w:val="none" w:sz="0" w:space="0" w:color="auto"/>
      </w:divBdr>
      <w:divsChild>
        <w:div w:id="494690533">
          <w:marLeft w:val="1627"/>
          <w:marRight w:val="0"/>
          <w:marTop w:val="0"/>
          <w:marBottom w:val="0"/>
          <w:divBdr>
            <w:top w:val="none" w:sz="0" w:space="0" w:color="auto"/>
            <w:left w:val="none" w:sz="0" w:space="0" w:color="auto"/>
            <w:bottom w:val="none" w:sz="0" w:space="0" w:color="auto"/>
            <w:right w:val="none" w:sz="0" w:space="0" w:color="auto"/>
          </w:divBdr>
        </w:div>
        <w:div w:id="1701779363">
          <w:marLeft w:val="1627"/>
          <w:marRight w:val="0"/>
          <w:marTop w:val="0"/>
          <w:marBottom w:val="0"/>
          <w:divBdr>
            <w:top w:val="none" w:sz="0" w:space="0" w:color="auto"/>
            <w:left w:val="none" w:sz="0" w:space="0" w:color="auto"/>
            <w:bottom w:val="none" w:sz="0" w:space="0" w:color="auto"/>
            <w:right w:val="none" w:sz="0" w:space="0" w:color="auto"/>
          </w:divBdr>
        </w:div>
      </w:divsChild>
    </w:div>
    <w:div w:id="1727800202">
      <w:bodyDiv w:val="1"/>
      <w:marLeft w:val="0"/>
      <w:marRight w:val="0"/>
      <w:marTop w:val="0"/>
      <w:marBottom w:val="0"/>
      <w:divBdr>
        <w:top w:val="none" w:sz="0" w:space="0" w:color="auto"/>
        <w:left w:val="none" w:sz="0" w:space="0" w:color="auto"/>
        <w:bottom w:val="none" w:sz="0" w:space="0" w:color="auto"/>
        <w:right w:val="none" w:sz="0" w:space="0" w:color="auto"/>
      </w:divBdr>
      <w:divsChild>
        <w:div w:id="559093533">
          <w:marLeft w:val="547"/>
          <w:marRight w:val="0"/>
          <w:marTop w:val="106"/>
          <w:marBottom w:val="0"/>
          <w:divBdr>
            <w:top w:val="none" w:sz="0" w:space="0" w:color="auto"/>
            <w:left w:val="none" w:sz="0" w:space="0" w:color="auto"/>
            <w:bottom w:val="none" w:sz="0" w:space="0" w:color="auto"/>
            <w:right w:val="none" w:sz="0" w:space="0" w:color="auto"/>
          </w:divBdr>
        </w:div>
        <w:div w:id="1326737168">
          <w:marLeft w:val="547"/>
          <w:marRight w:val="0"/>
          <w:marTop w:val="106"/>
          <w:marBottom w:val="0"/>
          <w:divBdr>
            <w:top w:val="none" w:sz="0" w:space="0" w:color="auto"/>
            <w:left w:val="none" w:sz="0" w:space="0" w:color="auto"/>
            <w:bottom w:val="none" w:sz="0" w:space="0" w:color="auto"/>
            <w:right w:val="none" w:sz="0" w:space="0" w:color="auto"/>
          </w:divBdr>
        </w:div>
        <w:div w:id="1839802627">
          <w:marLeft w:val="547"/>
          <w:marRight w:val="0"/>
          <w:marTop w:val="106"/>
          <w:marBottom w:val="0"/>
          <w:divBdr>
            <w:top w:val="none" w:sz="0" w:space="0" w:color="auto"/>
            <w:left w:val="none" w:sz="0" w:space="0" w:color="auto"/>
            <w:bottom w:val="none" w:sz="0" w:space="0" w:color="auto"/>
            <w:right w:val="none" w:sz="0" w:space="0" w:color="auto"/>
          </w:divBdr>
        </w:div>
      </w:divsChild>
    </w:div>
    <w:div w:id="1728991325">
      <w:bodyDiv w:val="1"/>
      <w:marLeft w:val="0"/>
      <w:marRight w:val="0"/>
      <w:marTop w:val="0"/>
      <w:marBottom w:val="0"/>
      <w:divBdr>
        <w:top w:val="none" w:sz="0" w:space="0" w:color="auto"/>
        <w:left w:val="none" w:sz="0" w:space="0" w:color="auto"/>
        <w:bottom w:val="none" w:sz="0" w:space="0" w:color="auto"/>
        <w:right w:val="none" w:sz="0" w:space="0" w:color="auto"/>
      </w:divBdr>
      <w:divsChild>
        <w:div w:id="202834277">
          <w:marLeft w:val="547"/>
          <w:marRight w:val="0"/>
          <w:marTop w:val="106"/>
          <w:marBottom w:val="0"/>
          <w:divBdr>
            <w:top w:val="none" w:sz="0" w:space="0" w:color="auto"/>
            <w:left w:val="none" w:sz="0" w:space="0" w:color="auto"/>
            <w:bottom w:val="none" w:sz="0" w:space="0" w:color="auto"/>
            <w:right w:val="none" w:sz="0" w:space="0" w:color="auto"/>
          </w:divBdr>
        </w:div>
        <w:div w:id="1237474950">
          <w:marLeft w:val="547"/>
          <w:marRight w:val="0"/>
          <w:marTop w:val="106"/>
          <w:marBottom w:val="0"/>
          <w:divBdr>
            <w:top w:val="none" w:sz="0" w:space="0" w:color="auto"/>
            <w:left w:val="none" w:sz="0" w:space="0" w:color="auto"/>
            <w:bottom w:val="none" w:sz="0" w:space="0" w:color="auto"/>
            <w:right w:val="none" w:sz="0" w:space="0" w:color="auto"/>
          </w:divBdr>
        </w:div>
        <w:div w:id="1482304554">
          <w:marLeft w:val="547"/>
          <w:marRight w:val="0"/>
          <w:marTop w:val="106"/>
          <w:marBottom w:val="0"/>
          <w:divBdr>
            <w:top w:val="none" w:sz="0" w:space="0" w:color="auto"/>
            <w:left w:val="none" w:sz="0" w:space="0" w:color="auto"/>
            <w:bottom w:val="none" w:sz="0" w:space="0" w:color="auto"/>
            <w:right w:val="none" w:sz="0" w:space="0" w:color="auto"/>
          </w:divBdr>
        </w:div>
        <w:div w:id="1486362340">
          <w:marLeft w:val="547"/>
          <w:marRight w:val="0"/>
          <w:marTop w:val="106"/>
          <w:marBottom w:val="0"/>
          <w:divBdr>
            <w:top w:val="none" w:sz="0" w:space="0" w:color="auto"/>
            <w:left w:val="none" w:sz="0" w:space="0" w:color="auto"/>
            <w:bottom w:val="none" w:sz="0" w:space="0" w:color="auto"/>
            <w:right w:val="none" w:sz="0" w:space="0" w:color="auto"/>
          </w:divBdr>
        </w:div>
      </w:divsChild>
    </w:div>
    <w:div w:id="1730575521">
      <w:bodyDiv w:val="1"/>
      <w:marLeft w:val="0"/>
      <w:marRight w:val="0"/>
      <w:marTop w:val="0"/>
      <w:marBottom w:val="0"/>
      <w:divBdr>
        <w:top w:val="none" w:sz="0" w:space="0" w:color="auto"/>
        <w:left w:val="none" w:sz="0" w:space="0" w:color="auto"/>
        <w:bottom w:val="none" w:sz="0" w:space="0" w:color="auto"/>
        <w:right w:val="none" w:sz="0" w:space="0" w:color="auto"/>
      </w:divBdr>
    </w:div>
    <w:div w:id="1739399391">
      <w:bodyDiv w:val="1"/>
      <w:marLeft w:val="0"/>
      <w:marRight w:val="0"/>
      <w:marTop w:val="0"/>
      <w:marBottom w:val="0"/>
      <w:divBdr>
        <w:top w:val="none" w:sz="0" w:space="0" w:color="auto"/>
        <w:left w:val="none" w:sz="0" w:space="0" w:color="auto"/>
        <w:bottom w:val="none" w:sz="0" w:space="0" w:color="auto"/>
        <w:right w:val="none" w:sz="0" w:space="0" w:color="auto"/>
      </w:divBdr>
    </w:div>
    <w:div w:id="1774786044">
      <w:bodyDiv w:val="1"/>
      <w:marLeft w:val="0"/>
      <w:marRight w:val="0"/>
      <w:marTop w:val="0"/>
      <w:marBottom w:val="0"/>
      <w:divBdr>
        <w:top w:val="none" w:sz="0" w:space="0" w:color="auto"/>
        <w:left w:val="none" w:sz="0" w:space="0" w:color="auto"/>
        <w:bottom w:val="none" w:sz="0" w:space="0" w:color="auto"/>
        <w:right w:val="none" w:sz="0" w:space="0" w:color="auto"/>
      </w:divBdr>
    </w:div>
    <w:div w:id="1801919690">
      <w:bodyDiv w:val="1"/>
      <w:marLeft w:val="0"/>
      <w:marRight w:val="0"/>
      <w:marTop w:val="0"/>
      <w:marBottom w:val="0"/>
      <w:divBdr>
        <w:top w:val="none" w:sz="0" w:space="0" w:color="auto"/>
        <w:left w:val="none" w:sz="0" w:space="0" w:color="auto"/>
        <w:bottom w:val="none" w:sz="0" w:space="0" w:color="auto"/>
        <w:right w:val="none" w:sz="0" w:space="0" w:color="auto"/>
      </w:divBdr>
    </w:div>
    <w:div w:id="1813713233">
      <w:bodyDiv w:val="1"/>
      <w:marLeft w:val="0"/>
      <w:marRight w:val="0"/>
      <w:marTop w:val="0"/>
      <w:marBottom w:val="0"/>
      <w:divBdr>
        <w:top w:val="none" w:sz="0" w:space="0" w:color="auto"/>
        <w:left w:val="none" w:sz="0" w:space="0" w:color="auto"/>
        <w:bottom w:val="none" w:sz="0" w:space="0" w:color="auto"/>
        <w:right w:val="none" w:sz="0" w:space="0" w:color="auto"/>
      </w:divBdr>
      <w:divsChild>
        <w:div w:id="113914022">
          <w:marLeft w:val="547"/>
          <w:marRight w:val="0"/>
          <w:marTop w:val="115"/>
          <w:marBottom w:val="0"/>
          <w:divBdr>
            <w:top w:val="none" w:sz="0" w:space="0" w:color="auto"/>
            <w:left w:val="none" w:sz="0" w:space="0" w:color="auto"/>
            <w:bottom w:val="none" w:sz="0" w:space="0" w:color="auto"/>
            <w:right w:val="none" w:sz="0" w:space="0" w:color="auto"/>
          </w:divBdr>
        </w:div>
        <w:div w:id="177894506">
          <w:marLeft w:val="547"/>
          <w:marRight w:val="0"/>
          <w:marTop w:val="115"/>
          <w:marBottom w:val="0"/>
          <w:divBdr>
            <w:top w:val="none" w:sz="0" w:space="0" w:color="auto"/>
            <w:left w:val="none" w:sz="0" w:space="0" w:color="auto"/>
            <w:bottom w:val="none" w:sz="0" w:space="0" w:color="auto"/>
            <w:right w:val="none" w:sz="0" w:space="0" w:color="auto"/>
          </w:divBdr>
        </w:div>
        <w:div w:id="327174833">
          <w:marLeft w:val="547"/>
          <w:marRight w:val="0"/>
          <w:marTop w:val="115"/>
          <w:marBottom w:val="0"/>
          <w:divBdr>
            <w:top w:val="none" w:sz="0" w:space="0" w:color="auto"/>
            <w:left w:val="none" w:sz="0" w:space="0" w:color="auto"/>
            <w:bottom w:val="none" w:sz="0" w:space="0" w:color="auto"/>
            <w:right w:val="none" w:sz="0" w:space="0" w:color="auto"/>
          </w:divBdr>
        </w:div>
        <w:div w:id="1888029491">
          <w:marLeft w:val="547"/>
          <w:marRight w:val="0"/>
          <w:marTop w:val="115"/>
          <w:marBottom w:val="0"/>
          <w:divBdr>
            <w:top w:val="none" w:sz="0" w:space="0" w:color="auto"/>
            <w:left w:val="none" w:sz="0" w:space="0" w:color="auto"/>
            <w:bottom w:val="none" w:sz="0" w:space="0" w:color="auto"/>
            <w:right w:val="none" w:sz="0" w:space="0" w:color="auto"/>
          </w:divBdr>
        </w:div>
      </w:divsChild>
    </w:div>
    <w:div w:id="1854369524">
      <w:bodyDiv w:val="1"/>
      <w:marLeft w:val="0"/>
      <w:marRight w:val="0"/>
      <w:marTop w:val="0"/>
      <w:marBottom w:val="0"/>
      <w:divBdr>
        <w:top w:val="none" w:sz="0" w:space="0" w:color="auto"/>
        <w:left w:val="none" w:sz="0" w:space="0" w:color="auto"/>
        <w:bottom w:val="none" w:sz="0" w:space="0" w:color="auto"/>
        <w:right w:val="none" w:sz="0" w:space="0" w:color="auto"/>
      </w:divBdr>
      <w:divsChild>
        <w:div w:id="383482024">
          <w:marLeft w:val="547"/>
          <w:marRight w:val="0"/>
          <w:marTop w:val="115"/>
          <w:marBottom w:val="0"/>
          <w:divBdr>
            <w:top w:val="none" w:sz="0" w:space="0" w:color="auto"/>
            <w:left w:val="none" w:sz="0" w:space="0" w:color="auto"/>
            <w:bottom w:val="none" w:sz="0" w:space="0" w:color="auto"/>
            <w:right w:val="none" w:sz="0" w:space="0" w:color="auto"/>
          </w:divBdr>
        </w:div>
        <w:div w:id="1406296078">
          <w:marLeft w:val="547"/>
          <w:marRight w:val="0"/>
          <w:marTop w:val="115"/>
          <w:marBottom w:val="0"/>
          <w:divBdr>
            <w:top w:val="none" w:sz="0" w:space="0" w:color="auto"/>
            <w:left w:val="none" w:sz="0" w:space="0" w:color="auto"/>
            <w:bottom w:val="none" w:sz="0" w:space="0" w:color="auto"/>
            <w:right w:val="none" w:sz="0" w:space="0" w:color="auto"/>
          </w:divBdr>
        </w:div>
        <w:div w:id="1709913112">
          <w:marLeft w:val="547"/>
          <w:marRight w:val="0"/>
          <w:marTop w:val="115"/>
          <w:marBottom w:val="0"/>
          <w:divBdr>
            <w:top w:val="none" w:sz="0" w:space="0" w:color="auto"/>
            <w:left w:val="none" w:sz="0" w:space="0" w:color="auto"/>
            <w:bottom w:val="none" w:sz="0" w:space="0" w:color="auto"/>
            <w:right w:val="none" w:sz="0" w:space="0" w:color="auto"/>
          </w:divBdr>
        </w:div>
      </w:divsChild>
    </w:div>
    <w:div w:id="1898583516">
      <w:bodyDiv w:val="1"/>
      <w:marLeft w:val="0"/>
      <w:marRight w:val="0"/>
      <w:marTop w:val="0"/>
      <w:marBottom w:val="0"/>
      <w:divBdr>
        <w:top w:val="none" w:sz="0" w:space="0" w:color="auto"/>
        <w:left w:val="none" w:sz="0" w:space="0" w:color="auto"/>
        <w:bottom w:val="none" w:sz="0" w:space="0" w:color="auto"/>
        <w:right w:val="none" w:sz="0" w:space="0" w:color="auto"/>
      </w:divBdr>
    </w:div>
    <w:div w:id="1928610624">
      <w:bodyDiv w:val="1"/>
      <w:marLeft w:val="0"/>
      <w:marRight w:val="0"/>
      <w:marTop w:val="0"/>
      <w:marBottom w:val="0"/>
      <w:divBdr>
        <w:top w:val="none" w:sz="0" w:space="0" w:color="auto"/>
        <w:left w:val="none" w:sz="0" w:space="0" w:color="auto"/>
        <w:bottom w:val="none" w:sz="0" w:space="0" w:color="auto"/>
        <w:right w:val="none" w:sz="0" w:space="0" w:color="auto"/>
      </w:divBdr>
      <w:divsChild>
        <w:div w:id="1369406299">
          <w:marLeft w:val="0"/>
          <w:marRight w:val="0"/>
          <w:marTop w:val="0"/>
          <w:marBottom w:val="0"/>
          <w:divBdr>
            <w:top w:val="none" w:sz="0" w:space="0" w:color="auto"/>
            <w:left w:val="none" w:sz="0" w:space="0" w:color="auto"/>
            <w:bottom w:val="none" w:sz="0" w:space="0" w:color="auto"/>
            <w:right w:val="none" w:sz="0" w:space="0" w:color="auto"/>
          </w:divBdr>
          <w:divsChild>
            <w:div w:id="1932422864">
              <w:marLeft w:val="0"/>
              <w:marRight w:val="0"/>
              <w:marTop w:val="0"/>
              <w:marBottom w:val="0"/>
              <w:divBdr>
                <w:top w:val="none" w:sz="0" w:space="0" w:color="auto"/>
                <w:left w:val="none" w:sz="0" w:space="0" w:color="auto"/>
                <w:bottom w:val="none" w:sz="0" w:space="0" w:color="auto"/>
                <w:right w:val="none" w:sz="0" w:space="0" w:color="auto"/>
              </w:divBdr>
              <w:divsChild>
                <w:div w:id="1175730700">
                  <w:marLeft w:val="0"/>
                  <w:marRight w:val="0"/>
                  <w:marTop w:val="0"/>
                  <w:marBottom w:val="0"/>
                  <w:divBdr>
                    <w:top w:val="none" w:sz="0" w:space="0" w:color="auto"/>
                    <w:left w:val="none" w:sz="0" w:space="0" w:color="auto"/>
                    <w:bottom w:val="none" w:sz="0" w:space="0" w:color="auto"/>
                    <w:right w:val="none" w:sz="0" w:space="0" w:color="auto"/>
                  </w:divBdr>
                </w:div>
              </w:divsChild>
            </w:div>
            <w:div w:id="153302029">
              <w:marLeft w:val="0"/>
              <w:marRight w:val="0"/>
              <w:marTop w:val="0"/>
              <w:marBottom w:val="0"/>
              <w:divBdr>
                <w:top w:val="none" w:sz="0" w:space="0" w:color="auto"/>
                <w:left w:val="none" w:sz="0" w:space="0" w:color="auto"/>
                <w:bottom w:val="none" w:sz="0" w:space="0" w:color="auto"/>
                <w:right w:val="none" w:sz="0" w:space="0" w:color="auto"/>
              </w:divBdr>
            </w:div>
            <w:div w:id="2280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06177">
      <w:bodyDiv w:val="1"/>
      <w:marLeft w:val="0"/>
      <w:marRight w:val="0"/>
      <w:marTop w:val="0"/>
      <w:marBottom w:val="0"/>
      <w:divBdr>
        <w:top w:val="none" w:sz="0" w:space="0" w:color="auto"/>
        <w:left w:val="none" w:sz="0" w:space="0" w:color="auto"/>
        <w:bottom w:val="none" w:sz="0" w:space="0" w:color="auto"/>
        <w:right w:val="none" w:sz="0" w:space="0" w:color="auto"/>
      </w:divBdr>
    </w:div>
    <w:div w:id="1980957063">
      <w:bodyDiv w:val="1"/>
      <w:marLeft w:val="0"/>
      <w:marRight w:val="0"/>
      <w:marTop w:val="0"/>
      <w:marBottom w:val="0"/>
      <w:divBdr>
        <w:top w:val="none" w:sz="0" w:space="0" w:color="auto"/>
        <w:left w:val="none" w:sz="0" w:space="0" w:color="auto"/>
        <w:bottom w:val="none" w:sz="0" w:space="0" w:color="auto"/>
        <w:right w:val="none" w:sz="0" w:space="0" w:color="auto"/>
      </w:divBdr>
      <w:divsChild>
        <w:div w:id="1388336437">
          <w:marLeft w:val="547"/>
          <w:marRight w:val="0"/>
          <w:marTop w:val="115"/>
          <w:marBottom w:val="0"/>
          <w:divBdr>
            <w:top w:val="none" w:sz="0" w:space="0" w:color="auto"/>
            <w:left w:val="none" w:sz="0" w:space="0" w:color="auto"/>
            <w:bottom w:val="none" w:sz="0" w:space="0" w:color="auto"/>
            <w:right w:val="none" w:sz="0" w:space="0" w:color="auto"/>
          </w:divBdr>
        </w:div>
        <w:div w:id="2012757756">
          <w:marLeft w:val="547"/>
          <w:marRight w:val="0"/>
          <w:marTop w:val="115"/>
          <w:marBottom w:val="0"/>
          <w:divBdr>
            <w:top w:val="none" w:sz="0" w:space="0" w:color="auto"/>
            <w:left w:val="none" w:sz="0" w:space="0" w:color="auto"/>
            <w:bottom w:val="none" w:sz="0" w:space="0" w:color="auto"/>
            <w:right w:val="none" w:sz="0" w:space="0" w:color="auto"/>
          </w:divBdr>
        </w:div>
      </w:divsChild>
    </w:div>
    <w:div w:id="1994212487">
      <w:bodyDiv w:val="1"/>
      <w:marLeft w:val="0"/>
      <w:marRight w:val="0"/>
      <w:marTop w:val="0"/>
      <w:marBottom w:val="0"/>
      <w:divBdr>
        <w:top w:val="none" w:sz="0" w:space="0" w:color="auto"/>
        <w:left w:val="none" w:sz="0" w:space="0" w:color="auto"/>
        <w:bottom w:val="none" w:sz="0" w:space="0" w:color="auto"/>
        <w:right w:val="none" w:sz="0" w:space="0" w:color="auto"/>
      </w:divBdr>
      <w:divsChild>
        <w:div w:id="274097945">
          <w:marLeft w:val="547"/>
          <w:marRight w:val="0"/>
          <w:marTop w:val="96"/>
          <w:marBottom w:val="0"/>
          <w:divBdr>
            <w:top w:val="none" w:sz="0" w:space="0" w:color="auto"/>
            <w:left w:val="none" w:sz="0" w:space="0" w:color="auto"/>
            <w:bottom w:val="none" w:sz="0" w:space="0" w:color="auto"/>
            <w:right w:val="none" w:sz="0" w:space="0" w:color="auto"/>
          </w:divBdr>
        </w:div>
        <w:div w:id="1052924997">
          <w:marLeft w:val="547"/>
          <w:marRight w:val="0"/>
          <w:marTop w:val="96"/>
          <w:marBottom w:val="0"/>
          <w:divBdr>
            <w:top w:val="none" w:sz="0" w:space="0" w:color="auto"/>
            <w:left w:val="none" w:sz="0" w:space="0" w:color="auto"/>
            <w:bottom w:val="none" w:sz="0" w:space="0" w:color="auto"/>
            <w:right w:val="none" w:sz="0" w:space="0" w:color="auto"/>
          </w:divBdr>
        </w:div>
        <w:div w:id="1218856753">
          <w:marLeft w:val="547"/>
          <w:marRight w:val="0"/>
          <w:marTop w:val="96"/>
          <w:marBottom w:val="0"/>
          <w:divBdr>
            <w:top w:val="none" w:sz="0" w:space="0" w:color="auto"/>
            <w:left w:val="none" w:sz="0" w:space="0" w:color="auto"/>
            <w:bottom w:val="none" w:sz="0" w:space="0" w:color="auto"/>
            <w:right w:val="none" w:sz="0" w:space="0" w:color="auto"/>
          </w:divBdr>
        </w:div>
        <w:div w:id="1710757699">
          <w:marLeft w:val="547"/>
          <w:marRight w:val="0"/>
          <w:marTop w:val="96"/>
          <w:marBottom w:val="0"/>
          <w:divBdr>
            <w:top w:val="none" w:sz="0" w:space="0" w:color="auto"/>
            <w:left w:val="none" w:sz="0" w:space="0" w:color="auto"/>
            <w:bottom w:val="none" w:sz="0" w:space="0" w:color="auto"/>
            <w:right w:val="none" w:sz="0" w:space="0" w:color="auto"/>
          </w:divBdr>
        </w:div>
      </w:divsChild>
    </w:div>
    <w:div w:id="2122873602">
      <w:bodyDiv w:val="1"/>
      <w:marLeft w:val="0"/>
      <w:marRight w:val="0"/>
      <w:marTop w:val="0"/>
      <w:marBottom w:val="0"/>
      <w:divBdr>
        <w:top w:val="none" w:sz="0" w:space="0" w:color="auto"/>
        <w:left w:val="none" w:sz="0" w:space="0" w:color="auto"/>
        <w:bottom w:val="none" w:sz="0" w:space="0" w:color="auto"/>
        <w:right w:val="none" w:sz="0" w:space="0" w:color="auto"/>
      </w:divBdr>
    </w:div>
    <w:div w:id="2139913564">
      <w:bodyDiv w:val="1"/>
      <w:marLeft w:val="0"/>
      <w:marRight w:val="0"/>
      <w:marTop w:val="0"/>
      <w:marBottom w:val="0"/>
      <w:divBdr>
        <w:top w:val="none" w:sz="0" w:space="0" w:color="auto"/>
        <w:left w:val="none" w:sz="0" w:space="0" w:color="auto"/>
        <w:bottom w:val="none" w:sz="0" w:space="0" w:color="auto"/>
        <w:right w:val="none" w:sz="0" w:space="0" w:color="auto"/>
      </w:divBdr>
      <w:divsChild>
        <w:div w:id="139002335">
          <w:marLeft w:val="547"/>
          <w:marRight w:val="0"/>
          <w:marTop w:val="115"/>
          <w:marBottom w:val="0"/>
          <w:divBdr>
            <w:top w:val="none" w:sz="0" w:space="0" w:color="auto"/>
            <w:left w:val="none" w:sz="0" w:space="0" w:color="auto"/>
            <w:bottom w:val="none" w:sz="0" w:space="0" w:color="auto"/>
            <w:right w:val="none" w:sz="0" w:space="0" w:color="auto"/>
          </w:divBdr>
        </w:div>
        <w:div w:id="530611131">
          <w:marLeft w:val="547"/>
          <w:marRight w:val="0"/>
          <w:marTop w:val="115"/>
          <w:marBottom w:val="0"/>
          <w:divBdr>
            <w:top w:val="none" w:sz="0" w:space="0" w:color="auto"/>
            <w:left w:val="none" w:sz="0" w:space="0" w:color="auto"/>
            <w:bottom w:val="none" w:sz="0" w:space="0" w:color="auto"/>
            <w:right w:val="none" w:sz="0" w:space="0" w:color="auto"/>
          </w:divBdr>
        </w:div>
        <w:div w:id="559098873">
          <w:marLeft w:val="547"/>
          <w:marRight w:val="0"/>
          <w:marTop w:val="115"/>
          <w:marBottom w:val="0"/>
          <w:divBdr>
            <w:top w:val="none" w:sz="0" w:space="0" w:color="auto"/>
            <w:left w:val="none" w:sz="0" w:space="0" w:color="auto"/>
            <w:bottom w:val="none" w:sz="0" w:space="0" w:color="auto"/>
            <w:right w:val="none" w:sz="0" w:space="0" w:color="auto"/>
          </w:divBdr>
        </w:div>
        <w:div w:id="834295794">
          <w:marLeft w:val="547"/>
          <w:marRight w:val="0"/>
          <w:marTop w:val="115"/>
          <w:marBottom w:val="0"/>
          <w:divBdr>
            <w:top w:val="none" w:sz="0" w:space="0" w:color="auto"/>
            <w:left w:val="none" w:sz="0" w:space="0" w:color="auto"/>
            <w:bottom w:val="none" w:sz="0" w:space="0" w:color="auto"/>
            <w:right w:val="none" w:sz="0" w:space="0" w:color="auto"/>
          </w:divBdr>
        </w:div>
        <w:div w:id="1667394274">
          <w:marLeft w:val="547"/>
          <w:marRight w:val="0"/>
          <w:marTop w:val="115"/>
          <w:marBottom w:val="0"/>
          <w:divBdr>
            <w:top w:val="none" w:sz="0" w:space="0" w:color="auto"/>
            <w:left w:val="none" w:sz="0" w:space="0" w:color="auto"/>
            <w:bottom w:val="none" w:sz="0" w:space="0" w:color="auto"/>
            <w:right w:val="none" w:sz="0" w:space="0" w:color="auto"/>
          </w:divBdr>
        </w:div>
      </w:divsChild>
    </w:div>
    <w:div w:id="2140831149">
      <w:bodyDiv w:val="1"/>
      <w:marLeft w:val="0"/>
      <w:marRight w:val="0"/>
      <w:marTop w:val="0"/>
      <w:marBottom w:val="0"/>
      <w:divBdr>
        <w:top w:val="none" w:sz="0" w:space="0" w:color="auto"/>
        <w:left w:val="none" w:sz="0" w:space="0" w:color="auto"/>
        <w:bottom w:val="none" w:sz="0" w:space="0" w:color="auto"/>
        <w:right w:val="none" w:sz="0" w:space="0" w:color="auto"/>
      </w:divBdr>
      <w:divsChild>
        <w:div w:id="515776070">
          <w:marLeft w:val="446"/>
          <w:marRight w:val="0"/>
          <w:marTop w:val="77"/>
          <w:marBottom w:val="0"/>
          <w:divBdr>
            <w:top w:val="none" w:sz="0" w:space="0" w:color="auto"/>
            <w:left w:val="none" w:sz="0" w:space="0" w:color="auto"/>
            <w:bottom w:val="none" w:sz="0" w:space="0" w:color="auto"/>
            <w:right w:val="none" w:sz="0" w:space="0" w:color="auto"/>
          </w:divBdr>
        </w:div>
        <w:div w:id="1725370188">
          <w:marLeft w:val="446"/>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image" Target="media/image12.emf"/><Relationship Id="rId39" Type="http://schemas.openxmlformats.org/officeDocument/2006/relationships/image" Target="media/image25.emf"/><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image" Target="media/image20.png"/><Relationship Id="rId42" Type="http://schemas.openxmlformats.org/officeDocument/2006/relationships/footer" Target="footer4.xml"/><Relationship Id="rId47" Type="http://schemas.openxmlformats.org/officeDocument/2006/relationships/theme" Target="theme/theme1.xml"/><Relationship Id="rId50"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image" Target="media/image15.png"/><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emf"/><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10" Type="http://schemas.openxmlformats.org/officeDocument/2006/relationships/header" Target="header2.xml"/><Relationship Id="rId19" Type="http://schemas.openxmlformats.org/officeDocument/2006/relationships/image" Target="media/image6.emf"/><Relationship Id="rId31" Type="http://schemas.openxmlformats.org/officeDocument/2006/relationships/image" Target="media/image17.emf"/><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e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emf"/><Relationship Id="rId43"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www.eea.europa.eu/themes/biodiversity/state-of-nature-in-the-eu/state-of-nature-2020" TargetMode="External"/><Relationship Id="rId2" Type="http://schemas.openxmlformats.org/officeDocument/2006/relationships/hyperlink" Target="https://ec.europa.eu/environment/nature/knowledge/rep_habitats/index_en.htm" TargetMode="External"/><Relationship Id="rId1" Type="http://schemas.openxmlformats.org/officeDocument/2006/relationships/hyperlink" Target="https://www.eea.europa.eu/themes/biodiversity/state-of-nature-in-the-eu/state-of-nature-2020" TargetMode="External"/><Relationship Id="rId6" Type="http://schemas.openxmlformats.org/officeDocument/2006/relationships/hyperlink" Target="https://eur-lex.europa.eu/legal-content/FR/TXT/?uri=CELEX:52020DC0381" TargetMode="External"/><Relationship Id="rId5" Type="http://schemas.openxmlformats.org/officeDocument/2006/relationships/hyperlink" Target="https://eur-lex.europa.eu/legal-content/FR/TXT/?uri=CELEX:52020DC0380" TargetMode="External"/><Relationship Id="rId4" Type="http://schemas.openxmlformats.org/officeDocument/2006/relationships/hyperlink" Target="https://ec.europa.eu/easme/en/life"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eruzal\AppData\Local\Packages\Microsoft.MicrosoftEdge_8wekyb3d8bbwe\TempState\Downloads\ENV-2020-80098-00-00-FR-SRC-07%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tx>
            <c:strRef>
              <c:f>'DATA AND CHART'!$A$4</c:f>
              <c:strCache>
                <c:ptCount val="1"/>
                <c:pt idx="0">
                  <c:v>État au niveau de l'UE</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A7E2-4657-8842-2EC1667E9BE2}"/>
              </c:ext>
            </c:extLst>
          </c:dPt>
          <c:dPt>
            <c:idx val="1"/>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3-A7E2-4657-8842-2EC1667E9BE2}"/>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A7E2-4657-8842-2EC1667E9BE2}"/>
              </c:ext>
            </c:extLst>
          </c:dPt>
          <c:dPt>
            <c:idx val="3"/>
            <c:bubble3D val="0"/>
            <c:spPr>
              <a:solidFill>
                <a:srgbClr val="C00000"/>
              </a:solidFill>
              <a:ln w="19050">
                <a:solidFill>
                  <a:schemeClr val="lt1"/>
                </a:solidFill>
              </a:ln>
              <a:effectLst/>
            </c:spPr>
            <c:extLst>
              <c:ext xmlns:c16="http://schemas.microsoft.com/office/drawing/2014/chart" uri="{C3380CC4-5D6E-409C-BE32-E72D297353CC}">
                <c16:uniqueId val="{00000007-A7E2-4657-8842-2EC1667E9BE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'DATA AND CHART'!$B$3:$E$3</c:f>
              <c:strCache>
                <c:ptCount val="4"/>
                <c:pt idx="0">
                  <c:v>Favorable</c:v>
                </c:pt>
                <c:pt idx="1">
                  <c:v>Inconnu</c:v>
                </c:pt>
                <c:pt idx="2">
                  <c:v>Insuffisant</c:v>
                </c:pt>
                <c:pt idx="3">
                  <c:v>Médiocre</c:v>
                </c:pt>
              </c:strCache>
            </c:strRef>
          </c:cat>
          <c:val>
            <c:numRef>
              <c:f>'DATA AND CHART'!$B$4:$E$4</c:f>
              <c:numCache>
                <c:formatCode>General</c:formatCode>
                <c:ptCount val="4"/>
                <c:pt idx="0">
                  <c:v>120</c:v>
                </c:pt>
                <c:pt idx="1">
                  <c:v>38</c:v>
                </c:pt>
                <c:pt idx="2">
                  <c:v>367</c:v>
                </c:pt>
                <c:pt idx="3">
                  <c:v>293</c:v>
                </c:pt>
              </c:numCache>
            </c:numRef>
          </c:val>
          <c:extLst>
            <c:ext xmlns:c16="http://schemas.microsoft.com/office/drawing/2014/chart" uri="{C3380CC4-5D6E-409C-BE32-E72D297353CC}">
              <c16:uniqueId val="{00000008-A7E2-4657-8842-2EC1667E9BE2}"/>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B2F3157-D67E-4FA0-93C7-AF5DEFB1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7</Pages>
  <Words>7837</Words>
  <Characters>43028</Characters>
  <Application>Microsoft Office Word</Application>
  <DocSecurity>0</DocSecurity>
  <Lines>729</Lines>
  <Paragraphs>178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KOUTZIAVASILI Dimitra (SG)</cp:lastModifiedBy>
  <cp:revision>31</cp:revision>
  <dcterms:created xsi:type="dcterms:W3CDTF">2020-09-07T14:49:00Z</dcterms:created>
  <dcterms:modified xsi:type="dcterms:W3CDTF">2020-10-15T08:56:00Z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CP-007</vt:lpwstr>
  </property>
  <property fmtid="{D5CDD505-2E9C-101B-9397-08002B2CF9AE}" pid="7" name="Last edited using">
    <vt:lpwstr>LW 7.0, Build 20190717</vt:lpwstr>
  </property>
  <property fmtid="{D5CDD505-2E9C-101B-9397-08002B2CF9AE}" pid="8" name="Created using">
    <vt:lpwstr>LW 7.0.1, Build 20190916</vt:lpwstr>
  </property>
</Properties>
</file>