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alt="AAA732F2-5548-46A1-B5A7-4E8A12DCA165" style="width:450.75pt;height:375pt">
            <v:imagedata r:id="rId9" o:title=""/>
          </v:shape>
        </w:pict>
      </w:r>
    </w:p>
    <w:bookmarkEnd w:id="0"/>
    <w:p>
      <w:pPr>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numPr>
          <w:ilvl w:val="0"/>
          <w:numId w:val="10"/>
        </w:numPr>
        <w:spacing w:after="240"/>
        <w:ind w:left="714" w:hanging="357"/>
        <w:rPr>
          <w:rFonts w:eastAsia="Times New Roman"/>
          <w:noProof/>
          <w:color w:val="auto"/>
        </w:rPr>
      </w:pPr>
      <w:bookmarkStart w:id="1" w:name="_GoBack"/>
      <w:bookmarkEnd w:id="1"/>
      <w:r>
        <w:rPr>
          <w:noProof/>
          <w:color w:val="auto"/>
        </w:rPr>
        <w:lastRenderedPageBreak/>
        <w:t>Въведение</w:t>
      </w:r>
    </w:p>
    <w:p>
      <w:pPr>
        <w:spacing w:after="240"/>
        <w:jc w:val="both"/>
        <w:rPr>
          <w:rFonts w:ascii="Times New Roman" w:hAnsi="Times New Roman" w:cs="Times New Roman"/>
          <w:noProof/>
          <w:sz w:val="24"/>
          <w:szCs w:val="24"/>
        </w:rPr>
      </w:pPr>
      <w:r>
        <w:rPr>
          <w:rFonts w:ascii="Times New Roman" w:hAnsi="Times New Roman"/>
          <w:noProof/>
          <w:sz w:val="24"/>
          <w:szCs w:val="24"/>
        </w:rPr>
        <w:t>Директивите на ЕС за птиците</w:t>
      </w:r>
      <w:r>
        <w:rPr>
          <w:rStyle w:val="FootnoteReference"/>
          <w:rFonts w:ascii="Times New Roman" w:hAnsi="Times New Roman" w:cs="Times New Roman"/>
          <w:noProof/>
          <w:sz w:val="24"/>
          <w:szCs w:val="24"/>
        </w:rPr>
        <w:footnoteReference w:id="1"/>
      </w:r>
      <w:r>
        <w:rPr>
          <w:rFonts w:ascii="Times New Roman" w:hAnsi="Times New Roman"/>
          <w:noProof/>
          <w:sz w:val="24"/>
          <w:szCs w:val="24"/>
        </w:rPr>
        <w:t xml:space="preserve"> и за местообитанията</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 xml:space="preserve"> („директивите за природата“), които са в основата на защитените зони от мрежата „Натура 2000“, са ключови елементи на политиката на ЕС за биологичното разнообразие. Тяхната цел е да се гарантира опазването на биологичните видове и на типовете местообитания от значение за ЕС, като се защитят всички диви птици (над 460 вида), представителни и застрашени местообитания (233 вида, от пластовете морска трева до алпийските тревни съобщества) и около 1 400 допълнителни вида, от малките растения до бозайниците, включително много емблематични видове от дивата флора и фауна. С тях държавите членки се задължават да поддържат и възстановяват благоприятния природозащитен статус на видовете и местообитанията.</w:t>
      </w:r>
    </w:p>
    <w:p>
      <w:pPr>
        <w:spacing w:after="240"/>
        <w:jc w:val="both"/>
        <w:rPr>
          <w:rFonts w:ascii="Times New Roman" w:hAnsi="Times New Roman" w:cs="Times New Roman"/>
          <w:noProof/>
          <w:sz w:val="24"/>
          <w:szCs w:val="24"/>
        </w:rPr>
      </w:pPr>
      <w:r>
        <w:rPr>
          <w:rFonts w:ascii="Times New Roman" w:hAnsi="Times New Roman"/>
          <w:noProof/>
          <w:sz w:val="24"/>
          <w:szCs w:val="24"/>
        </w:rPr>
        <w:t>За да се даде възможност на Комисията да оцени напредъка към постигането на целите на директивите за природата, съгласно изискванията на член 12 от Директивата за птиците и член 17 от Директивата за местообитанията държавите членки са задължени на всеки 6 години да представят на Комисията доклад, по-специално относно природозащитния статус и тенденциите при местообитанията и видовете, които защитават. Настоящият обобщаващ доклад, който е третата оценка на ЕС на природозащитния статус съгласно директивите, е резултат от провеждането на най-мащабното и най-обширното събиране и докладване на данни относно състоянието на природата в Европа. В него са документирани статусът и тенденциите при местообитанията и видовете за периода 2013—2018 г., както е докладвано от 28-те държави членки</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като е представен актуален преглед на състоянието на природата в ЕС. В него се прави оценка на настъпилите с времето промени, на основния натиск и на приноса на мрежата „Натура 2000“ за опазването на защитените видове и местообитания. Анализът е подкрепен с подробна техническа оценка от Европейската агенция за околна среда</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xml:space="preserve">. </w:t>
      </w:r>
    </w:p>
    <w:p>
      <w:pPr>
        <w:spacing w:after="240"/>
        <w:jc w:val="both"/>
        <w:rPr>
          <w:rFonts w:ascii="Times New Roman" w:hAnsi="Times New Roman" w:cs="Times New Roman"/>
          <w:noProof/>
          <w:sz w:val="24"/>
          <w:szCs w:val="24"/>
        </w:rPr>
      </w:pPr>
    </w:p>
    <w:p>
      <w:pPr>
        <w:pStyle w:val="Heading1"/>
        <w:numPr>
          <w:ilvl w:val="0"/>
          <w:numId w:val="10"/>
        </w:numPr>
        <w:spacing w:after="240"/>
        <w:ind w:left="714" w:hanging="357"/>
        <w:rPr>
          <w:rFonts w:eastAsia="Times New Roman"/>
          <w:noProof/>
          <w:color w:val="auto"/>
        </w:rPr>
      </w:pPr>
      <w:r>
        <w:rPr>
          <w:noProof/>
          <w:color w:val="auto"/>
        </w:rPr>
        <w:t>Статус и тенденции при местообитанията и видовете в ЕС</w:t>
      </w:r>
    </w:p>
    <w:p>
      <w:pPr>
        <w:spacing w:after="240"/>
        <w:jc w:val="both"/>
        <w:rPr>
          <w:rFonts w:ascii="Times New Roman" w:hAnsi="Times New Roman" w:cs="Times New Roman"/>
          <w:noProof/>
          <w:sz w:val="24"/>
          <w:szCs w:val="24"/>
        </w:rPr>
      </w:pPr>
      <w:r>
        <w:rPr>
          <w:rFonts w:ascii="Times New Roman" w:hAnsi="Times New Roman"/>
          <w:noProof/>
          <w:sz w:val="24"/>
          <w:szCs w:val="24"/>
        </w:rPr>
        <w:t>Държавите членки предоставят данни в хармонизиран формат, така че те да могат да бъдат включени в базите данни, използвани от Европейската агенция за околна среда за обобщени оценки на равнище ЕС.</w:t>
      </w:r>
    </w:p>
    <w:p>
      <w:pPr>
        <w:spacing w:after="240"/>
        <w:jc w:val="both"/>
        <w:rPr>
          <w:rFonts w:ascii="Times New Roman" w:hAnsi="Times New Roman" w:cs="Times New Roman"/>
          <w:noProof/>
          <w:sz w:val="24"/>
          <w:szCs w:val="24"/>
        </w:rPr>
      </w:pPr>
      <w:r>
        <w:rPr>
          <w:rFonts w:ascii="Times New Roman" w:hAnsi="Times New Roman"/>
          <w:noProof/>
          <w:sz w:val="24"/>
          <w:szCs w:val="24"/>
        </w:rPr>
        <w:t>Оценката за птиците се извършва на равнище ЕС. Защитените видове и типове местообитания, обхванати от Директивата за местообитанията, се оценяват на равнище девет сухоземни „биогеографски“ региона</w:t>
      </w:r>
      <w:r>
        <w:rPr>
          <w:rStyle w:val="FootnoteReference"/>
          <w:rFonts w:ascii="Times New Roman" w:hAnsi="Times New Roman" w:cs="Times New Roman"/>
          <w:noProof/>
          <w:sz w:val="24"/>
          <w:szCs w:val="24"/>
        </w:rPr>
        <w:footnoteReference w:id="5"/>
      </w:r>
      <w:r>
        <w:rPr>
          <w:rFonts w:ascii="Times New Roman" w:hAnsi="Times New Roman"/>
          <w:noProof/>
          <w:sz w:val="24"/>
          <w:szCs w:val="24"/>
        </w:rPr>
        <w:t xml:space="preserve"> и пет морски региона</w:t>
      </w:r>
      <w:r>
        <w:rPr>
          <w:rStyle w:val="FootnoteReference"/>
          <w:rFonts w:ascii="Times New Roman" w:hAnsi="Times New Roman" w:cs="Times New Roman"/>
          <w:noProof/>
          <w:sz w:val="24"/>
          <w:szCs w:val="24"/>
        </w:rPr>
        <w:footnoteReference w:id="6"/>
      </w:r>
      <w:r>
        <w:rPr>
          <w:rFonts w:ascii="Times New Roman" w:hAnsi="Times New Roman"/>
          <w:noProof/>
          <w:sz w:val="24"/>
          <w:szCs w:val="24"/>
        </w:rPr>
        <w:t>. С цел ясна и последователна комуникация резултатите се представят с помощта на цветовия код на светофара (зелено—жълто—червено), с който се обозначава „добър“, „незадоволителен“ и „лош“ статус</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 Всички статистически данни за цялостния статус и тенденциите се основават на броя на извършените оценки на отделни местообитания и видове на равнище ЕС.</w:t>
      </w:r>
    </w:p>
    <w:p>
      <w:pPr>
        <w:spacing w:after="240"/>
        <w:jc w:val="both"/>
        <w:rPr>
          <w:rFonts w:ascii="Times New Roman" w:hAnsi="Times New Roman" w:cs="Times New Roman"/>
          <w:noProof/>
          <w:sz w:val="24"/>
          <w:szCs w:val="24"/>
        </w:rPr>
      </w:pPr>
      <w:r>
        <w:rPr>
          <w:rFonts w:ascii="Times New Roman" w:hAnsi="Times New Roman"/>
          <w:noProof/>
          <w:sz w:val="24"/>
          <w:szCs w:val="24"/>
        </w:rPr>
        <w:t>Въпреки че за оценките на равнище ЕС и на биогеографски региони е необходимо такова обобщаване на данните от националното докладване, възможно е с него да не се разкрива положителен развой на по-ниски равнища (т.е. местни, регионални или национални).</w:t>
      </w:r>
    </w:p>
    <w:p>
      <w:pPr>
        <w:spacing w:before="240" w:after="240"/>
        <w:jc w:val="both"/>
        <w:rPr>
          <w:rFonts w:ascii="Times New Roman" w:hAnsi="Times New Roman" w:cs="Times New Roman"/>
          <w:b/>
          <w:i/>
          <w:noProof/>
          <w:sz w:val="24"/>
          <w:szCs w:val="24"/>
          <w:u w:val="single"/>
        </w:rPr>
      </w:pPr>
      <w:r>
        <w:rPr>
          <w:rFonts w:ascii="Times New Roman" w:hAnsi="Times New Roman"/>
          <w:b/>
          <w:i/>
          <w:noProof/>
          <w:sz w:val="24"/>
          <w:szCs w:val="24"/>
          <w:u w:val="single"/>
        </w:rPr>
        <w:t>2.1. Птици</w:t>
      </w:r>
    </w:p>
    <w:p>
      <w:pPr>
        <w:spacing w:after="240"/>
        <w:jc w:val="both"/>
        <w:rPr>
          <w:rFonts w:ascii="Times New Roman" w:hAnsi="Times New Roman" w:cs="Times New Roman"/>
          <w:noProof/>
          <w:sz w:val="24"/>
          <w:szCs w:val="24"/>
        </w:rPr>
      </w:pPr>
      <w:r>
        <w:rPr>
          <w:rFonts w:ascii="Times New Roman" w:hAnsi="Times New Roman"/>
          <w:noProof/>
          <w:sz w:val="24"/>
          <w:szCs w:val="24"/>
        </w:rPr>
        <w:t>Директивата за птиците защитава всички видове птици, естествено живеещи в диво състояние на европейската територия на държавите членки (над 460 вида). В приложение I към нея са изброени 197 (под)вида, за опазването на чиито местообитания са необходими специални мерки, включително определянето на специални защитени зони. В приложение II са изброени 86 (под)вида, които могат да бъдат ловувани в съответствие с националното законодателство.</w:t>
      </w:r>
    </w:p>
    <w:p>
      <w:pPr>
        <w:spacing w:after="240"/>
        <w:jc w:val="both"/>
        <w:rPr>
          <w:rFonts w:ascii="Times New Roman" w:hAnsi="Times New Roman" w:cs="Times New Roman"/>
          <w:noProof/>
          <w:sz w:val="24"/>
          <w:szCs w:val="24"/>
        </w:rPr>
      </w:pPr>
    </w:p>
    <w:p>
      <w:pPr>
        <w:spacing w:after="240"/>
        <w:rPr>
          <w:rFonts w:ascii="Times New Roman" w:eastAsia="Calibri" w:hAnsi="Times New Roman" w:cs="Times New Roman"/>
          <w:noProof/>
          <w:sz w:val="24"/>
          <w:szCs w:val="24"/>
        </w:rPr>
      </w:pPr>
      <w:r>
        <w:rPr>
          <w:rFonts w:ascii="Times New Roman" w:hAnsi="Times New Roman"/>
          <w:b/>
          <w:bCs/>
          <w:noProof/>
          <w:sz w:val="24"/>
          <w:szCs w:val="24"/>
        </w:rPr>
        <w:t>Птици — статус на популациите на равнище ЕС</w:t>
      </w:r>
    </w:p>
    <w:tbl>
      <w:tblPr>
        <w:tblStyle w:val="HTG1"/>
        <w:tblpPr w:leftFromText="141" w:rightFromText="141" w:vertAnchor="text" w:horzAnchor="margin" w:tblpY="9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80"/>
      </w:tblGrid>
      <w:tr>
        <w:tc>
          <w:tcPr>
            <w:tcW w:w="6516" w:type="dxa"/>
          </w:tcPr>
          <w:p>
            <w:pPr>
              <w:spacing w:after="120"/>
              <w:rPr>
                <w:rFonts w:ascii="Times New Roman" w:hAnsi="Times New Roman" w:cs="Times New Roman"/>
                <w:b/>
                <w:noProof/>
                <w:sz w:val="20"/>
                <w:szCs w:val="20"/>
              </w:rPr>
            </w:pPr>
            <w:r>
              <w:rPr>
                <w:rFonts w:ascii="Times New Roman" w:hAnsi="Times New Roman"/>
                <w:b/>
                <w:noProof/>
                <w:sz w:val="20"/>
                <w:szCs w:val="20"/>
              </w:rPr>
              <w:t>Фигура 1: Статус на популациите на видовете птици в ЕС</w:t>
            </w:r>
          </w:p>
        </w:tc>
      </w:tr>
      <w:tr>
        <w:tblPrEx>
          <w:tblCellMar>
            <w:left w:w="70" w:type="dxa"/>
            <w:right w:w="70" w:type="dxa"/>
          </w:tblCellMar>
        </w:tblPrEx>
        <w:trPr>
          <w:trHeight w:val="3299"/>
        </w:trPr>
        <w:tc>
          <w:tcPr>
            <w:tcW w:w="6516" w:type="dxa"/>
            <w:vAlign w:val="center"/>
          </w:tcPr>
          <w:p>
            <w:pPr>
              <w:jc w:val="center"/>
              <w:rPr>
                <w:rFonts w:ascii="Times New Roman" w:hAnsi="Times New Roman" w:cs="Times New Roman"/>
                <w:noProof/>
              </w:rPr>
            </w:pPr>
            <w:r>
              <w:rPr>
                <w:rFonts w:ascii="Times New Roman" w:hAnsi="Times New Roman" w:cs="Times New Roman"/>
                <w:noProof/>
                <w:lang w:val="en-GB" w:eastAsia="en-GB"/>
              </w:rPr>
              <w:drawing>
                <wp:inline distT="0" distB="0" distL="0" distR="0">
                  <wp:extent cx="4143375" cy="267652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43375" cy="2676525"/>
                          </a:xfrm>
                          <a:prstGeom prst="rect">
                            <a:avLst/>
                          </a:prstGeom>
                          <a:noFill/>
                          <a:ln>
                            <a:noFill/>
                          </a:ln>
                        </pic:spPr>
                      </pic:pic>
                    </a:graphicData>
                  </a:graphic>
                </wp:inline>
              </w:drawing>
            </w:r>
          </w:p>
        </w:tc>
      </w:tr>
      <w:tr>
        <w:tc>
          <w:tcPr>
            <w:tcW w:w="6516" w:type="dxa"/>
          </w:tcPr>
          <w:p>
            <w:pPr>
              <w:rPr>
                <w:rFonts w:ascii="Times New Roman" w:eastAsia="Calibri" w:hAnsi="Times New Roman" w:cs="Times New Roman"/>
                <w:noProof/>
                <w:sz w:val="18"/>
                <w:szCs w:val="18"/>
              </w:rPr>
            </w:pPr>
            <w:r>
              <w:rPr>
                <w:rFonts w:ascii="Times New Roman" w:hAnsi="Times New Roman"/>
                <w:b/>
                <w:bCs/>
                <w:noProof/>
                <w:sz w:val="18"/>
                <w:szCs w:val="18"/>
              </w:rPr>
              <w:t>Забележка</w:t>
            </w:r>
            <w:r>
              <w:rPr>
                <w:rFonts w:ascii="Times New Roman" w:hAnsi="Times New Roman"/>
                <w:noProof/>
                <w:sz w:val="18"/>
                <w:szCs w:val="18"/>
              </w:rPr>
              <w:t>: Общият брой на оценките е 463 (по една оценка на вид).</w:t>
            </w:r>
          </w:p>
        </w:tc>
      </w:tr>
    </w:tbl>
    <w:p>
      <w:pPr>
        <w:spacing w:before="40" w:after="40" w:line="240" w:lineRule="auto"/>
        <w:ind w:left="357"/>
        <w:rPr>
          <w:rFonts w:ascii="Times New Roman" w:hAnsi="Times New Roman" w:cs="Times New Roman"/>
          <w:noProof/>
          <w:sz w:val="20"/>
          <w:szCs w:val="20"/>
        </w:rPr>
      </w:pPr>
    </w:p>
    <w:p>
      <w:pPr>
        <w:spacing w:after="120"/>
        <w:rPr>
          <w:rFonts w:ascii="Times New Roman" w:eastAsia="Calibri" w:hAnsi="Times New Roman" w:cs="Times New Roman"/>
          <w:noProof/>
        </w:rPr>
      </w:pPr>
    </w:p>
    <w:p>
      <w:pPr>
        <w:spacing w:after="120"/>
        <w:jc w:val="both"/>
        <w:rPr>
          <w:rFonts w:ascii="Times New Roman" w:eastAsia="Calibri" w:hAnsi="Times New Roman" w:cs="Times New Roman"/>
          <w:noProof/>
        </w:rPr>
      </w:pPr>
    </w:p>
    <w:p>
      <w:pPr>
        <w:spacing w:after="120"/>
        <w:jc w:val="both"/>
        <w:rPr>
          <w:rFonts w:ascii="Times New Roman" w:eastAsia="Calibri" w:hAnsi="Times New Roman" w:cs="Times New Roman"/>
          <w:noProof/>
        </w:rPr>
      </w:pPr>
    </w:p>
    <w:p>
      <w:pPr>
        <w:spacing w:after="120"/>
        <w:jc w:val="both"/>
        <w:rPr>
          <w:rFonts w:ascii="Times New Roman" w:eastAsia="Calibri" w:hAnsi="Times New Roman" w:cs="Times New Roman"/>
          <w:noProof/>
        </w:rPr>
      </w:pPr>
    </w:p>
    <w:p>
      <w:pPr>
        <w:spacing w:after="120"/>
        <w:jc w:val="both"/>
        <w:rPr>
          <w:rFonts w:ascii="Times New Roman" w:eastAsia="Calibri" w:hAnsi="Times New Roman" w:cs="Times New Roman"/>
          <w:noProof/>
        </w:rPr>
      </w:pPr>
    </w:p>
    <w:p>
      <w:pPr>
        <w:spacing w:after="120"/>
        <w:jc w:val="both"/>
        <w:rPr>
          <w:rFonts w:ascii="Times New Roman" w:eastAsia="Calibri" w:hAnsi="Times New Roman" w:cs="Times New Roman"/>
          <w:noProof/>
        </w:rPr>
      </w:pPr>
    </w:p>
    <w:p>
      <w:pPr>
        <w:spacing w:after="120"/>
        <w:jc w:val="both"/>
        <w:rPr>
          <w:rFonts w:ascii="Times New Roman" w:eastAsia="Calibri" w:hAnsi="Times New Roman" w:cs="Times New Roman"/>
          <w:noProof/>
        </w:rPr>
      </w:pPr>
    </w:p>
    <w:p>
      <w:pPr>
        <w:spacing w:after="120"/>
        <w:jc w:val="both"/>
        <w:rPr>
          <w:rFonts w:ascii="Times New Roman" w:eastAsia="Calibri" w:hAnsi="Times New Roman" w:cs="Times New Roman"/>
          <w:noProof/>
        </w:rPr>
      </w:pPr>
    </w:p>
    <w:p>
      <w:pPr>
        <w:spacing w:after="120"/>
        <w:jc w:val="both"/>
        <w:rPr>
          <w:rFonts w:ascii="Times New Roman" w:eastAsia="Calibri" w:hAnsi="Times New Roman" w:cs="Times New Roman"/>
          <w:noProof/>
        </w:rPr>
      </w:pPr>
    </w:p>
    <w:p>
      <w:pPr>
        <w:spacing w:after="120"/>
        <w:jc w:val="both"/>
        <w:rPr>
          <w:rFonts w:ascii="Times New Roman" w:eastAsia="Calibri" w:hAnsi="Times New Roman" w:cs="Times New Roman"/>
          <w:noProof/>
        </w:rPr>
      </w:pPr>
    </w:p>
    <w:p>
      <w:pPr>
        <w:spacing w:after="120"/>
        <w:jc w:val="both"/>
        <w:rPr>
          <w:rFonts w:ascii="Times New Roman" w:eastAsia="Calibri" w:hAnsi="Times New Roman" w:cs="Times New Roman"/>
          <w:noProof/>
        </w:rPr>
      </w:pPr>
    </w:p>
    <w:p>
      <w:pPr>
        <w:spacing w:before="240" w:after="240"/>
        <w:jc w:val="both"/>
        <w:rPr>
          <w:rFonts w:ascii="Times New Roman" w:eastAsia="Calibri" w:hAnsi="Times New Roman" w:cs="Times New Roman"/>
          <w:noProof/>
          <w:sz w:val="24"/>
          <w:szCs w:val="24"/>
        </w:rPr>
      </w:pPr>
      <w:r>
        <w:rPr>
          <w:rFonts w:ascii="Times New Roman" w:hAnsi="Times New Roman"/>
          <w:noProof/>
          <w:sz w:val="24"/>
          <w:szCs w:val="24"/>
        </w:rPr>
        <w:t>От оценката на равнище ЕС е видно, че статусът на популациите на 47 % от всички видове птици е добър, което е спад с 5 процентни пункта (пр.п.) от 52 % през 2015 г.</w:t>
      </w:r>
      <w:r>
        <w:rPr>
          <w:rStyle w:val="FootnoteReference"/>
          <w:rFonts w:ascii="Times New Roman" w:eastAsia="Calibri" w:hAnsi="Times New Roman" w:cs="Times New Roman"/>
          <w:noProof/>
          <w:sz w:val="24"/>
          <w:szCs w:val="24"/>
        </w:rPr>
        <w:footnoteReference w:id="8"/>
      </w:r>
      <w:r>
        <w:rPr>
          <w:rFonts w:ascii="Times New Roman" w:hAnsi="Times New Roman"/>
          <w:noProof/>
          <w:sz w:val="24"/>
          <w:szCs w:val="24"/>
        </w:rPr>
        <w:t>. Делът на видовете с незадоволителен или лош статус се е увеличил от 32 % на 39 %, докато поради липса на надеждни данни статусът на 14 % все още е неизвестен (спрямо 16 % през 2015 г.).</w:t>
      </w:r>
    </w:p>
    <w:p>
      <w:pPr>
        <w:rPr>
          <w:rFonts w:ascii="Times New Roman" w:eastAsia="Calibri" w:hAnsi="Times New Roman" w:cs="Times New Roman"/>
          <w:b/>
          <w:bCs/>
          <w:noProof/>
        </w:rPr>
      </w:pPr>
      <w:r>
        <w:rPr>
          <w:noProof/>
        </w:rPr>
        <w:br w:type="page"/>
      </w:r>
    </w:p>
    <w:p>
      <w:pPr>
        <w:spacing w:after="240"/>
        <w:rPr>
          <w:rFonts w:ascii="Times New Roman" w:eastAsia="Calibri" w:hAnsi="Times New Roman" w:cs="Times New Roman"/>
          <w:b/>
          <w:bCs/>
          <w:noProof/>
          <w:sz w:val="24"/>
          <w:szCs w:val="24"/>
        </w:rPr>
      </w:pPr>
      <w:r>
        <w:rPr>
          <w:rFonts w:ascii="Times New Roman" w:hAnsi="Times New Roman"/>
          <w:b/>
          <w:bCs/>
          <w:noProof/>
          <w:sz w:val="24"/>
          <w:szCs w:val="24"/>
        </w:rPr>
        <w:t>Птици — тенденции при популациите на равнище ЕС</w:t>
      </w:r>
    </w:p>
    <w:tbl>
      <w:tblPr>
        <w:tblStyle w:val="TableGrid"/>
        <w:tblpPr w:leftFromText="141" w:rightFromText="141" w:vertAnchor="text" w:horzAnchor="margin" w:tblpY="57"/>
        <w:tblW w:w="9209" w:type="dxa"/>
        <w:tblCellMar>
          <w:left w:w="70" w:type="dxa"/>
          <w:right w:w="70" w:type="dxa"/>
        </w:tblCellMar>
        <w:tblLook w:val="04A0" w:firstRow="1" w:lastRow="0" w:firstColumn="1" w:lastColumn="0" w:noHBand="0" w:noVBand="1"/>
      </w:tblPr>
      <w:tblGrid>
        <w:gridCol w:w="4100"/>
        <w:gridCol w:w="5330"/>
      </w:tblGrid>
      <w:tr>
        <w:trPr>
          <w:trHeight w:val="3392"/>
        </w:trPr>
        <w:tc>
          <w:tcPr>
            <w:tcW w:w="4673" w:type="dxa"/>
            <w:tcBorders>
              <w:top w:val="nil"/>
              <w:left w:val="nil"/>
              <w:bottom w:val="nil"/>
              <w:right w:val="nil"/>
            </w:tcBorders>
          </w:tcPr>
          <w:p>
            <w:pPr>
              <w:pStyle w:val="Caption"/>
              <w:framePr w:hSpace="0" w:wrap="auto" w:vAnchor="margin" w:hAnchor="text" w:yAlign="inline"/>
              <w:jc w:val="left"/>
              <w:rPr>
                <w:noProof/>
              </w:rPr>
            </w:pPr>
            <w:r>
              <w:rPr>
                <w:noProof/>
              </w:rPr>
              <w:t xml:space="preserve">Фигура </w:t>
            </w:r>
            <w:r>
              <w:rPr>
                <w:noProof/>
              </w:rPr>
              <w:fldChar w:fldCharType="begin"/>
            </w:r>
            <w:r>
              <w:rPr>
                <w:noProof/>
              </w:rPr>
              <w:instrText xml:space="preserve"> STYLEREF 1 \s </w:instrText>
            </w:r>
            <w:r>
              <w:rPr>
                <w:noProof/>
              </w:rPr>
              <w:fldChar w:fldCharType="separate"/>
            </w:r>
            <w:r>
              <w:rPr>
                <w:noProof/>
              </w:rPr>
              <w:t>2</w:t>
            </w:r>
            <w:r>
              <w:rPr>
                <w:noProof/>
              </w:rPr>
              <w:fldChar w:fldCharType="end"/>
            </w:r>
            <w:r>
              <w:rPr>
                <w:noProof/>
              </w:rPr>
              <w:t>а: Краткосрочни (за 12 години) тенденции при популациите от гнездящи птици на равнище ЕС</w:t>
            </w:r>
          </w:p>
          <w:p>
            <w:pPr>
              <w:spacing w:after="120" w:line="276" w:lineRule="auto"/>
              <w:jc w:val="both"/>
              <w:rPr>
                <w:rStyle w:val="EndnoteReference"/>
                <w:rFonts w:ascii="Times New Roman" w:hAnsi="Times New Roman" w:cs="Times New Roman"/>
                <w:b/>
                <w:bCs/>
                <w:noProof/>
                <w:sz w:val="24"/>
              </w:rPr>
            </w:pPr>
            <w:r>
              <w:rPr>
                <w:noProof/>
                <w:lang w:val="en-GB" w:eastAsia="en-GB"/>
              </w:rPr>
              <w:drawing>
                <wp:inline distT="0" distB="0" distL="0" distR="0">
                  <wp:extent cx="2508597" cy="1881301"/>
                  <wp:effectExtent l="0" t="0" r="635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08597" cy="1881301"/>
                          </a:xfrm>
                          <a:prstGeom prst="rect">
                            <a:avLst/>
                          </a:prstGeom>
                          <a:noFill/>
                        </pic:spPr>
                      </pic:pic>
                    </a:graphicData>
                  </a:graphic>
                </wp:inline>
              </w:drawing>
            </w:r>
          </w:p>
        </w:tc>
        <w:tc>
          <w:tcPr>
            <w:tcW w:w="4536" w:type="dxa"/>
            <w:tcBorders>
              <w:top w:val="nil"/>
              <w:left w:val="nil"/>
              <w:bottom w:val="nil"/>
              <w:right w:val="nil"/>
            </w:tcBorders>
          </w:tcPr>
          <w:p>
            <w:pPr>
              <w:pStyle w:val="Caption"/>
              <w:framePr w:hSpace="0" w:wrap="auto" w:vAnchor="margin" w:hAnchor="text" w:yAlign="inline"/>
              <w:jc w:val="left"/>
              <w:rPr>
                <w:noProof/>
              </w:rPr>
            </w:pPr>
            <w:r>
              <w:rPr>
                <w:noProof/>
              </w:rPr>
              <w:t xml:space="preserve">Фигура </w:t>
            </w:r>
            <w:r>
              <w:rPr>
                <w:noProof/>
              </w:rPr>
              <w:fldChar w:fldCharType="begin"/>
            </w:r>
            <w:r>
              <w:rPr>
                <w:noProof/>
              </w:rPr>
              <w:instrText xml:space="preserve"> STYLEREF 1 \s </w:instrText>
            </w:r>
            <w:r>
              <w:rPr>
                <w:noProof/>
              </w:rPr>
              <w:fldChar w:fldCharType="separate"/>
            </w:r>
            <w:r>
              <w:rPr>
                <w:noProof/>
              </w:rPr>
              <w:t>2</w:t>
            </w:r>
            <w:r>
              <w:rPr>
                <w:noProof/>
              </w:rPr>
              <w:fldChar w:fldCharType="end"/>
            </w:r>
            <w:r>
              <w:rPr>
                <w:noProof/>
              </w:rPr>
              <w:t>б: Дългосрочни (за 38 години) тенденции при популациите от гнездящи птици на равнище ЕС</w:t>
            </w:r>
          </w:p>
          <w:p>
            <w:pPr>
              <w:jc w:val="center"/>
              <w:rPr>
                <w:rFonts w:ascii="Times New Roman" w:hAnsi="Times New Roman" w:cs="Times New Roman"/>
                <w:noProof/>
              </w:rPr>
            </w:pPr>
            <w:r>
              <w:rPr>
                <w:rFonts w:ascii="Times New Roman" w:hAnsi="Times New Roman" w:cs="Times New Roman"/>
                <w:noProof/>
                <w:lang w:val="en-GB" w:eastAsia="en-GB"/>
              </w:rPr>
              <w:drawing>
                <wp:inline distT="0" distB="0" distL="0" distR="0">
                  <wp:extent cx="3295650" cy="2304523"/>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28069" cy="2327192"/>
                          </a:xfrm>
                          <a:prstGeom prst="rect">
                            <a:avLst/>
                          </a:prstGeom>
                          <a:noFill/>
                          <a:ln>
                            <a:noFill/>
                          </a:ln>
                        </pic:spPr>
                      </pic:pic>
                    </a:graphicData>
                  </a:graphic>
                </wp:inline>
              </w:drawing>
            </w:r>
          </w:p>
        </w:tc>
      </w:tr>
      <w:tr>
        <w:tc>
          <w:tcPr>
            <w:tcW w:w="9209" w:type="dxa"/>
            <w:gridSpan w:val="2"/>
            <w:tcBorders>
              <w:top w:val="nil"/>
              <w:left w:val="nil"/>
              <w:bottom w:val="nil"/>
              <w:right w:val="nil"/>
            </w:tcBorders>
          </w:tcPr>
          <w:p>
            <w:pPr>
              <w:pStyle w:val="Caption"/>
              <w:framePr w:hSpace="0" w:wrap="auto" w:vAnchor="margin" w:hAnchor="text" w:yAlign="inline"/>
              <w:rPr>
                <w:noProof/>
              </w:rPr>
            </w:pPr>
            <w:r>
              <w:rPr>
                <w:noProof/>
              </w:rPr>
              <w:object w:dxaOrig="8640" w:dyaOrig="915">
                <v:shape id="_x0000_i1026" type="#_x0000_t75" style="width:6in;height:45.75pt" o:ole="">
                  <v:imagedata r:id="rId19" o:title=""/>
                </v:shape>
                <o:OLEObject Type="Embed" ProgID="PBrush" ShapeID="_x0000_i1026" DrawAspect="Content" ObjectID="_1664025122" r:id="rId20"/>
              </w:object>
            </w:r>
          </w:p>
        </w:tc>
      </w:tr>
      <w:tr>
        <w:trPr>
          <w:trHeight w:val="567"/>
        </w:trPr>
        <w:tc>
          <w:tcPr>
            <w:tcW w:w="9209" w:type="dxa"/>
            <w:gridSpan w:val="2"/>
            <w:tcBorders>
              <w:top w:val="nil"/>
              <w:left w:val="nil"/>
              <w:bottom w:val="nil"/>
              <w:right w:val="nil"/>
            </w:tcBorders>
          </w:tcPr>
          <w:p>
            <w:pPr>
              <w:spacing w:before="120" w:after="240"/>
              <w:jc w:val="both"/>
              <w:rPr>
                <w:rFonts w:ascii="Times New Roman" w:eastAsia="Calibri" w:hAnsi="Times New Roman" w:cs="Times New Roman"/>
                <w:noProof/>
                <w:sz w:val="18"/>
                <w:szCs w:val="18"/>
              </w:rPr>
            </w:pPr>
            <w:r>
              <w:rPr>
                <w:rFonts w:ascii="Times New Roman" w:hAnsi="Times New Roman"/>
                <w:b/>
                <w:bCs/>
                <w:noProof/>
                <w:sz w:val="18"/>
                <w:szCs w:val="18"/>
              </w:rPr>
              <w:t>Забележка</w:t>
            </w:r>
            <w:r>
              <w:rPr>
                <w:rFonts w:ascii="Times New Roman" w:hAnsi="Times New Roman"/>
                <w:b/>
                <w:noProof/>
                <w:sz w:val="18"/>
                <w:szCs w:val="18"/>
              </w:rPr>
              <w:t>:</w:t>
            </w:r>
            <w:r>
              <w:rPr>
                <w:rFonts w:ascii="Times New Roman" w:hAnsi="Times New Roman"/>
                <w:noProof/>
                <w:sz w:val="18"/>
                <w:szCs w:val="18"/>
              </w:rPr>
              <w:t xml:space="preserve"> Статистически данни въз основа на 465 краткосрочни и 467 дългосрочни тенденции при популациите от гнездящи птици в ЕС. Включени са тенденции за ограничен брой подвидове и биогеографски популации.</w:t>
            </w:r>
          </w:p>
        </w:tc>
      </w:tr>
    </w:tbl>
    <w:p>
      <w:pPr>
        <w:spacing w:after="240"/>
        <w:jc w:val="both"/>
        <w:rPr>
          <w:rFonts w:ascii="Times New Roman" w:eastAsia="Calibri" w:hAnsi="Times New Roman" w:cs="Times New Roman"/>
          <w:noProof/>
          <w:sz w:val="24"/>
          <w:szCs w:val="24"/>
        </w:rPr>
      </w:pPr>
    </w:p>
    <w:p>
      <w:pPr>
        <w:spacing w:after="240"/>
        <w:jc w:val="both"/>
        <w:rPr>
          <w:rFonts w:ascii="Times New Roman" w:eastAsia="Calibri" w:hAnsi="Times New Roman" w:cs="Times New Roman"/>
          <w:noProof/>
          <w:sz w:val="24"/>
          <w:szCs w:val="24"/>
        </w:rPr>
      </w:pPr>
      <w:r>
        <w:rPr>
          <w:rFonts w:ascii="Times New Roman" w:hAnsi="Times New Roman"/>
          <w:noProof/>
          <w:sz w:val="24"/>
          <w:szCs w:val="24"/>
        </w:rPr>
        <w:t>Държавите членки докладваха за тенденциите при популациите както от гнездящи, така и от зимуващи птици</w:t>
      </w:r>
      <w:r>
        <w:rPr>
          <w:rStyle w:val="FootnoteReference"/>
          <w:rFonts w:ascii="Times New Roman" w:eastAsia="Calibri" w:hAnsi="Times New Roman" w:cs="Times New Roman"/>
          <w:noProof/>
          <w:sz w:val="24"/>
          <w:szCs w:val="24"/>
        </w:rPr>
        <w:footnoteReference w:id="9"/>
      </w:r>
      <w:r>
        <w:rPr>
          <w:rFonts w:ascii="Times New Roman" w:hAnsi="Times New Roman"/>
          <w:noProof/>
          <w:sz w:val="24"/>
          <w:szCs w:val="24"/>
        </w:rPr>
        <w:t xml:space="preserve"> в краткосрочен и в дългосрочен план, т.е. за последните 12 години (2007—2018 г.) и за последните 38 години (1980—2018 г.).</w:t>
      </w:r>
    </w:p>
    <w:p>
      <w:pPr>
        <w:spacing w:after="120"/>
        <w:jc w:val="both"/>
        <w:rPr>
          <w:rFonts w:ascii="Times New Roman" w:hAnsi="Times New Roman" w:cs="Times New Roman"/>
          <w:noProof/>
          <w:sz w:val="24"/>
          <w:szCs w:val="24"/>
        </w:rPr>
      </w:pPr>
      <w:r>
        <w:rPr>
          <w:rFonts w:ascii="Times New Roman" w:hAnsi="Times New Roman"/>
          <w:noProof/>
          <w:sz w:val="24"/>
          <w:szCs w:val="24"/>
        </w:rPr>
        <w:t>От данните е видно, че:</w:t>
      </w:r>
    </w:p>
    <w:p>
      <w:pPr>
        <w:pStyle w:val="ListParagraph"/>
        <w:numPr>
          <w:ilvl w:val="0"/>
          <w:numId w:val="1"/>
        </w:numPr>
        <w:spacing w:after="120"/>
        <w:ind w:left="681" w:hanging="397"/>
        <w:contextualSpacing w:val="0"/>
        <w:jc w:val="both"/>
        <w:rPr>
          <w:rFonts w:ascii="Times New Roman" w:hAnsi="Times New Roman" w:cs="Times New Roman"/>
          <w:noProof/>
          <w:sz w:val="24"/>
          <w:szCs w:val="24"/>
        </w:rPr>
      </w:pPr>
      <w:r>
        <w:rPr>
          <w:rFonts w:ascii="Times New Roman" w:hAnsi="Times New Roman"/>
          <w:noProof/>
          <w:sz w:val="24"/>
          <w:szCs w:val="24"/>
        </w:rPr>
        <w:t>краткосрочната тенденция при почти една трета (30 %) от всички оценени видове гнездящи птици е към намаляване (същият процент като през 2015 г.);</w:t>
      </w:r>
    </w:p>
    <w:p>
      <w:pPr>
        <w:pStyle w:val="ListParagraph"/>
        <w:numPr>
          <w:ilvl w:val="0"/>
          <w:numId w:val="1"/>
        </w:numPr>
        <w:spacing w:after="120"/>
        <w:ind w:left="681" w:hanging="397"/>
        <w:contextualSpacing w:val="0"/>
        <w:jc w:val="both"/>
        <w:rPr>
          <w:rFonts w:ascii="Times New Roman" w:hAnsi="Times New Roman" w:cs="Times New Roman"/>
          <w:noProof/>
          <w:sz w:val="24"/>
          <w:szCs w:val="24"/>
        </w:rPr>
      </w:pPr>
      <w:r>
        <w:rPr>
          <w:rFonts w:ascii="Times New Roman" w:hAnsi="Times New Roman"/>
          <w:noProof/>
          <w:sz w:val="24"/>
          <w:szCs w:val="24"/>
        </w:rPr>
        <w:t>краткосрочните тенденции при гнездящите птици показват 5 % по-малко видове с увеличаване на популациите, отколкото през 2015 г., и 7 % увеличаване при видовете с устойчиви или променливи тенденции; оценките „неизвестни“ са спаднали с 2 %;</w:t>
      </w:r>
    </w:p>
    <w:p>
      <w:pPr>
        <w:pStyle w:val="ListParagraph"/>
        <w:numPr>
          <w:ilvl w:val="0"/>
          <w:numId w:val="1"/>
        </w:numPr>
        <w:spacing w:after="120"/>
        <w:ind w:left="681" w:hanging="397"/>
        <w:contextualSpacing w:val="0"/>
        <w:jc w:val="both"/>
        <w:rPr>
          <w:rFonts w:ascii="Times New Roman" w:hAnsi="Times New Roman" w:cs="Times New Roman"/>
          <w:noProof/>
          <w:sz w:val="24"/>
          <w:szCs w:val="24"/>
        </w:rPr>
      </w:pPr>
      <w:r>
        <w:rPr>
          <w:rFonts w:ascii="Times New Roman" w:hAnsi="Times New Roman"/>
          <w:noProof/>
          <w:sz w:val="24"/>
          <w:szCs w:val="24"/>
        </w:rPr>
        <w:t>дългосрочните тенденции при гнездящите птици, които са към намаляване, са малко повече от тенденциите към увеличаване (за периода 2008—2012 г. е точно обратното); въпреки това делът на „неизвестните“ дългосрочни тенденции при гнездящите птици е спаднал с 10 пр.п. — от 30 % на 20 %; и</w:t>
      </w:r>
    </w:p>
    <w:p>
      <w:pPr>
        <w:pStyle w:val="ListParagraph"/>
        <w:numPr>
          <w:ilvl w:val="0"/>
          <w:numId w:val="1"/>
        </w:numPr>
        <w:spacing w:after="240"/>
        <w:ind w:left="681" w:hanging="397"/>
        <w:contextualSpacing w:val="0"/>
        <w:jc w:val="both"/>
        <w:rPr>
          <w:rFonts w:ascii="Times New Roman" w:hAnsi="Times New Roman" w:cs="Times New Roman"/>
          <w:noProof/>
          <w:sz w:val="24"/>
          <w:szCs w:val="24"/>
        </w:rPr>
      </w:pPr>
      <w:r>
        <w:rPr>
          <w:rFonts w:ascii="Times New Roman" w:hAnsi="Times New Roman"/>
          <w:noProof/>
          <w:sz w:val="24"/>
          <w:szCs w:val="24"/>
        </w:rPr>
        <w:t>положението за краткосрочните тенденции при 91 популации от зимуващи птици е подобно на това през 2015 г. (45 % към увеличаване, 29 % към намаляване); 54 % от дългосрочните тенденции са към увеличаване, а 13 % са към намаляване (като делът на първите е спаднал с 9 пр.п., а на вторите е почти същият).</w:t>
      </w:r>
    </w:p>
    <w:p>
      <w:pPr>
        <w:spacing w:after="240"/>
        <w:rPr>
          <w:rFonts w:ascii="Times New Roman" w:hAnsi="Times New Roman" w:cs="Times New Roman"/>
          <w:noProof/>
        </w:rPr>
      </w:pPr>
      <w:r>
        <w:rPr>
          <w:rFonts w:ascii="Times New Roman" w:hAnsi="Times New Roman"/>
          <w:b/>
          <w:bCs/>
          <w:noProof/>
          <w:sz w:val="24"/>
          <w:szCs w:val="24"/>
        </w:rPr>
        <w:t>Статус и тенденции при птиците според включването им в Директивата за птиците</w:t>
      </w:r>
    </w:p>
    <w:tbl>
      <w:tblPr>
        <w:tblStyle w:val="HTG1"/>
        <w:tblpPr w:leftFromText="141" w:rightFromText="141" w:vertAnchor="text" w:horzAnchor="margin" w:tblpY="85"/>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5"/>
        <w:gridCol w:w="4252"/>
      </w:tblGrid>
      <w:tr>
        <w:trPr>
          <w:trHeight w:val="672"/>
        </w:trPr>
        <w:tc>
          <w:tcPr>
            <w:tcW w:w="4815" w:type="dxa"/>
          </w:tcPr>
          <w:p>
            <w:pPr>
              <w:keepNext/>
              <w:spacing w:after="120"/>
              <w:rPr>
                <w:rFonts w:ascii="Times New Roman" w:eastAsia="ヒラギノ角ゴ Pro W3" w:hAnsi="Times New Roman" w:cs="Times New Roman"/>
                <w:b/>
                <w:noProof/>
                <w:sz w:val="20"/>
                <w:szCs w:val="20"/>
              </w:rPr>
            </w:pPr>
            <w:r>
              <w:rPr>
                <w:rFonts w:ascii="Times New Roman" w:hAnsi="Times New Roman"/>
                <w:b/>
                <w:noProof/>
                <w:sz w:val="20"/>
                <w:szCs w:val="20"/>
              </w:rPr>
              <w:t>Фигура 3а:</w:t>
            </w:r>
            <w:r>
              <w:rPr>
                <w:rFonts w:ascii="Times New Roman" w:hAnsi="Times New Roman"/>
                <w:b/>
                <w:iCs/>
                <w:noProof/>
                <w:color w:val="000000"/>
                <w:sz w:val="20"/>
                <w:szCs w:val="20"/>
              </w:rPr>
              <w:t xml:space="preserve"> </w:t>
            </w:r>
            <w:r>
              <w:rPr>
                <w:rFonts w:ascii="Times New Roman" w:hAnsi="Times New Roman"/>
                <w:b/>
                <w:noProof/>
                <w:sz w:val="20"/>
                <w:szCs w:val="20"/>
              </w:rPr>
              <w:t>Статус в ЕС на популациите от птици, включени в приложения I и II, птици, които не са включени в приложения I/II, и всички видове птици</w:t>
            </w:r>
          </w:p>
        </w:tc>
        <w:tc>
          <w:tcPr>
            <w:tcW w:w="4252" w:type="dxa"/>
          </w:tcPr>
          <w:p>
            <w:pPr>
              <w:keepNext/>
              <w:spacing w:after="120"/>
              <w:rPr>
                <w:rFonts w:ascii="Times New Roman" w:eastAsia="ヒラギノ角ゴ Pro W3" w:hAnsi="Times New Roman" w:cs="Times New Roman"/>
                <w:b/>
                <w:noProof/>
                <w:sz w:val="20"/>
                <w:szCs w:val="20"/>
              </w:rPr>
            </w:pPr>
            <w:r>
              <w:rPr>
                <w:rFonts w:ascii="Times New Roman" w:hAnsi="Times New Roman"/>
                <w:b/>
                <w:noProof/>
                <w:sz w:val="20"/>
                <w:szCs w:val="20"/>
              </w:rPr>
              <w:t>Фигура 3б: Краткосрочни тенденции в ЕС при популациите от гнездящи птици, включени в приложения I и II, птици, които не са включени в приложения I/II, и всички видове птици</w:t>
            </w:r>
          </w:p>
        </w:tc>
      </w:tr>
      <w:tr>
        <w:trPr>
          <w:trHeight w:val="2132"/>
        </w:trPr>
        <w:tc>
          <w:tcPr>
            <w:tcW w:w="4815" w:type="dxa"/>
          </w:tcPr>
          <w:p>
            <w:pPr>
              <w:keepNext/>
              <w:spacing w:after="60"/>
              <w:jc w:val="both"/>
              <w:rPr>
                <w:rFonts w:ascii="Times New Roman" w:eastAsia="ヒラギノ角ゴ Pro W3" w:hAnsi="Times New Roman" w:cs="Times New Roman"/>
                <w:b/>
                <w:noProof/>
                <w:sz w:val="18"/>
                <w:szCs w:val="20"/>
              </w:rPr>
            </w:pPr>
            <w:r>
              <w:rPr>
                <w:rFonts w:ascii="Times New Roman" w:eastAsia="ヒラギノ角ゴ Pro W3" w:hAnsi="Times New Roman" w:cs="Times New Roman"/>
                <w:b/>
                <w:noProof/>
                <w:sz w:val="18"/>
                <w:szCs w:val="20"/>
                <w:lang w:val="en-GB" w:eastAsia="en-GB"/>
              </w:rPr>
              <w:drawing>
                <wp:inline distT="0" distB="0" distL="0" distR="0">
                  <wp:extent cx="2790825" cy="2181752"/>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95979" cy="2185781"/>
                          </a:xfrm>
                          <a:prstGeom prst="rect">
                            <a:avLst/>
                          </a:prstGeom>
                          <a:noFill/>
                          <a:ln>
                            <a:noFill/>
                          </a:ln>
                        </pic:spPr>
                      </pic:pic>
                    </a:graphicData>
                  </a:graphic>
                </wp:inline>
              </w:drawing>
            </w:r>
          </w:p>
        </w:tc>
        <w:tc>
          <w:tcPr>
            <w:tcW w:w="4252" w:type="dxa"/>
          </w:tcPr>
          <w:p>
            <w:pPr>
              <w:keepNext/>
              <w:spacing w:after="60"/>
              <w:jc w:val="both"/>
              <w:rPr>
                <w:rFonts w:ascii="Times New Roman" w:eastAsia="ヒラギノ角ゴ Pro W3" w:hAnsi="Times New Roman" w:cs="Times New Roman"/>
                <w:b/>
                <w:noProof/>
                <w:sz w:val="18"/>
                <w:szCs w:val="20"/>
              </w:rPr>
            </w:pPr>
            <w:r>
              <w:rPr>
                <w:rFonts w:ascii="Times New Roman" w:eastAsia="ヒラギノ角ゴ Pro W3" w:hAnsi="Times New Roman" w:cs="Times New Roman"/>
                <w:b/>
                <w:noProof/>
                <w:sz w:val="18"/>
                <w:szCs w:val="20"/>
                <w:lang w:val="en-GB" w:eastAsia="en-GB"/>
              </w:rPr>
              <w:drawing>
                <wp:inline distT="0" distB="0" distL="0" distR="0">
                  <wp:extent cx="2648714" cy="23336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50113" cy="2334858"/>
                          </a:xfrm>
                          <a:prstGeom prst="rect">
                            <a:avLst/>
                          </a:prstGeom>
                          <a:noFill/>
                          <a:ln>
                            <a:noFill/>
                          </a:ln>
                        </pic:spPr>
                      </pic:pic>
                    </a:graphicData>
                  </a:graphic>
                </wp:inline>
              </w:drawing>
            </w:r>
          </w:p>
        </w:tc>
      </w:tr>
      <w:tr>
        <w:trPr>
          <w:trHeight w:val="526"/>
        </w:trPr>
        <w:tc>
          <w:tcPr>
            <w:tcW w:w="4815" w:type="dxa"/>
          </w:tcPr>
          <w:p>
            <w:pPr>
              <w:spacing w:before="120" w:after="240"/>
              <w:jc w:val="both"/>
              <w:rPr>
                <w:rFonts w:ascii="Times New Roman" w:hAnsi="Times New Roman" w:cs="Times New Roman"/>
                <w:noProof/>
              </w:rPr>
            </w:pPr>
            <w:r>
              <w:rPr>
                <w:rFonts w:ascii="Times New Roman" w:hAnsi="Times New Roman"/>
                <w:b/>
                <w:noProof/>
                <w:sz w:val="18"/>
                <w:szCs w:val="20"/>
              </w:rPr>
              <w:t>Забележка:</w:t>
            </w:r>
            <w:r>
              <w:rPr>
                <w:rFonts w:ascii="Times New Roman" w:hAnsi="Times New Roman"/>
                <w:noProof/>
                <w:sz w:val="18"/>
                <w:szCs w:val="18"/>
              </w:rPr>
              <w:t xml:space="preserve"> Общият брой на оценките е 505.</w:t>
            </w:r>
          </w:p>
        </w:tc>
        <w:tc>
          <w:tcPr>
            <w:tcW w:w="4252" w:type="dxa"/>
          </w:tcPr>
          <w:p>
            <w:pPr>
              <w:spacing w:before="120"/>
              <w:jc w:val="both"/>
              <w:rPr>
                <w:rFonts w:ascii="Times New Roman" w:hAnsi="Times New Roman" w:cs="Times New Roman"/>
                <w:noProof/>
                <w:sz w:val="18"/>
                <w:szCs w:val="20"/>
              </w:rPr>
            </w:pPr>
            <w:r>
              <w:rPr>
                <w:rFonts w:ascii="Times New Roman" w:hAnsi="Times New Roman"/>
                <w:b/>
                <w:noProof/>
                <w:sz w:val="18"/>
                <w:szCs w:val="20"/>
              </w:rPr>
              <w:t>Забележка:</w:t>
            </w:r>
            <w:r>
              <w:rPr>
                <w:rFonts w:ascii="Times New Roman" w:hAnsi="Times New Roman"/>
                <w:noProof/>
                <w:sz w:val="18"/>
                <w:szCs w:val="18"/>
              </w:rPr>
              <w:t xml:space="preserve"> Общият брой на оценките е 465.</w:t>
            </w:r>
          </w:p>
        </w:tc>
      </w:tr>
    </w:tbl>
    <w:p>
      <w:pPr>
        <w:spacing w:after="120"/>
        <w:jc w:val="both"/>
        <w:rPr>
          <w:rFonts w:ascii="Times New Roman" w:hAnsi="Times New Roman" w:cs="Times New Roman"/>
          <w:noProof/>
          <w:sz w:val="24"/>
          <w:szCs w:val="24"/>
          <w:lang w:val="el-GR"/>
        </w:rPr>
      </w:pPr>
    </w:p>
    <w:p>
      <w:pPr>
        <w:spacing w:after="120"/>
        <w:jc w:val="both"/>
        <w:rPr>
          <w:rFonts w:ascii="Times New Roman" w:hAnsi="Times New Roman" w:cs="Times New Roman"/>
          <w:noProof/>
          <w:sz w:val="24"/>
          <w:szCs w:val="24"/>
        </w:rPr>
      </w:pPr>
      <w:r>
        <w:rPr>
          <w:rFonts w:ascii="Times New Roman" w:hAnsi="Times New Roman"/>
          <w:noProof/>
          <w:sz w:val="24"/>
          <w:szCs w:val="24"/>
        </w:rPr>
        <w:t>В анализа на статуса и тенденциите при видовете в приложения I и II към Директивата за птиците е посочено, че:</w:t>
      </w:r>
    </w:p>
    <w:p>
      <w:pPr>
        <w:pStyle w:val="ListParagraph"/>
        <w:numPr>
          <w:ilvl w:val="0"/>
          <w:numId w:val="1"/>
        </w:numPr>
        <w:spacing w:after="120"/>
        <w:ind w:left="681" w:hanging="397"/>
        <w:contextualSpacing w:val="0"/>
        <w:jc w:val="both"/>
        <w:rPr>
          <w:rFonts w:ascii="Times New Roman" w:hAnsi="Times New Roman" w:cs="Times New Roman"/>
          <w:noProof/>
          <w:sz w:val="24"/>
          <w:szCs w:val="24"/>
        </w:rPr>
      </w:pPr>
      <w:r>
        <w:rPr>
          <w:rFonts w:ascii="Times New Roman" w:hAnsi="Times New Roman"/>
          <w:noProof/>
          <w:sz w:val="24"/>
          <w:szCs w:val="24"/>
        </w:rPr>
        <w:t>делът на видовете в приложение I с незастрашен статус е намалял с 8 пр.п. (от 48 % на 40 %) от 2015 г. насам, докато делът с незадоволителен и лош статус се е увеличил с 6 пр.п. (от 38 % на 44 %). Това предполага, че статусът на няколко от видовете в приложение I се е влошил, въпреки специалните мерки за опазване на местообитанията, изисквани по директивата. Фактът, че статусът на 16 % от видовете в приложение I все още е неизвестен, поражда особено безпокойство и подчертава необходимостта от подобрени системи за мониторинг за тези видове в държавите членки;</w:t>
      </w:r>
    </w:p>
    <w:p>
      <w:pPr>
        <w:pStyle w:val="ListParagraph"/>
        <w:numPr>
          <w:ilvl w:val="0"/>
          <w:numId w:val="1"/>
        </w:numPr>
        <w:spacing w:after="120"/>
        <w:ind w:left="681" w:hanging="397"/>
        <w:contextualSpacing w:val="0"/>
        <w:jc w:val="both"/>
        <w:rPr>
          <w:rFonts w:ascii="Times New Roman" w:eastAsia="Calibri" w:hAnsi="Times New Roman" w:cs="Times New Roman"/>
          <w:noProof/>
          <w:sz w:val="24"/>
          <w:szCs w:val="24"/>
        </w:rPr>
      </w:pPr>
      <w:r>
        <w:rPr>
          <w:rFonts w:ascii="Times New Roman" w:hAnsi="Times New Roman"/>
          <w:noProof/>
          <w:sz w:val="24"/>
          <w:szCs w:val="24"/>
        </w:rPr>
        <w:t>делът на видовете (които могат да бъдат обект на лов) в приложение II с добър статус е с 9 пр.п. по-нисък (от 55 % на 46 %) от 2015 г., докато делът с незадоволителен и лош статус се е увеличил с 9 пр.п. (от 39 % на 48 %); и</w:t>
      </w:r>
    </w:p>
    <w:p>
      <w:pPr>
        <w:pStyle w:val="ListParagraph"/>
        <w:numPr>
          <w:ilvl w:val="0"/>
          <w:numId w:val="1"/>
        </w:numPr>
        <w:spacing w:after="240"/>
        <w:ind w:left="681" w:hanging="397"/>
        <w:contextualSpacing w:val="0"/>
        <w:jc w:val="both"/>
        <w:rPr>
          <w:rFonts w:ascii="Times New Roman" w:hAnsi="Times New Roman" w:cs="Times New Roman"/>
          <w:noProof/>
          <w:sz w:val="24"/>
          <w:szCs w:val="24"/>
        </w:rPr>
      </w:pPr>
      <w:r>
        <w:rPr>
          <w:rFonts w:ascii="Times New Roman" w:hAnsi="Times New Roman"/>
          <w:noProof/>
          <w:sz w:val="24"/>
          <w:szCs w:val="24"/>
        </w:rPr>
        <w:t>по отношение на краткосрочните тенденции при популациите от гнездящи птици процентът на тенденциите към намаляване е най-висок за видовете, включени в приложение II — около 46 %, т.е. двойно по-висок от дела на видовете, включени в приложение I (23 %).</w:t>
      </w:r>
    </w:p>
    <w:p>
      <w:pPr>
        <w:spacing w:before="240" w:after="240"/>
        <w:jc w:val="both"/>
        <w:rPr>
          <w:rFonts w:ascii="Times New Roman" w:hAnsi="Times New Roman" w:cs="Times New Roman"/>
          <w:b/>
          <w:i/>
          <w:noProof/>
          <w:sz w:val="24"/>
          <w:szCs w:val="24"/>
          <w:u w:val="single"/>
        </w:rPr>
      </w:pPr>
      <w:r>
        <w:rPr>
          <w:rFonts w:ascii="Times New Roman" w:hAnsi="Times New Roman"/>
          <w:b/>
          <w:i/>
          <w:noProof/>
          <w:sz w:val="24"/>
          <w:szCs w:val="24"/>
          <w:u w:val="single"/>
        </w:rPr>
        <w:t>2.2. Видове местообитания</w:t>
      </w:r>
    </w:p>
    <w:p>
      <w:pPr>
        <w:spacing w:after="240"/>
        <w:jc w:val="both"/>
        <w:rPr>
          <w:rFonts w:ascii="Times New Roman" w:hAnsi="Times New Roman" w:cs="Times New Roman"/>
          <w:noProof/>
          <w:color w:val="000000" w:themeColor="text1"/>
          <w:sz w:val="24"/>
          <w:szCs w:val="24"/>
        </w:rPr>
      </w:pPr>
      <w:r>
        <w:rPr>
          <w:rFonts w:ascii="Times New Roman" w:hAnsi="Times New Roman"/>
          <w:noProof/>
          <w:sz w:val="24"/>
          <w:szCs w:val="24"/>
        </w:rPr>
        <w:t>От 233-те типа местообитания, включени в списъка в приложение I към Директивата за местообитанията, 224 са сухоземни, а девет са само морски. Докладваната площ за първите представлява почти една трета от сухоземната площ на ЕС-28, което се равнява на 1,3 милиона </w:t>
      </w:r>
      <w:r>
        <w:rPr>
          <w:rFonts w:ascii="Times New Roman" w:hAnsi="Times New Roman" w:cs="Times New Roman"/>
          <w:noProof/>
          <w:sz w:val="24"/>
          <w:szCs w:val="24"/>
        </w:rPr>
        <w:t>km</w:t>
      </w:r>
      <w:r>
        <w:rPr>
          <w:rFonts w:ascii="Times New Roman" w:hAnsi="Times New Roman"/>
          <w:noProof/>
          <w:sz w:val="24"/>
          <w:szCs w:val="24"/>
          <w:vertAlign w:val="superscript"/>
        </w:rPr>
        <w:t>2</w:t>
      </w:r>
      <w:r>
        <w:rPr>
          <w:rFonts w:ascii="Times New Roman" w:hAnsi="Times New Roman"/>
          <w:noProof/>
          <w:sz w:val="24"/>
          <w:szCs w:val="24"/>
        </w:rPr>
        <w:t>. Площта за вторите обхваща 0,4 милиона </w:t>
      </w:r>
      <w:r>
        <w:rPr>
          <w:rFonts w:ascii="Times New Roman" w:hAnsi="Times New Roman" w:cs="Times New Roman"/>
          <w:noProof/>
          <w:sz w:val="24"/>
          <w:szCs w:val="24"/>
        </w:rPr>
        <w:t>km</w:t>
      </w:r>
      <w:r>
        <w:rPr>
          <w:rFonts w:ascii="Times New Roman" w:hAnsi="Times New Roman"/>
          <w:noProof/>
          <w:sz w:val="24"/>
          <w:szCs w:val="24"/>
          <w:vertAlign w:val="superscript"/>
        </w:rPr>
        <w:t>2</w:t>
      </w:r>
      <w:r>
        <w:rPr>
          <w:rFonts w:ascii="Times New Roman" w:hAnsi="Times New Roman"/>
          <w:noProof/>
          <w:sz w:val="24"/>
          <w:szCs w:val="24"/>
        </w:rPr>
        <w:t xml:space="preserve"> от водите на ЕС.</w:t>
      </w:r>
    </w:p>
    <w:p>
      <w:pPr>
        <w:spacing w:after="240"/>
        <w:jc w:val="both"/>
        <w:rPr>
          <w:rFonts w:ascii="Times New Roman" w:hAnsi="Times New Roman" w:cs="Times New Roman"/>
          <w:b/>
          <w:noProof/>
          <w:sz w:val="24"/>
          <w:szCs w:val="24"/>
        </w:rPr>
      </w:pPr>
      <w:r>
        <w:rPr>
          <w:rFonts w:ascii="Times New Roman" w:hAnsi="Times New Roman"/>
          <w:noProof/>
          <w:sz w:val="24"/>
          <w:szCs w:val="24"/>
        </w:rPr>
        <w:t xml:space="preserve">Обхватът на местообитанията е много широк. Някои обхващат големи площи, докато други се срещат само на много малки площи. Най-многобройната група в приложение I са горските типове местообитания (35 % от всички видове), следвани от естествените и полуестествените тревни съобщества (14 %). Групи като умереноконтиненталните ерикоидни съобщества и храсталаци, склерофилните храсталаци, тресавищата, калищата и мочурищата, както и скалните местообитания, съставляват само по около 5 % от включените в списъка типове местообитания. </w:t>
      </w:r>
    </w:p>
    <w:p>
      <w:pPr>
        <w:spacing w:after="240"/>
        <w:jc w:val="both"/>
        <w:rPr>
          <w:rFonts w:ascii="Times New Roman" w:hAnsi="Times New Roman" w:cs="Times New Roman"/>
          <w:b/>
          <w:noProof/>
          <w:sz w:val="24"/>
          <w:szCs w:val="24"/>
        </w:rPr>
      </w:pPr>
      <w:r>
        <w:rPr>
          <w:rFonts w:ascii="Times New Roman" w:hAnsi="Times New Roman"/>
          <w:b/>
          <w:noProof/>
          <w:sz w:val="24"/>
          <w:szCs w:val="24"/>
        </w:rPr>
        <w:t>Природозащитен статус на местообитанията</w:t>
      </w:r>
    </w:p>
    <w:tbl>
      <w:tblPr>
        <w:tblStyle w:val="TableGrid"/>
        <w:tblpPr w:leftFromText="141" w:rightFromText="141" w:vertAnchor="text" w:horzAnchor="margin" w:tblpY="179"/>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8"/>
        <w:gridCol w:w="5659"/>
      </w:tblGrid>
      <w:tr>
        <w:tc>
          <w:tcPr>
            <w:tcW w:w="3681" w:type="dxa"/>
          </w:tcPr>
          <w:p>
            <w:pPr>
              <w:pStyle w:val="Caption"/>
              <w:framePr w:hSpace="0" w:wrap="auto" w:vAnchor="margin" w:hAnchor="text" w:yAlign="inline"/>
              <w:jc w:val="left"/>
              <w:rPr>
                <w:noProof/>
              </w:rPr>
            </w:pPr>
            <w:r>
              <w:rPr>
                <w:noProof/>
              </w:rPr>
              <w:t>Фигура 4a: Природозащитен статус на местообитанията на равнище ЕС</w:t>
            </w:r>
          </w:p>
        </w:tc>
        <w:tc>
          <w:tcPr>
            <w:tcW w:w="5386" w:type="dxa"/>
          </w:tcPr>
          <w:p>
            <w:pPr>
              <w:pStyle w:val="Caption"/>
              <w:framePr w:hSpace="0" w:wrap="auto" w:vAnchor="margin" w:hAnchor="text" w:yAlign="inline"/>
              <w:jc w:val="left"/>
              <w:rPr>
                <w:noProof/>
              </w:rPr>
            </w:pPr>
            <w:r>
              <w:rPr>
                <w:noProof/>
              </w:rPr>
              <w:t>Фигура 4б: Природозащитен статус по групи местообитания на равнище ЕС</w:t>
            </w:r>
          </w:p>
        </w:tc>
      </w:tr>
      <w:tr>
        <w:tc>
          <w:tcPr>
            <w:tcW w:w="3681" w:type="dxa"/>
            <w:vAlign w:val="center"/>
          </w:tcPr>
          <w:p>
            <w:pPr>
              <w:pStyle w:val="Caption"/>
              <w:framePr w:hSpace="0" w:wrap="auto" w:vAnchor="margin" w:hAnchor="text" w:yAlign="inline"/>
              <w:rPr>
                <w:noProof/>
              </w:rPr>
            </w:pPr>
            <w:r>
              <w:rPr>
                <w:noProof/>
                <w:lang w:val="en-GB" w:eastAsia="en-GB"/>
              </w:rPr>
              <w:drawing>
                <wp:inline distT="0" distB="0" distL="0" distR="0">
                  <wp:extent cx="1722823" cy="1714500"/>
                  <wp:effectExtent l="0" t="0" r="0" b="0"/>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27174" t="8620" r="27826" b="20345"/>
                          <a:stretch/>
                        </pic:blipFill>
                        <pic:spPr bwMode="auto">
                          <a:xfrm>
                            <a:off x="0" y="0"/>
                            <a:ext cx="1723950" cy="171562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386" w:type="dxa"/>
          </w:tcPr>
          <w:p>
            <w:pPr>
              <w:pStyle w:val="Caption"/>
              <w:framePr w:hSpace="0" w:wrap="auto" w:vAnchor="margin" w:hAnchor="text" w:yAlign="inline"/>
              <w:rPr>
                <w:noProof/>
              </w:rPr>
            </w:pPr>
            <w:r>
              <w:rPr>
                <w:noProof/>
                <w:lang w:val="en-GB" w:eastAsia="en-GB"/>
              </w:rPr>
              <w:drawing>
                <wp:inline distT="0" distB="0" distL="0" distR="0">
                  <wp:extent cx="3456909" cy="2533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11010" cy="2573302"/>
                          </a:xfrm>
                          <a:prstGeom prst="rect">
                            <a:avLst/>
                          </a:prstGeom>
                          <a:noFill/>
                          <a:ln>
                            <a:noFill/>
                          </a:ln>
                        </pic:spPr>
                      </pic:pic>
                    </a:graphicData>
                  </a:graphic>
                </wp:inline>
              </w:drawing>
            </w:r>
          </w:p>
        </w:tc>
      </w:tr>
      <w:tr>
        <w:tc>
          <w:tcPr>
            <w:tcW w:w="9067" w:type="dxa"/>
            <w:gridSpan w:val="2"/>
            <w:vAlign w:val="center"/>
          </w:tcPr>
          <w:p>
            <w:pPr>
              <w:pStyle w:val="Caption"/>
              <w:framePr w:hSpace="0" w:wrap="auto" w:vAnchor="margin" w:hAnchor="text" w:yAlign="inline"/>
              <w:rPr>
                <w:noProof/>
              </w:rPr>
            </w:pPr>
            <w:r>
              <w:rPr>
                <w:noProof/>
                <w:lang w:val="en-GB" w:eastAsia="en-GB"/>
              </w:rPr>
              <w:drawing>
                <wp:inline distT="0" distB="0" distL="0" distR="0">
                  <wp:extent cx="3124200" cy="266700"/>
                  <wp:effectExtent l="0" t="0" r="0" b="0"/>
                  <wp:docPr id="17"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16739" t="88621" r="11956" b="1724"/>
                          <a:stretch/>
                        </pic:blipFill>
                        <pic:spPr bwMode="auto">
                          <a:xfrm>
                            <a:off x="0" y="0"/>
                            <a:ext cx="3124200" cy="266700"/>
                          </a:xfrm>
                          <a:prstGeom prst="rect">
                            <a:avLst/>
                          </a:prstGeom>
                          <a:noFill/>
                          <a:ln>
                            <a:noFill/>
                          </a:ln>
                          <a:extLst>
                            <a:ext uri="{53640926-AAD7-44D8-BBD7-CCE9431645EC}">
                              <a14:shadowObscured xmlns:a14="http://schemas.microsoft.com/office/drawing/2010/main"/>
                            </a:ext>
                          </a:extLst>
                        </pic:spPr>
                      </pic:pic>
                    </a:graphicData>
                  </a:graphic>
                </wp:inline>
              </w:drawing>
            </w:r>
          </w:p>
        </w:tc>
      </w:tr>
      <w:tr>
        <w:tc>
          <w:tcPr>
            <w:tcW w:w="3681" w:type="dxa"/>
          </w:tcPr>
          <w:p>
            <w:pPr>
              <w:keepNext/>
              <w:jc w:val="both"/>
              <w:rPr>
                <w:rFonts w:ascii="Times New Roman" w:hAnsi="Times New Roman" w:cs="Times New Roman"/>
                <w:iCs/>
                <w:noProof/>
              </w:rPr>
            </w:pPr>
            <w:r>
              <w:rPr>
                <w:rFonts w:ascii="Times New Roman" w:hAnsi="Times New Roman"/>
                <w:b/>
                <w:noProof/>
                <w:sz w:val="18"/>
                <w:szCs w:val="18"/>
              </w:rPr>
              <w:t>Забележка:</w:t>
            </w:r>
            <w:r>
              <w:rPr>
                <w:rFonts w:ascii="Times New Roman" w:hAnsi="Times New Roman"/>
                <w:noProof/>
                <w:sz w:val="18"/>
                <w:szCs w:val="18"/>
              </w:rPr>
              <w:t xml:space="preserve"> Статистически данни въз основа на броя на оценките на местообитанията в ЕС (818).</w:t>
            </w:r>
          </w:p>
        </w:tc>
        <w:tc>
          <w:tcPr>
            <w:tcW w:w="5386" w:type="dxa"/>
          </w:tcPr>
          <w:p>
            <w:pPr>
              <w:keepNext/>
              <w:spacing w:after="240"/>
              <w:jc w:val="both"/>
              <w:rPr>
                <w:noProof/>
              </w:rPr>
            </w:pPr>
            <w:r>
              <w:rPr>
                <w:rFonts w:ascii="Times New Roman" w:hAnsi="Times New Roman"/>
                <w:b/>
                <w:noProof/>
                <w:sz w:val="18"/>
                <w:szCs w:val="18"/>
              </w:rPr>
              <w:t>Забележка:</w:t>
            </w:r>
            <w:r>
              <w:rPr>
                <w:rFonts w:ascii="Times New Roman" w:hAnsi="Times New Roman"/>
                <w:noProof/>
                <w:sz w:val="18"/>
                <w:szCs w:val="18"/>
              </w:rPr>
              <w:t xml:space="preserve"> Броят на оценките за всяка група е посочен в скоби. Морските местообитания са част от групата „крайбрежни местообитания“. Общият брой на оценките е 818.</w:t>
            </w:r>
          </w:p>
        </w:tc>
      </w:tr>
    </w:tbl>
    <w:p>
      <w:pPr>
        <w:spacing w:after="240"/>
        <w:jc w:val="both"/>
        <w:rPr>
          <w:rFonts w:ascii="Times New Roman" w:hAnsi="Times New Roman" w:cs="Times New Roman"/>
          <w:noProof/>
          <w:sz w:val="24"/>
          <w:szCs w:val="24"/>
        </w:rPr>
      </w:pPr>
    </w:p>
    <w:p>
      <w:pPr>
        <w:spacing w:after="240"/>
        <w:jc w:val="both"/>
        <w:rPr>
          <w:rFonts w:ascii="Times New Roman" w:hAnsi="Times New Roman" w:cs="Times New Roman"/>
          <w:iCs/>
          <w:noProof/>
          <w:sz w:val="24"/>
          <w:szCs w:val="24"/>
        </w:rPr>
      </w:pPr>
      <w:r>
        <w:rPr>
          <w:rFonts w:ascii="Times New Roman" w:hAnsi="Times New Roman"/>
          <w:noProof/>
          <w:sz w:val="24"/>
          <w:szCs w:val="24"/>
        </w:rPr>
        <w:t xml:space="preserve">През периода на докладване природозащитният статус на местообитанията не се е подобрил. Само 15 % от оценките на местообитанията показват добър природозащитен статус спрямо 16 % през 2015 г. По-голямата част посочват неблагоприятен статус (45 % незадоволителен и 36 % лош спрямо 47 % и 30 % през 2015 г.). Въпреки че нивото на оценките за незадоволителен статус е намаляло с 2 пр.п., а за лош статус се е увеличило с 6 пр.п., повечето от промените не отразяват действително влошаване на място, а подобрения в методите за оценка на равнище ЕС или на държава членка.  </w:t>
      </w:r>
    </w:p>
    <w:p>
      <w:pPr>
        <w:spacing w:after="240"/>
        <w:jc w:val="both"/>
        <w:rPr>
          <w:rFonts w:ascii="Times New Roman" w:hAnsi="Times New Roman" w:cs="Times New Roman"/>
          <w:noProof/>
          <w:sz w:val="24"/>
          <w:szCs w:val="24"/>
        </w:rPr>
      </w:pPr>
      <w:r>
        <w:rPr>
          <w:rFonts w:ascii="Times New Roman" w:hAnsi="Times New Roman"/>
          <w:noProof/>
          <w:sz w:val="24"/>
          <w:szCs w:val="24"/>
        </w:rPr>
        <w:t>От деветте докладвани групи местообитания на крайбрежните местообитания (които включват морските типове местообитания) се пада най-малката част от оценките за „добър статус“. Дюните, тресавищата, калищата и мочурищата най-често получават оценка за лош статус (над 50 %). Тревните съобщества, които включват някои много богати на видове местообитания, също са сред тези с най-голяма част от оценките за „лош статус“ (49 %). Тревните съобщества, за които е необходимо активно управление, са с особено лош статус.</w:t>
      </w:r>
      <w:bookmarkStart w:id="2" w:name="_Toc42152720"/>
    </w:p>
    <w:p>
      <w:pPr>
        <w:spacing w:after="240"/>
        <w:jc w:val="both"/>
        <w:rPr>
          <w:rFonts w:ascii="Times New Roman" w:hAnsi="Times New Roman" w:cs="Times New Roman"/>
          <w:b/>
          <w:noProof/>
          <w:sz w:val="24"/>
          <w:szCs w:val="24"/>
        </w:rPr>
      </w:pPr>
      <w:r>
        <w:rPr>
          <w:rFonts w:ascii="Times New Roman" w:hAnsi="Times New Roman"/>
          <w:noProof/>
          <w:sz w:val="24"/>
          <w:szCs w:val="24"/>
        </w:rPr>
        <w:t>Пропуските в познанията за деветте морски местообитания продължават да са проблем. Природозащитният статус на около 26 % от морските местообитания на държавите членки остава неизвестен (спрямо 4 % за сухоземните местообитания).</w:t>
      </w:r>
    </w:p>
    <w:p>
      <w:pPr>
        <w:rPr>
          <w:rFonts w:ascii="Times New Roman" w:hAnsi="Times New Roman" w:cs="Times New Roman"/>
          <w:b/>
          <w:noProof/>
          <w:sz w:val="24"/>
          <w:szCs w:val="24"/>
        </w:rPr>
      </w:pPr>
      <w:r>
        <w:rPr>
          <w:noProof/>
        </w:rPr>
        <w:br w:type="page"/>
      </w:r>
    </w:p>
    <w:p>
      <w:pPr>
        <w:spacing w:after="240" w:line="240" w:lineRule="auto"/>
        <w:jc w:val="both"/>
        <w:rPr>
          <w:rFonts w:ascii="Times New Roman" w:hAnsi="Times New Roman" w:cs="Times New Roman"/>
          <w:b/>
          <w:noProof/>
        </w:rPr>
      </w:pPr>
      <w:r>
        <w:rPr>
          <w:rFonts w:ascii="Times New Roman" w:hAnsi="Times New Roman"/>
          <w:b/>
          <w:noProof/>
          <w:sz w:val="24"/>
          <w:szCs w:val="24"/>
        </w:rPr>
        <w:t>Тенденции при природозащитния статус</w:t>
      </w:r>
      <w:bookmarkEnd w:id="2"/>
      <w:r>
        <w:rPr>
          <w:rFonts w:ascii="Times New Roman" w:hAnsi="Times New Roman"/>
          <w:b/>
          <w:noProof/>
          <w:sz w:val="24"/>
          <w:szCs w:val="24"/>
        </w:rPr>
        <w:t xml:space="preserve"> на местообитанията</w:t>
      </w:r>
    </w:p>
    <w:tbl>
      <w:tblPr>
        <w:tblStyle w:val="HTG2"/>
        <w:tblW w:w="9952" w:type="dxa"/>
        <w:tblInd w:w="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4446"/>
        <w:gridCol w:w="5706"/>
      </w:tblGrid>
      <w:tr>
        <w:tc>
          <w:tcPr>
            <w:tcW w:w="4910" w:type="dxa"/>
          </w:tcPr>
          <w:p>
            <w:pPr>
              <w:keepNext/>
              <w:spacing w:after="120"/>
              <w:rPr>
                <w:rFonts w:ascii="Times New Roman" w:hAnsi="Times New Roman" w:cs="Times New Roman"/>
                <w:b/>
                <w:noProof/>
                <w:sz w:val="20"/>
                <w:szCs w:val="20"/>
              </w:rPr>
            </w:pPr>
            <w:r>
              <w:rPr>
                <w:rFonts w:ascii="Times New Roman" w:hAnsi="Times New Roman"/>
                <w:b/>
                <w:noProof/>
                <w:sz w:val="20"/>
                <w:szCs w:val="20"/>
              </w:rPr>
              <w:t>Фигура 5а: Тенденции при природозащитния статус на местообитанията с неблагоприятен (т.е. недобър) или неизвестен статус на равнище ЕС</w:t>
            </w:r>
          </w:p>
        </w:tc>
        <w:tc>
          <w:tcPr>
            <w:tcW w:w="5042" w:type="dxa"/>
          </w:tcPr>
          <w:p>
            <w:pPr>
              <w:keepNext/>
              <w:spacing w:after="120"/>
              <w:jc w:val="both"/>
              <w:rPr>
                <w:rFonts w:ascii="Times New Roman" w:hAnsi="Times New Roman" w:cs="Times New Roman"/>
                <w:b/>
                <w:noProof/>
                <w:sz w:val="20"/>
                <w:szCs w:val="20"/>
              </w:rPr>
            </w:pPr>
            <w:r>
              <w:rPr>
                <w:rFonts w:ascii="Times New Roman" w:hAnsi="Times New Roman"/>
                <w:b/>
                <w:noProof/>
                <w:sz w:val="20"/>
                <w:szCs w:val="20"/>
              </w:rPr>
              <w:t>Фигура 5б: Тенденции при природозащитния статус на местообитанията с неблагоприятен (т.е. недобър) или неизвестен статус по групи местообитания на равнище ЕС</w:t>
            </w:r>
          </w:p>
        </w:tc>
      </w:tr>
      <w:tr>
        <w:tblPrEx>
          <w:tblCellMar>
            <w:left w:w="108" w:type="dxa"/>
            <w:right w:w="108" w:type="dxa"/>
          </w:tblCellMar>
        </w:tblPrEx>
        <w:tc>
          <w:tcPr>
            <w:tcW w:w="4910" w:type="dxa"/>
            <w:vAlign w:val="center"/>
          </w:tcPr>
          <w:p>
            <w:pPr>
              <w:keepNext/>
              <w:spacing w:after="120"/>
              <w:jc w:val="center"/>
              <w:rPr>
                <w:rFonts w:ascii="Times New Roman" w:hAnsi="Times New Roman" w:cs="Times New Roman"/>
                <w:noProof/>
              </w:rPr>
            </w:pPr>
          </w:p>
          <w:p>
            <w:pPr>
              <w:keepNext/>
              <w:spacing w:after="120"/>
              <w:jc w:val="center"/>
              <w:rPr>
                <w:rFonts w:ascii="Times New Roman" w:hAnsi="Times New Roman" w:cs="Times New Roman"/>
                <w:noProof/>
              </w:rPr>
            </w:pPr>
            <w:r>
              <w:rPr>
                <w:rFonts w:ascii="Times New Roman" w:hAnsi="Times New Roman" w:cs="Times New Roman"/>
                <w:noProof/>
                <w:lang w:val="en-GB" w:eastAsia="en-GB"/>
              </w:rPr>
              <w:drawing>
                <wp:inline distT="0" distB="0" distL="0" distR="0">
                  <wp:extent cx="2685849" cy="1988080"/>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97761" cy="1996897"/>
                          </a:xfrm>
                          <a:prstGeom prst="rect">
                            <a:avLst/>
                          </a:prstGeom>
                          <a:noFill/>
                          <a:ln>
                            <a:noFill/>
                          </a:ln>
                        </pic:spPr>
                      </pic:pic>
                    </a:graphicData>
                  </a:graphic>
                </wp:inline>
              </w:drawing>
            </w:r>
          </w:p>
          <w:p>
            <w:pPr>
              <w:keepNext/>
              <w:spacing w:after="120"/>
              <w:jc w:val="center"/>
              <w:rPr>
                <w:rFonts w:ascii="Times New Roman" w:hAnsi="Times New Roman" w:cs="Times New Roman"/>
                <w:noProof/>
                <w:lang w:val="en-GB"/>
              </w:rPr>
            </w:pPr>
          </w:p>
        </w:tc>
        <w:tc>
          <w:tcPr>
            <w:tcW w:w="5042" w:type="dxa"/>
          </w:tcPr>
          <w:p>
            <w:pPr>
              <w:keepNext/>
              <w:spacing w:after="120"/>
              <w:jc w:val="both"/>
              <w:rPr>
                <w:rFonts w:ascii="Times New Roman" w:hAnsi="Times New Roman" w:cs="Times New Roman"/>
                <w:noProof/>
              </w:rPr>
            </w:pPr>
            <w:r>
              <w:rPr>
                <w:rFonts w:ascii="Times New Roman" w:hAnsi="Times New Roman" w:cs="Times New Roman"/>
                <w:noProof/>
                <w:lang w:val="en-GB" w:eastAsia="en-GB"/>
              </w:rPr>
              <w:drawing>
                <wp:inline distT="0" distB="0" distL="0" distR="0">
                  <wp:extent cx="3486150" cy="273356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527405" cy="2765918"/>
                          </a:xfrm>
                          <a:prstGeom prst="rect">
                            <a:avLst/>
                          </a:prstGeom>
                          <a:noFill/>
                          <a:ln>
                            <a:noFill/>
                          </a:ln>
                        </pic:spPr>
                      </pic:pic>
                    </a:graphicData>
                  </a:graphic>
                </wp:inline>
              </w:drawing>
            </w:r>
          </w:p>
        </w:tc>
      </w:tr>
      <w:tr>
        <w:tc>
          <w:tcPr>
            <w:tcW w:w="9952" w:type="dxa"/>
            <w:gridSpan w:val="2"/>
          </w:tcPr>
          <w:p>
            <w:pPr>
              <w:keepNext/>
              <w:spacing w:after="120"/>
              <w:jc w:val="both"/>
              <w:rPr>
                <w:rFonts w:ascii="Times New Roman" w:hAnsi="Times New Roman" w:cs="Times New Roman"/>
                <w:noProof/>
              </w:rPr>
            </w:pPr>
            <w:r>
              <w:rPr>
                <w:rFonts w:eastAsiaTheme="minorHAnsi"/>
                <w:noProof/>
              </w:rPr>
              <w:object w:dxaOrig="5640" w:dyaOrig="720">
                <v:shape id="_x0000_i1027" type="#_x0000_t75" style="width:364.5pt;height:38.25pt" o:ole="">
                  <v:imagedata r:id="rId27" o:title=""/>
                </v:shape>
                <o:OLEObject Type="Embed" ProgID="PBrush" ShapeID="_x0000_i1027" DrawAspect="Content" ObjectID="_1664025123" r:id="rId28"/>
              </w:object>
            </w:r>
          </w:p>
        </w:tc>
      </w:tr>
      <w:tr>
        <w:tc>
          <w:tcPr>
            <w:tcW w:w="4910" w:type="dxa"/>
          </w:tcPr>
          <w:p>
            <w:pPr>
              <w:keepNext/>
              <w:jc w:val="both"/>
              <w:rPr>
                <w:rFonts w:ascii="Times New Roman" w:hAnsi="Times New Roman" w:cs="Times New Roman"/>
                <w:b/>
                <w:noProof/>
                <w:sz w:val="18"/>
                <w:szCs w:val="18"/>
              </w:rPr>
            </w:pPr>
            <w:r>
              <w:rPr>
                <w:rFonts w:ascii="Times New Roman" w:hAnsi="Times New Roman"/>
                <w:b/>
                <w:noProof/>
                <w:sz w:val="18"/>
                <w:szCs w:val="18"/>
              </w:rPr>
              <w:t>Забележка:</w:t>
            </w:r>
            <w:r>
              <w:rPr>
                <w:rFonts w:ascii="Times New Roman" w:hAnsi="Times New Roman"/>
                <w:noProof/>
                <w:sz w:val="18"/>
                <w:szCs w:val="18"/>
              </w:rPr>
              <w:t xml:space="preserve"> Тенденциите при природозащитния статус се основават на оценките на местообитанията в ЕС (698).</w:t>
            </w:r>
          </w:p>
        </w:tc>
        <w:tc>
          <w:tcPr>
            <w:tcW w:w="5042" w:type="dxa"/>
          </w:tcPr>
          <w:p>
            <w:pPr>
              <w:keepNext/>
              <w:spacing w:after="240"/>
              <w:jc w:val="both"/>
              <w:rPr>
                <w:rFonts w:ascii="Times New Roman" w:hAnsi="Times New Roman" w:cs="Times New Roman"/>
                <w:noProof/>
              </w:rPr>
            </w:pPr>
            <w:r>
              <w:rPr>
                <w:rFonts w:ascii="Times New Roman" w:hAnsi="Times New Roman"/>
                <w:b/>
                <w:noProof/>
                <w:sz w:val="18"/>
                <w:szCs w:val="18"/>
              </w:rPr>
              <w:t>Забележка:</w:t>
            </w:r>
            <w:r>
              <w:rPr>
                <w:rFonts w:ascii="Times New Roman" w:hAnsi="Times New Roman"/>
                <w:noProof/>
                <w:sz w:val="18"/>
                <w:szCs w:val="18"/>
              </w:rPr>
              <w:t xml:space="preserve"> Броят на оценките е посочен в скоби. Общият брой на оценките е 698.</w:t>
            </w:r>
          </w:p>
        </w:tc>
      </w:tr>
    </w:tbl>
    <w:p>
      <w:pPr>
        <w:spacing w:after="240"/>
        <w:jc w:val="both"/>
        <w:rPr>
          <w:rFonts w:ascii="Times New Roman" w:hAnsi="Times New Roman" w:cs="Times New Roman"/>
          <w:iCs/>
          <w:noProof/>
          <w:sz w:val="24"/>
          <w:szCs w:val="24"/>
        </w:rPr>
      </w:pPr>
    </w:p>
    <w:p>
      <w:pPr>
        <w:spacing w:after="240"/>
        <w:jc w:val="both"/>
        <w:rPr>
          <w:rFonts w:ascii="Times New Roman" w:hAnsi="Times New Roman" w:cs="Times New Roman"/>
          <w:iCs/>
          <w:noProof/>
          <w:sz w:val="24"/>
          <w:szCs w:val="24"/>
        </w:rPr>
      </w:pPr>
      <w:r>
        <w:rPr>
          <w:rFonts w:ascii="Times New Roman" w:hAnsi="Times New Roman"/>
          <w:iCs/>
          <w:noProof/>
          <w:sz w:val="24"/>
          <w:szCs w:val="24"/>
        </w:rPr>
        <w:t>Статусът на</w:t>
      </w:r>
      <w:r>
        <w:rPr>
          <w:rFonts w:ascii="Times New Roman" w:hAnsi="Times New Roman"/>
          <w:iCs/>
          <w:noProof/>
        </w:rPr>
        <w:t xml:space="preserve"> </w:t>
      </w:r>
      <w:r>
        <w:rPr>
          <w:rFonts w:ascii="Times New Roman" w:hAnsi="Times New Roman"/>
          <w:iCs/>
          <w:noProof/>
          <w:sz w:val="24"/>
          <w:szCs w:val="24"/>
        </w:rPr>
        <w:t xml:space="preserve">81 % от включените в списъка местообитания е оценен като „незадоволителен“ или „лош“ на равнище ЕС. Само при 9 % от тях се наблюдават тенденции към подобряване, докато при 36 % се наблюдава продължаващо влошаване. </w:t>
      </w:r>
      <w:r>
        <w:rPr>
          <w:rFonts w:ascii="Times New Roman" w:hAnsi="Times New Roman"/>
          <w:noProof/>
          <w:sz w:val="24"/>
          <w:szCs w:val="24"/>
        </w:rPr>
        <w:t>Тенденции към влошаване се наблюдават при най-малко 25 % от всички оценки на групите местообитания, с изключение на скалните местообитания (15 %). Тресавищата, калищата и мочурищата, тревните съобщества и дюнните местообитания имат най-голям дял от тенденциите към влошаване (над 50 % за всяка група). При тревните местообитания, предимно сенокосни ливади</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 xml:space="preserve">, ливади с </w:t>
      </w:r>
      <w:r>
        <w:rPr>
          <w:rFonts w:ascii="Times New Roman" w:hAnsi="Times New Roman"/>
          <w:i/>
          <w:noProof/>
          <w:sz w:val="24"/>
          <w:szCs w:val="24"/>
        </w:rPr>
        <w:t>Molinia</w:t>
      </w:r>
      <w:r>
        <w:rPr>
          <w:rStyle w:val="FootnoteReference"/>
          <w:rFonts w:ascii="Times New Roman" w:hAnsi="Times New Roman" w:cs="Times New Roman"/>
          <w:noProof/>
          <w:sz w:val="24"/>
          <w:szCs w:val="24"/>
        </w:rPr>
        <w:footnoteReference w:id="11"/>
      </w:r>
      <w:r>
        <w:rPr>
          <w:rFonts w:ascii="Times New Roman" w:hAnsi="Times New Roman"/>
          <w:noProof/>
          <w:sz w:val="24"/>
          <w:szCs w:val="24"/>
        </w:rPr>
        <w:t xml:space="preserve"> и няколко вида полуестествени сухи тревни съобщества</w:t>
      </w:r>
      <w:r>
        <w:rPr>
          <w:rStyle w:val="FootnoteReference"/>
          <w:rFonts w:ascii="Times New Roman" w:hAnsi="Times New Roman" w:cs="Times New Roman"/>
          <w:noProof/>
          <w:sz w:val="24"/>
          <w:szCs w:val="24"/>
        </w:rPr>
        <w:footnoteReference w:id="12"/>
      </w:r>
      <w:r>
        <w:rPr>
          <w:rFonts w:ascii="Times New Roman" w:hAnsi="Times New Roman"/>
          <w:noProof/>
          <w:sz w:val="24"/>
          <w:szCs w:val="24"/>
        </w:rPr>
        <w:t>, се наблюдава тенденция към влошаване на природозащитния статус, което показва тяхната зависимост от екстензивните земеделски практики, които продължават да намаляват в целия ЕС. Горските местообитания имат най-голям дял от оценките за тенденции към подобряване (13 %).</w:t>
      </w:r>
    </w:p>
    <w:p>
      <w:pPr>
        <w:spacing w:after="240"/>
        <w:jc w:val="both"/>
        <w:rPr>
          <w:rFonts w:ascii="Times New Roman" w:hAnsi="Times New Roman" w:cs="Times New Roman"/>
          <w:b/>
          <w:i/>
          <w:noProof/>
          <w:sz w:val="24"/>
          <w:szCs w:val="24"/>
          <w:u w:val="single"/>
        </w:rPr>
      </w:pPr>
      <w:r>
        <w:rPr>
          <w:rFonts w:ascii="Times New Roman" w:hAnsi="Times New Roman"/>
          <w:b/>
          <w:i/>
          <w:noProof/>
          <w:sz w:val="24"/>
          <w:szCs w:val="24"/>
          <w:u w:val="single"/>
        </w:rPr>
        <w:t>2.3. Видове, различни от птици</w:t>
      </w:r>
    </w:p>
    <w:p>
      <w:pPr>
        <w:spacing w:after="240"/>
        <w:jc w:val="both"/>
        <w:rPr>
          <w:rFonts w:ascii="Times New Roman" w:eastAsia="ヒラギノ角ゴ Pro W3" w:hAnsi="Times New Roman" w:cs="Times New Roman"/>
          <w:iCs/>
          <w:noProof/>
          <w:sz w:val="24"/>
          <w:szCs w:val="24"/>
        </w:rPr>
      </w:pPr>
      <w:r>
        <w:rPr>
          <w:rFonts w:ascii="Times New Roman" w:hAnsi="Times New Roman"/>
          <w:noProof/>
          <w:sz w:val="24"/>
          <w:szCs w:val="24"/>
        </w:rPr>
        <w:t>Приложения II, IV и V към Директивата за местообитанията включват 1 389 вида от европейски интерес</w:t>
      </w:r>
      <w:r>
        <w:rPr>
          <w:rStyle w:val="FootnoteReference"/>
          <w:rFonts w:ascii="Times New Roman" w:hAnsi="Times New Roman" w:cs="Times New Roman"/>
          <w:noProof/>
          <w:sz w:val="24"/>
          <w:szCs w:val="24"/>
        </w:rPr>
        <w:footnoteReference w:id="13"/>
      </w:r>
      <w:r>
        <w:rPr>
          <w:rFonts w:ascii="Times New Roman" w:hAnsi="Times New Roman"/>
          <w:noProof/>
          <w:sz w:val="24"/>
          <w:szCs w:val="24"/>
        </w:rPr>
        <w:t>. При някои</w:t>
      </w:r>
      <w:r>
        <w:rPr>
          <w:rFonts w:ascii="Times New Roman" w:hAnsi="Times New Roman"/>
          <w:iCs/>
          <w:noProof/>
          <w:sz w:val="24"/>
          <w:szCs w:val="24"/>
        </w:rPr>
        <w:t xml:space="preserve"> по-големи таксономични групи, като мекотелите, членестоногите и васкуларните растения, делът на видовете, обхванати от приложенията, е много малък. Най</w:t>
      </w:r>
      <w:r>
        <w:rPr>
          <w:rFonts w:ascii="Times New Roman" w:hAnsi="Times New Roman"/>
          <w:iCs/>
          <w:noProof/>
          <w:sz w:val="24"/>
          <w:szCs w:val="24"/>
        </w:rPr>
        <w:noBreakHyphen/>
        <w:t>добре представените групи са гръбначните животни: включени са 85 % от земноводните, 70 % от влечугите, 64 % от бозайниците и 39 % от сладководните видове риби. Много от видовете, които не са включени, в т.ч. голям брой от по-често срещаните видове, се ползват от мерките съгласно директивата, включително защитата на типовете местообитания от приложение I.</w:t>
      </w:r>
    </w:p>
    <w:p>
      <w:pPr>
        <w:rPr>
          <w:rFonts w:ascii="Times New Roman" w:eastAsia="ヒラギノ角ゴ Pro W3" w:hAnsi="Times New Roman" w:cs="Times New Roman"/>
          <w:b/>
          <w:iCs/>
          <w:noProof/>
        </w:rPr>
      </w:pPr>
      <w:r>
        <w:rPr>
          <w:rFonts w:ascii="Times New Roman" w:hAnsi="Times New Roman"/>
          <w:b/>
          <w:iCs/>
          <w:noProof/>
          <w:sz w:val="24"/>
          <w:szCs w:val="24"/>
        </w:rPr>
        <w:t>Природозащитен статус на видовете</w:t>
      </w:r>
    </w:p>
    <w:tbl>
      <w:tblPr>
        <w:tblStyle w:val="HTG3"/>
        <w:tblpPr w:leftFromText="142" w:rightFromText="142" w:vertAnchor="text" w:horzAnchor="margin" w:tblpY="38"/>
        <w:tblOverlap w:val="never"/>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4848"/>
      </w:tblGrid>
      <w:tr>
        <w:tc>
          <w:tcPr>
            <w:tcW w:w="4503" w:type="dxa"/>
          </w:tcPr>
          <w:p>
            <w:pPr>
              <w:keepNext/>
              <w:tabs>
                <w:tab w:val="center" w:pos="2370"/>
                <w:tab w:val="right" w:pos="4741"/>
              </w:tabs>
              <w:spacing w:after="120"/>
              <w:ind w:left="-105"/>
              <w:rPr>
                <w:rFonts w:ascii="Times New Roman" w:hAnsi="Times New Roman" w:cs="Times New Roman"/>
                <w:b/>
                <w:noProof/>
                <w:sz w:val="20"/>
                <w:szCs w:val="20"/>
              </w:rPr>
            </w:pPr>
            <w:r>
              <w:rPr>
                <w:rFonts w:ascii="Times New Roman" w:hAnsi="Times New Roman"/>
                <w:b/>
                <w:noProof/>
                <w:sz w:val="20"/>
                <w:szCs w:val="20"/>
              </w:rPr>
              <w:t xml:space="preserve">Фигура 6а: Природозащитен статус на видовете на равнище ЕС </w:t>
            </w:r>
          </w:p>
        </w:tc>
        <w:tc>
          <w:tcPr>
            <w:tcW w:w="4848" w:type="dxa"/>
          </w:tcPr>
          <w:p>
            <w:pPr>
              <w:keepNext/>
              <w:tabs>
                <w:tab w:val="center" w:pos="2370"/>
                <w:tab w:val="right" w:pos="4741"/>
              </w:tabs>
              <w:spacing w:after="120"/>
              <w:ind w:left="-105"/>
              <w:rPr>
                <w:rFonts w:ascii="Times New Roman" w:hAnsi="Times New Roman" w:cs="Times New Roman"/>
                <w:b/>
                <w:noProof/>
                <w:sz w:val="20"/>
                <w:szCs w:val="20"/>
              </w:rPr>
            </w:pPr>
            <w:r>
              <w:rPr>
                <w:rFonts w:ascii="Times New Roman" w:hAnsi="Times New Roman"/>
                <w:b/>
                <w:noProof/>
                <w:sz w:val="20"/>
                <w:szCs w:val="20"/>
              </w:rPr>
              <w:t>Фигура 6б: Природозащитен статус по групи видове на равнище ЕС</w:t>
            </w:r>
          </w:p>
        </w:tc>
      </w:tr>
      <w:tr>
        <w:trPr>
          <w:trHeight w:val="3011"/>
        </w:trPr>
        <w:tc>
          <w:tcPr>
            <w:tcW w:w="4503" w:type="dxa"/>
            <w:vAlign w:val="center"/>
          </w:tcPr>
          <w:p>
            <w:pPr>
              <w:keepNext/>
              <w:tabs>
                <w:tab w:val="center" w:pos="2370"/>
                <w:tab w:val="right" w:pos="4741"/>
              </w:tabs>
              <w:ind w:left="-105"/>
              <w:jc w:val="center"/>
              <w:rPr>
                <w:rFonts w:ascii="Times New Roman" w:hAnsi="Times New Roman" w:cs="Times New Roman"/>
                <w:noProof/>
              </w:rPr>
            </w:pPr>
            <w:r>
              <w:rPr>
                <w:rFonts w:ascii="Times New Roman" w:hAnsi="Times New Roman" w:cs="Times New Roman"/>
                <w:noProof/>
                <w:lang w:val="en-GB" w:eastAsia="en-GB"/>
              </w:rPr>
              <w:drawing>
                <wp:inline distT="0" distB="0" distL="0" distR="0">
                  <wp:extent cx="1781175" cy="1767578"/>
                  <wp:effectExtent l="0" t="0" r="0" b="4445"/>
                  <wp:docPr id="26" name="Εικόνα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l="27368" t="8475" r="26667" b="18079"/>
                          <a:stretch/>
                        </pic:blipFill>
                        <pic:spPr bwMode="auto">
                          <a:xfrm>
                            <a:off x="0" y="0"/>
                            <a:ext cx="1786675" cy="1773036"/>
                          </a:xfrm>
                          <a:prstGeom prst="rect">
                            <a:avLst/>
                          </a:prstGeom>
                          <a:noFill/>
                          <a:ln>
                            <a:noFill/>
                          </a:ln>
                          <a:extLst>
                            <a:ext uri="{53640926-AAD7-44D8-BBD7-CCE9431645EC}">
                              <a14:shadowObscured xmlns:a14="http://schemas.microsoft.com/office/drawing/2010/main"/>
                            </a:ext>
                          </a:extLst>
                        </pic:spPr>
                      </pic:pic>
                    </a:graphicData>
                  </a:graphic>
                </wp:inline>
              </w:drawing>
            </w:r>
          </w:p>
          <w:p>
            <w:pPr>
              <w:keepNext/>
              <w:spacing w:after="60"/>
              <w:ind w:left="-105"/>
              <w:jc w:val="center"/>
              <w:rPr>
                <w:rFonts w:ascii="Times New Roman" w:eastAsia="ヒラギノ角ゴ Pro W3" w:hAnsi="Times New Roman" w:cs="Times New Roman"/>
                <w:b/>
                <w:noProof/>
                <w:sz w:val="18"/>
                <w:szCs w:val="20"/>
                <w:lang w:val="en-GB" w:eastAsia="de-DE"/>
              </w:rPr>
            </w:pPr>
          </w:p>
        </w:tc>
        <w:tc>
          <w:tcPr>
            <w:tcW w:w="4848" w:type="dxa"/>
          </w:tcPr>
          <w:p>
            <w:pPr>
              <w:keepNext/>
              <w:tabs>
                <w:tab w:val="center" w:pos="2370"/>
                <w:tab w:val="right" w:pos="4741"/>
              </w:tabs>
              <w:ind w:left="-105"/>
              <w:jc w:val="both"/>
              <w:rPr>
                <w:rFonts w:ascii="Times New Roman" w:hAnsi="Times New Roman" w:cs="Times New Roman"/>
                <w:noProof/>
              </w:rPr>
            </w:pPr>
            <w:r>
              <w:rPr>
                <w:rFonts w:ascii="Times New Roman" w:hAnsi="Times New Roman" w:cs="Times New Roman"/>
                <w:noProof/>
                <w:lang w:val="en-GB" w:eastAsia="en-GB"/>
              </w:rPr>
              <w:drawing>
                <wp:inline distT="0" distB="0" distL="0" distR="0">
                  <wp:extent cx="3095625" cy="1714222"/>
                  <wp:effectExtent l="0" t="0" r="0" b="0"/>
                  <wp:docPr id="27" name="Εικόνα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b="19289"/>
                          <a:stretch/>
                        </pic:blipFill>
                        <pic:spPr bwMode="auto">
                          <a:xfrm>
                            <a:off x="0" y="0"/>
                            <a:ext cx="3098213" cy="1715655"/>
                          </a:xfrm>
                          <a:prstGeom prst="rect">
                            <a:avLst/>
                          </a:prstGeom>
                          <a:noFill/>
                          <a:ln>
                            <a:noFill/>
                          </a:ln>
                          <a:extLst>
                            <a:ext uri="{53640926-AAD7-44D8-BBD7-CCE9431645EC}">
                              <a14:shadowObscured xmlns:a14="http://schemas.microsoft.com/office/drawing/2010/main"/>
                            </a:ext>
                          </a:extLst>
                        </pic:spPr>
                      </pic:pic>
                    </a:graphicData>
                  </a:graphic>
                </wp:inline>
              </w:drawing>
            </w:r>
          </w:p>
          <w:p>
            <w:pPr>
              <w:keepNext/>
              <w:spacing w:after="60"/>
              <w:ind w:left="-105"/>
              <w:jc w:val="both"/>
              <w:rPr>
                <w:rFonts w:ascii="Times New Roman" w:eastAsia="ヒラギノ角ゴ Pro W3" w:hAnsi="Times New Roman" w:cs="Times New Roman"/>
                <w:b/>
                <w:noProof/>
                <w:sz w:val="18"/>
                <w:szCs w:val="20"/>
                <w:lang w:val="en-GB" w:eastAsia="de-DE"/>
              </w:rPr>
            </w:pPr>
          </w:p>
        </w:tc>
      </w:tr>
      <w:tr>
        <w:tc>
          <w:tcPr>
            <w:tcW w:w="9351" w:type="dxa"/>
            <w:gridSpan w:val="2"/>
          </w:tcPr>
          <w:p>
            <w:pPr>
              <w:keepNext/>
              <w:tabs>
                <w:tab w:val="center" w:pos="2370"/>
                <w:tab w:val="right" w:pos="4741"/>
              </w:tabs>
              <w:jc w:val="center"/>
              <w:rPr>
                <w:rFonts w:ascii="Times New Roman" w:hAnsi="Times New Roman" w:cs="Times New Roman"/>
                <w:b/>
                <w:noProof/>
                <w:sz w:val="18"/>
              </w:rPr>
            </w:pPr>
            <w:r>
              <w:rPr>
                <w:rFonts w:ascii="Times New Roman" w:hAnsi="Times New Roman" w:cs="Times New Roman"/>
                <w:b/>
                <w:noProof/>
                <w:sz w:val="18"/>
                <w:lang w:val="en-GB" w:eastAsia="en-GB"/>
              </w:rPr>
              <w:drawing>
                <wp:inline distT="0" distB="0" distL="0" distR="0">
                  <wp:extent cx="3159369" cy="266700"/>
                  <wp:effectExtent l="0" t="0" r="3175" b="0"/>
                  <wp:docPr id="24" name="Εικόνα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18392" t="88659" r="15740" b="2407"/>
                          <a:stretch/>
                        </pic:blipFill>
                        <pic:spPr bwMode="auto">
                          <a:xfrm>
                            <a:off x="0" y="0"/>
                            <a:ext cx="3170646" cy="267652"/>
                          </a:xfrm>
                          <a:prstGeom prst="rect">
                            <a:avLst/>
                          </a:prstGeom>
                          <a:noFill/>
                          <a:ln>
                            <a:noFill/>
                          </a:ln>
                          <a:extLst>
                            <a:ext uri="{53640926-AAD7-44D8-BBD7-CCE9431645EC}">
                              <a14:shadowObscured xmlns:a14="http://schemas.microsoft.com/office/drawing/2010/main"/>
                            </a:ext>
                          </a:extLst>
                        </pic:spPr>
                      </pic:pic>
                    </a:graphicData>
                  </a:graphic>
                </wp:inline>
              </w:drawing>
            </w:r>
          </w:p>
        </w:tc>
      </w:tr>
      <w:tr>
        <w:tc>
          <w:tcPr>
            <w:tcW w:w="4503" w:type="dxa"/>
          </w:tcPr>
          <w:p>
            <w:pPr>
              <w:keepNext/>
              <w:tabs>
                <w:tab w:val="center" w:pos="2370"/>
                <w:tab w:val="right" w:pos="4741"/>
              </w:tabs>
              <w:spacing w:before="120"/>
              <w:jc w:val="both"/>
              <w:rPr>
                <w:rFonts w:ascii="Times New Roman" w:hAnsi="Times New Roman" w:cs="Times New Roman"/>
                <w:noProof/>
                <w:sz w:val="18"/>
                <w:szCs w:val="18"/>
              </w:rPr>
            </w:pPr>
            <w:r>
              <w:rPr>
                <w:rFonts w:ascii="Times New Roman" w:hAnsi="Times New Roman"/>
                <w:b/>
                <w:noProof/>
                <w:sz w:val="18"/>
                <w:szCs w:val="18"/>
              </w:rPr>
              <w:t>Забележка:</w:t>
            </w:r>
            <w:r>
              <w:rPr>
                <w:rFonts w:ascii="Times New Roman" w:hAnsi="Times New Roman"/>
                <w:noProof/>
                <w:sz w:val="18"/>
                <w:szCs w:val="18"/>
              </w:rPr>
              <w:t xml:space="preserve"> Статистически данни въз основа на броя на оценките на биологичните видове в ЕС (2 825). </w:t>
            </w:r>
          </w:p>
        </w:tc>
        <w:tc>
          <w:tcPr>
            <w:tcW w:w="4848" w:type="dxa"/>
          </w:tcPr>
          <w:p>
            <w:pPr>
              <w:keepNext/>
              <w:tabs>
                <w:tab w:val="center" w:pos="2370"/>
                <w:tab w:val="right" w:pos="4741"/>
              </w:tabs>
              <w:spacing w:before="120" w:after="240"/>
              <w:jc w:val="both"/>
              <w:rPr>
                <w:rFonts w:ascii="Times New Roman" w:hAnsi="Times New Roman" w:cs="Times New Roman"/>
                <w:b/>
                <w:noProof/>
                <w:sz w:val="18"/>
              </w:rPr>
            </w:pPr>
            <w:r>
              <w:rPr>
                <w:rFonts w:ascii="Times New Roman" w:hAnsi="Times New Roman"/>
                <w:b/>
                <w:noProof/>
                <w:sz w:val="18"/>
                <w:szCs w:val="18"/>
              </w:rPr>
              <w:t>Забележка:</w:t>
            </w:r>
            <w:r>
              <w:rPr>
                <w:rFonts w:ascii="Times New Roman" w:hAnsi="Times New Roman"/>
                <w:noProof/>
                <w:sz w:val="18"/>
                <w:szCs w:val="18"/>
              </w:rPr>
              <w:t xml:space="preserve"> Броят на оценките за всяка група е посочен в скоби. Общият брой на оценките е 2 825.</w:t>
            </w:r>
          </w:p>
        </w:tc>
      </w:tr>
    </w:tbl>
    <w:p>
      <w:pPr>
        <w:spacing w:after="240"/>
        <w:jc w:val="both"/>
        <w:rPr>
          <w:rFonts w:ascii="Times New Roman" w:eastAsia="ヒラギノ角ゴ Pro W3" w:hAnsi="Times New Roman" w:cs="Times New Roman"/>
          <w:iCs/>
          <w:noProof/>
        </w:rPr>
      </w:pPr>
    </w:p>
    <w:p>
      <w:pPr>
        <w:spacing w:after="240"/>
        <w:jc w:val="both"/>
        <w:rPr>
          <w:rFonts w:ascii="Times New Roman" w:hAnsi="Times New Roman" w:cs="Times New Roman"/>
          <w:noProof/>
          <w:sz w:val="24"/>
          <w:szCs w:val="24"/>
        </w:rPr>
      </w:pPr>
      <w:r>
        <w:rPr>
          <w:rFonts w:ascii="Times New Roman" w:hAnsi="Times New Roman"/>
          <w:iCs/>
          <w:noProof/>
        </w:rPr>
        <w:t>Над</w:t>
      </w:r>
      <w:r>
        <w:rPr>
          <w:rFonts w:ascii="Times New Roman" w:hAnsi="Times New Roman"/>
          <w:iCs/>
          <w:noProof/>
          <w:sz w:val="24"/>
          <w:szCs w:val="24"/>
        </w:rPr>
        <w:t xml:space="preserve"> една четвърт (27 %) от оценките на видовете показват добър природозащитен статус спрямо 23 % през 2015 г. 63 % показват незадоволителен или лош статус, което е подобно на данните от 2015 г. (60 %). </w:t>
      </w:r>
      <w:r>
        <w:rPr>
          <w:rFonts w:ascii="Times New Roman" w:hAnsi="Times New Roman"/>
          <w:noProof/>
          <w:sz w:val="24"/>
          <w:szCs w:val="24"/>
        </w:rPr>
        <w:t xml:space="preserve">Броят на оценките „неизвестен“ е намалял от последния период на докладване (от 17 % на 10 %), но остава значително по-голям от този за местообитанията (4 %). На равнище държава членка статусът на по-голямата част от морските видове (59 %) е неизвестен спрямо едва 8 % за сухоземните видове, </w:t>
      </w:r>
      <w:r>
        <w:rPr>
          <w:rFonts w:ascii="Times New Roman" w:hAnsi="Times New Roman"/>
          <w:iCs/>
          <w:noProof/>
          <w:sz w:val="24"/>
          <w:szCs w:val="24"/>
        </w:rPr>
        <w:t>което предполага, че не се отделят достатъчно ресурси за тяхното наблюдение.</w:t>
      </w:r>
    </w:p>
    <w:p>
      <w:pPr>
        <w:spacing w:after="240"/>
        <w:jc w:val="both"/>
        <w:rPr>
          <w:rFonts w:ascii="Times New Roman" w:hAnsi="Times New Roman" w:cs="Times New Roman"/>
          <w:noProof/>
          <w:sz w:val="24"/>
          <w:szCs w:val="24"/>
        </w:rPr>
      </w:pPr>
      <w:r>
        <w:rPr>
          <w:rFonts w:ascii="Times New Roman" w:hAnsi="Times New Roman"/>
          <w:noProof/>
          <w:sz w:val="24"/>
          <w:szCs w:val="24"/>
        </w:rPr>
        <w:t>Групите видове с най-висок дял от оценките за добър статус на равнище ЕС са влечугите и васкуларните растения (съответно 36 % и 40 %). Около 30 % от видовете мекотели и риби са получили оценка „лош статус“.</w:t>
      </w:r>
    </w:p>
    <w:p>
      <w:pPr>
        <w:rPr>
          <w:rFonts w:ascii="Times New Roman" w:eastAsia="ヒラギノ角ゴ Pro W3" w:hAnsi="Times New Roman" w:cs="Times New Roman"/>
          <w:iCs/>
          <w:noProof/>
          <w:sz w:val="24"/>
          <w:szCs w:val="24"/>
        </w:rPr>
      </w:pPr>
    </w:p>
    <w:p>
      <w:pPr>
        <w:spacing w:after="240"/>
        <w:rPr>
          <w:rFonts w:ascii="Times New Roman" w:eastAsia="ヒラギノ角ゴ Pro W3" w:hAnsi="Times New Roman" w:cs="Times New Roman"/>
          <w:b/>
          <w:iCs/>
          <w:noProof/>
          <w:sz w:val="24"/>
          <w:szCs w:val="24"/>
        </w:rPr>
      </w:pPr>
      <w:r>
        <w:rPr>
          <w:rFonts w:ascii="Times New Roman" w:hAnsi="Times New Roman"/>
          <w:b/>
          <w:iCs/>
          <w:noProof/>
          <w:sz w:val="24"/>
          <w:szCs w:val="24"/>
        </w:rPr>
        <w:t>Тенденции при природозащитния статус на видовете</w:t>
      </w:r>
    </w:p>
    <w:tbl>
      <w:tblPr>
        <w:tblStyle w:val="HTG3"/>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0" w:type="dxa"/>
          <w:right w:w="70" w:type="dxa"/>
        </w:tblCellMar>
        <w:tblLook w:val="04A0" w:firstRow="1" w:lastRow="0" w:firstColumn="1" w:lastColumn="0" w:noHBand="0" w:noVBand="1"/>
      </w:tblPr>
      <w:tblGrid>
        <w:gridCol w:w="4106"/>
        <w:gridCol w:w="5103"/>
      </w:tblGrid>
      <w:tr>
        <w:tc>
          <w:tcPr>
            <w:tcW w:w="4106" w:type="dxa"/>
          </w:tcPr>
          <w:p>
            <w:pPr>
              <w:spacing w:after="120"/>
              <w:jc w:val="both"/>
              <w:rPr>
                <w:rFonts w:ascii="Times New Roman" w:hAnsi="Times New Roman" w:cs="Times New Roman"/>
                <w:b/>
                <w:noProof/>
                <w:sz w:val="20"/>
                <w:szCs w:val="20"/>
              </w:rPr>
            </w:pPr>
            <w:r>
              <w:rPr>
                <w:rFonts w:ascii="Times New Roman" w:hAnsi="Times New Roman"/>
                <w:b/>
                <w:noProof/>
                <w:sz w:val="20"/>
                <w:szCs w:val="20"/>
              </w:rPr>
              <w:t>Фигура 7а: Тенденции при природозащитния статус на видовете с неблагоприятен (т.е. недобър) или неизвестен статус на равнище ЕС</w:t>
            </w:r>
          </w:p>
        </w:tc>
        <w:tc>
          <w:tcPr>
            <w:tcW w:w="5103" w:type="dxa"/>
          </w:tcPr>
          <w:p>
            <w:pPr>
              <w:spacing w:after="120"/>
              <w:jc w:val="both"/>
              <w:rPr>
                <w:rFonts w:ascii="Times New Roman" w:hAnsi="Times New Roman" w:cs="Times New Roman"/>
                <w:b/>
                <w:noProof/>
                <w:sz w:val="20"/>
                <w:szCs w:val="20"/>
              </w:rPr>
            </w:pPr>
            <w:r>
              <w:rPr>
                <w:rFonts w:ascii="Times New Roman" w:hAnsi="Times New Roman"/>
                <w:b/>
                <w:noProof/>
                <w:sz w:val="20"/>
                <w:szCs w:val="20"/>
              </w:rPr>
              <w:t>Фигура 7б: Тенденции при природозащитния статус на видовете с неблагоприятен (т.е. недобър) или неизвестен статус на равнище ЕС, по групи</w:t>
            </w:r>
          </w:p>
        </w:tc>
      </w:tr>
      <w:tr>
        <w:tc>
          <w:tcPr>
            <w:tcW w:w="4106" w:type="dxa"/>
            <w:vAlign w:val="center"/>
          </w:tcPr>
          <w:p>
            <w:pPr>
              <w:keepNext/>
              <w:jc w:val="center"/>
              <w:rPr>
                <w:rFonts w:ascii="Times New Roman" w:hAnsi="Times New Roman" w:cs="Times New Roman"/>
                <w:noProof/>
                <w:lang w:eastAsia="en-GB"/>
              </w:rPr>
            </w:pPr>
          </w:p>
          <w:p>
            <w:pPr>
              <w:keepNext/>
              <w:jc w:val="center"/>
              <w:rPr>
                <w:rFonts w:ascii="Times New Roman" w:hAnsi="Times New Roman" w:cs="Times New Roman"/>
                <w:noProof/>
              </w:rPr>
            </w:pPr>
            <w:r>
              <w:rPr>
                <w:rFonts w:ascii="Times New Roman" w:hAnsi="Times New Roman" w:cs="Times New Roman"/>
                <w:noProof/>
                <w:lang w:val="en-GB" w:eastAsia="en-GB"/>
              </w:rPr>
              <w:drawing>
                <wp:inline distT="0" distB="0" distL="0" distR="0">
                  <wp:extent cx="1933575" cy="1828652"/>
                  <wp:effectExtent l="0" t="0" r="0" b="635"/>
                  <wp:docPr id="28" name="Εικόνα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l="27273" t="7186" r="23864" b="19760"/>
                          <a:stretch/>
                        </pic:blipFill>
                        <pic:spPr bwMode="auto">
                          <a:xfrm>
                            <a:off x="0" y="0"/>
                            <a:ext cx="1936638" cy="1831549"/>
                          </a:xfrm>
                          <a:prstGeom prst="rect">
                            <a:avLst/>
                          </a:prstGeom>
                          <a:noFill/>
                          <a:ln>
                            <a:noFill/>
                          </a:ln>
                          <a:extLst>
                            <a:ext uri="{53640926-AAD7-44D8-BBD7-CCE9431645EC}">
                              <a14:shadowObscured xmlns:a14="http://schemas.microsoft.com/office/drawing/2010/main"/>
                            </a:ext>
                          </a:extLst>
                        </pic:spPr>
                      </pic:pic>
                    </a:graphicData>
                  </a:graphic>
                </wp:inline>
              </w:drawing>
            </w:r>
          </w:p>
          <w:p>
            <w:pPr>
              <w:keepNext/>
              <w:jc w:val="center"/>
              <w:rPr>
                <w:rFonts w:ascii="Times New Roman" w:hAnsi="Times New Roman" w:cs="Times New Roman"/>
                <w:noProof/>
                <w:lang w:val="en-GB"/>
              </w:rPr>
            </w:pPr>
          </w:p>
        </w:tc>
        <w:tc>
          <w:tcPr>
            <w:tcW w:w="5103" w:type="dxa"/>
            <w:vAlign w:val="center"/>
          </w:tcPr>
          <w:p>
            <w:pPr>
              <w:keepNext/>
              <w:jc w:val="center"/>
              <w:rPr>
                <w:rFonts w:ascii="Times New Roman" w:hAnsi="Times New Roman" w:cs="Times New Roman"/>
                <w:noProof/>
                <w:lang w:val="en-GB"/>
              </w:rPr>
            </w:pPr>
          </w:p>
          <w:p>
            <w:pPr>
              <w:keepNext/>
              <w:jc w:val="center"/>
              <w:rPr>
                <w:rFonts w:ascii="Times New Roman" w:hAnsi="Times New Roman" w:cs="Times New Roman"/>
                <w:noProof/>
              </w:rPr>
            </w:pPr>
            <w:r>
              <w:rPr>
                <w:rFonts w:ascii="Times New Roman" w:hAnsi="Times New Roman" w:cs="Times New Roman"/>
                <w:noProof/>
                <w:lang w:val="en-GB" w:eastAsia="en-GB"/>
              </w:rPr>
              <w:drawing>
                <wp:inline distT="0" distB="0" distL="0" distR="0">
                  <wp:extent cx="3282910" cy="1695450"/>
                  <wp:effectExtent l="0" t="0" r="0" b="0"/>
                  <wp:docPr id="30" name="Εικόνα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r="8120" b="17773"/>
                          <a:stretch/>
                        </pic:blipFill>
                        <pic:spPr bwMode="auto">
                          <a:xfrm>
                            <a:off x="0" y="0"/>
                            <a:ext cx="3286286" cy="1697193"/>
                          </a:xfrm>
                          <a:prstGeom prst="rect">
                            <a:avLst/>
                          </a:prstGeom>
                          <a:noFill/>
                          <a:ln>
                            <a:noFill/>
                          </a:ln>
                          <a:extLst>
                            <a:ext uri="{53640926-AAD7-44D8-BBD7-CCE9431645EC}">
                              <a14:shadowObscured xmlns:a14="http://schemas.microsoft.com/office/drawing/2010/main"/>
                            </a:ext>
                          </a:extLst>
                        </pic:spPr>
                      </pic:pic>
                    </a:graphicData>
                  </a:graphic>
                </wp:inline>
              </w:drawing>
            </w:r>
          </w:p>
          <w:p>
            <w:pPr>
              <w:keepNext/>
              <w:jc w:val="center"/>
              <w:rPr>
                <w:rFonts w:ascii="Times New Roman" w:hAnsi="Times New Roman" w:cs="Times New Roman"/>
                <w:noProof/>
                <w:lang w:val="en-GB"/>
              </w:rPr>
            </w:pPr>
          </w:p>
        </w:tc>
      </w:tr>
      <w:tr>
        <w:tc>
          <w:tcPr>
            <w:tcW w:w="9209" w:type="dxa"/>
            <w:gridSpan w:val="2"/>
          </w:tcPr>
          <w:p>
            <w:pPr>
              <w:keepNext/>
              <w:jc w:val="both"/>
              <w:rPr>
                <w:rFonts w:ascii="Times New Roman" w:hAnsi="Times New Roman" w:cs="Times New Roman"/>
                <w:noProof/>
              </w:rPr>
            </w:pPr>
            <w:r>
              <w:rPr>
                <w:rFonts w:ascii="Times New Roman" w:hAnsi="Times New Roman" w:cs="Times New Roman"/>
                <w:noProof/>
                <w:lang w:val="en-GB" w:eastAsia="en-GB"/>
              </w:rPr>
              <w:drawing>
                <wp:inline distT="0" distB="0" distL="0" distR="0">
                  <wp:extent cx="5510213" cy="247650"/>
                  <wp:effectExtent l="0" t="0" r="0" b="0"/>
                  <wp:docPr id="29" name="Εικόνα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l="5623" t="91549" r="6054" b="1408"/>
                          <a:stretch/>
                        </pic:blipFill>
                        <pic:spPr bwMode="auto">
                          <a:xfrm>
                            <a:off x="0" y="0"/>
                            <a:ext cx="5670149" cy="254838"/>
                          </a:xfrm>
                          <a:prstGeom prst="rect">
                            <a:avLst/>
                          </a:prstGeom>
                          <a:noFill/>
                          <a:ln>
                            <a:noFill/>
                          </a:ln>
                          <a:extLst>
                            <a:ext uri="{53640926-AAD7-44D8-BBD7-CCE9431645EC}">
                              <a14:shadowObscured xmlns:a14="http://schemas.microsoft.com/office/drawing/2010/main"/>
                            </a:ext>
                          </a:extLst>
                        </pic:spPr>
                      </pic:pic>
                    </a:graphicData>
                  </a:graphic>
                </wp:inline>
              </w:drawing>
            </w:r>
          </w:p>
        </w:tc>
      </w:tr>
      <w:tr>
        <w:tc>
          <w:tcPr>
            <w:tcW w:w="4106" w:type="dxa"/>
          </w:tcPr>
          <w:p>
            <w:pPr>
              <w:keepNext/>
              <w:spacing w:before="120"/>
              <w:jc w:val="both"/>
              <w:rPr>
                <w:rFonts w:ascii="Times New Roman" w:hAnsi="Times New Roman" w:cs="Times New Roman"/>
                <w:b/>
                <w:noProof/>
                <w:sz w:val="18"/>
                <w:szCs w:val="18"/>
              </w:rPr>
            </w:pPr>
            <w:r>
              <w:rPr>
                <w:rFonts w:ascii="Times New Roman" w:hAnsi="Times New Roman"/>
                <w:b/>
                <w:noProof/>
                <w:sz w:val="18"/>
                <w:szCs w:val="18"/>
              </w:rPr>
              <w:t>Забележка:</w:t>
            </w:r>
            <w:r>
              <w:rPr>
                <w:rFonts w:ascii="Times New Roman" w:hAnsi="Times New Roman"/>
                <w:noProof/>
                <w:sz w:val="18"/>
                <w:szCs w:val="18"/>
              </w:rPr>
              <w:t xml:space="preserve"> Тенденциите при природозащитния статус се основават на оценките на видовете в ЕС (2</w:t>
            </w:r>
            <w:r>
              <w:rPr>
                <w:rFonts w:ascii="Times New Roman" w:hAnsi="Times New Roman"/>
                <w:noProof/>
                <w:sz w:val="18"/>
                <w:szCs w:val="18"/>
                <w:lang w:val="en-GB"/>
              </w:rPr>
              <w:t> </w:t>
            </w:r>
            <w:r>
              <w:rPr>
                <w:rFonts w:ascii="Times New Roman" w:hAnsi="Times New Roman"/>
                <w:noProof/>
                <w:sz w:val="18"/>
                <w:szCs w:val="18"/>
              </w:rPr>
              <w:t>049).</w:t>
            </w:r>
          </w:p>
        </w:tc>
        <w:tc>
          <w:tcPr>
            <w:tcW w:w="5103" w:type="dxa"/>
          </w:tcPr>
          <w:p>
            <w:pPr>
              <w:keepNext/>
              <w:spacing w:before="120" w:after="240"/>
              <w:jc w:val="both"/>
              <w:rPr>
                <w:rFonts w:ascii="Times New Roman" w:hAnsi="Times New Roman" w:cs="Times New Roman"/>
                <w:noProof/>
              </w:rPr>
            </w:pPr>
            <w:r>
              <w:rPr>
                <w:rFonts w:ascii="Times New Roman" w:hAnsi="Times New Roman"/>
                <w:b/>
                <w:noProof/>
                <w:sz w:val="18"/>
                <w:szCs w:val="18"/>
              </w:rPr>
              <w:t>Забележка:</w:t>
            </w:r>
            <w:r>
              <w:rPr>
                <w:rFonts w:ascii="Times New Roman" w:hAnsi="Times New Roman"/>
                <w:noProof/>
                <w:sz w:val="18"/>
                <w:szCs w:val="18"/>
              </w:rPr>
              <w:t xml:space="preserve"> Броят на оценките е посочен в скоби. Общият брой на оценките е 2</w:t>
            </w:r>
            <w:r>
              <w:rPr>
                <w:rFonts w:ascii="Times New Roman" w:hAnsi="Times New Roman"/>
                <w:noProof/>
                <w:sz w:val="18"/>
                <w:szCs w:val="18"/>
                <w:lang w:val="en-GB"/>
              </w:rPr>
              <w:t> </w:t>
            </w:r>
            <w:r>
              <w:rPr>
                <w:rFonts w:ascii="Times New Roman" w:hAnsi="Times New Roman"/>
                <w:noProof/>
                <w:sz w:val="18"/>
                <w:szCs w:val="18"/>
              </w:rPr>
              <w:t>049.</w:t>
            </w:r>
          </w:p>
        </w:tc>
      </w:tr>
    </w:tbl>
    <w:p>
      <w:pPr>
        <w:spacing w:after="240"/>
        <w:jc w:val="both"/>
        <w:rPr>
          <w:rFonts w:ascii="Times New Roman" w:hAnsi="Times New Roman" w:cs="Times New Roman"/>
          <w:noProof/>
          <w:sz w:val="24"/>
          <w:szCs w:val="24"/>
        </w:rPr>
      </w:pPr>
    </w:p>
    <w:p>
      <w:pPr>
        <w:spacing w:after="240"/>
        <w:jc w:val="both"/>
        <w:rPr>
          <w:rFonts w:ascii="Times New Roman" w:hAnsi="Times New Roman" w:cs="Times New Roman"/>
          <w:noProof/>
          <w:sz w:val="24"/>
          <w:szCs w:val="24"/>
        </w:rPr>
      </w:pPr>
      <w:r>
        <w:rPr>
          <w:rFonts w:ascii="Times New Roman" w:hAnsi="Times New Roman"/>
          <w:noProof/>
          <w:sz w:val="24"/>
          <w:szCs w:val="24"/>
        </w:rPr>
        <w:t>От 2</w:t>
      </w:r>
      <w:r>
        <w:rPr>
          <w:rFonts w:ascii="Times New Roman" w:hAnsi="Times New Roman"/>
          <w:noProof/>
          <w:sz w:val="24"/>
          <w:szCs w:val="24"/>
          <w:lang w:val="en-GB"/>
        </w:rPr>
        <w:t> </w:t>
      </w:r>
      <w:r>
        <w:rPr>
          <w:rFonts w:ascii="Times New Roman" w:hAnsi="Times New Roman"/>
          <w:noProof/>
          <w:sz w:val="24"/>
          <w:szCs w:val="24"/>
        </w:rPr>
        <w:t xml:space="preserve">049-те вида, оценени с незадоволителен или лош природозащитен статус на равнище ЕС, тенденцията при 35 % е към намаляване, а при 6 % е към увеличаване. При други 31 % тенденцията е неизвестна. С изключение на бозайниците, рибите и неваскуларните растения (съответно 10 %, 9 % и 6 %), делът на видовете, получили оценка за незадоволителен или лош статус, но с тенденции към подобряване, остава под 5 %. Въпреки че рибите имат повече тенденции към увеличаване в сравнение с други групи видове, те също така имат (заедно със земноводните) най-голям дял от тенденциите към влошаване (близо 50 %). Силни тенденции към намаляване са докладвани за други групи видове, напр. „специалисти“ в тревните местообитания, като пеперудата </w:t>
      </w:r>
      <w:r>
        <w:rPr>
          <w:rFonts w:ascii="Times New Roman" w:hAnsi="Times New Roman"/>
          <w:i/>
          <w:noProof/>
          <w:sz w:val="24"/>
          <w:szCs w:val="24"/>
        </w:rPr>
        <w:t>Euphydryas aurinia</w:t>
      </w:r>
      <w:r>
        <w:rPr>
          <w:rFonts w:ascii="Times New Roman" w:hAnsi="Times New Roman"/>
          <w:noProof/>
          <w:sz w:val="24"/>
          <w:szCs w:val="24"/>
        </w:rPr>
        <w:t xml:space="preserve"> и миска </w:t>
      </w:r>
      <w:r>
        <w:rPr>
          <w:rFonts w:ascii="Times New Roman" w:hAnsi="Times New Roman"/>
          <w:i/>
          <w:noProof/>
          <w:sz w:val="24"/>
          <w:szCs w:val="24"/>
        </w:rPr>
        <w:t>Jurinea cyanoides</w:t>
      </w:r>
      <w:r>
        <w:rPr>
          <w:rFonts w:ascii="Times New Roman" w:hAnsi="Times New Roman"/>
          <w:noProof/>
          <w:sz w:val="24"/>
          <w:szCs w:val="24"/>
        </w:rPr>
        <w:t>.</w:t>
      </w:r>
    </w:p>
    <w:p>
      <w:pPr>
        <w:rPr>
          <w:rFonts w:ascii="Times New Roman" w:eastAsia="ヒラギノ角ゴ Pro W3" w:hAnsi="Times New Roman" w:cs="Times New Roman"/>
          <w:iCs/>
          <w:noProof/>
          <w:sz w:val="24"/>
          <w:szCs w:val="24"/>
        </w:rPr>
      </w:pPr>
      <w:r>
        <w:rPr>
          <w:rFonts w:ascii="Times New Roman" w:eastAsia="ヒラギノ角ゴ Pro W3" w:hAnsi="Times New Roman" w:cs="Times New Roman"/>
          <w:iCs/>
          <w:noProof/>
          <w:sz w:val="24"/>
          <w:szCs w:val="24"/>
        </w:rPr>
        <w:br w:type="page"/>
      </w:r>
    </w:p>
    <w:p>
      <w:pPr>
        <w:spacing w:after="240"/>
        <w:jc w:val="both"/>
        <w:rPr>
          <w:rFonts w:ascii="Times New Roman" w:eastAsia="ヒラギノ角ゴ Pro W3" w:hAnsi="Times New Roman" w:cs="Times New Roman"/>
          <w:iCs/>
          <w:noProof/>
          <w:sz w:val="24"/>
          <w:szCs w:val="24"/>
        </w:rPr>
      </w:pPr>
    </w:p>
    <w:p>
      <w:pPr>
        <w:pStyle w:val="Heading1"/>
        <w:numPr>
          <w:ilvl w:val="0"/>
          <w:numId w:val="10"/>
        </w:numPr>
        <w:spacing w:after="240"/>
        <w:ind w:left="714" w:hanging="357"/>
        <w:rPr>
          <w:rFonts w:eastAsia="Times New Roman"/>
          <w:noProof/>
          <w:color w:val="auto"/>
        </w:rPr>
      </w:pPr>
      <w:r>
        <w:rPr>
          <w:noProof/>
          <w:color w:val="auto"/>
        </w:rPr>
        <w:t>Развитие в статуса и тенденциите</w:t>
      </w:r>
    </w:p>
    <w:p>
      <w:pPr>
        <w:spacing w:after="240"/>
        <w:jc w:val="both"/>
        <w:rPr>
          <w:rFonts w:ascii="Times New Roman" w:hAnsi="Times New Roman" w:cs="Times New Roman"/>
          <w:b/>
          <w:i/>
          <w:noProof/>
          <w:sz w:val="24"/>
          <w:szCs w:val="24"/>
          <w:u w:val="single"/>
        </w:rPr>
      </w:pPr>
      <w:r>
        <w:rPr>
          <w:rFonts w:ascii="Times New Roman" w:hAnsi="Times New Roman"/>
          <w:b/>
          <w:i/>
          <w:noProof/>
          <w:sz w:val="24"/>
          <w:szCs w:val="24"/>
          <w:u w:val="single"/>
        </w:rPr>
        <w:t>3.1. Напредък към постигането на цел 1 от стратегията за биологичното разнообразие до 2020 г.</w:t>
      </w:r>
    </w:p>
    <w:p>
      <w:pPr>
        <w:spacing w:after="120"/>
        <w:jc w:val="both"/>
        <w:rPr>
          <w:rFonts w:ascii="Times New Roman" w:hAnsi="Times New Roman" w:cs="Times New Roman"/>
          <w:noProof/>
          <w:sz w:val="24"/>
          <w:szCs w:val="24"/>
        </w:rPr>
      </w:pPr>
      <w:r>
        <w:rPr>
          <w:rFonts w:ascii="Times New Roman" w:hAnsi="Times New Roman"/>
          <w:noProof/>
          <w:sz w:val="24"/>
          <w:szCs w:val="24"/>
        </w:rPr>
        <w:t>Въз основа на информацията, предоставена от държавите членки за настоящата оценка, определихме степента, до която е постигната цел 1 от стратегията за биологичното разнообразие до 2020 г.</w:t>
      </w:r>
      <w:r>
        <w:rPr>
          <w:rStyle w:val="FootnoteReference"/>
          <w:rFonts w:ascii="Times New Roman" w:hAnsi="Times New Roman" w:cs="Times New Roman"/>
          <w:noProof/>
          <w:sz w:val="24"/>
          <w:szCs w:val="24"/>
        </w:rPr>
        <w:footnoteReference w:id="14"/>
      </w:r>
      <w:r>
        <w:rPr>
          <w:rFonts w:ascii="Times New Roman" w:hAnsi="Times New Roman"/>
          <w:noProof/>
          <w:sz w:val="24"/>
          <w:szCs w:val="24"/>
        </w:rPr>
        <w:t>. Целта бе да се спре влошаването на статуса на всички видове и местообитания, обхванати от законодателството на ЕС за природата, и да се постигне значително и измеримо подобрение в статуса им така, че (в сравнение с оценките от 2010 г.) до 2020 г. да има:</w:t>
      </w:r>
    </w:p>
    <w:p>
      <w:pPr>
        <w:numPr>
          <w:ilvl w:val="0"/>
          <w:numId w:val="9"/>
        </w:numPr>
        <w:spacing w:after="120"/>
        <w:ind w:left="681" w:hanging="397"/>
        <w:jc w:val="both"/>
        <w:rPr>
          <w:rFonts w:ascii="Times New Roman" w:hAnsi="Times New Roman" w:cs="Times New Roman"/>
          <w:noProof/>
          <w:sz w:val="24"/>
          <w:szCs w:val="24"/>
        </w:rPr>
      </w:pPr>
      <w:r>
        <w:rPr>
          <w:rFonts w:ascii="Times New Roman" w:hAnsi="Times New Roman"/>
          <w:noProof/>
          <w:sz w:val="24"/>
          <w:szCs w:val="24"/>
        </w:rPr>
        <w:t>100 % повече оценки за местообитания с благоприятен или подобряващ се природозащитен статус (т.е. 34 % от общия брой);</w:t>
      </w:r>
    </w:p>
    <w:p>
      <w:pPr>
        <w:numPr>
          <w:ilvl w:val="0"/>
          <w:numId w:val="9"/>
        </w:numPr>
        <w:spacing w:after="120"/>
        <w:ind w:left="681" w:hanging="397"/>
        <w:jc w:val="both"/>
        <w:rPr>
          <w:rFonts w:ascii="Times New Roman" w:hAnsi="Times New Roman" w:cs="Times New Roman"/>
          <w:noProof/>
          <w:sz w:val="24"/>
          <w:szCs w:val="24"/>
        </w:rPr>
      </w:pPr>
      <w:r>
        <w:rPr>
          <w:rFonts w:ascii="Times New Roman" w:hAnsi="Times New Roman"/>
          <w:noProof/>
          <w:sz w:val="24"/>
          <w:szCs w:val="24"/>
        </w:rPr>
        <w:t>50 % повече оценки за видовете съгласно Директивата за местообитанията с благоприятен или подобряващ се природозащитен статус (35 %); и</w:t>
      </w:r>
    </w:p>
    <w:p>
      <w:pPr>
        <w:numPr>
          <w:ilvl w:val="0"/>
          <w:numId w:val="9"/>
        </w:numPr>
        <w:spacing w:after="240"/>
        <w:ind w:left="681" w:hanging="397"/>
        <w:jc w:val="both"/>
        <w:rPr>
          <w:rFonts w:ascii="Times New Roman" w:hAnsi="Times New Roman" w:cs="Times New Roman"/>
          <w:noProof/>
          <w:sz w:val="24"/>
          <w:szCs w:val="24"/>
        </w:rPr>
      </w:pPr>
      <w:r>
        <w:rPr>
          <w:rFonts w:ascii="Times New Roman" w:hAnsi="Times New Roman"/>
          <w:noProof/>
          <w:sz w:val="24"/>
          <w:szCs w:val="24"/>
        </w:rPr>
        <w:t>50 % повече оценки за видовете съгласно Директивата за птиците с незастрашен или подобряващ се статус на популациите (78 %).</w:t>
      </w:r>
    </w:p>
    <w:p>
      <w:pPr>
        <w:spacing w:after="240"/>
        <w:ind w:left="681"/>
        <w:jc w:val="both"/>
        <w:rPr>
          <w:rFonts w:ascii="Times New Roman" w:hAnsi="Times New Roman" w:cs="Times New Roman"/>
          <w:noProof/>
          <w:sz w:val="24"/>
          <w:szCs w:val="24"/>
        </w:rPr>
      </w:pPr>
    </w:p>
    <w:tbl>
      <w:tblPr>
        <w:tblStyle w:val="HTG6"/>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9"/>
      </w:tblGrid>
      <w:tr>
        <w:trPr>
          <w:trHeight w:val="369"/>
        </w:trPr>
        <w:tc>
          <w:tcPr>
            <w:tcW w:w="9209" w:type="dxa"/>
          </w:tcPr>
          <w:p>
            <w:pPr>
              <w:spacing w:after="120"/>
              <w:jc w:val="both"/>
              <w:rPr>
                <w:rFonts w:ascii="Times New Roman" w:hAnsi="Times New Roman" w:cs="Times New Roman"/>
                <w:noProof/>
                <w:sz w:val="20"/>
                <w:szCs w:val="20"/>
              </w:rPr>
            </w:pPr>
            <w:r>
              <w:rPr>
                <w:rFonts w:ascii="Times New Roman" w:hAnsi="Times New Roman"/>
                <w:b/>
                <w:bCs/>
                <w:noProof/>
                <w:sz w:val="20"/>
                <w:szCs w:val="20"/>
              </w:rPr>
              <w:t xml:space="preserve">Фигура 8: Напредък към постигането на цел 1 (в % от оценките) </w:t>
            </w:r>
          </w:p>
        </w:tc>
      </w:tr>
      <w:tr>
        <w:tblPrEx>
          <w:tblCellMar>
            <w:left w:w="70" w:type="dxa"/>
            <w:right w:w="70" w:type="dxa"/>
          </w:tblCellMar>
        </w:tblPrEx>
        <w:trPr>
          <w:trHeight w:val="3443"/>
        </w:trPr>
        <w:tc>
          <w:tcPr>
            <w:tcW w:w="9209" w:type="dxa"/>
            <w:vAlign w:val="center"/>
          </w:tcPr>
          <w:p>
            <w:pPr>
              <w:jc w:val="both"/>
              <w:rPr>
                <w:rFonts w:ascii="Times New Roman" w:hAnsi="Times New Roman" w:cs="Times New Roman"/>
                <w:noProof/>
              </w:rPr>
            </w:pPr>
            <w:r>
              <w:rPr>
                <w:rFonts w:ascii="Times New Roman" w:hAnsi="Times New Roman"/>
                <w:noProof/>
                <w:lang w:val="en-GB" w:eastAsia="en-GB"/>
              </w:rPr>
              <w:drawing>
                <wp:inline distT="0" distB="0" distL="0" distR="0">
                  <wp:extent cx="5753819" cy="2450700"/>
                  <wp:effectExtent l="0" t="0" r="0" b="6985"/>
                  <wp:docPr id="1397633216" name="Picture 1397633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633216" name="Captura de ecrã 2020-06-04, às 08.35.26.png"/>
                          <pic:cNvPicPr/>
                        </pic:nvPicPr>
                        <pic:blipFill>
                          <a:blip r:embed="rId35"/>
                          <a:stretch>
                            <a:fillRect/>
                          </a:stretch>
                        </pic:blipFill>
                        <pic:spPr>
                          <a:xfrm>
                            <a:off x="0" y="0"/>
                            <a:ext cx="5788774" cy="2465588"/>
                          </a:xfrm>
                          <a:prstGeom prst="rect">
                            <a:avLst/>
                          </a:prstGeom>
                        </pic:spPr>
                      </pic:pic>
                    </a:graphicData>
                  </a:graphic>
                </wp:inline>
              </w:drawing>
            </w:r>
          </w:p>
        </w:tc>
      </w:tr>
      <w:tr>
        <w:tblPrEx>
          <w:tblCellMar>
            <w:left w:w="70" w:type="dxa"/>
            <w:right w:w="70" w:type="dxa"/>
          </w:tblCellMar>
        </w:tblPrEx>
        <w:trPr>
          <w:trHeight w:val="454"/>
        </w:trPr>
        <w:tc>
          <w:tcPr>
            <w:tcW w:w="9209" w:type="dxa"/>
            <w:vAlign w:val="center"/>
          </w:tcPr>
          <w:p>
            <w:pPr>
              <w:spacing w:after="240"/>
              <w:jc w:val="both"/>
              <w:rPr>
                <w:rFonts w:ascii="Times New Roman" w:hAnsi="Times New Roman" w:cs="Times New Roman"/>
                <w:noProof/>
              </w:rPr>
            </w:pPr>
            <w:r>
              <w:rPr>
                <w:rFonts w:ascii="Times New Roman" w:hAnsi="Times New Roman"/>
                <w:b/>
                <w:noProof/>
                <w:sz w:val="18"/>
                <w:szCs w:val="18"/>
              </w:rPr>
              <w:t>Забележка:</w:t>
            </w:r>
            <w:r>
              <w:rPr>
                <w:rFonts w:ascii="Times New Roman" w:hAnsi="Times New Roman"/>
                <w:noProof/>
              </w:rPr>
              <w:t xml:space="preserve"> </w:t>
            </w:r>
            <w:r>
              <w:rPr>
                <w:rFonts w:ascii="Times New Roman" w:hAnsi="Times New Roman"/>
                <w:noProof/>
                <w:sz w:val="18"/>
              </w:rPr>
              <w:t>Всяка лента представлява процентното отношение на оценките с добър или подобряващ се статус.</w:t>
            </w:r>
          </w:p>
        </w:tc>
      </w:tr>
    </w:tbl>
    <w:p>
      <w:pPr>
        <w:spacing w:after="240"/>
        <w:jc w:val="both"/>
        <w:rPr>
          <w:rFonts w:ascii="Times New Roman" w:hAnsi="Times New Roman" w:cs="Times New Roman"/>
          <w:noProof/>
          <w:sz w:val="24"/>
          <w:szCs w:val="24"/>
        </w:rPr>
      </w:pPr>
    </w:p>
    <w:p>
      <w:pPr>
        <w:spacing w:after="240"/>
        <w:jc w:val="both"/>
        <w:rPr>
          <w:rFonts w:ascii="Times New Roman" w:hAnsi="Times New Roman" w:cs="Times New Roman"/>
          <w:noProof/>
          <w:sz w:val="24"/>
          <w:szCs w:val="24"/>
        </w:rPr>
      </w:pPr>
      <w:r>
        <w:rPr>
          <w:rFonts w:ascii="Times New Roman" w:hAnsi="Times New Roman"/>
          <w:noProof/>
          <w:sz w:val="24"/>
          <w:szCs w:val="24"/>
        </w:rPr>
        <w:t>Напредъкът към постигането на целите за 2020 г. от базовата 2010 г. е ограничен, с изключение на различните от птици видове, при които целите са почти постигнати. Продължаващото влошаване на статуса на някои местообитания и видове надвишава подобренията. От докладваните през 2019 г. данни е видно, че дори има леко нарастване на дела на видовете и местообитанията с тенденция към влошаване: за птиците от 20 % на 23 %, за видовете, различни от птици, от 22 % на 26 % и за местообитанията от 30 % на 32 %.</w:t>
      </w:r>
    </w:p>
    <w:p>
      <w:pPr>
        <w:spacing w:after="240"/>
        <w:jc w:val="both"/>
        <w:rPr>
          <w:rFonts w:ascii="Times New Roman" w:hAnsi="Times New Roman" w:cs="Times New Roman"/>
          <w:noProof/>
          <w:sz w:val="24"/>
          <w:szCs w:val="24"/>
        </w:rPr>
      </w:pPr>
      <w:r>
        <w:rPr>
          <w:rFonts w:ascii="Times New Roman" w:hAnsi="Times New Roman"/>
          <w:noProof/>
          <w:sz w:val="24"/>
          <w:szCs w:val="24"/>
        </w:rPr>
        <w:t>Целта 34 % от оценките за местообитанията да са с благоприятен или подобряващ се статус до 2020 г., не е постигната (разлика с 12 пр.п.). Въпреки това делът на видовете, различни от птици, които са получили оценка за благоприятен или подобряващ се статус, почти е достигнал подцелта за 2020 г. от 35 % (разлика с 2 пр.п.). Тенденциите при популациите от птици представят разнородна картина, като броят на видовете със незастрашен или подобряващ се статус се е увеличил между 2010 г. и 2015 г., но има и с известно влошаване на статуса (</w:t>
      </w:r>
      <w:r>
        <w:rPr>
          <w:rFonts w:ascii="Times New Roman" w:hAnsi="Times New Roman"/>
          <w:noProof/>
          <w:sz w:val="24"/>
          <w:szCs w:val="24"/>
        </w:rPr>
        <w:noBreakHyphen/>
        <w:t xml:space="preserve">3 пр.п.) от 2015 г. до 2020 г., което означава разлика с над 20 пр.п. от целта 78 %. Следователно цел 1 от стратегията за биологичното разнообразие до 2020 г. не е постигната.  </w:t>
      </w:r>
    </w:p>
    <w:p>
      <w:pPr>
        <w:spacing w:after="240"/>
        <w:jc w:val="both"/>
        <w:rPr>
          <w:rFonts w:ascii="Times New Roman" w:hAnsi="Times New Roman" w:cs="Times New Roman"/>
          <w:b/>
          <w:i/>
          <w:noProof/>
          <w:sz w:val="24"/>
          <w:szCs w:val="24"/>
          <w:u w:val="single"/>
        </w:rPr>
      </w:pPr>
      <w:r>
        <w:rPr>
          <w:rFonts w:ascii="Times New Roman" w:hAnsi="Times New Roman"/>
          <w:b/>
          <w:i/>
          <w:noProof/>
          <w:sz w:val="24"/>
          <w:szCs w:val="24"/>
          <w:u w:val="single"/>
        </w:rPr>
        <w:t>3.2. Подобрения в държавите членки</w:t>
      </w:r>
    </w:p>
    <w:p>
      <w:pPr>
        <w:spacing w:after="240"/>
        <w:jc w:val="both"/>
        <w:rPr>
          <w:rFonts w:ascii="Times New Roman" w:hAnsi="Times New Roman" w:cs="Times New Roman"/>
          <w:noProof/>
          <w:sz w:val="24"/>
          <w:szCs w:val="24"/>
        </w:rPr>
      </w:pPr>
      <w:r>
        <w:rPr>
          <w:rFonts w:ascii="Times New Roman" w:hAnsi="Times New Roman"/>
          <w:noProof/>
          <w:sz w:val="24"/>
          <w:szCs w:val="24"/>
        </w:rPr>
        <w:t xml:space="preserve">Известно е, че „природозащитният статус“ се променя бавно и следователно не е много чувствителен краткосрочен показател за подобрения. Освен това е възможно оценките на равнище ЕС да не разкриват подобрения в отделните държави членки. Ето защо положителните тенденции и тенденциите към стабилизиране на равнище държава (когато тенденцията към влошаване от предходния период на докладване действително се променя към устойчивост в настоящия) са положителен развой, който следва да бъде взет под внимание и анализиран в допълнение към положителните промени в статуса.   </w:t>
      </w:r>
    </w:p>
    <w:p>
      <w:pPr>
        <w:spacing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Средно 6 % от националните/регионалните оценки на </w:t>
      </w:r>
      <w:r>
        <w:rPr>
          <w:rFonts w:ascii="Times New Roman" w:hAnsi="Times New Roman"/>
          <w:noProof/>
          <w:color w:val="000000" w:themeColor="text1"/>
          <w:sz w:val="24"/>
          <w:szCs w:val="24"/>
          <w:u w:val="single"/>
        </w:rPr>
        <w:t>местообитанията</w:t>
      </w:r>
      <w:r>
        <w:rPr>
          <w:rFonts w:ascii="Times New Roman" w:hAnsi="Times New Roman"/>
          <w:noProof/>
          <w:color w:val="000000" w:themeColor="text1"/>
          <w:sz w:val="24"/>
          <w:szCs w:val="24"/>
        </w:rPr>
        <w:t xml:space="preserve"> на държавите членки показват подобряване, най-често при горите и сладководните местообитания (10 % от всички оценки в групата), ерикоидните съобщества и храсталаците (7 %), тресавищата, калищата и мочурищата, и дюнните местообитания (6 %). Пример за подобряващи се крайбрежни местообитания са балтийските крайбрежни ливади във Финландия.</w:t>
      </w:r>
    </w:p>
    <w:p>
      <w:pPr>
        <w:spacing w:after="240"/>
        <w:jc w:val="both"/>
        <w:rPr>
          <w:rFonts w:ascii="Times New Roman" w:hAnsi="Times New Roman" w:cs="Times New Roman"/>
          <w:noProof/>
          <w:sz w:val="24"/>
          <w:szCs w:val="24"/>
          <w:highlight w:val="yellow"/>
        </w:rPr>
      </w:pPr>
      <w:r>
        <w:rPr>
          <w:rFonts w:ascii="Times New Roman" w:hAnsi="Times New Roman"/>
          <w:iCs/>
          <w:noProof/>
          <w:sz w:val="24"/>
          <w:szCs w:val="24"/>
        </w:rPr>
        <w:t xml:space="preserve">По подобен начин средно 6 % от всички </w:t>
      </w:r>
      <w:r>
        <w:rPr>
          <w:rFonts w:ascii="Times New Roman" w:hAnsi="Times New Roman"/>
          <w:noProof/>
          <w:color w:val="000000" w:themeColor="text1"/>
          <w:sz w:val="24"/>
          <w:szCs w:val="24"/>
        </w:rPr>
        <w:t xml:space="preserve">национални/регионални </w:t>
      </w:r>
      <w:r>
        <w:rPr>
          <w:rFonts w:ascii="Times New Roman" w:hAnsi="Times New Roman"/>
          <w:iCs/>
          <w:noProof/>
          <w:sz w:val="24"/>
          <w:szCs w:val="24"/>
        </w:rPr>
        <w:t xml:space="preserve">оценки за </w:t>
      </w:r>
      <w:r>
        <w:rPr>
          <w:rFonts w:ascii="Times New Roman" w:hAnsi="Times New Roman"/>
          <w:iCs/>
          <w:noProof/>
          <w:sz w:val="24"/>
          <w:szCs w:val="24"/>
          <w:u w:val="single"/>
        </w:rPr>
        <w:t>видовете, различни от птиците</w:t>
      </w:r>
      <w:r>
        <w:rPr>
          <w:rFonts w:ascii="Times New Roman" w:hAnsi="Times New Roman"/>
          <w:iCs/>
          <w:noProof/>
          <w:sz w:val="24"/>
          <w:szCs w:val="24"/>
        </w:rPr>
        <w:t>, показват подобряване. Най-голям брой подобрения има при бозайниците (9 % от всички регистрирани оценки на бозайниците показват подобряване), следвани от рибите (8 %) и васкуларните растения (5 %). Примери при бозайниците са европейският бобър (</w:t>
      </w:r>
      <w:r>
        <w:rPr>
          <w:rFonts w:ascii="Times New Roman" w:hAnsi="Times New Roman"/>
          <w:i/>
          <w:iCs/>
          <w:noProof/>
          <w:sz w:val="24"/>
          <w:szCs w:val="24"/>
        </w:rPr>
        <w:t>Castor fiber</w:t>
      </w:r>
      <w:r>
        <w:rPr>
          <w:rFonts w:ascii="Times New Roman" w:hAnsi="Times New Roman"/>
          <w:iCs/>
          <w:noProof/>
          <w:sz w:val="24"/>
          <w:szCs w:val="24"/>
        </w:rPr>
        <w:t>), сивият тюлен (</w:t>
      </w:r>
      <w:r>
        <w:rPr>
          <w:rFonts w:ascii="Times New Roman" w:hAnsi="Times New Roman"/>
          <w:i/>
          <w:iCs/>
          <w:noProof/>
          <w:sz w:val="24"/>
          <w:szCs w:val="24"/>
        </w:rPr>
        <w:t>Halichoerus grypus</w:t>
      </w:r>
      <w:r>
        <w:rPr>
          <w:rFonts w:ascii="Times New Roman" w:hAnsi="Times New Roman"/>
          <w:iCs/>
          <w:noProof/>
          <w:sz w:val="24"/>
          <w:szCs w:val="24"/>
        </w:rPr>
        <w:t>)</w:t>
      </w:r>
      <w:r>
        <w:rPr>
          <w:rFonts w:ascii="Times New Roman" w:hAnsi="Times New Roman"/>
          <w:i/>
          <w:iCs/>
          <w:noProof/>
          <w:sz w:val="24"/>
          <w:szCs w:val="24"/>
        </w:rPr>
        <w:t xml:space="preserve"> </w:t>
      </w:r>
      <w:r>
        <w:rPr>
          <w:rFonts w:ascii="Times New Roman" w:hAnsi="Times New Roman"/>
          <w:iCs/>
          <w:noProof/>
          <w:sz w:val="24"/>
          <w:szCs w:val="24"/>
        </w:rPr>
        <w:t>и обикновеният тюлен (</w:t>
      </w:r>
      <w:r>
        <w:rPr>
          <w:rFonts w:ascii="Times New Roman" w:hAnsi="Times New Roman"/>
          <w:i/>
          <w:iCs/>
          <w:noProof/>
          <w:sz w:val="24"/>
          <w:szCs w:val="24"/>
        </w:rPr>
        <w:t>Phoca vitulina</w:t>
      </w:r>
      <w:r>
        <w:rPr>
          <w:rFonts w:ascii="Times New Roman" w:hAnsi="Times New Roman"/>
          <w:iCs/>
          <w:noProof/>
          <w:sz w:val="24"/>
          <w:szCs w:val="24"/>
        </w:rPr>
        <w:t>).</w:t>
      </w:r>
    </w:p>
    <w:p>
      <w:pPr>
        <w:kinsoku w:val="0"/>
        <w:overflowPunct w:val="0"/>
        <w:spacing w:after="240"/>
        <w:jc w:val="both"/>
        <w:textAlignment w:val="baseline"/>
        <w:rPr>
          <w:rFonts w:ascii="Times New Roman" w:eastAsia="ヒラギノ角ゴ Pro W3" w:hAnsi="Times New Roman" w:cs="Times New Roman"/>
          <w:iCs/>
          <w:noProof/>
          <w:sz w:val="24"/>
          <w:szCs w:val="24"/>
        </w:rPr>
      </w:pPr>
      <w:r>
        <w:rPr>
          <w:rFonts w:ascii="Times New Roman" w:hAnsi="Times New Roman"/>
          <w:iCs/>
          <w:noProof/>
          <w:sz w:val="24"/>
          <w:szCs w:val="24"/>
        </w:rPr>
        <w:t xml:space="preserve">При </w:t>
      </w:r>
      <w:r>
        <w:rPr>
          <w:rFonts w:ascii="Times New Roman" w:hAnsi="Times New Roman"/>
          <w:iCs/>
          <w:noProof/>
          <w:sz w:val="24"/>
          <w:szCs w:val="24"/>
          <w:u w:val="single"/>
        </w:rPr>
        <w:t>птиците</w:t>
      </w:r>
      <w:r>
        <w:rPr>
          <w:rFonts w:ascii="Times New Roman" w:hAnsi="Times New Roman"/>
          <w:iCs/>
          <w:noProof/>
          <w:sz w:val="24"/>
          <w:szCs w:val="24"/>
        </w:rPr>
        <w:t xml:space="preserve"> подобряването на национално равнище се определя по различен начин, тъй като няма национална оценка на природозащитния статус и тенденциите при статуса. Ето защо положителна краткосрочна тенденция при популацията или стабилизиране след отрицателна дългосрочна тенденция в предишния национален доклад се считат за подобряване. Подобрения според гореспоменатите критерии показват общо 2 148 доклада на държавите членки. Като цяло това съответства на 397 (под)вида птици, при които има подобрения най-малко в една държава членка поне в един докладван сезон. Около 44 % от всички птици с тенденции към подобряване са мигриращите водолюбиви птици</w:t>
      </w:r>
      <w:r>
        <w:rPr>
          <w:rStyle w:val="FootnoteReference"/>
          <w:rFonts w:ascii="Times New Roman" w:eastAsia="ヒラギノ角ゴ Pro W3" w:hAnsi="Times New Roman" w:cs="Times New Roman"/>
          <w:iCs/>
          <w:noProof/>
          <w:sz w:val="24"/>
          <w:szCs w:val="24"/>
        </w:rPr>
        <w:footnoteReference w:id="15"/>
      </w:r>
      <w:r>
        <w:rPr>
          <w:rFonts w:ascii="Times New Roman" w:hAnsi="Times New Roman"/>
          <w:iCs/>
          <w:noProof/>
          <w:sz w:val="24"/>
          <w:szCs w:val="24"/>
        </w:rPr>
        <w:t xml:space="preserve">. Голям брой от тези видове са категоризирани също и като морски видове съгласно Рамковата директива за морска стратегия на ЕС и представляват 33 % от всички подобрения. Видовете птици, живеещи върху земеделски земи, и видовете горски птици представляват по около 9 %. Примери за подобряващи се видове птици са </w:t>
      </w:r>
      <w:r>
        <w:rPr>
          <w:rFonts w:ascii="Times New Roman" w:hAnsi="Times New Roman"/>
          <w:noProof/>
          <w:sz w:val="24"/>
          <w:szCs w:val="24"/>
        </w:rPr>
        <w:t>морският орел (</w:t>
      </w:r>
      <w:r>
        <w:rPr>
          <w:rFonts w:ascii="Times New Roman" w:hAnsi="Times New Roman"/>
          <w:i/>
          <w:noProof/>
          <w:sz w:val="24"/>
          <w:szCs w:val="24"/>
        </w:rPr>
        <w:t>Haliaeetus albicilla</w:t>
      </w:r>
      <w:r>
        <w:rPr>
          <w:rFonts w:ascii="Times New Roman" w:hAnsi="Times New Roman"/>
          <w:noProof/>
          <w:sz w:val="24"/>
          <w:szCs w:val="24"/>
        </w:rPr>
        <w:t>), сивият жерав (</w:t>
      </w:r>
      <w:r>
        <w:rPr>
          <w:rFonts w:ascii="Times New Roman" w:hAnsi="Times New Roman"/>
          <w:i/>
          <w:noProof/>
          <w:sz w:val="24"/>
          <w:szCs w:val="24"/>
        </w:rPr>
        <w:t>Grus grus</w:t>
      </w:r>
      <w:r>
        <w:rPr>
          <w:rFonts w:ascii="Times New Roman" w:hAnsi="Times New Roman"/>
          <w:noProof/>
          <w:sz w:val="24"/>
          <w:szCs w:val="24"/>
        </w:rPr>
        <w:t>), червената каня (</w:t>
      </w:r>
      <w:r>
        <w:rPr>
          <w:rFonts w:ascii="Times New Roman" w:hAnsi="Times New Roman"/>
          <w:i/>
          <w:noProof/>
          <w:sz w:val="24"/>
          <w:szCs w:val="24"/>
        </w:rPr>
        <w:t>Milvus milvus)</w:t>
      </w:r>
      <w:r>
        <w:rPr>
          <w:rFonts w:ascii="Times New Roman" w:hAnsi="Times New Roman"/>
          <w:noProof/>
          <w:sz w:val="24"/>
          <w:szCs w:val="24"/>
        </w:rPr>
        <w:t xml:space="preserve"> и голямата бяла чапла (</w:t>
      </w:r>
      <w:r>
        <w:rPr>
          <w:rFonts w:ascii="Times New Roman" w:hAnsi="Times New Roman"/>
          <w:i/>
          <w:noProof/>
          <w:sz w:val="24"/>
          <w:szCs w:val="24"/>
        </w:rPr>
        <w:t>Ardea alba</w:t>
      </w:r>
      <w:r>
        <w:rPr>
          <w:rFonts w:ascii="Times New Roman" w:hAnsi="Times New Roman"/>
          <w:noProof/>
          <w:sz w:val="24"/>
          <w:szCs w:val="24"/>
        </w:rPr>
        <w:t>).</w:t>
      </w:r>
    </w:p>
    <w:p>
      <w:pPr>
        <w:spacing w:after="240"/>
        <w:jc w:val="both"/>
        <w:rPr>
          <w:rFonts w:ascii="Times New Roman" w:hAnsi="Times New Roman" w:cs="Times New Roman"/>
          <w:b/>
          <w:i/>
          <w:noProof/>
          <w:sz w:val="24"/>
          <w:szCs w:val="24"/>
          <w:u w:val="single"/>
        </w:rPr>
      </w:pPr>
      <w:r>
        <w:rPr>
          <w:rFonts w:ascii="Times New Roman" w:hAnsi="Times New Roman"/>
          <w:b/>
          <w:i/>
          <w:noProof/>
          <w:sz w:val="24"/>
          <w:szCs w:val="24"/>
          <w:u w:val="single"/>
        </w:rPr>
        <w:t>3.3. Напредък по отношение на качеството на данните</w:t>
      </w:r>
    </w:p>
    <w:p>
      <w:pPr>
        <w:spacing w:after="240"/>
        <w:jc w:val="both"/>
        <w:rPr>
          <w:rFonts w:ascii="Times New Roman" w:hAnsi="Times New Roman" w:cs="Times New Roman"/>
          <w:noProof/>
          <w:sz w:val="24"/>
          <w:szCs w:val="24"/>
        </w:rPr>
      </w:pPr>
      <w:r>
        <w:rPr>
          <w:rFonts w:ascii="Times New Roman" w:hAnsi="Times New Roman"/>
          <w:noProof/>
          <w:sz w:val="24"/>
          <w:szCs w:val="24"/>
        </w:rPr>
        <w:t>За оценяване на напредъка по отношение на природозащитния статус е необходимо всички държави членки да имат подходящи системи за мониторинг. В много случаи обаче докладваната информация е получена от частични проучвания, проведени за други цели. В други случаи държавите членки не разполагат с подходящи данни и разчитат на експертно мнение. Над 40 % от докладваната информация относно местообитанията и видовете от Директивата за местообитанията е получена от частични проучвания, а над 20 % се основава единствено на експертна оценка. Над 30 % от информацията относно данните за птиците е от частични проучвания, а над 15 % се основава на експертна оценка. От настоящия кръг на докладване е видно, че все още съществуват ограничения поради недостатъчни или непълни данни (макар и в много различна степен между държавите членки и в по-малък мащаб от 2015 г.). Независимо от това представените тук данни са важен етап в оценяването на състоянието на природата в ЕС и осигуряват стабилна основа за подобряване на докладването, оценката и изпълнението, за да може да се постигнат целите на стратегията на ЕС за биологичното разнообразие за 2030 г.</w:t>
      </w:r>
    </w:p>
    <w:p>
      <w:pPr>
        <w:pStyle w:val="Heading1"/>
        <w:numPr>
          <w:ilvl w:val="0"/>
          <w:numId w:val="10"/>
        </w:numPr>
        <w:spacing w:after="240"/>
        <w:ind w:left="714" w:hanging="357"/>
        <w:rPr>
          <w:rFonts w:eastAsia="Times New Roman"/>
          <w:noProof/>
          <w:color w:val="auto"/>
        </w:rPr>
      </w:pPr>
      <w:r>
        <w:rPr>
          <w:noProof/>
          <w:color w:val="auto"/>
        </w:rPr>
        <w:t>Натиск и ответни мерки</w:t>
      </w:r>
    </w:p>
    <w:p>
      <w:pPr>
        <w:spacing w:after="240" w:line="240" w:lineRule="auto"/>
        <w:jc w:val="both"/>
        <w:rPr>
          <w:rFonts w:ascii="Times New Roman" w:eastAsia="Times New Roman" w:hAnsi="Times New Roman" w:cs="Times New Roman"/>
          <w:b/>
          <w:i/>
          <w:noProof/>
          <w:sz w:val="24"/>
          <w:szCs w:val="24"/>
          <w:u w:val="single"/>
        </w:rPr>
      </w:pPr>
      <w:r>
        <w:rPr>
          <w:rFonts w:ascii="Times New Roman" w:hAnsi="Times New Roman"/>
          <w:b/>
          <w:i/>
          <w:noProof/>
          <w:sz w:val="24"/>
          <w:szCs w:val="24"/>
          <w:u w:val="single"/>
        </w:rPr>
        <w:t>4.1. Натиск</w:t>
      </w:r>
    </w:p>
    <w:p>
      <w:pPr>
        <w:spacing w:after="240"/>
        <w:jc w:val="both"/>
        <w:rPr>
          <w:rFonts w:ascii="Times New Roman" w:hAnsi="Times New Roman" w:cs="Times New Roman"/>
          <w:noProof/>
          <w:sz w:val="24"/>
          <w:szCs w:val="24"/>
        </w:rPr>
      </w:pPr>
      <w:r>
        <w:rPr>
          <w:rFonts w:ascii="Times New Roman" w:hAnsi="Times New Roman"/>
          <w:noProof/>
          <w:sz w:val="24"/>
          <w:szCs w:val="24"/>
        </w:rPr>
        <w:t xml:space="preserve">Европа е един от най-гъсто населените райони в света. В продължение на векове човешката дейност е оформяла нейния ландшафт и до голяма степен е допринесла за нейното биологично разнообразие, напр. полуестествени местообитания, като обширни сенокосни ливади и полуестествени сухи тревни съобщества. Човешката дейност обаче е довела също и до влошаване и намаляване на голям брой местни видове и типове местообитания — особено (и много по-бързо) през последните 100 години. </w:t>
      </w:r>
    </w:p>
    <w:p>
      <w:pPr>
        <w:spacing w:after="240"/>
        <w:jc w:val="both"/>
        <w:rPr>
          <w:rFonts w:ascii="Times New Roman" w:hAnsi="Times New Roman" w:cs="Times New Roman"/>
          <w:noProof/>
          <w:sz w:val="24"/>
          <w:szCs w:val="24"/>
        </w:rPr>
      </w:pPr>
      <w:r>
        <w:rPr>
          <w:rFonts w:ascii="Times New Roman" w:hAnsi="Times New Roman"/>
          <w:noProof/>
          <w:sz w:val="24"/>
          <w:szCs w:val="24"/>
        </w:rPr>
        <w:t>Държавите членки докладваха за основните причини за загубата на видове и за увреждането на местообитания за всеки отделен вид и местообитание. Като цяло те предоставиха 67 000 записа на данни, използвайки списък с 203 отделни вида натиск от 15 категории (от „A—Земеделие“ до „Х—Други“).</w:t>
      </w:r>
    </w:p>
    <w:p>
      <w:pPr>
        <w:spacing w:after="240"/>
        <w:jc w:val="both"/>
        <w:rPr>
          <w:rFonts w:ascii="Times New Roman" w:hAnsi="Times New Roman" w:cs="Times New Roman"/>
          <w:noProof/>
          <w:sz w:val="24"/>
          <w:szCs w:val="24"/>
        </w:rPr>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31"/>
      </w:tblGrid>
      <w:tr>
        <w:tc>
          <w:tcPr>
            <w:tcW w:w="10031" w:type="dxa"/>
          </w:tcPr>
          <w:p>
            <w:pPr>
              <w:spacing w:after="120"/>
              <w:jc w:val="both"/>
              <w:rPr>
                <w:rFonts w:ascii="Times New Roman" w:hAnsi="Times New Roman" w:cs="Times New Roman"/>
                <w:b/>
                <w:noProof/>
                <w:sz w:val="20"/>
                <w:szCs w:val="20"/>
              </w:rPr>
            </w:pPr>
            <w:r>
              <w:rPr>
                <w:rFonts w:ascii="Times New Roman" w:hAnsi="Times New Roman"/>
                <w:b/>
                <w:noProof/>
                <w:sz w:val="20"/>
                <w:szCs w:val="20"/>
              </w:rPr>
              <w:t>Фигура 9: Разпределение на категориите натиск от ниво 1 между местообитанията, видовете, различни от птици, и птиците</w:t>
            </w:r>
            <w:r>
              <w:rPr>
                <w:rFonts w:ascii="Times New Roman" w:hAnsi="Times New Roman"/>
                <w:noProof/>
                <w:sz w:val="20"/>
                <w:szCs w:val="20"/>
              </w:rPr>
              <w:t xml:space="preserve"> </w:t>
            </w:r>
          </w:p>
        </w:tc>
      </w:tr>
      <w:tr>
        <w:tc>
          <w:tcPr>
            <w:tcW w:w="10031" w:type="dxa"/>
          </w:tcPr>
          <w:p>
            <w:pPr>
              <w:spacing w:before="120" w:after="120"/>
              <w:ind w:left="33"/>
              <w:jc w:val="both"/>
              <w:rPr>
                <w:rFonts w:ascii="Times New Roman" w:hAnsi="Times New Roman" w:cs="Times New Roman"/>
                <w:noProof/>
              </w:rPr>
            </w:pPr>
            <w:r>
              <w:rPr>
                <w:rFonts w:ascii="Times New Roman" w:hAnsi="Times New Roman"/>
                <w:noProof/>
                <w:lang w:val="en-GB" w:eastAsia="en-GB"/>
              </w:rPr>
              <w:drawing>
                <wp:inline distT="0" distB="0" distL="0" distR="0">
                  <wp:extent cx="5745193" cy="4533265"/>
                  <wp:effectExtent l="0" t="0" r="8255" b="635"/>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Fig 4.1_pressure_matrix.png"/>
                          <pic:cNvPicPr/>
                        </pic:nvPicPr>
                        <pic:blipFill rotWithShape="1">
                          <a:blip r:embed="rId36" cstate="screen">
                            <a:extLst>
                              <a:ext uri="{28A0092B-C50C-407E-A947-70E740481C1C}">
                                <a14:useLocalDpi xmlns:a14="http://schemas.microsoft.com/office/drawing/2010/main"/>
                              </a:ext>
                            </a:extLst>
                          </a:blip>
                          <a:srcRect b="11525"/>
                          <a:stretch/>
                        </pic:blipFill>
                        <pic:spPr bwMode="auto">
                          <a:xfrm>
                            <a:off x="0" y="0"/>
                            <a:ext cx="5772771" cy="4555025"/>
                          </a:xfrm>
                          <a:prstGeom prst="rect">
                            <a:avLst/>
                          </a:prstGeom>
                          <a:ln>
                            <a:noFill/>
                          </a:ln>
                          <a:extLst>
                            <a:ext uri="{53640926-AAD7-44D8-BBD7-CCE9431645EC}">
                              <a14:shadowObscured xmlns:a14="http://schemas.microsoft.com/office/drawing/2010/main"/>
                            </a:ext>
                          </a:extLst>
                        </pic:spPr>
                      </pic:pic>
                    </a:graphicData>
                  </a:graphic>
                </wp:inline>
              </w:drawing>
            </w:r>
          </w:p>
        </w:tc>
      </w:tr>
      <w:tr>
        <w:tc>
          <w:tcPr>
            <w:tcW w:w="10031" w:type="dxa"/>
          </w:tcPr>
          <w:p>
            <w:pPr>
              <w:ind w:left="360"/>
              <w:jc w:val="both"/>
              <w:rPr>
                <w:rFonts w:ascii="Times New Roman" w:hAnsi="Times New Roman" w:cs="Times New Roman"/>
                <w:noProof/>
              </w:rPr>
            </w:pPr>
          </w:p>
        </w:tc>
      </w:tr>
    </w:tbl>
    <w:p>
      <w:pPr>
        <w:spacing w:after="240"/>
        <w:jc w:val="both"/>
        <w:rPr>
          <w:rFonts w:ascii="Times New Roman" w:hAnsi="Times New Roman" w:cs="Times New Roman"/>
          <w:noProof/>
          <w:sz w:val="24"/>
          <w:szCs w:val="24"/>
        </w:rPr>
      </w:pPr>
      <w:r>
        <w:rPr>
          <w:rFonts w:ascii="Times New Roman" w:hAnsi="Times New Roman"/>
          <w:iCs/>
          <w:noProof/>
          <w:sz w:val="24"/>
          <w:szCs w:val="24"/>
        </w:rPr>
        <w:t xml:space="preserve">Най-често докладваният натиск както за местообитанията, така и за видовете произтича от </w:t>
      </w:r>
      <w:r>
        <w:rPr>
          <w:rFonts w:ascii="Times New Roman" w:hAnsi="Times New Roman"/>
          <w:iCs/>
          <w:noProof/>
          <w:sz w:val="24"/>
          <w:szCs w:val="24"/>
          <w:u w:val="single"/>
        </w:rPr>
        <w:t>селското стопанство</w:t>
      </w:r>
      <w:r>
        <w:rPr>
          <w:rFonts w:ascii="Times New Roman" w:hAnsi="Times New Roman"/>
          <w:iCs/>
          <w:noProof/>
          <w:sz w:val="24"/>
          <w:szCs w:val="24"/>
        </w:rPr>
        <w:t xml:space="preserve">, което отразява относителния мащаб на земеползването за земеделски цели и промените в земеделските практики (интензификация и изоставяне на екстензивното земеделие). Управлението на екстензивното земеделие създава и запазва полуестествени местообитания с разнообразна фауна и флора. От 1950 г. насам обаче по-интензивното и специализирано земеделие допринася все повече за продължаващата загуба на биологично разнообразие. </w:t>
      </w:r>
      <w:r>
        <w:rPr>
          <w:rFonts w:ascii="Times New Roman" w:hAnsi="Times New Roman"/>
          <w:noProof/>
          <w:sz w:val="24"/>
          <w:szCs w:val="24"/>
        </w:rPr>
        <w:t>Най-силно засегнати са тревните съобщества, сладководните местообитания, ерикоидните съобщества и храсталаците, както и тресавищата, калищата и мочурищата. Особено застрашени са полуестествените местообитания, които зависят от селското стопанство</w:t>
      </w:r>
      <w:r>
        <w:rPr>
          <w:rStyle w:val="FootnoteReference"/>
          <w:rFonts w:ascii="Times New Roman" w:hAnsi="Times New Roman" w:cs="Times New Roman"/>
          <w:noProof/>
          <w:sz w:val="24"/>
          <w:szCs w:val="24"/>
        </w:rPr>
        <w:footnoteReference w:id="16"/>
      </w:r>
      <w:r>
        <w:rPr>
          <w:rFonts w:ascii="Times New Roman" w:hAnsi="Times New Roman"/>
          <w:noProof/>
          <w:sz w:val="24"/>
          <w:szCs w:val="24"/>
        </w:rPr>
        <w:t>, като тревните съобщества, и техният природозащитен статус е значително по-лош спрямо другите типове местообитания, които не зависят от земеделието (45 % са получили оценка „лош“ спрямо 31 % за другите местообитания). В сравнение с 2015 г. оценките на земеделските местообитания показват цялостно влошаване на природозащитния статус: добрият статус е намалял от 14 % на 12 %, а лошият статус се е увеличил от 39 % на 45 %. Само 8 % от земеделските местообитания имат тенденция към подобряване, докато 45 % клонят към влошаване. Засегнати са и много видове птици, влечуги, мекотели, земноводни, членестоноги и васкуларни растения и биологичното разнообразие в земеделските земи непрекъснато намалява.</w:t>
      </w:r>
    </w:p>
    <w:p>
      <w:pPr>
        <w:jc w:val="both"/>
        <w:rPr>
          <w:rFonts w:ascii="Times New Roman" w:hAnsi="Times New Roman" w:cs="Times New Roman"/>
          <w:noProof/>
          <w:sz w:val="24"/>
          <w:szCs w:val="24"/>
          <w:u w:val="single"/>
        </w:rPr>
      </w:pPr>
      <w:r>
        <w:rPr>
          <w:rFonts w:ascii="Times New Roman" w:hAnsi="Times New Roman"/>
          <w:noProof/>
          <w:sz w:val="24"/>
          <w:szCs w:val="24"/>
        </w:rPr>
        <w:t xml:space="preserve">Като цяло във всички категории </w:t>
      </w:r>
      <w:r>
        <w:rPr>
          <w:rFonts w:ascii="Times New Roman" w:hAnsi="Times New Roman"/>
          <w:noProof/>
          <w:sz w:val="24"/>
          <w:szCs w:val="24"/>
          <w:u w:val="single"/>
        </w:rPr>
        <w:t>изменението на хидрологичните режими</w:t>
      </w:r>
      <w:r>
        <w:rPr>
          <w:rFonts w:ascii="Times New Roman" w:hAnsi="Times New Roman"/>
          <w:noProof/>
          <w:sz w:val="24"/>
          <w:szCs w:val="24"/>
        </w:rPr>
        <w:t xml:space="preserve"> </w:t>
      </w:r>
      <w:r>
        <w:rPr>
          <w:rFonts w:ascii="Times New Roman" w:hAnsi="Times New Roman"/>
          <w:iCs/>
          <w:noProof/>
          <w:sz w:val="24"/>
          <w:szCs w:val="24"/>
        </w:rPr>
        <w:t xml:space="preserve">(включително многофункционалните промени в категория „К—Изменение на водните режими“ и хидрологичните промени, приписани на други категории, напр. „A—Селско стопанство)“ </w:t>
      </w:r>
      <w:r>
        <w:rPr>
          <w:rFonts w:ascii="Times New Roman" w:hAnsi="Times New Roman"/>
          <w:noProof/>
          <w:sz w:val="24"/>
          <w:szCs w:val="24"/>
        </w:rPr>
        <w:t xml:space="preserve">е вторият най-често докладван натиск, следван от </w:t>
      </w:r>
      <w:r>
        <w:rPr>
          <w:rFonts w:ascii="Times New Roman" w:hAnsi="Times New Roman"/>
          <w:noProof/>
          <w:sz w:val="24"/>
          <w:szCs w:val="24"/>
          <w:u w:val="single"/>
        </w:rPr>
        <w:t>урбанизацията</w:t>
      </w:r>
      <w:r>
        <w:rPr>
          <w:rFonts w:ascii="Times New Roman" w:hAnsi="Times New Roman"/>
          <w:noProof/>
          <w:sz w:val="24"/>
          <w:szCs w:val="24"/>
        </w:rPr>
        <w:t xml:space="preserve"> и </w:t>
      </w:r>
      <w:r>
        <w:rPr>
          <w:rFonts w:ascii="Times New Roman" w:hAnsi="Times New Roman"/>
          <w:noProof/>
          <w:sz w:val="24"/>
          <w:szCs w:val="24"/>
          <w:u w:val="single"/>
        </w:rPr>
        <w:t>замърсяването</w:t>
      </w:r>
      <w:r>
        <w:rPr>
          <w:rFonts w:ascii="Times New Roman" w:hAnsi="Times New Roman"/>
          <w:noProof/>
          <w:sz w:val="24"/>
          <w:szCs w:val="24"/>
        </w:rPr>
        <w:t>:</w:t>
      </w:r>
    </w:p>
    <w:p>
      <w:pPr>
        <w:pStyle w:val="ListParagraph"/>
        <w:numPr>
          <w:ilvl w:val="0"/>
          <w:numId w:val="1"/>
        </w:numPr>
        <w:spacing w:after="120"/>
        <w:ind w:left="681" w:hanging="397"/>
        <w:contextualSpacing w:val="0"/>
        <w:jc w:val="both"/>
        <w:rPr>
          <w:rFonts w:ascii="Times New Roman" w:hAnsi="Times New Roman" w:cs="Times New Roman"/>
          <w:noProof/>
          <w:sz w:val="24"/>
          <w:szCs w:val="24"/>
        </w:rPr>
      </w:pPr>
      <w:r>
        <w:rPr>
          <w:rFonts w:ascii="Times New Roman" w:hAnsi="Times New Roman"/>
          <w:noProof/>
          <w:sz w:val="24"/>
          <w:szCs w:val="24"/>
        </w:rPr>
        <w:t xml:space="preserve">натискът, свързан с </w:t>
      </w:r>
      <w:r>
        <w:rPr>
          <w:rFonts w:ascii="Times New Roman" w:hAnsi="Times New Roman"/>
          <w:noProof/>
          <w:sz w:val="24"/>
          <w:szCs w:val="24"/>
          <w:u w:val="single"/>
        </w:rPr>
        <w:t>измененията на водния режим</w:t>
      </w:r>
      <w:r>
        <w:rPr>
          <w:rFonts w:ascii="Times New Roman" w:hAnsi="Times New Roman"/>
          <w:noProof/>
          <w:sz w:val="24"/>
          <w:szCs w:val="24"/>
        </w:rPr>
        <w:t>, произтича от множество източници. Например дренажните дейности в селското стопанство и водноелектрическите инсталации съставляват 14 % и 13 % от всички видове натиск, свързани с хидрологията. Не е изненадващо, че натискът в тази категория има особено значение за сладководните местообитания и видове риби, но също така и за богатите на въглерод екосистеми, като тресавищата, калищата и мочурищата;</w:t>
      </w:r>
    </w:p>
    <w:p>
      <w:pPr>
        <w:pStyle w:val="ListParagraph"/>
        <w:numPr>
          <w:ilvl w:val="0"/>
          <w:numId w:val="1"/>
        </w:numPr>
        <w:spacing w:after="120"/>
        <w:ind w:left="681" w:hanging="397"/>
        <w:contextualSpacing w:val="0"/>
        <w:jc w:val="both"/>
        <w:rPr>
          <w:rFonts w:ascii="Times New Roman" w:hAnsi="Times New Roman" w:cs="Times New Roman"/>
          <w:noProof/>
          <w:sz w:val="24"/>
          <w:szCs w:val="24"/>
        </w:rPr>
      </w:pPr>
      <w:r>
        <w:rPr>
          <w:rFonts w:ascii="Times New Roman" w:hAnsi="Times New Roman"/>
          <w:noProof/>
          <w:sz w:val="24"/>
          <w:szCs w:val="24"/>
        </w:rPr>
        <w:t xml:space="preserve">основните видове натиск, свързани с </w:t>
      </w:r>
      <w:r>
        <w:rPr>
          <w:rFonts w:ascii="Times New Roman" w:hAnsi="Times New Roman"/>
          <w:noProof/>
          <w:sz w:val="24"/>
          <w:szCs w:val="24"/>
          <w:u w:val="single"/>
        </w:rPr>
        <w:t>урбанизацията</w:t>
      </w:r>
      <w:r>
        <w:rPr>
          <w:rFonts w:ascii="Times New Roman" w:hAnsi="Times New Roman"/>
          <w:noProof/>
          <w:sz w:val="24"/>
          <w:szCs w:val="24"/>
        </w:rPr>
        <w:t>, включват спорт, туризъм и развлекателни дейности и засягат предимно морските/крайбрежните местообитания. Преобразуването на земи, намиращи се в естествено или полуестествено състояние, в жилищни зони, селища или зони за отдих засяга предимно тревните местообитания и горите; и</w:t>
      </w:r>
    </w:p>
    <w:p>
      <w:pPr>
        <w:pStyle w:val="ListParagraph"/>
        <w:numPr>
          <w:ilvl w:val="0"/>
          <w:numId w:val="1"/>
        </w:numPr>
        <w:spacing w:after="240"/>
        <w:ind w:left="681" w:hanging="397"/>
        <w:contextualSpacing w:val="0"/>
        <w:jc w:val="both"/>
        <w:rPr>
          <w:rFonts w:ascii="Times New Roman" w:hAnsi="Times New Roman" w:cs="Times New Roman"/>
          <w:noProof/>
          <w:sz w:val="24"/>
          <w:szCs w:val="24"/>
        </w:rPr>
      </w:pPr>
      <w:r>
        <w:rPr>
          <w:rFonts w:ascii="Times New Roman" w:hAnsi="Times New Roman"/>
          <w:noProof/>
          <w:sz w:val="24"/>
          <w:szCs w:val="24"/>
          <w:u w:val="single"/>
        </w:rPr>
        <w:t>замърсяването</w:t>
      </w:r>
      <w:r>
        <w:rPr>
          <w:rFonts w:ascii="Times New Roman" w:hAnsi="Times New Roman"/>
          <w:noProof/>
          <w:sz w:val="24"/>
          <w:szCs w:val="24"/>
        </w:rPr>
        <w:t xml:space="preserve"> е основен натиск за много местообитания и видове, а селскостопанските дейности представляват почти половината (48 %) от натиска, свързан със замърсяването, следван от замърсяването от смесени източници (28 %, както е докладвано в категория „</w:t>
      </w:r>
      <w:r>
        <w:rPr>
          <w:rFonts w:ascii="Times New Roman" w:hAnsi="Times New Roman" w:cs="Times New Roman"/>
          <w:noProof/>
          <w:sz w:val="24"/>
          <w:szCs w:val="24"/>
        </w:rPr>
        <w:t>J</w:t>
      </w:r>
      <w:r>
        <w:rPr>
          <w:rFonts w:ascii="Times New Roman" w:hAnsi="Times New Roman"/>
          <w:noProof/>
          <w:sz w:val="24"/>
          <w:szCs w:val="24"/>
        </w:rPr>
        <w:t xml:space="preserve"> —Замърсяване“) и урбанизацията (21 %).</w:t>
      </w:r>
    </w:p>
    <w:p>
      <w:pPr>
        <w:spacing w:after="120"/>
        <w:jc w:val="both"/>
        <w:rPr>
          <w:rFonts w:ascii="Times New Roman" w:hAnsi="Times New Roman" w:cs="Times New Roman"/>
          <w:noProof/>
          <w:sz w:val="24"/>
          <w:szCs w:val="24"/>
        </w:rPr>
      </w:pPr>
      <w:r>
        <w:rPr>
          <w:rFonts w:ascii="Times New Roman" w:hAnsi="Times New Roman"/>
          <w:noProof/>
          <w:sz w:val="24"/>
          <w:szCs w:val="24"/>
        </w:rPr>
        <w:t>Относителното въздействие на категориите натиск се различава между групите местообитания и видове:</w:t>
      </w:r>
    </w:p>
    <w:p>
      <w:pPr>
        <w:pStyle w:val="ListParagraph"/>
        <w:numPr>
          <w:ilvl w:val="0"/>
          <w:numId w:val="1"/>
        </w:numPr>
        <w:spacing w:after="120"/>
        <w:ind w:left="709"/>
        <w:contextualSpacing w:val="0"/>
        <w:jc w:val="both"/>
        <w:rPr>
          <w:rFonts w:ascii="Times New Roman" w:hAnsi="Times New Roman" w:cs="Times New Roman"/>
          <w:noProof/>
          <w:sz w:val="24"/>
          <w:szCs w:val="24"/>
        </w:rPr>
      </w:pPr>
      <w:r>
        <w:rPr>
          <w:rFonts w:ascii="Times New Roman" w:hAnsi="Times New Roman"/>
          <w:noProof/>
          <w:sz w:val="24"/>
          <w:szCs w:val="24"/>
          <w:u w:val="single"/>
        </w:rPr>
        <w:t>горскостопанските дейности</w:t>
      </w:r>
      <w:r>
        <w:rPr>
          <w:rFonts w:ascii="Times New Roman" w:hAnsi="Times New Roman"/>
          <w:noProof/>
          <w:sz w:val="24"/>
          <w:szCs w:val="24"/>
        </w:rPr>
        <w:t xml:space="preserve"> са втората по големина категория натиск, докладвана за видовете, която засяга по-специално членестоногите, бозайниците и неваскуларните растения. Докладвано е, че голям брой зависими от горите видове са засегнати от </w:t>
      </w:r>
      <w:r>
        <w:rPr>
          <w:rFonts w:ascii="Times New Roman" w:hAnsi="Times New Roman"/>
          <w:noProof/>
          <w:sz w:val="24"/>
          <w:szCs w:val="24"/>
          <w:u w:val="single"/>
        </w:rPr>
        <w:t>отстраняването на мъртви, умиращи и стари дървета</w:t>
      </w:r>
      <w:r>
        <w:rPr>
          <w:rFonts w:ascii="Times New Roman" w:hAnsi="Times New Roman"/>
          <w:noProof/>
          <w:sz w:val="24"/>
          <w:szCs w:val="24"/>
        </w:rPr>
        <w:t xml:space="preserve"> (включително санитарна сеч), от </w:t>
      </w:r>
      <w:r>
        <w:rPr>
          <w:rFonts w:ascii="Times New Roman" w:hAnsi="Times New Roman"/>
          <w:noProof/>
          <w:sz w:val="24"/>
          <w:szCs w:val="24"/>
          <w:u w:val="single"/>
        </w:rPr>
        <w:t>стопанисването на горите, намаляващо горите, които са във фаза на старост</w:t>
      </w:r>
      <w:r>
        <w:rPr>
          <w:rFonts w:ascii="Times New Roman" w:hAnsi="Times New Roman"/>
          <w:noProof/>
          <w:sz w:val="24"/>
          <w:szCs w:val="24"/>
        </w:rPr>
        <w:t xml:space="preserve">, и от </w:t>
      </w:r>
      <w:r>
        <w:rPr>
          <w:rFonts w:ascii="Times New Roman" w:hAnsi="Times New Roman"/>
          <w:noProof/>
          <w:sz w:val="24"/>
          <w:szCs w:val="24"/>
          <w:u w:val="single"/>
        </w:rPr>
        <w:t>цялостната сеч</w:t>
      </w:r>
      <w:r>
        <w:rPr>
          <w:rFonts w:ascii="Times New Roman" w:hAnsi="Times New Roman"/>
          <w:noProof/>
          <w:sz w:val="24"/>
          <w:szCs w:val="24"/>
        </w:rPr>
        <w:t>. Горското стопанство също е преобладаваща група натиск, докладвана за повечето от типовете гори от приложение I, при които се наблюдава влошаване на природозащитния статус спрямо 2015 г.: добрият статус е намалял от 16 % на 14 %, а оценките, които показват лош статус, са се увеличили от 27 % на 31 %;</w:t>
      </w:r>
    </w:p>
    <w:p>
      <w:pPr>
        <w:pStyle w:val="ListParagraph"/>
        <w:numPr>
          <w:ilvl w:val="0"/>
          <w:numId w:val="1"/>
        </w:numPr>
        <w:spacing w:after="120"/>
        <w:ind w:left="681" w:hanging="397"/>
        <w:contextualSpacing w:val="0"/>
        <w:jc w:val="both"/>
        <w:rPr>
          <w:rFonts w:ascii="Times New Roman" w:hAnsi="Times New Roman" w:cs="Times New Roman"/>
          <w:noProof/>
          <w:sz w:val="24"/>
          <w:szCs w:val="24"/>
        </w:rPr>
      </w:pPr>
      <w:r>
        <w:rPr>
          <w:rFonts w:ascii="Times New Roman" w:hAnsi="Times New Roman"/>
          <w:noProof/>
          <w:sz w:val="24"/>
          <w:szCs w:val="24"/>
          <w:u w:val="single"/>
        </w:rPr>
        <w:t>използването на видовете</w:t>
      </w:r>
      <w:r>
        <w:rPr>
          <w:rFonts w:ascii="Times New Roman" w:hAnsi="Times New Roman"/>
          <w:noProof/>
          <w:sz w:val="24"/>
          <w:szCs w:val="24"/>
        </w:rPr>
        <w:t xml:space="preserve"> е най-големият натиск за зимуващите и прелетните птици; то включва </w:t>
      </w:r>
      <w:r>
        <w:rPr>
          <w:rFonts w:ascii="Times New Roman" w:hAnsi="Times New Roman"/>
          <w:noProof/>
          <w:sz w:val="24"/>
          <w:szCs w:val="24"/>
          <w:u w:val="single"/>
        </w:rPr>
        <w:t>незаконно отстрелване или убиване, ловуване</w:t>
      </w:r>
      <w:r>
        <w:rPr>
          <w:rFonts w:ascii="Times New Roman" w:hAnsi="Times New Roman"/>
          <w:noProof/>
          <w:sz w:val="24"/>
          <w:szCs w:val="24"/>
        </w:rPr>
        <w:t xml:space="preserve"> и </w:t>
      </w:r>
      <w:r>
        <w:rPr>
          <w:rFonts w:ascii="Times New Roman" w:hAnsi="Times New Roman"/>
          <w:noProof/>
          <w:sz w:val="24"/>
          <w:szCs w:val="24"/>
          <w:u w:val="single"/>
        </w:rPr>
        <w:t>случайно убиване</w:t>
      </w:r>
      <w:r>
        <w:rPr>
          <w:rFonts w:ascii="Times New Roman" w:hAnsi="Times New Roman"/>
          <w:noProof/>
          <w:sz w:val="24"/>
          <w:szCs w:val="24"/>
        </w:rPr>
        <w:t>. В неотдавнашно изследване, проведено в 26 европейски държави, е изчислено, че ловът на птици възлиза на най-малко 52 милиона екземпляра годишно</w:t>
      </w:r>
      <w:r>
        <w:rPr>
          <w:rStyle w:val="FootnoteReference"/>
          <w:rFonts w:ascii="Times New Roman" w:hAnsi="Times New Roman" w:cs="Times New Roman"/>
          <w:noProof/>
          <w:sz w:val="24"/>
          <w:szCs w:val="24"/>
        </w:rPr>
        <w:footnoteReference w:id="17"/>
      </w:r>
      <w:r>
        <w:rPr>
          <w:rFonts w:ascii="Times New Roman" w:hAnsi="Times New Roman"/>
          <w:noProof/>
          <w:sz w:val="24"/>
          <w:szCs w:val="24"/>
        </w:rPr>
        <w:t xml:space="preserve">. Други видове, засегнати от използването, включват риби, бозайници и влечуги. </w:t>
      </w:r>
      <w:r>
        <w:rPr>
          <w:rFonts w:ascii="Times New Roman" w:hAnsi="Times New Roman"/>
          <w:iCs/>
          <w:noProof/>
          <w:sz w:val="24"/>
          <w:szCs w:val="24"/>
        </w:rPr>
        <w:t xml:space="preserve">Рибите са сред най-засегнатите групи поради улова в </w:t>
      </w:r>
      <w:r>
        <w:rPr>
          <w:rFonts w:ascii="Times New Roman" w:hAnsi="Times New Roman"/>
          <w:iCs/>
          <w:noProof/>
          <w:sz w:val="24"/>
          <w:szCs w:val="24"/>
          <w:u w:val="single"/>
        </w:rPr>
        <w:t>морски</w:t>
      </w:r>
      <w:r>
        <w:rPr>
          <w:rStyle w:val="FootnoteReference"/>
          <w:rFonts w:ascii="Times New Roman" w:eastAsia="ヒラギノ角ゴ Pro W3" w:hAnsi="Times New Roman" w:cs="Times New Roman"/>
          <w:iCs/>
          <w:noProof/>
          <w:sz w:val="24"/>
          <w:szCs w:val="24"/>
          <w:u w:val="single"/>
        </w:rPr>
        <w:footnoteReference w:id="18"/>
      </w:r>
      <w:r>
        <w:rPr>
          <w:rFonts w:ascii="Times New Roman" w:hAnsi="Times New Roman"/>
          <w:iCs/>
          <w:noProof/>
          <w:sz w:val="24"/>
          <w:szCs w:val="24"/>
          <w:u w:val="single"/>
        </w:rPr>
        <w:t xml:space="preserve"> и сладководни води</w:t>
      </w:r>
      <w:r>
        <w:rPr>
          <w:rFonts w:ascii="Times New Roman" w:hAnsi="Times New Roman"/>
          <w:iCs/>
          <w:noProof/>
          <w:sz w:val="24"/>
          <w:szCs w:val="24"/>
        </w:rPr>
        <w:t xml:space="preserve">. Въздействието върху бозайниците е в две насоки: </w:t>
      </w:r>
    </w:p>
    <w:p>
      <w:pPr>
        <w:pStyle w:val="ListParagraph"/>
        <w:numPr>
          <w:ilvl w:val="1"/>
          <w:numId w:val="1"/>
        </w:numPr>
        <w:spacing w:after="120"/>
        <w:ind w:left="1361" w:hanging="397"/>
        <w:contextualSpacing w:val="0"/>
        <w:jc w:val="both"/>
        <w:rPr>
          <w:rFonts w:ascii="Times New Roman" w:hAnsi="Times New Roman" w:cs="Times New Roman"/>
          <w:noProof/>
          <w:sz w:val="24"/>
          <w:szCs w:val="24"/>
        </w:rPr>
      </w:pPr>
      <w:r>
        <w:rPr>
          <w:rFonts w:ascii="Times New Roman" w:hAnsi="Times New Roman"/>
          <w:iCs/>
          <w:noProof/>
          <w:sz w:val="24"/>
          <w:szCs w:val="24"/>
        </w:rPr>
        <w:t>големите сухоземни бозайници, като вълка (</w:t>
      </w:r>
      <w:r>
        <w:rPr>
          <w:rFonts w:ascii="Times New Roman" w:hAnsi="Times New Roman"/>
          <w:i/>
          <w:iCs/>
          <w:noProof/>
          <w:sz w:val="24"/>
          <w:szCs w:val="24"/>
        </w:rPr>
        <w:t>Canis lupus</w:t>
      </w:r>
      <w:r>
        <w:rPr>
          <w:rFonts w:ascii="Times New Roman" w:hAnsi="Times New Roman"/>
          <w:iCs/>
          <w:noProof/>
          <w:sz w:val="24"/>
          <w:szCs w:val="24"/>
        </w:rPr>
        <w:t xml:space="preserve">), евразийския рис </w:t>
      </w:r>
      <w:r>
        <w:rPr>
          <w:rFonts w:ascii="Times New Roman" w:hAnsi="Times New Roman"/>
          <w:i/>
          <w:iCs/>
          <w:noProof/>
          <w:sz w:val="24"/>
          <w:szCs w:val="24"/>
        </w:rPr>
        <w:t>(Lynx lynx</w:t>
      </w:r>
      <w:r>
        <w:rPr>
          <w:rFonts w:ascii="Times New Roman" w:hAnsi="Times New Roman"/>
          <w:iCs/>
          <w:noProof/>
          <w:sz w:val="24"/>
          <w:szCs w:val="24"/>
        </w:rPr>
        <w:t>) и евразийската видра (</w:t>
      </w:r>
      <w:r>
        <w:rPr>
          <w:rFonts w:ascii="Times New Roman" w:hAnsi="Times New Roman"/>
          <w:i/>
          <w:iCs/>
          <w:noProof/>
          <w:sz w:val="24"/>
          <w:szCs w:val="24"/>
        </w:rPr>
        <w:t>Lutra lutra</w:t>
      </w:r>
      <w:r>
        <w:rPr>
          <w:rFonts w:ascii="Times New Roman" w:hAnsi="Times New Roman"/>
          <w:iCs/>
          <w:noProof/>
          <w:sz w:val="24"/>
          <w:szCs w:val="24"/>
        </w:rPr>
        <w:t>), са изложени предимно на незаконно убиване;</w:t>
      </w:r>
    </w:p>
    <w:p>
      <w:pPr>
        <w:pStyle w:val="ListParagraph"/>
        <w:numPr>
          <w:ilvl w:val="1"/>
          <w:numId w:val="1"/>
        </w:numPr>
        <w:spacing w:after="120"/>
        <w:ind w:left="1361"/>
        <w:contextualSpacing w:val="0"/>
        <w:jc w:val="both"/>
        <w:rPr>
          <w:rFonts w:ascii="Times New Roman" w:eastAsia="ヒラギノ角ゴ Pro W3" w:hAnsi="Times New Roman" w:cs="Times New Roman"/>
          <w:iCs/>
          <w:noProof/>
          <w:sz w:val="24"/>
          <w:szCs w:val="24"/>
        </w:rPr>
      </w:pPr>
      <w:r>
        <w:rPr>
          <w:rFonts w:ascii="Times New Roman" w:hAnsi="Times New Roman"/>
          <w:iCs/>
          <w:noProof/>
          <w:sz w:val="24"/>
          <w:szCs w:val="24"/>
        </w:rPr>
        <w:t xml:space="preserve">малките китоподобни, като обикновения делфин </w:t>
      </w:r>
      <w:r>
        <w:rPr>
          <w:rFonts w:ascii="Times New Roman" w:hAnsi="Times New Roman"/>
          <w:i/>
          <w:iCs/>
          <w:noProof/>
          <w:sz w:val="24"/>
          <w:szCs w:val="24"/>
        </w:rPr>
        <w:t>(Delphinus delphis)</w:t>
      </w:r>
      <w:r>
        <w:rPr>
          <w:rFonts w:ascii="Times New Roman" w:hAnsi="Times New Roman"/>
          <w:iCs/>
          <w:noProof/>
          <w:sz w:val="24"/>
          <w:szCs w:val="24"/>
        </w:rPr>
        <w:t xml:space="preserve"> и морската свиня (</w:t>
      </w:r>
      <w:r>
        <w:rPr>
          <w:rFonts w:ascii="Times New Roman" w:hAnsi="Times New Roman"/>
          <w:i/>
          <w:iCs/>
          <w:noProof/>
          <w:sz w:val="24"/>
          <w:szCs w:val="24"/>
        </w:rPr>
        <w:t>Phocoena phocoena)</w:t>
      </w:r>
      <w:r>
        <w:rPr>
          <w:rFonts w:ascii="Times New Roman" w:hAnsi="Times New Roman"/>
          <w:iCs/>
          <w:noProof/>
          <w:sz w:val="24"/>
          <w:szCs w:val="24"/>
        </w:rPr>
        <w:t xml:space="preserve">, са засегнати предимно от </w:t>
      </w:r>
      <w:r>
        <w:rPr>
          <w:rFonts w:ascii="Times New Roman" w:hAnsi="Times New Roman"/>
          <w:iCs/>
          <w:noProof/>
          <w:sz w:val="24"/>
          <w:szCs w:val="24"/>
          <w:u w:val="single"/>
        </w:rPr>
        <w:t>прилова</w:t>
      </w:r>
      <w:r>
        <w:rPr>
          <w:rFonts w:ascii="Times New Roman" w:hAnsi="Times New Roman"/>
          <w:iCs/>
          <w:noProof/>
          <w:sz w:val="24"/>
          <w:szCs w:val="24"/>
        </w:rPr>
        <w:t xml:space="preserve"> в риболовни съоръжения и от други последици от </w:t>
      </w:r>
      <w:r>
        <w:rPr>
          <w:rFonts w:ascii="Times New Roman" w:hAnsi="Times New Roman"/>
          <w:iCs/>
          <w:noProof/>
          <w:sz w:val="24"/>
          <w:szCs w:val="24"/>
          <w:u w:val="single"/>
        </w:rPr>
        <w:t>дейностите за морски улов</w:t>
      </w:r>
      <w:r>
        <w:rPr>
          <w:rFonts w:ascii="Times New Roman" w:hAnsi="Times New Roman"/>
          <w:iCs/>
          <w:noProof/>
          <w:sz w:val="24"/>
          <w:szCs w:val="24"/>
        </w:rPr>
        <w:t xml:space="preserve">, като намаляване на популациите от плячка и обезпокояване на видовете; морските бозайници често са засегнати и от </w:t>
      </w:r>
      <w:r>
        <w:rPr>
          <w:rFonts w:ascii="Times New Roman" w:hAnsi="Times New Roman"/>
          <w:iCs/>
          <w:noProof/>
          <w:sz w:val="24"/>
          <w:szCs w:val="24"/>
          <w:u w:val="single"/>
        </w:rPr>
        <w:t>замърсяването</w:t>
      </w:r>
      <w:r>
        <w:rPr>
          <w:rFonts w:ascii="Times New Roman" w:hAnsi="Times New Roman"/>
          <w:iCs/>
          <w:noProof/>
          <w:sz w:val="24"/>
          <w:szCs w:val="24"/>
        </w:rPr>
        <w:t xml:space="preserve"> от различни източници, от </w:t>
      </w:r>
      <w:r>
        <w:rPr>
          <w:rFonts w:ascii="Times New Roman" w:hAnsi="Times New Roman"/>
          <w:iCs/>
          <w:noProof/>
          <w:sz w:val="24"/>
          <w:szCs w:val="24"/>
          <w:u w:val="single"/>
        </w:rPr>
        <w:t>експлоатацията на плавателните търговски пътища</w:t>
      </w:r>
      <w:r>
        <w:rPr>
          <w:rFonts w:ascii="Times New Roman" w:hAnsi="Times New Roman"/>
          <w:iCs/>
          <w:noProof/>
          <w:sz w:val="24"/>
          <w:szCs w:val="24"/>
        </w:rPr>
        <w:t xml:space="preserve"> (поради подводен шум и сблъсъци с кораби), както и от </w:t>
      </w:r>
      <w:r>
        <w:rPr>
          <w:rFonts w:ascii="Times New Roman" w:hAnsi="Times New Roman"/>
          <w:iCs/>
          <w:noProof/>
          <w:sz w:val="24"/>
          <w:szCs w:val="24"/>
          <w:u w:val="single"/>
        </w:rPr>
        <w:t>военните операции</w:t>
      </w:r>
      <w:r>
        <w:rPr>
          <w:rFonts w:ascii="Times New Roman" w:hAnsi="Times New Roman"/>
          <w:iCs/>
          <w:noProof/>
          <w:sz w:val="24"/>
          <w:szCs w:val="24"/>
        </w:rPr>
        <w:t xml:space="preserve"> (чрез сблъсъци с плавателни съдове, обезпокояване от военен сонар);</w:t>
      </w:r>
    </w:p>
    <w:p>
      <w:pPr>
        <w:pStyle w:val="ListParagraph"/>
        <w:numPr>
          <w:ilvl w:val="0"/>
          <w:numId w:val="1"/>
        </w:numPr>
        <w:spacing w:after="120"/>
        <w:ind w:left="681" w:hanging="397"/>
        <w:contextualSpacing w:val="0"/>
        <w:jc w:val="both"/>
        <w:rPr>
          <w:rFonts w:ascii="Times New Roman" w:hAnsi="Times New Roman" w:cs="Times New Roman"/>
          <w:noProof/>
          <w:sz w:val="24"/>
          <w:szCs w:val="24"/>
        </w:rPr>
      </w:pPr>
      <w:r>
        <w:rPr>
          <w:rFonts w:ascii="Times New Roman" w:hAnsi="Times New Roman"/>
          <w:noProof/>
          <w:sz w:val="24"/>
          <w:szCs w:val="24"/>
          <w:u w:val="single"/>
        </w:rPr>
        <w:t>водноелектрическите инсталации</w:t>
      </w:r>
      <w:r>
        <w:rPr>
          <w:rFonts w:ascii="Times New Roman" w:hAnsi="Times New Roman"/>
          <w:noProof/>
          <w:sz w:val="24"/>
          <w:szCs w:val="24"/>
        </w:rPr>
        <w:t xml:space="preserve"> са най-важният източник на </w:t>
      </w:r>
      <w:r>
        <w:rPr>
          <w:rFonts w:ascii="Times New Roman" w:hAnsi="Times New Roman"/>
          <w:noProof/>
          <w:sz w:val="24"/>
          <w:szCs w:val="24"/>
          <w:u w:val="single"/>
        </w:rPr>
        <w:t>натиск, свързан с енергетиката</w:t>
      </w:r>
      <w:r>
        <w:rPr>
          <w:rFonts w:ascii="Times New Roman" w:hAnsi="Times New Roman"/>
          <w:noProof/>
          <w:sz w:val="24"/>
          <w:szCs w:val="24"/>
        </w:rPr>
        <w:t>, за мигриращите и сладководните риби.</w:t>
      </w:r>
      <w:r>
        <w:rPr>
          <w:rFonts w:ascii="Times New Roman" w:hAnsi="Times New Roman"/>
          <w:iCs/>
          <w:noProof/>
          <w:sz w:val="24"/>
          <w:szCs w:val="24"/>
        </w:rPr>
        <w:t xml:space="preserve"> Д</w:t>
      </w:r>
      <w:r>
        <w:rPr>
          <w:rFonts w:ascii="Times New Roman" w:hAnsi="Times New Roman"/>
          <w:noProof/>
          <w:sz w:val="24"/>
          <w:szCs w:val="24"/>
        </w:rPr>
        <w:t xml:space="preserve">окато натискът от </w:t>
      </w:r>
      <w:r>
        <w:rPr>
          <w:rFonts w:ascii="Times New Roman" w:hAnsi="Times New Roman"/>
          <w:noProof/>
          <w:sz w:val="24"/>
          <w:szCs w:val="24"/>
          <w:u w:val="single"/>
        </w:rPr>
        <w:t>вятърната енергия, енергията от морските вълни и енергията на приливите и отливите</w:t>
      </w:r>
      <w:r>
        <w:rPr>
          <w:rFonts w:ascii="Times New Roman" w:hAnsi="Times New Roman"/>
          <w:noProof/>
          <w:sz w:val="24"/>
          <w:szCs w:val="24"/>
        </w:rPr>
        <w:t xml:space="preserve"> поражда рискове за много видове, птиците са особено уязвими също и спрямо инфраструктурите за пренос на електроенергия и комуникационните инфраструктури. Увеличаването на използването на енергия от възобновяеми източници е ключова политика на ЕС с оглед на справянето с изменението на климата (което само по себе си оказва значителен и нарастващ натиск върху биологичното разнообразие), но неправилното конструиране и разполагане на инсталациите може да доведе до допълнителен натиск върху защитените видове и типове местообитания;</w:t>
      </w:r>
    </w:p>
    <w:p>
      <w:pPr>
        <w:pStyle w:val="ListParagraph"/>
        <w:numPr>
          <w:ilvl w:val="0"/>
          <w:numId w:val="1"/>
        </w:numPr>
        <w:spacing w:after="120"/>
        <w:ind w:left="681" w:hanging="397"/>
        <w:contextualSpacing w:val="0"/>
        <w:jc w:val="both"/>
        <w:rPr>
          <w:rFonts w:ascii="Times New Roman" w:hAnsi="Times New Roman" w:cs="Times New Roman"/>
          <w:noProof/>
          <w:sz w:val="24"/>
          <w:szCs w:val="24"/>
        </w:rPr>
      </w:pPr>
      <w:r>
        <w:rPr>
          <w:rFonts w:ascii="Times New Roman" w:hAnsi="Times New Roman"/>
          <w:noProof/>
          <w:sz w:val="24"/>
          <w:szCs w:val="24"/>
          <w:u w:val="single"/>
        </w:rPr>
        <w:t>инвазивните чужди видове</w:t>
      </w:r>
      <w:r>
        <w:rPr>
          <w:rFonts w:ascii="Times New Roman" w:hAnsi="Times New Roman"/>
          <w:noProof/>
          <w:sz w:val="24"/>
          <w:szCs w:val="24"/>
        </w:rPr>
        <w:t xml:space="preserve"> представляват сериозна и нарастваща заплаха за местната европейска флора и фауна. От последния период на докладване тяхното въздействие се е увеличило значително. „Инвазивните видове, които засягат Съюза“</w:t>
      </w:r>
      <w:r>
        <w:rPr>
          <w:rStyle w:val="FootnoteReference"/>
          <w:rFonts w:ascii="Times New Roman" w:hAnsi="Times New Roman" w:cs="Times New Roman"/>
          <w:noProof/>
          <w:sz w:val="24"/>
          <w:szCs w:val="24"/>
        </w:rPr>
        <w:footnoteReference w:id="19"/>
      </w:r>
      <w:r>
        <w:rPr>
          <w:rFonts w:ascii="Times New Roman" w:hAnsi="Times New Roman"/>
          <w:noProof/>
          <w:sz w:val="24"/>
          <w:szCs w:val="24"/>
        </w:rPr>
        <w:t xml:space="preserve"> представляват около 20 % от докладвания за тази категория натиск, въпреки че са докладвани много повече въздействия от инвазивни чужди видове, които все още не са включени в списъка като видове, които засягат Съюза. Инвазивните чужди видове засягат повече местообитанията, отколкото видовете, но също така е известно, че те имат пряко въздействие върху определени видове птици, земноводни, риби и васкуларни растения; </w:t>
      </w:r>
    </w:p>
    <w:p>
      <w:pPr>
        <w:pStyle w:val="ListParagraph"/>
        <w:numPr>
          <w:ilvl w:val="0"/>
          <w:numId w:val="1"/>
        </w:numPr>
        <w:spacing w:after="240"/>
        <w:ind w:left="681" w:hanging="397"/>
        <w:contextualSpacing w:val="0"/>
        <w:jc w:val="both"/>
        <w:rPr>
          <w:rFonts w:ascii="Times New Roman" w:hAnsi="Times New Roman" w:cs="Times New Roman"/>
          <w:b/>
          <w:i/>
          <w:noProof/>
          <w:sz w:val="24"/>
          <w:szCs w:val="24"/>
          <w:u w:val="single"/>
        </w:rPr>
      </w:pPr>
      <w:r>
        <w:rPr>
          <w:rFonts w:ascii="Times New Roman" w:hAnsi="Times New Roman"/>
          <w:iCs/>
          <w:noProof/>
          <w:sz w:val="24"/>
          <w:szCs w:val="24"/>
        </w:rPr>
        <w:t xml:space="preserve">въпреки че </w:t>
      </w:r>
      <w:r>
        <w:rPr>
          <w:rFonts w:ascii="Times New Roman" w:hAnsi="Times New Roman"/>
          <w:iCs/>
          <w:noProof/>
          <w:sz w:val="24"/>
          <w:szCs w:val="24"/>
          <w:u w:val="single"/>
        </w:rPr>
        <w:t>изменението на климата</w:t>
      </w:r>
      <w:r>
        <w:rPr>
          <w:rFonts w:ascii="Times New Roman" w:hAnsi="Times New Roman"/>
          <w:iCs/>
          <w:noProof/>
          <w:sz w:val="24"/>
          <w:szCs w:val="24"/>
        </w:rPr>
        <w:t xml:space="preserve"> не е докладвано като особено важен натиск през периода 2013—2018 г., в бъдещите сценарии</w:t>
      </w:r>
      <w:r>
        <w:rPr>
          <w:rStyle w:val="FootnoteReference"/>
          <w:rFonts w:ascii="Times New Roman" w:eastAsia="ヒラギノ角ゴ Pro W3" w:hAnsi="Times New Roman" w:cs="Times New Roman"/>
          <w:iCs/>
          <w:noProof/>
          <w:sz w:val="24"/>
          <w:szCs w:val="24"/>
        </w:rPr>
        <w:footnoteReference w:id="20"/>
      </w:r>
      <w:r>
        <w:rPr>
          <w:rFonts w:ascii="Times New Roman" w:hAnsi="Times New Roman"/>
          <w:iCs/>
          <w:noProof/>
          <w:sz w:val="24"/>
          <w:szCs w:val="24"/>
        </w:rPr>
        <w:t xml:space="preserve"> се правят прогнози, че то ще окаже силно въздействие върху европейските растения и животни и ще доведе до ускорена загуба на биологично разнообразие и опустиняване в много райони.</w:t>
      </w:r>
      <w:r>
        <w:rPr>
          <w:rFonts w:ascii="Times New Roman" w:hAnsi="Times New Roman"/>
          <w:noProof/>
          <w:sz w:val="24"/>
          <w:szCs w:val="24"/>
        </w:rPr>
        <w:t xml:space="preserve"> </w:t>
      </w:r>
      <w:r>
        <w:rPr>
          <w:rFonts w:ascii="Times New Roman" w:hAnsi="Times New Roman"/>
          <w:iCs/>
          <w:noProof/>
          <w:sz w:val="24"/>
          <w:szCs w:val="24"/>
        </w:rPr>
        <w:t xml:space="preserve">Най-често докладваните видове натиск, свързани с изменението на климата, са </w:t>
      </w:r>
      <w:r>
        <w:rPr>
          <w:rFonts w:ascii="Times New Roman" w:hAnsi="Times New Roman"/>
          <w:iCs/>
          <w:noProof/>
          <w:sz w:val="24"/>
          <w:szCs w:val="24"/>
          <w:u w:val="single"/>
        </w:rPr>
        <w:t>засушаванията и намаляването на валежите</w:t>
      </w:r>
      <w:r>
        <w:rPr>
          <w:rFonts w:ascii="Times New Roman" w:hAnsi="Times New Roman"/>
          <w:iCs/>
          <w:noProof/>
          <w:sz w:val="24"/>
          <w:szCs w:val="24"/>
        </w:rPr>
        <w:t>; те представляват 5 % от всички докладвани видове натиск, засягащи земноводните.</w:t>
      </w:r>
    </w:p>
    <w:p>
      <w:pPr>
        <w:spacing w:after="240"/>
        <w:jc w:val="both"/>
        <w:rPr>
          <w:rFonts w:ascii="Times New Roman" w:hAnsi="Times New Roman" w:cs="Times New Roman"/>
          <w:b/>
          <w:i/>
          <w:noProof/>
          <w:sz w:val="24"/>
          <w:szCs w:val="24"/>
          <w:u w:val="single"/>
        </w:rPr>
      </w:pPr>
      <w:r>
        <w:rPr>
          <w:rFonts w:ascii="Times New Roman" w:hAnsi="Times New Roman"/>
          <w:b/>
          <w:i/>
          <w:noProof/>
          <w:sz w:val="24"/>
          <w:szCs w:val="24"/>
          <w:u w:val="single"/>
        </w:rPr>
        <w:t>4.2. Ответни мерки (мерки за опазване)</w:t>
      </w:r>
    </w:p>
    <w:p>
      <w:pPr>
        <w:shd w:val="clear" w:color="auto" w:fill="FFFFFF" w:themeFill="background1"/>
        <w:spacing w:after="240"/>
        <w:jc w:val="both"/>
        <w:rPr>
          <w:rFonts w:ascii="Times New Roman" w:hAnsi="Times New Roman" w:cs="Times New Roman"/>
          <w:noProof/>
          <w:sz w:val="24"/>
          <w:szCs w:val="24"/>
        </w:rPr>
      </w:pPr>
      <w:r>
        <w:rPr>
          <w:rFonts w:ascii="Times New Roman" w:hAnsi="Times New Roman"/>
          <w:noProof/>
          <w:sz w:val="24"/>
          <w:szCs w:val="24"/>
        </w:rPr>
        <w:t xml:space="preserve">Успоредно с докладването относно натиска, държавите членки докладваха дали са предприети, или не по-голямата част от мерките, необходими за даден вид или местообитание от значение за ЕС, чието съхраняване изисква обявяването на защитени зони по „Натура 2000“. Такива мерки имат за цел да запазят или да възстановят добрия статус на видовете и местообитанията и включват конкретни действия на място за смекчаване и премахване на въздействието на миналия и настоящия натиск. Държавите членки са задължени да предприемат необходимите мерки за опазване на защитените зони по „Натура 2000“. </w:t>
      </w:r>
    </w:p>
    <w:p>
      <w:pPr>
        <w:shd w:val="clear" w:color="auto" w:fill="FFFFFF" w:themeFill="background1"/>
        <w:spacing w:after="240"/>
        <w:jc w:val="both"/>
        <w:rPr>
          <w:rFonts w:ascii="Times New Roman" w:hAnsi="Times New Roman" w:cs="Times New Roman"/>
          <w:noProof/>
          <w:sz w:val="24"/>
          <w:szCs w:val="24"/>
        </w:rPr>
      </w:pPr>
      <w:r>
        <w:rPr>
          <w:rFonts w:ascii="Times New Roman" w:hAnsi="Times New Roman"/>
          <w:noProof/>
          <w:sz w:val="24"/>
          <w:szCs w:val="24"/>
        </w:rPr>
        <w:t>В техните национални доклади се посочва, че:</w:t>
      </w:r>
    </w:p>
    <w:p>
      <w:pPr>
        <w:pStyle w:val="ListParagraph"/>
        <w:numPr>
          <w:ilvl w:val="0"/>
          <w:numId w:val="3"/>
        </w:numPr>
        <w:spacing w:after="120"/>
        <w:ind w:left="681" w:hanging="397"/>
        <w:contextualSpacing w:val="0"/>
        <w:jc w:val="both"/>
        <w:rPr>
          <w:rFonts w:ascii="Times New Roman" w:hAnsi="Times New Roman" w:cs="Times New Roman"/>
          <w:noProof/>
          <w:sz w:val="24"/>
          <w:szCs w:val="24"/>
        </w:rPr>
      </w:pPr>
      <w:r>
        <w:rPr>
          <w:rFonts w:ascii="Times New Roman" w:hAnsi="Times New Roman"/>
          <w:noProof/>
          <w:sz w:val="24"/>
          <w:szCs w:val="24"/>
        </w:rPr>
        <w:t>повечето мерки се прилагат както в рамките на мрежата „Натура 2000“, така и извън нея;</w:t>
      </w:r>
    </w:p>
    <w:p>
      <w:pPr>
        <w:pStyle w:val="ListParagraph"/>
        <w:numPr>
          <w:ilvl w:val="0"/>
          <w:numId w:val="3"/>
        </w:numPr>
        <w:spacing w:after="120"/>
        <w:ind w:left="681" w:hanging="397"/>
        <w:contextualSpacing w:val="0"/>
        <w:jc w:val="both"/>
        <w:rPr>
          <w:rFonts w:ascii="Times New Roman" w:hAnsi="Times New Roman" w:cs="Times New Roman"/>
          <w:noProof/>
          <w:sz w:val="24"/>
          <w:szCs w:val="24"/>
        </w:rPr>
      </w:pPr>
      <w:r>
        <w:rPr>
          <w:rFonts w:ascii="Times New Roman" w:hAnsi="Times New Roman"/>
          <w:noProof/>
          <w:sz w:val="24"/>
          <w:szCs w:val="24"/>
        </w:rPr>
        <w:t xml:space="preserve">за около 60 % от местообитанията на държавите членки е докладвано, че са предприети необходимите мерки, главно за запазване на сегашния статус или за възстановяване на структурата и функциите на местообитанията; само 4 % от докладваните предприети мерки са за увеличаване на площта на местообитанията; </w:t>
      </w:r>
    </w:p>
    <w:p>
      <w:pPr>
        <w:pStyle w:val="ListParagraph"/>
        <w:numPr>
          <w:ilvl w:val="0"/>
          <w:numId w:val="3"/>
        </w:numPr>
        <w:spacing w:after="240"/>
        <w:ind w:left="681" w:hanging="397"/>
        <w:contextualSpacing w:val="0"/>
        <w:jc w:val="both"/>
        <w:rPr>
          <w:rFonts w:ascii="Times New Roman" w:hAnsi="Times New Roman" w:cs="Times New Roman"/>
          <w:noProof/>
          <w:sz w:val="24"/>
          <w:szCs w:val="24"/>
        </w:rPr>
      </w:pPr>
      <w:r>
        <w:rPr>
          <w:rFonts w:ascii="Times New Roman" w:hAnsi="Times New Roman"/>
          <w:noProof/>
          <w:sz w:val="24"/>
          <w:szCs w:val="24"/>
        </w:rPr>
        <w:t>най-често срещаните мерки за опазване имат за цел поддържане на земеделските площи в подходящо екологично състояние, като по този начин да се отговори на натиска от селското стопанство;</w:t>
      </w:r>
    </w:p>
    <w:p>
      <w:pPr>
        <w:spacing w:after="240"/>
        <w:ind w:left="284"/>
        <w:jc w:val="both"/>
        <w:rPr>
          <w:rFonts w:ascii="Times New Roman" w:hAnsi="Times New Roman" w:cs="Times New Roman"/>
          <w:noProof/>
          <w:sz w:val="24"/>
          <w:szCs w:val="24"/>
        </w:rPr>
      </w:pPr>
    </w:p>
    <w:p>
      <w:pPr>
        <w:keepNext/>
        <w:spacing w:after="120" w:line="240" w:lineRule="auto"/>
        <w:jc w:val="both"/>
        <w:rPr>
          <w:rFonts w:ascii="Times New Roman" w:eastAsia="ヒラギノ角ゴ Pro W3" w:hAnsi="Times New Roman" w:cs="Times New Roman"/>
          <w:b/>
          <w:noProof/>
          <w:sz w:val="20"/>
          <w:szCs w:val="20"/>
        </w:rPr>
      </w:pPr>
      <w:r>
        <w:rPr>
          <w:rFonts w:ascii="Times New Roman" w:hAnsi="Times New Roman"/>
          <w:b/>
          <w:noProof/>
          <w:sz w:val="20"/>
          <w:szCs w:val="20"/>
        </w:rPr>
        <w:t xml:space="preserve">Фигура 10: Състояние на изпълнение на мерките за опазване на местообитанията (в % от всички оценки на типовете местообитания, извършени от държавите членки) </w:t>
      </w:r>
    </w:p>
    <w:p>
      <w:pPr>
        <w:jc w:val="both"/>
        <w:rPr>
          <w:rFonts w:ascii="Times New Roman" w:hAnsi="Times New Roman" w:cs="Times New Roman"/>
          <w:noProof/>
        </w:rPr>
      </w:pPr>
      <w:r>
        <w:rPr>
          <w:noProof/>
          <w:lang w:val="en-GB" w:eastAsia="en-GB"/>
        </w:rPr>
        <w:drawing>
          <wp:inline distT="0" distB="0" distL="0" distR="0">
            <wp:extent cx="5731510" cy="1565910"/>
            <wp:effectExtent l="0" t="0" r="2540" b="0"/>
            <wp:docPr id="33" name="Εικόνα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731510" cy="1565910"/>
                    </a:xfrm>
                    <a:prstGeom prst="rect">
                      <a:avLst/>
                    </a:prstGeom>
                    <a:noFill/>
                    <a:ln>
                      <a:noFill/>
                    </a:ln>
                  </pic:spPr>
                </pic:pic>
              </a:graphicData>
            </a:graphic>
          </wp:inline>
        </w:drawing>
      </w:r>
    </w:p>
    <w:p>
      <w:pPr>
        <w:spacing w:before="120" w:after="0"/>
        <w:ind w:left="360"/>
        <w:jc w:val="both"/>
        <w:rPr>
          <w:rFonts w:ascii="Times New Roman" w:hAnsi="Times New Roman" w:cs="Times New Roman"/>
          <w:noProof/>
          <w:sz w:val="24"/>
          <w:szCs w:val="24"/>
        </w:rPr>
      </w:pPr>
    </w:p>
    <w:p>
      <w:pPr>
        <w:pStyle w:val="ListParagraph"/>
        <w:numPr>
          <w:ilvl w:val="0"/>
          <w:numId w:val="8"/>
        </w:numPr>
        <w:spacing w:before="120" w:after="0"/>
        <w:contextualSpacing w:val="0"/>
        <w:jc w:val="both"/>
        <w:rPr>
          <w:rFonts w:ascii="Times New Roman" w:hAnsi="Times New Roman" w:cs="Times New Roman"/>
          <w:noProof/>
          <w:sz w:val="24"/>
          <w:szCs w:val="24"/>
        </w:rPr>
      </w:pPr>
      <w:r>
        <w:rPr>
          <w:rFonts w:ascii="Times New Roman" w:hAnsi="Times New Roman"/>
          <w:noProof/>
          <w:sz w:val="24"/>
          <w:szCs w:val="24"/>
        </w:rPr>
        <w:t xml:space="preserve">положението е подобно и при </w:t>
      </w:r>
      <w:r>
        <w:rPr>
          <w:rFonts w:ascii="Times New Roman" w:hAnsi="Times New Roman"/>
          <w:noProof/>
          <w:sz w:val="24"/>
          <w:szCs w:val="24"/>
          <w:u w:val="single"/>
        </w:rPr>
        <w:t>видовете</w:t>
      </w:r>
      <w:r>
        <w:rPr>
          <w:rFonts w:ascii="Times New Roman" w:hAnsi="Times New Roman"/>
          <w:noProof/>
          <w:sz w:val="24"/>
          <w:szCs w:val="24"/>
        </w:rPr>
        <w:t>. В около 40 % от докладите за птиците и в 50 % от докладите за видовете, различни от птици, е посочено, че са предприети мерки. Най-голямата част от мерките, предприети за видовете, различни от птици, имат за цел запазване на сегашния им статус. Мерките за възстановяване не оказват толкова съществено влияние.</w:t>
      </w:r>
    </w:p>
    <w:p>
      <w:pPr>
        <w:spacing w:before="120" w:after="0"/>
        <w:ind w:left="360"/>
        <w:jc w:val="both"/>
        <w:rPr>
          <w:rFonts w:ascii="Times New Roman" w:hAnsi="Times New Roman" w:cs="Times New Roman"/>
          <w:noProof/>
          <w:sz w:val="24"/>
          <w:szCs w:val="24"/>
        </w:rPr>
      </w:pPr>
    </w:p>
    <w:p>
      <w:pPr>
        <w:keepNext/>
        <w:spacing w:after="120" w:line="240" w:lineRule="auto"/>
        <w:jc w:val="both"/>
        <w:rPr>
          <w:rFonts w:ascii="Times New Roman" w:eastAsia="ヒラギノ角ゴ Pro W3" w:hAnsi="Times New Roman" w:cs="Times New Roman"/>
          <w:b/>
          <w:noProof/>
          <w:sz w:val="20"/>
          <w:szCs w:val="20"/>
        </w:rPr>
      </w:pPr>
      <w:r>
        <w:rPr>
          <w:rFonts w:ascii="Times New Roman" w:hAnsi="Times New Roman"/>
          <w:b/>
          <w:noProof/>
          <w:sz w:val="20"/>
          <w:szCs w:val="20"/>
        </w:rPr>
        <w:t xml:space="preserve">Фигура 11: Състояние на изпълнение на мерките за опазване на видовете (в % от всички оценки на видовете, извършени от държавите членки за видовете, чието съхраняване изисква обявяването на защитени зони)         </w:t>
      </w:r>
    </w:p>
    <w:p>
      <w:pPr>
        <w:jc w:val="both"/>
        <w:rPr>
          <w:rFonts w:ascii="Times New Roman" w:hAnsi="Times New Roman" w:cs="Times New Roman"/>
          <w:noProof/>
        </w:rPr>
      </w:pPr>
      <w:r>
        <w:rPr>
          <w:noProof/>
          <w:lang w:val="en-GB" w:eastAsia="en-GB"/>
        </w:rPr>
        <w:drawing>
          <wp:inline distT="0" distB="0" distL="0" distR="0">
            <wp:extent cx="4429125" cy="2753452"/>
            <wp:effectExtent l="0" t="0" r="0" b="0"/>
            <wp:docPr id="34" name="Εικόνα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38" cstate="print">
                      <a:extLst>
                        <a:ext uri="{28A0092B-C50C-407E-A947-70E740481C1C}">
                          <a14:useLocalDpi xmlns:a14="http://schemas.microsoft.com/office/drawing/2010/main" val="0"/>
                        </a:ext>
                      </a:extLst>
                    </a:blip>
                    <a:srcRect l="1889" t="2084" r="1375" b="6771"/>
                    <a:stretch/>
                  </pic:blipFill>
                  <pic:spPr bwMode="auto">
                    <a:xfrm>
                      <a:off x="0" y="0"/>
                      <a:ext cx="4445678" cy="2763742"/>
                    </a:xfrm>
                    <a:prstGeom prst="rect">
                      <a:avLst/>
                    </a:prstGeom>
                    <a:noFill/>
                    <a:ln>
                      <a:noFill/>
                    </a:ln>
                    <a:extLst>
                      <a:ext uri="{53640926-AAD7-44D8-BBD7-CCE9431645EC}">
                        <a14:shadowObscured xmlns:a14="http://schemas.microsoft.com/office/drawing/2010/main"/>
                      </a:ext>
                    </a:extLst>
                  </pic:spPr>
                </pic:pic>
              </a:graphicData>
            </a:graphic>
          </wp:inline>
        </w:drawing>
      </w:r>
    </w:p>
    <w:p>
      <w:pPr>
        <w:spacing w:before="240" w:after="240"/>
        <w:jc w:val="both"/>
        <w:rPr>
          <w:rFonts w:ascii="Times New Roman" w:hAnsi="Times New Roman" w:cs="Times New Roman"/>
          <w:noProof/>
          <w:sz w:val="24"/>
          <w:szCs w:val="24"/>
        </w:rPr>
      </w:pPr>
      <w:r>
        <w:rPr>
          <w:rFonts w:ascii="Times New Roman" w:hAnsi="Times New Roman"/>
          <w:noProof/>
          <w:sz w:val="24"/>
          <w:szCs w:val="24"/>
        </w:rPr>
        <w:t xml:space="preserve">Въпреки мерките на държавите членки, през периода на докладване природозащитният статус и тенденциите не са се подобрили; в действителност за голям брой видове и типове местообитания (включително и за които обявяването на защитени зони по „Натура 2000“ е ключов механизъм за опазване) те са се влошили още повече. Следователно става ясно (и се потвърждава от докладите), че държавите членки не са предприели необходимите мерки за опазване (поне не до необходимата степен), а в някои случаи дори не са ги определили адекватно.  </w:t>
      </w:r>
    </w:p>
    <w:p>
      <w:pPr>
        <w:spacing w:after="240"/>
        <w:jc w:val="both"/>
        <w:rPr>
          <w:rFonts w:ascii="Times New Roman" w:hAnsi="Times New Roman" w:cs="Times New Roman"/>
          <w:noProof/>
          <w:sz w:val="24"/>
          <w:szCs w:val="24"/>
        </w:rPr>
      </w:pPr>
      <w:r>
        <w:rPr>
          <w:rFonts w:ascii="Times New Roman" w:hAnsi="Times New Roman"/>
          <w:noProof/>
          <w:sz w:val="24"/>
          <w:szCs w:val="24"/>
        </w:rPr>
        <w:t xml:space="preserve">Анализът на ефективността на мерките показва </w:t>
      </w:r>
      <w:r>
        <w:rPr>
          <w:rFonts w:ascii="Times New Roman" w:hAnsi="Times New Roman"/>
          <w:iCs/>
          <w:noProof/>
          <w:sz w:val="24"/>
          <w:szCs w:val="24"/>
        </w:rPr>
        <w:t>положителна корелация между</w:t>
      </w:r>
      <w:r>
        <w:rPr>
          <w:rFonts w:ascii="Times New Roman" w:hAnsi="Times New Roman"/>
          <w:noProof/>
          <w:sz w:val="24"/>
          <w:szCs w:val="24"/>
        </w:rPr>
        <w:t xml:space="preserve"> предприетите мерки и добрия природозащитен статус при </w:t>
      </w:r>
      <w:r>
        <w:rPr>
          <w:rFonts w:ascii="Times New Roman" w:hAnsi="Times New Roman"/>
          <w:iCs/>
          <w:noProof/>
          <w:sz w:val="24"/>
          <w:szCs w:val="24"/>
        </w:rPr>
        <w:t>повечето местообитания и групи видове</w:t>
      </w:r>
      <w:r>
        <w:rPr>
          <w:rFonts w:ascii="Times New Roman" w:hAnsi="Times New Roman"/>
          <w:noProof/>
          <w:sz w:val="24"/>
          <w:szCs w:val="24"/>
        </w:rPr>
        <w:t>. Освен това активните мерки за възстановяване (напр. за възстановяване на структурата и функциите) водят до подобрения.</w:t>
      </w:r>
    </w:p>
    <w:p>
      <w:pPr>
        <w:shd w:val="clear" w:color="auto" w:fill="FFFFFF" w:themeFill="background1"/>
        <w:spacing w:after="240"/>
        <w:jc w:val="both"/>
        <w:rPr>
          <w:rFonts w:ascii="Times New Roman" w:hAnsi="Times New Roman" w:cs="Times New Roman"/>
          <w:b/>
          <w:i/>
          <w:noProof/>
          <w:sz w:val="24"/>
          <w:szCs w:val="24"/>
          <w:u w:val="single"/>
        </w:rPr>
      </w:pPr>
      <w:bookmarkStart w:id="3" w:name="_Toc42152722"/>
      <w:r>
        <w:rPr>
          <w:rFonts w:ascii="Times New Roman" w:hAnsi="Times New Roman"/>
          <w:b/>
          <w:i/>
          <w:noProof/>
          <w:sz w:val="24"/>
          <w:szCs w:val="24"/>
          <w:u w:val="single"/>
        </w:rPr>
        <w:t>4.3. Необходимост от възстановяване на местообитанията</w:t>
      </w:r>
      <w:bookmarkEnd w:id="3"/>
    </w:p>
    <w:p>
      <w:pPr>
        <w:spacing w:after="120"/>
        <w:jc w:val="both"/>
        <w:rPr>
          <w:rFonts w:ascii="Times New Roman" w:hAnsi="Times New Roman" w:cs="Times New Roman"/>
          <w:noProof/>
          <w:sz w:val="24"/>
          <w:szCs w:val="24"/>
        </w:rPr>
      </w:pPr>
      <w:r>
        <w:rPr>
          <w:rFonts w:ascii="Times New Roman" w:hAnsi="Times New Roman"/>
          <w:noProof/>
          <w:sz w:val="24"/>
          <w:szCs w:val="24"/>
        </w:rPr>
        <w:t>„Добър природозащитен статус“ на даден тип местообитание означава, че неговият естествен район на разпространение, обхватът на неговата област и структурата и функциите му са достатъчно големи и в добро състояние; както и че бъдещите му перспективи са положителни. В този контекст „възстановяване“ се отнася до:</w:t>
      </w:r>
    </w:p>
    <w:p>
      <w:pPr>
        <w:pStyle w:val="ListParagraph"/>
        <w:numPr>
          <w:ilvl w:val="0"/>
          <w:numId w:val="4"/>
        </w:numPr>
        <w:spacing w:after="120"/>
        <w:ind w:left="681" w:hanging="397"/>
        <w:contextualSpacing w:val="0"/>
        <w:jc w:val="both"/>
        <w:rPr>
          <w:rFonts w:ascii="Times New Roman" w:hAnsi="Times New Roman" w:cs="Times New Roman"/>
          <w:noProof/>
          <w:sz w:val="24"/>
          <w:szCs w:val="24"/>
        </w:rPr>
      </w:pPr>
      <w:r>
        <w:rPr>
          <w:rFonts w:ascii="Times New Roman" w:hAnsi="Times New Roman"/>
          <w:noProof/>
          <w:sz w:val="24"/>
          <w:szCs w:val="24"/>
          <w:u w:val="single"/>
        </w:rPr>
        <w:t>подобряване на състоянието</w:t>
      </w:r>
      <w:r>
        <w:rPr>
          <w:rFonts w:ascii="Times New Roman" w:hAnsi="Times New Roman"/>
          <w:noProof/>
          <w:sz w:val="24"/>
          <w:szCs w:val="24"/>
        </w:rPr>
        <w:t xml:space="preserve"> (т.е. качеството) на съществуващите области на местообитанията чрез целенасочени мерки за опазване; и</w:t>
      </w:r>
    </w:p>
    <w:p>
      <w:pPr>
        <w:pStyle w:val="ListParagraph"/>
        <w:numPr>
          <w:ilvl w:val="0"/>
          <w:numId w:val="4"/>
        </w:numPr>
        <w:spacing w:after="240"/>
        <w:ind w:left="681" w:hanging="397"/>
        <w:contextualSpacing w:val="0"/>
        <w:jc w:val="both"/>
        <w:rPr>
          <w:rFonts w:ascii="Times New Roman" w:hAnsi="Times New Roman" w:cs="Times New Roman"/>
          <w:noProof/>
          <w:sz w:val="24"/>
          <w:szCs w:val="24"/>
        </w:rPr>
      </w:pPr>
      <w:r>
        <w:rPr>
          <w:rFonts w:ascii="Times New Roman" w:hAnsi="Times New Roman"/>
          <w:noProof/>
          <w:sz w:val="24"/>
          <w:szCs w:val="24"/>
        </w:rPr>
        <w:t xml:space="preserve">осигуряване на достатъчна площ чрез </w:t>
      </w:r>
      <w:r>
        <w:rPr>
          <w:rFonts w:ascii="Times New Roman" w:hAnsi="Times New Roman"/>
          <w:noProof/>
          <w:sz w:val="24"/>
          <w:szCs w:val="24"/>
          <w:u w:val="single"/>
        </w:rPr>
        <w:t>(пре)създаване на местообитания</w:t>
      </w:r>
      <w:r>
        <w:rPr>
          <w:rFonts w:ascii="Times New Roman" w:hAnsi="Times New Roman"/>
          <w:noProof/>
          <w:sz w:val="24"/>
          <w:szCs w:val="24"/>
        </w:rPr>
        <w:t xml:space="preserve"> (т.е. създаване на допълнителни площи на дадено местообитание, като например възстановяване на местообитанията във влажните зони от дренирани в миналото земеделски земи или разширяване на площта на местните защитени горски местообитания).</w:t>
      </w:r>
    </w:p>
    <w:p>
      <w:pPr>
        <w:spacing w:after="240"/>
        <w:jc w:val="both"/>
        <w:rPr>
          <w:rFonts w:ascii="Times New Roman" w:hAnsi="Times New Roman" w:cs="Times New Roman"/>
          <w:iCs/>
          <w:noProof/>
          <w:sz w:val="24"/>
          <w:szCs w:val="24"/>
        </w:rPr>
      </w:pPr>
      <w:r>
        <w:rPr>
          <w:rFonts w:ascii="Times New Roman" w:hAnsi="Times New Roman"/>
          <w:iCs/>
          <w:noProof/>
          <w:sz w:val="24"/>
          <w:szCs w:val="24"/>
        </w:rPr>
        <w:t>От оценката на изискванията за възстановяване на типовете местообитания от приложение I е видно, че потребностите варират значително между групите местообитания и биогеографските региони.</w:t>
      </w:r>
    </w:p>
    <w:p>
      <w:pPr>
        <w:rPr>
          <w:rFonts w:ascii="Times New Roman" w:hAnsi="Times New Roman" w:cs="Times New Roman"/>
          <w:iCs/>
          <w:noProof/>
          <w:sz w:val="24"/>
          <w:szCs w:val="24"/>
        </w:rPr>
      </w:pPr>
      <w:r>
        <w:rPr>
          <w:noProof/>
        </w:rPr>
        <w:br w:type="page"/>
      </w:r>
    </w:p>
    <w:p>
      <w:pPr>
        <w:spacing w:after="240"/>
        <w:jc w:val="both"/>
        <w:rPr>
          <w:rFonts w:ascii="Times New Roman" w:hAnsi="Times New Roman" w:cs="Times New Roman"/>
          <w:iCs/>
          <w:noProof/>
          <w:sz w:val="24"/>
          <w:szCs w:val="24"/>
        </w:rPr>
      </w:pPr>
    </w:p>
    <w:p>
      <w:pPr>
        <w:spacing w:after="120"/>
        <w:jc w:val="both"/>
        <w:rPr>
          <w:rFonts w:ascii="Times New Roman" w:hAnsi="Times New Roman" w:cs="Times New Roman"/>
          <w:b/>
          <w:noProof/>
          <w:sz w:val="20"/>
          <w:szCs w:val="20"/>
        </w:rPr>
      </w:pPr>
      <w:bookmarkStart w:id="4" w:name="OLE_LINK1"/>
      <w:bookmarkStart w:id="5" w:name="OLE_LINK2"/>
      <w:r>
        <w:rPr>
          <w:rFonts w:ascii="Times New Roman" w:hAnsi="Times New Roman"/>
          <w:b/>
          <w:noProof/>
          <w:sz w:val="20"/>
          <w:szCs w:val="20"/>
        </w:rPr>
        <w:t>Фигура 12: Дял на площта, обхваната от групите местообитания от приложение I, за които е необходимо подобряване, както е докладвано от държавите членки</w:t>
      </w:r>
    </w:p>
    <w:p>
      <w:pPr>
        <w:jc w:val="both"/>
        <w:rPr>
          <w:rFonts w:ascii="Times New Roman" w:hAnsi="Times New Roman" w:cs="Times New Roman"/>
          <w:b/>
          <w:noProof/>
          <w:sz w:val="18"/>
          <w:szCs w:val="18"/>
        </w:rPr>
      </w:pPr>
      <w:r>
        <w:rPr>
          <w:noProof/>
          <w:lang w:val="en-GB" w:eastAsia="en-GB"/>
        </w:rPr>
        <w:drawing>
          <wp:inline distT="0" distB="0" distL="0" distR="0">
            <wp:extent cx="5731510" cy="2971800"/>
            <wp:effectExtent l="0" t="0" r="2540" b="0"/>
            <wp:docPr id="35" name="Εικόνα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731510" cy="2971800"/>
                    </a:xfrm>
                    <a:prstGeom prst="rect">
                      <a:avLst/>
                    </a:prstGeom>
                    <a:noFill/>
                    <a:ln>
                      <a:noFill/>
                    </a:ln>
                  </pic:spPr>
                </pic:pic>
              </a:graphicData>
            </a:graphic>
          </wp:inline>
        </w:drawing>
      </w:r>
    </w:p>
    <w:p>
      <w:pPr>
        <w:spacing w:after="240"/>
        <w:jc w:val="both"/>
        <w:rPr>
          <w:rFonts w:ascii="Times New Roman" w:hAnsi="Times New Roman" w:cs="Times New Roman"/>
          <w:noProof/>
          <w:sz w:val="18"/>
          <w:szCs w:val="18"/>
        </w:rPr>
      </w:pPr>
      <w:r>
        <w:rPr>
          <w:rFonts w:ascii="Times New Roman" w:hAnsi="Times New Roman"/>
          <w:b/>
          <w:noProof/>
          <w:sz w:val="18"/>
          <w:szCs w:val="18"/>
        </w:rPr>
        <w:t xml:space="preserve">Забележка: </w:t>
      </w:r>
      <w:r>
        <w:rPr>
          <w:rFonts w:ascii="Times New Roman" w:hAnsi="Times New Roman"/>
          <w:noProof/>
          <w:sz w:val="18"/>
          <w:szCs w:val="18"/>
        </w:rPr>
        <w:t>Обединеното кралство и местообитание 8310 (естествени пещери) са изключени от изчисленията.</w:t>
      </w:r>
      <w:bookmarkEnd w:id="4"/>
      <w:bookmarkEnd w:id="5"/>
    </w:p>
    <w:p>
      <w:pPr>
        <w:rPr>
          <w:rFonts w:ascii="Times New Roman" w:hAnsi="Times New Roman" w:cs="Times New Roman"/>
          <w:noProof/>
          <w:sz w:val="24"/>
          <w:szCs w:val="24"/>
        </w:rPr>
      </w:pPr>
      <w:r>
        <w:rPr>
          <w:rFonts w:ascii="Times New Roman" w:hAnsi="Times New Roman"/>
          <w:noProof/>
          <w:sz w:val="24"/>
          <w:szCs w:val="24"/>
        </w:rPr>
        <w:t>Някои от основните констатации от оценката са, че:</w:t>
      </w:r>
    </w:p>
    <w:p>
      <w:pPr>
        <w:pStyle w:val="ListParagraph"/>
        <w:numPr>
          <w:ilvl w:val="0"/>
          <w:numId w:val="6"/>
        </w:numPr>
        <w:spacing w:after="120"/>
        <w:ind w:left="681" w:hanging="397"/>
        <w:contextualSpacing w:val="0"/>
        <w:jc w:val="both"/>
        <w:rPr>
          <w:rFonts w:ascii="Times New Roman" w:hAnsi="Times New Roman" w:cs="Times New Roman"/>
          <w:b/>
          <w:noProof/>
          <w:sz w:val="24"/>
          <w:szCs w:val="24"/>
        </w:rPr>
      </w:pPr>
      <w:r>
        <w:rPr>
          <w:rFonts w:ascii="Times New Roman" w:hAnsi="Times New Roman"/>
          <w:noProof/>
          <w:sz w:val="24"/>
          <w:szCs w:val="24"/>
        </w:rPr>
        <w:t>площта на защитените местообитания, за които е необходимо подобряване, се изчислява средно на около 215 000 </w:t>
      </w:r>
      <w:r>
        <w:rPr>
          <w:rFonts w:ascii="Times New Roman" w:hAnsi="Times New Roman" w:cs="Times New Roman"/>
          <w:noProof/>
          <w:sz w:val="24"/>
          <w:szCs w:val="24"/>
        </w:rPr>
        <w:t>km</w:t>
      </w:r>
      <w:r>
        <w:rPr>
          <w:rFonts w:ascii="Times New Roman" w:hAnsi="Times New Roman"/>
          <w:noProof/>
          <w:sz w:val="24"/>
          <w:szCs w:val="24"/>
          <w:vertAlign w:val="superscript"/>
        </w:rPr>
        <w:t>2</w:t>
      </w:r>
      <w:r>
        <w:rPr>
          <w:rFonts w:ascii="Times New Roman" w:hAnsi="Times New Roman"/>
          <w:noProof/>
          <w:sz w:val="24"/>
          <w:szCs w:val="24"/>
        </w:rPr>
        <w:t xml:space="preserve"> (или 5 % от територията на ЕС-27</w:t>
      </w:r>
      <w:r>
        <w:rPr>
          <w:rStyle w:val="FootnoteReference"/>
          <w:rFonts w:ascii="Times New Roman" w:hAnsi="Times New Roman" w:cs="Times New Roman"/>
          <w:noProof/>
          <w:sz w:val="24"/>
          <w:szCs w:val="24"/>
        </w:rPr>
        <w:footnoteReference w:id="21"/>
      </w:r>
      <w:r>
        <w:rPr>
          <w:rFonts w:ascii="Times New Roman" w:hAnsi="Times New Roman"/>
          <w:noProof/>
          <w:sz w:val="24"/>
          <w:szCs w:val="24"/>
        </w:rPr>
        <w:t>). Най-голяма необходимост от подобряване имат горите с около 19,5 % (около 100 000 </w:t>
      </w:r>
      <w:r>
        <w:rPr>
          <w:rFonts w:ascii="Times New Roman" w:hAnsi="Times New Roman" w:cs="Times New Roman"/>
          <w:noProof/>
          <w:sz w:val="24"/>
          <w:szCs w:val="24"/>
        </w:rPr>
        <w:t>km</w:t>
      </w:r>
      <w:r>
        <w:rPr>
          <w:rFonts w:ascii="Times New Roman" w:hAnsi="Times New Roman"/>
          <w:noProof/>
          <w:sz w:val="24"/>
          <w:szCs w:val="24"/>
          <w:vertAlign w:val="superscript"/>
        </w:rPr>
        <w:t>2</w:t>
      </w:r>
      <w:r>
        <w:rPr>
          <w:rFonts w:ascii="Times New Roman" w:hAnsi="Times New Roman"/>
          <w:noProof/>
          <w:sz w:val="24"/>
          <w:szCs w:val="24"/>
        </w:rPr>
        <w:t>), следвани от крайбрежните местообитания с 16 % (около 46 000 </w:t>
      </w:r>
      <w:r>
        <w:rPr>
          <w:rFonts w:ascii="Times New Roman" w:hAnsi="Times New Roman" w:cs="Times New Roman"/>
          <w:noProof/>
          <w:sz w:val="24"/>
          <w:szCs w:val="24"/>
        </w:rPr>
        <w:t>km</w:t>
      </w:r>
      <w:r>
        <w:rPr>
          <w:rFonts w:ascii="Times New Roman" w:hAnsi="Times New Roman"/>
          <w:noProof/>
          <w:sz w:val="24"/>
          <w:szCs w:val="24"/>
          <w:vertAlign w:val="superscript"/>
        </w:rPr>
        <w:t>2</w:t>
      </w:r>
      <w:r>
        <w:rPr>
          <w:rFonts w:ascii="Times New Roman" w:hAnsi="Times New Roman"/>
          <w:noProof/>
          <w:sz w:val="24"/>
          <w:szCs w:val="24"/>
        </w:rPr>
        <w:t>), тревните съобщества с 13,5 % (около 33 000 </w:t>
      </w:r>
      <w:r>
        <w:rPr>
          <w:rFonts w:ascii="Times New Roman" w:hAnsi="Times New Roman" w:cs="Times New Roman"/>
          <w:noProof/>
          <w:sz w:val="24"/>
          <w:szCs w:val="24"/>
        </w:rPr>
        <w:t>km</w:t>
      </w:r>
      <w:r>
        <w:rPr>
          <w:rFonts w:ascii="Times New Roman" w:hAnsi="Times New Roman"/>
          <w:noProof/>
          <w:sz w:val="24"/>
          <w:szCs w:val="24"/>
          <w:vertAlign w:val="superscript"/>
        </w:rPr>
        <w:t>2</w:t>
      </w:r>
      <w:r>
        <w:rPr>
          <w:rFonts w:ascii="Times New Roman" w:hAnsi="Times New Roman"/>
          <w:noProof/>
          <w:sz w:val="24"/>
          <w:szCs w:val="24"/>
        </w:rPr>
        <w:t>), сладководните местообитания с 10,5 % (около 13 500 </w:t>
      </w:r>
      <w:r>
        <w:rPr>
          <w:rFonts w:ascii="Times New Roman" w:hAnsi="Times New Roman" w:cs="Times New Roman"/>
          <w:noProof/>
          <w:sz w:val="24"/>
          <w:szCs w:val="24"/>
        </w:rPr>
        <w:t>km</w:t>
      </w:r>
      <w:r>
        <w:rPr>
          <w:rFonts w:ascii="Times New Roman" w:hAnsi="Times New Roman"/>
          <w:noProof/>
          <w:sz w:val="24"/>
          <w:szCs w:val="24"/>
          <w:vertAlign w:val="superscript"/>
        </w:rPr>
        <w:t>2</w:t>
      </w:r>
      <w:r>
        <w:rPr>
          <w:rFonts w:ascii="Times New Roman" w:hAnsi="Times New Roman"/>
          <w:noProof/>
          <w:sz w:val="24"/>
          <w:szCs w:val="24"/>
        </w:rPr>
        <w:t>) и тресавищата, калищата и мочурищата с 9 % (около 10 900 </w:t>
      </w:r>
      <w:r>
        <w:rPr>
          <w:rFonts w:ascii="Times New Roman" w:hAnsi="Times New Roman" w:cs="Times New Roman"/>
          <w:noProof/>
          <w:sz w:val="24"/>
          <w:szCs w:val="24"/>
        </w:rPr>
        <w:t>km</w:t>
      </w:r>
      <w:r>
        <w:rPr>
          <w:rFonts w:ascii="Times New Roman" w:hAnsi="Times New Roman"/>
          <w:noProof/>
          <w:sz w:val="24"/>
          <w:szCs w:val="24"/>
          <w:vertAlign w:val="superscript"/>
        </w:rPr>
        <w:t>2</w:t>
      </w:r>
      <w:r>
        <w:rPr>
          <w:rFonts w:ascii="Times New Roman" w:hAnsi="Times New Roman"/>
          <w:noProof/>
          <w:sz w:val="24"/>
          <w:szCs w:val="24"/>
        </w:rPr>
        <w:t>);</w:t>
      </w:r>
    </w:p>
    <w:p>
      <w:pPr>
        <w:pStyle w:val="ListParagraph"/>
        <w:numPr>
          <w:ilvl w:val="0"/>
          <w:numId w:val="6"/>
        </w:numPr>
        <w:spacing w:after="120"/>
        <w:ind w:left="681" w:hanging="397"/>
        <w:contextualSpacing w:val="0"/>
        <w:jc w:val="both"/>
        <w:rPr>
          <w:rFonts w:ascii="Times New Roman" w:hAnsi="Times New Roman" w:cs="Times New Roman"/>
          <w:noProof/>
          <w:sz w:val="24"/>
          <w:szCs w:val="24"/>
        </w:rPr>
      </w:pPr>
      <w:r>
        <w:rPr>
          <w:rFonts w:ascii="Times New Roman" w:hAnsi="Times New Roman"/>
          <w:noProof/>
          <w:sz w:val="24"/>
          <w:szCs w:val="24"/>
        </w:rPr>
        <w:t>най-малко 11 000 </w:t>
      </w:r>
      <w:r>
        <w:rPr>
          <w:rFonts w:ascii="Times New Roman" w:hAnsi="Times New Roman" w:cs="Times New Roman"/>
          <w:noProof/>
          <w:sz w:val="24"/>
          <w:szCs w:val="24"/>
        </w:rPr>
        <w:t>km</w:t>
      </w:r>
      <w:r>
        <w:rPr>
          <w:rFonts w:ascii="Times New Roman" w:hAnsi="Times New Roman"/>
          <w:noProof/>
          <w:sz w:val="24"/>
          <w:szCs w:val="24"/>
          <w:vertAlign w:val="superscript"/>
        </w:rPr>
        <w:t>2</w:t>
      </w:r>
      <w:r>
        <w:rPr>
          <w:rFonts w:ascii="Times New Roman" w:hAnsi="Times New Roman"/>
          <w:noProof/>
          <w:sz w:val="24"/>
          <w:szCs w:val="24"/>
        </w:rPr>
        <w:t xml:space="preserve"> от местообитанията от приложение I трябва да бъдат (пре)създадени, за да се добавят към съществуващата площ, с цел осигуряване на дългосрочна жизнеспособност на всички типове местообитания. Групите местообитания с най-големи площи за (пре)създаване са горите (4 600 </w:t>
      </w:r>
      <w:r>
        <w:rPr>
          <w:rFonts w:ascii="Times New Roman" w:hAnsi="Times New Roman" w:cs="Times New Roman"/>
          <w:noProof/>
          <w:sz w:val="24"/>
          <w:szCs w:val="24"/>
        </w:rPr>
        <w:t>km</w:t>
      </w:r>
      <w:r>
        <w:rPr>
          <w:rFonts w:ascii="Times New Roman" w:hAnsi="Times New Roman"/>
          <w:noProof/>
          <w:sz w:val="24"/>
          <w:szCs w:val="24"/>
          <w:vertAlign w:val="superscript"/>
        </w:rPr>
        <w:t>2</w:t>
      </w:r>
      <w:r>
        <w:rPr>
          <w:rFonts w:ascii="Times New Roman" w:hAnsi="Times New Roman"/>
          <w:noProof/>
          <w:sz w:val="24"/>
          <w:szCs w:val="24"/>
        </w:rPr>
        <w:t>), тревните съобщества (1 900 </w:t>
      </w:r>
      <w:r>
        <w:rPr>
          <w:rFonts w:ascii="Times New Roman" w:hAnsi="Times New Roman" w:cs="Times New Roman"/>
          <w:noProof/>
          <w:sz w:val="24"/>
          <w:szCs w:val="24"/>
        </w:rPr>
        <w:t>km</w:t>
      </w:r>
      <w:r>
        <w:rPr>
          <w:rFonts w:ascii="Times New Roman" w:hAnsi="Times New Roman"/>
          <w:noProof/>
          <w:sz w:val="24"/>
          <w:szCs w:val="24"/>
          <w:vertAlign w:val="superscript"/>
        </w:rPr>
        <w:t>2</w:t>
      </w:r>
      <w:r>
        <w:rPr>
          <w:rFonts w:ascii="Times New Roman" w:hAnsi="Times New Roman"/>
          <w:noProof/>
          <w:sz w:val="24"/>
          <w:szCs w:val="24"/>
        </w:rPr>
        <w:t>), тресавищата, калищата и мочурищата (1 700 </w:t>
      </w:r>
      <w:r>
        <w:rPr>
          <w:rFonts w:ascii="Times New Roman" w:hAnsi="Times New Roman" w:cs="Times New Roman"/>
          <w:noProof/>
          <w:sz w:val="24"/>
          <w:szCs w:val="24"/>
        </w:rPr>
        <w:t>km</w:t>
      </w:r>
      <w:r>
        <w:rPr>
          <w:rFonts w:ascii="Times New Roman" w:hAnsi="Times New Roman"/>
          <w:noProof/>
          <w:sz w:val="24"/>
          <w:szCs w:val="24"/>
          <w:vertAlign w:val="superscript"/>
        </w:rPr>
        <w:t>2</w:t>
      </w:r>
      <w:r>
        <w:rPr>
          <w:rFonts w:ascii="Times New Roman" w:hAnsi="Times New Roman"/>
          <w:noProof/>
          <w:sz w:val="24"/>
          <w:szCs w:val="24"/>
        </w:rPr>
        <w:t>) и крайбрежните местообитания (1 400 </w:t>
      </w:r>
      <w:r>
        <w:rPr>
          <w:rFonts w:ascii="Times New Roman" w:hAnsi="Times New Roman" w:cs="Times New Roman"/>
          <w:noProof/>
          <w:sz w:val="24"/>
          <w:szCs w:val="24"/>
        </w:rPr>
        <w:t>km</w:t>
      </w:r>
      <w:r>
        <w:rPr>
          <w:rFonts w:ascii="Times New Roman" w:hAnsi="Times New Roman"/>
          <w:noProof/>
          <w:sz w:val="24"/>
          <w:szCs w:val="24"/>
          <w:vertAlign w:val="superscript"/>
        </w:rPr>
        <w:t>2</w:t>
      </w:r>
      <w:r>
        <w:rPr>
          <w:rFonts w:ascii="Times New Roman" w:hAnsi="Times New Roman"/>
          <w:noProof/>
          <w:sz w:val="24"/>
          <w:szCs w:val="24"/>
        </w:rPr>
        <w:t>). Като цяло това се отнася за 1—1,5 % от общата съществуваща площ на тези групи местообитания;</w:t>
      </w:r>
    </w:p>
    <w:p>
      <w:pPr>
        <w:pStyle w:val="ListParagraph"/>
        <w:numPr>
          <w:ilvl w:val="0"/>
          <w:numId w:val="6"/>
        </w:numPr>
        <w:spacing w:after="120"/>
        <w:ind w:left="709"/>
        <w:contextualSpacing w:val="0"/>
        <w:jc w:val="both"/>
        <w:rPr>
          <w:rFonts w:ascii="Times New Roman" w:hAnsi="Times New Roman" w:cs="Times New Roman"/>
          <w:noProof/>
          <w:sz w:val="24"/>
          <w:szCs w:val="24"/>
        </w:rPr>
      </w:pPr>
      <w:r>
        <w:rPr>
          <w:rFonts w:ascii="Times New Roman" w:hAnsi="Times New Roman"/>
          <w:noProof/>
          <w:sz w:val="24"/>
          <w:szCs w:val="24"/>
        </w:rPr>
        <w:t>биогеографските региони с най-голяма необходимост от подобряване на състоянието на съществуващите области на местообитанията са континенталният, средиземноморският, атлантическият, морският атлантически и бореалният;</w:t>
      </w:r>
    </w:p>
    <w:p>
      <w:pPr>
        <w:pStyle w:val="ListParagraph"/>
        <w:numPr>
          <w:ilvl w:val="0"/>
          <w:numId w:val="6"/>
        </w:numPr>
        <w:spacing w:after="120"/>
        <w:ind w:left="681" w:hanging="397"/>
        <w:contextualSpacing w:val="0"/>
        <w:jc w:val="both"/>
        <w:rPr>
          <w:rFonts w:ascii="Times New Roman" w:hAnsi="Times New Roman" w:cs="Times New Roman"/>
          <w:noProof/>
          <w:sz w:val="24"/>
          <w:szCs w:val="24"/>
        </w:rPr>
      </w:pPr>
      <w:r>
        <w:rPr>
          <w:rFonts w:ascii="Times New Roman" w:hAnsi="Times New Roman"/>
          <w:noProof/>
          <w:sz w:val="24"/>
          <w:szCs w:val="24"/>
        </w:rPr>
        <w:t>много от местообитанията от приложение I, за които е необходимо възстановяване, са особено богати на въглерод, като предоставят значителни възможности за съхраняване и улавяне на въглерод в надземната и подземната биомаса и в почвата. За около 16 % от тези богати на въглерод области е необходимо подобряване (154 000 </w:t>
      </w:r>
      <w:r>
        <w:rPr>
          <w:rFonts w:ascii="Times New Roman" w:hAnsi="Times New Roman" w:cs="Times New Roman"/>
          <w:noProof/>
          <w:sz w:val="24"/>
          <w:szCs w:val="24"/>
        </w:rPr>
        <w:t>km</w:t>
      </w:r>
      <w:r>
        <w:rPr>
          <w:rFonts w:ascii="Times New Roman" w:hAnsi="Times New Roman"/>
          <w:noProof/>
          <w:sz w:val="24"/>
          <w:szCs w:val="24"/>
          <w:vertAlign w:val="superscript"/>
        </w:rPr>
        <w:t>2</w:t>
      </w:r>
      <w:r>
        <w:rPr>
          <w:rFonts w:ascii="Times New Roman" w:hAnsi="Times New Roman"/>
          <w:noProof/>
          <w:sz w:val="24"/>
          <w:szCs w:val="24"/>
        </w:rPr>
        <w:t>). Тяхното възстановяване и поддържане може да допринесе значително за смекчаване на последиците от изменението на климата; и</w:t>
      </w:r>
    </w:p>
    <w:p>
      <w:pPr>
        <w:pStyle w:val="ListParagraph"/>
        <w:numPr>
          <w:ilvl w:val="0"/>
          <w:numId w:val="6"/>
        </w:numPr>
        <w:spacing w:after="240"/>
        <w:ind w:left="681" w:hanging="397"/>
        <w:contextualSpacing w:val="0"/>
        <w:jc w:val="both"/>
        <w:rPr>
          <w:rFonts w:ascii="Times New Roman" w:hAnsi="Times New Roman" w:cs="Times New Roman"/>
          <w:noProof/>
          <w:sz w:val="24"/>
          <w:szCs w:val="24"/>
        </w:rPr>
      </w:pPr>
      <w:r>
        <w:rPr>
          <w:rFonts w:ascii="Times New Roman" w:hAnsi="Times New Roman"/>
          <w:noProof/>
          <w:sz w:val="24"/>
          <w:szCs w:val="24"/>
        </w:rPr>
        <w:t>тъй като данните от мониторинга са недостатъчни, областите на местообитанията от приложение I, за които е необходимо възстановяване, вероятно ще бъдат много по-големи от настоящите оценки. Необходимо е цялостно картографиране на областите, богати на въглерод и природа, последиците от управлението, състоянието на местообитанията и други фактори, за да се вземат информирани решения относно приоритетите за възстановяване. Необходимо е също така да се обърне внимание на нуждите от възстановяване на птиците и другите видове, но понастоящем не се докладват данни за тях.</w:t>
      </w:r>
    </w:p>
    <w:p>
      <w:pPr>
        <w:spacing w:after="240"/>
        <w:ind w:left="284"/>
        <w:jc w:val="both"/>
        <w:rPr>
          <w:rFonts w:ascii="Times New Roman" w:hAnsi="Times New Roman" w:cs="Times New Roman"/>
          <w:noProof/>
          <w:sz w:val="24"/>
          <w:szCs w:val="24"/>
        </w:rPr>
      </w:pPr>
    </w:p>
    <w:p>
      <w:pPr>
        <w:pStyle w:val="Heading1"/>
        <w:numPr>
          <w:ilvl w:val="0"/>
          <w:numId w:val="10"/>
        </w:numPr>
        <w:spacing w:after="240"/>
        <w:ind w:left="714" w:hanging="357"/>
        <w:rPr>
          <w:rFonts w:eastAsia="Times New Roman"/>
          <w:noProof/>
          <w:color w:val="auto"/>
        </w:rPr>
      </w:pPr>
      <w:r>
        <w:rPr>
          <w:noProof/>
          <w:color w:val="auto"/>
        </w:rPr>
        <w:t>Ролята на мрежата „Натура 2000“</w:t>
      </w:r>
    </w:p>
    <w:p>
      <w:pPr>
        <w:spacing w:after="240"/>
        <w:jc w:val="both"/>
        <w:rPr>
          <w:rFonts w:ascii="Times New Roman" w:eastAsia="ヒラギノ角ゴ Pro W3" w:hAnsi="Times New Roman" w:cs="Times New Roman"/>
          <w:iCs/>
          <w:noProof/>
          <w:sz w:val="24"/>
          <w:szCs w:val="24"/>
        </w:rPr>
      </w:pPr>
      <w:r>
        <w:rPr>
          <w:rFonts w:ascii="Times New Roman" w:hAnsi="Times New Roman"/>
          <w:iCs/>
          <w:noProof/>
          <w:sz w:val="24"/>
          <w:szCs w:val="24"/>
        </w:rPr>
        <w:t xml:space="preserve">Мрежата „Натура 2000“ се състои от </w:t>
      </w:r>
      <w:r>
        <w:rPr>
          <w:rFonts w:ascii="Times New Roman" w:hAnsi="Times New Roman"/>
          <w:noProof/>
          <w:sz w:val="24"/>
          <w:szCs w:val="24"/>
        </w:rPr>
        <w:t>специални защитени зони, категоризирани по силата на Директивата за птиците, и специални защитени зони, определени по силата на Директивата за местообитанията</w:t>
      </w:r>
      <w:r>
        <w:rPr>
          <w:rStyle w:val="FootnoteReference"/>
          <w:rFonts w:ascii="Times New Roman" w:hAnsi="Times New Roman" w:cs="Times New Roman"/>
          <w:noProof/>
          <w:sz w:val="24"/>
          <w:szCs w:val="24"/>
        </w:rPr>
        <w:footnoteReference w:id="22"/>
      </w:r>
      <w:r>
        <w:rPr>
          <w:rFonts w:ascii="Times New Roman" w:hAnsi="Times New Roman"/>
          <w:noProof/>
          <w:sz w:val="24"/>
          <w:szCs w:val="24"/>
        </w:rPr>
        <w:t xml:space="preserve">. Тя </w:t>
      </w:r>
      <w:r>
        <w:rPr>
          <w:rFonts w:ascii="Times New Roman" w:hAnsi="Times New Roman"/>
          <w:iCs/>
          <w:noProof/>
          <w:sz w:val="24"/>
          <w:szCs w:val="24"/>
        </w:rPr>
        <w:t xml:space="preserve">представлява най-голямата координирана мрежа от защитени зони в света и е ключов инструмент в ЕС за </w:t>
      </w:r>
      <w:r>
        <w:rPr>
          <w:rFonts w:ascii="Times New Roman" w:hAnsi="Times New Roman"/>
          <w:iCs/>
          <w:noProof/>
          <w:sz w:val="24"/>
          <w:szCs w:val="24"/>
          <w:lang w:val="en-GB"/>
        </w:rPr>
        <w:t>o</w:t>
      </w:r>
      <w:r>
        <w:rPr>
          <w:rFonts w:ascii="Times New Roman" w:hAnsi="Times New Roman"/>
          <w:iCs/>
          <w:noProof/>
          <w:sz w:val="24"/>
          <w:szCs w:val="24"/>
        </w:rPr>
        <w:t>пазване/възстановяване на природозащитния статус на защитените местообитания и видове.</w:t>
      </w:r>
    </w:p>
    <w:p>
      <w:pPr>
        <w:autoSpaceDE w:val="0"/>
        <w:autoSpaceDN w:val="0"/>
        <w:adjustRightInd w:val="0"/>
        <w:spacing w:after="240"/>
        <w:jc w:val="both"/>
        <w:rPr>
          <w:rFonts w:ascii="Times New Roman" w:eastAsia="Times New Roman" w:hAnsi="Times New Roman" w:cs="Times New Roman"/>
          <w:noProof/>
          <w:sz w:val="24"/>
          <w:szCs w:val="24"/>
        </w:rPr>
      </w:pPr>
      <w:r>
        <w:rPr>
          <w:rFonts w:ascii="Times New Roman" w:hAnsi="Times New Roman"/>
          <w:noProof/>
          <w:sz w:val="24"/>
          <w:szCs w:val="24"/>
        </w:rPr>
        <w:t>Към края на 2019 г. „Натура 2000“ включва 27 852 територии с площ 1 358 125 </w:t>
      </w:r>
      <w:r>
        <w:rPr>
          <w:rFonts w:ascii="Times New Roman" w:eastAsia="Times New Roman" w:hAnsi="Times New Roman" w:cs="Times New Roman"/>
          <w:noProof/>
          <w:sz w:val="24"/>
          <w:szCs w:val="24"/>
        </w:rPr>
        <w:t>km</w:t>
      </w:r>
      <w:r>
        <w:rPr>
          <w:rFonts w:ascii="Times New Roman" w:hAnsi="Times New Roman"/>
          <w:noProof/>
          <w:sz w:val="24"/>
          <w:szCs w:val="24"/>
          <w:vertAlign w:val="superscript"/>
        </w:rPr>
        <w:t>2</w:t>
      </w:r>
      <w:r>
        <w:rPr>
          <w:rFonts w:ascii="Times New Roman" w:hAnsi="Times New Roman"/>
          <w:noProof/>
          <w:sz w:val="24"/>
          <w:szCs w:val="24"/>
        </w:rPr>
        <w:t>. Тя обхваща 17,9 % от сухоземната територия на ЕС и 9,7 % от неговите морски води. Обхватът се различава значително между държавите членки: сухоземният обхват на мрежата варира от 8 % в Дания до 38 % в Словения, а морският — от 2 % в Италия до 46 % в Германия</w:t>
      </w:r>
      <w:r>
        <w:rPr>
          <w:rStyle w:val="FootnoteReference"/>
          <w:rFonts w:ascii="Times New Roman" w:eastAsia="Times New Roman" w:hAnsi="Times New Roman" w:cs="Times New Roman"/>
          <w:noProof/>
          <w:sz w:val="24"/>
          <w:szCs w:val="24"/>
        </w:rPr>
        <w:footnoteReference w:id="23"/>
      </w:r>
      <w:r>
        <w:rPr>
          <w:rFonts w:ascii="Times New Roman" w:hAnsi="Times New Roman"/>
          <w:noProof/>
          <w:sz w:val="24"/>
          <w:szCs w:val="24"/>
        </w:rPr>
        <w:t>.</w:t>
      </w:r>
    </w:p>
    <w:p>
      <w:pPr>
        <w:autoSpaceDE w:val="0"/>
        <w:autoSpaceDN w:val="0"/>
        <w:adjustRightInd w:val="0"/>
        <w:spacing w:after="120"/>
        <w:jc w:val="both"/>
        <w:rPr>
          <w:rFonts w:ascii="Times New Roman" w:eastAsia="Times New Roman" w:hAnsi="Times New Roman" w:cs="Times New Roman"/>
          <w:noProof/>
          <w:sz w:val="24"/>
          <w:szCs w:val="24"/>
        </w:rPr>
      </w:pPr>
      <w:r>
        <w:rPr>
          <w:rFonts w:ascii="Times New Roman" w:hAnsi="Times New Roman"/>
          <w:noProof/>
          <w:sz w:val="24"/>
          <w:szCs w:val="24"/>
        </w:rPr>
        <w:t>От последния период на докладване:</w:t>
      </w:r>
    </w:p>
    <w:p>
      <w:pPr>
        <w:pStyle w:val="ListParagraph"/>
        <w:numPr>
          <w:ilvl w:val="0"/>
          <w:numId w:val="11"/>
        </w:numPr>
        <w:autoSpaceDE w:val="0"/>
        <w:autoSpaceDN w:val="0"/>
        <w:adjustRightInd w:val="0"/>
        <w:spacing w:after="120"/>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морската мрежа се е удвоила по площ;</w:t>
      </w:r>
    </w:p>
    <w:p>
      <w:pPr>
        <w:pStyle w:val="ListParagraph"/>
        <w:numPr>
          <w:ilvl w:val="0"/>
          <w:numId w:val="11"/>
        </w:numPr>
        <w:autoSpaceDE w:val="0"/>
        <w:autoSpaceDN w:val="0"/>
        <w:adjustRightInd w:val="0"/>
        <w:spacing w:after="120"/>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броят на определените специални защитени зони по Директивата за местообитанията се е увеличил повече от два пъти със 7 262 нови определени територии; и</w:t>
      </w:r>
    </w:p>
    <w:p>
      <w:pPr>
        <w:pStyle w:val="ListParagraph"/>
        <w:numPr>
          <w:ilvl w:val="0"/>
          <w:numId w:val="11"/>
        </w:numPr>
        <w:autoSpaceDE w:val="0"/>
        <w:autoSpaceDN w:val="0"/>
        <w:adjustRightInd w:val="0"/>
        <w:spacing w:after="240"/>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броят на териториите, за които е докладвано, че имат комплексни планове за управление, се е увеличил значително.</w:t>
      </w:r>
    </w:p>
    <w:p>
      <w:pPr>
        <w:autoSpaceDE w:val="0"/>
        <w:autoSpaceDN w:val="0"/>
        <w:adjustRightInd w:val="0"/>
        <w:spacing w:after="240"/>
        <w:ind w:left="284"/>
        <w:jc w:val="both"/>
        <w:rPr>
          <w:rFonts w:ascii="Times New Roman" w:eastAsia="Times New Roman" w:hAnsi="Times New Roman" w:cs="Times New Roman"/>
          <w:noProof/>
          <w:sz w:val="24"/>
          <w:szCs w:val="24"/>
        </w:rPr>
      </w:pPr>
    </w:p>
    <w:p>
      <w:pPr>
        <w:keepNext/>
        <w:spacing w:after="120" w:line="240" w:lineRule="auto"/>
        <w:jc w:val="both"/>
        <w:rPr>
          <w:rFonts w:ascii="Times New Roman" w:eastAsia="Times New Roman" w:hAnsi="Times New Roman" w:cs="Times New Roman"/>
          <w:b/>
          <w:iCs/>
          <w:noProof/>
          <w:sz w:val="20"/>
          <w:szCs w:val="20"/>
        </w:rPr>
      </w:pPr>
      <w:r>
        <w:rPr>
          <w:rFonts w:ascii="Times New Roman" w:hAnsi="Times New Roman"/>
          <w:b/>
          <w:iCs/>
          <w:noProof/>
          <w:color w:val="808080" w:themeColor="background1" w:themeShade="80"/>
          <w:szCs w:val="18"/>
          <w:lang w:val="en-GB" w:eastAsia="en-GB"/>
        </w:rPr>
        <w:drawing>
          <wp:anchor distT="0" distB="0" distL="114300" distR="114300" simplePos="0" relativeHeight="251657728" behindDoc="0" locked="0" layoutInCell="1" allowOverlap="1">
            <wp:simplePos x="0" y="0"/>
            <wp:positionH relativeFrom="column">
              <wp:posOffset>0</wp:posOffset>
            </wp:positionH>
            <wp:positionV relativeFrom="paragraph">
              <wp:posOffset>234315</wp:posOffset>
            </wp:positionV>
            <wp:extent cx="5276850" cy="3128010"/>
            <wp:effectExtent l="0" t="0" r="0" b="0"/>
            <wp:wrapTopAndBottom/>
            <wp:docPr id="1011755732" name="Grafik 1011755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40" cstate="print">
                      <a:extLst>
                        <a:ext uri="{28A0092B-C50C-407E-A947-70E740481C1C}">
                          <a14:useLocalDpi xmlns:a14="http://schemas.microsoft.com/office/drawing/2010/main"/>
                        </a:ext>
                      </a:extLst>
                    </a:blip>
                    <a:srcRect t="-254"/>
                    <a:stretch/>
                  </pic:blipFill>
                  <pic:spPr bwMode="auto">
                    <a:xfrm>
                      <a:off x="0" y="0"/>
                      <a:ext cx="5276850" cy="31280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b/>
          <w:noProof/>
          <w:sz w:val="20"/>
          <w:szCs w:val="20"/>
        </w:rPr>
        <w:t xml:space="preserve">Фигура 13: Кумулативна площ на мрежата „Натура 2000“ в </w:t>
      </w:r>
      <w:r>
        <w:rPr>
          <w:rFonts w:ascii="Times New Roman" w:hAnsi="Times New Roman"/>
          <w:b/>
          <w:noProof/>
          <w:sz w:val="20"/>
          <w:szCs w:val="20"/>
          <w:lang w:val="en-GB"/>
        </w:rPr>
        <w:t>km</w:t>
      </w:r>
      <w:r>
        <w:rPr>
          <w:rFonts w:ascii="Times New Roman" w:hAnsi="Times New Roman"/>
          <w:b/>
          <w:noProof/>
          <w:sz w:val="20"/>
          <w:szCs w:val="20"/>
        </w:rPr>
        <w:t>², 1993—2019 г.</w:t>
      </w:r>
    </w:p>
    <w:p>
      <w:pPr>
        <w:spacing w:after="0"/>
        <w:jc w:val="both"/>
        <w:rPr>
          <w:rFonts w:ascii="Times New Roman" w:hAnsi="Times New Roman" w:cs="Times New Roman"/>
          <w:noProof/>
          <w:color w:val="0070C0"/>
        </w:rPr>
      </w:pPr>
    </w:p>
    <w:p>
      <w:pPr>
        <w:spacing w:after="0"/>
        <w:jc w:val="both"/>
        <w:rPr>
          <w:rFonts w:ascii="Times New Roman" w:eastAsia="Times New Roman" w:hAnsi="Times New Roman" w:cs="Times New Roman"/>
          <w:b/>
          <w:iCs/>
          <w:noProof/>
          <w:sz w:val="18"/>
          <w:szCs w:val="18"/>
        </w:rPr>
      </w:pPr>
      <w:r>
        <w:rPr>
          <w:rFonts w:ascii="Times New Roman" w:hAnsi="Times New Roman"/>
          <w:b/>
          <w:noProof/>
          <w:sz w:val="18"/>
          <w:szCs w:val="18"/>
        </w:rPr>
        <w:t>Забележка:</w:t>
      </w:r>
      <w:r>
        <w:rPr>
          <w:rFonts w:ascii="Times New Roman" w:hAnsi="Times New Roman"/>
          <w:noProof/>
          <w:sz w:val="18"/>
          <w:szCs w:val="18"/>
        </w:rPr>
        <w:t xml:space="preserve"> Данните са за ЕС-28 и включват специалните защитени зони по Директивата за птиците, ТЗО, специалните защитени зони по Директивата за местообитанията и предложените ТЗО (които заедно образуват синята линия на ТЗО). В много случаи защитените зони по „Натура 2000“ са (частично или изцяло) едновременно специални защитени зони по Директивата за птиците и специални защитени зони по Директивата за местообитанията/ТЗО. Поради ограниченията за обработка на данните в ГИС площта на „Натура 2000“ се изчислява систематично едва след 2010 г.</w:t>
      </w:r>
    </w:p>
    <w:p>
      <w:pPr>
        <w:spacing w:after="240"/>
        <w:jc w:val="both"/>
        <w:rPr>
          <w:rFonts w:ascii="Times New Roman" w:eastAsia="Times New Roman" w:hAnsi="Times New Roman" w:cs="Times New Roman"/>
          <w:noProof/>
          <w:sz w:val="18"/>
          <w:szCs w:val="18"/>
        </w:rPr>
      </w:pPr>
      <w:r>
        <w:rPr>
          <w:rFonts w:ascii="Times New Roman" w:hAnsi="Times New Roman"/>
          <w:b/>
          <w:noProof/>
          <w:sz w:val="18"/>
          <w:szCs w:val="18"/>
        </w:rPr>
        <w:t>Източник:</w:t>
      </w:r>
      <w:r>
        <w:rPr>
          <w:rFonts w:ascii="Times New Roman" w:hAnsi="Times New Roman"/>
          <w:noProof/>
          <w:sz w:val="18"/>
          <w:szCs w:val="18"/>
        </w:rPr>
        <w:t xml:space="preserve"> Бази данни на мрежата „Натура 2000“.</w:t>
      </w:r>
      <w:bookmarkStart w:id="6" w:name="_Toc42152731"/>
    </w:p>
    <w:bookmarkEnd w:id="6"/>
    <w:p>
      <w:pPr>
        <w:spacing w:after="240"/>
        <w:jc w:val="both"/>
        <w:rPr>
          <w:rFonts w:ascii="Times New Roman" w:hAnsi="Times New Roman" w:cs="Times New Roman"/>
          <w:b/>
          <w:i/>
          <w:noProof/>
          <w:sz w:val="24"/>
          <w:szCs w:val="24"/>
          <w:u w:val="single"/>
        </w:rPr>
      </w:pPr>
      <w:r>
        <w:rPr>
          <w:rFonts w:ascii="Times New Roman" w:hAnsi="Times New Roman"/>
          <w:b/>
          <w:i/>
          <w:noProof/>
          <w:sz w:val="24"/>
          <w:szCs w:val="24"/>
          <w:u w:val="single"/>
        </w:rPr>
        <w:t xml:space="preserve">5.1. Ефективност на мрежата „Натура 2000“ </w:t>
      </w:r>
    </w:p>
    <w:p>
      <w:pPr>
        <w:spacing w:after="120"/>
        <w:jc w:val="both"/>
        <w:rPr>
          <w:rFonts w:ascii="Times New Roman" w:hAnsi="Times New Roman" w:cs="Times New Roman"/>
          <w:noProof/>
          <w:sz w:val="24"/>
          <w:szCs w:val="24"/>
        </w:rPr>
      </w:pPr>
      <w:r>
        <w:rPr>
          <w:rFonts w:ascii="Times New Roman" w:hAnsi="Times New Roman"/>
          <w:noProof/>
          <w:sz w:val="24"/>
          <w:szCs w:val="24"/>
        </w:rPr>
        <w:t>Настоящите доклади не предоставят информация, която да даде възможност за пряко сравнение на природозащитния статус на видовете и местообитанията в рамките на и извън „Натура 2000“. Поради това разгледахме други възможни показатели за ефективност, като връзката между представеността на видовете и местообитанията в мрежата и дела на тези от тях, които имат добър статус или подобряващи се тенденции. От резултатите, получени въз основа на оценките на държавите членки, е видно, че:</w:t>
      </w:r>
    </w:p>
    <w:p>
      <w:pPr>
        <w:numPr>
          <w:ilvl w:val="0"/>
          <w:numId w:val="5"/>
        </w:numPr>
        <w:kinsoku w:val="0"/>
        <w:overflowPunct w:val="0"/>
        <w:spacing w:after="120"/>
        <w:ind w:left="681" w:hanging="397"/>
        <w:jc w:val="both"/>
        <w:textAlignment w:val="baseline"/>
        <w:rPr>
          <w:rFonts w:ascii="Times New Roman" w:hAnsi="Times New Roman" w:cs="Times New Roman"/>
          <w:noProof/>
          <w:sz w:val="24"/>
          <w:szCs w:val="24"/>
        </w:rPr>
      </w:pPr>
      <w:r>
        <w:rPr>
          <w:rFonts w:ascii="Times New Roman" w:hAnsi="Times New Roman"/>
          <w:noProof/>
          <w:sz w:val="24"/>
          <w:szCs w:val="24"/>
        </w:rPr>
        <w:t xml:space="preserve">като цяло </w:t>
      </w:r>
      <w:r>
        <w:rPr>
          <w:rFonts w:ascii="Times New Roman" w:hAnsi="Times New Roman"/>
          <w:noProof/>
          <w:sz w:val="24"/>
          <w:szCs w:val="24"/>
          <w:u w:val="single"/>
        </w:rPr>
        <w:t>видовете и местообитанията</w:t>
      </w:r>
      <w:r>
        <w:rPr>
          <w:rFonts w:ascii="Times New Roman" w:hAnsi="Times New Roman"/>
          <w:noProof/>
          <w:sz w:val="24"/>
          <w:szCs w:val="24"/>
        </w:rPr>
        <w:t>, чиито области на местообитание или популации са добре представени (&gt; 75 %) в мрежата, е по-вероятно да имат добър природозащитен статус в сравнение с тези, които са по-слабо представени. Това е най-очевидно при дюнните местообитания и горите, както и при земноводните и рибите; и</w:t>
      </w:r>
    </w:p>
    <w:p>
      <w:pPr>
        <w:numPr>
          <w:ilvl w:val="0"/>
          <w:numId w:val="5"/>
        </w:numPr>
        <w:kinsoku w:val="0"/>
        <w:overflowPunct w:val="0"/>
        <w:spacing w:after="240"/>
        <w:ind w:left="681" w:hanging="397"/>
        <w:jc w:val="both"/>
        <w:textAlignment w:val="baseline"/>
        <w:rPr>
          <w:rFonts w:ascii="Times New Roman" w:hAnsi="Times New Roman" w:cs="Times New Roman"/>
          <w:noProof/>
          <w:sz w:val="24"/>
          <w:szCs w:val="24"/>
        </w:rPr>
      </w:pPr>
      <w:r>
        <w:rPr>
          <w:rFonts w:ascii="Times New Roman" w:hAnsi="Times New Roman"/>
          <w:noProof/>
          <w:sz w:val="24"/>
          <w:szCs w:val="24"/>
        </w:rPr>
        <w:t xml:space="preserve">при силно представените (&gt; 75 %) </w:t>
      </w:r>
      <w:r>
        <w:rPr>
          <w:rFonts w:ascii="Times New Roman" w:hAnsi="Times New Roman"/>
          <w:noProof/>
          <w:sz w:val="24"/>
          <w:szCs w:val="24"/>
          <w:u w:val="single"/>
        </w:rPr>
        <w:t>типове местообитания</w:t>
      </w:r>
      <w:r>
        <w:rPr>
          <w:rFonts w:ascii="Times New Roman" w:hAnsi="Times New Roman"/>
          <w:noProof/>
          <w:sz w:val="24"/>
          <w:szCs w:val="24"/>
        </w:rPr>
        <w:t xml:space="preserve"> в защитените зони по „Натура 2000“ се наблюдава (малко) по-голямо подобряване и по-малко влошаване, отколкото при по-слабо представените. Включването в обхвата на „Натура 2020“ изглежда се е отразило особено благоприятно на тресавищата, калищата и мочурищата, като за тях е докладвано подобряване от над 8 %. Местообитанията, при които се наблюдават най-значителни подобрения, напр. сухите атлантически крайбрежни ерикоидни съобщества с </w:t>
      </w:r>
      <w:r>
        <w:rPr>
          <w:rFonts w:ascii="Times New Roman" w:hAnsi="Times New Roman"/>
          <w:i/>
          <w:noProof/>
          <w:sz w:val="24"/>
          <w:szCs w:val="24"/>
        </w:rPr>
        <w:t>Erica vagans</w:t>
      </w:r>
      <w:r>
        <w:rPr>
          <w:rFonts w:ascii="Times New Roman" w:hAnsi="Times New Roman"/>
          <w:noProof/>
          <w:sz w:val="24"/>
          <w:szCs w:val="24"/>
        </w:rPr>
        <w:t xml:space="preserve"> и крайбрежните дюни с видове </w:t>
      </w:r>
      <w:r>
        <w:rPr>
          <w:rFonts w:ascii="Times New Roman" w:hAnsi="Times New Roman"/>
          <w:i/>
          <w:noProof/>
          <w:sz w:val="24"/>
          <w:szCs w:val="24"/>
        </w:rPr>
        <w:t>Juniperus</w:t>
      </w:r>
      <w:r>
        <w:rPr>
          <w:rFonts w:ascii="Times New Roman" w:hAnsi="Times New Roman"/>
          <w:noProof/>
          <w:sz w:val="24"/>
          <w:szCs w:val="24"/>
        </w:rPr>
        <w:t xml:space="preserve"> са широко защитени в мрежата.</w:t>
      </w:r>
    </w:p>
    <w:p>
      <w:pPr>
        <w:rPr>
          <w:rFonts w:ascii="Times New Roman" w:hAnsi="Times New Roman" w:cs="Times New Roman"/>
          <w:noProof/>
          <w:sz w:val="24"/>
          <w:szCs w:val="24"/>
        </w:rPr>
      </w:pPr>
      <w:r>
        <w:rPr>
          <w:noProof/>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tc>
          <w:tcPr>
            <w:tcW w:w="9016" w:type="dxa"/>
          </w:tcPr>
          <w:p>
            <w:pPr>
              <w:spacing w:before="120" w:after="120"/>
              <w:rPr>
                <w:rFonts w:ascii="Times New Roman" w:eastAsia="ヒラギノ角ゴ Pro W3" w:hAnsi="Times New Roman" w:cs="Times New Roman"/>
                <w:b/>
                <w:noProof/>
                <w:sz w:val="20"/>
                <w:szCs w:val="20"/>
              </w:rPr>
            </w:pPr>
            <w:r>
              <w:rPr>
                <w:rFonts w:ascii="Times New Roman" w:hAnsi="Times New Roman"/>
                <w:b/>
                <w:noProof/>
                <w:sz w:val="20"/>
                <w:szCs w:val="20"/>
              </w:rPr>
              <w:t>Фигура 14: Промени в природозащитния статус и тенденции при местообитанията от приложение I в рамките на различните класове на обхват на „Натура 2000“ (&lt; 35 %, 35—75 %, &gt; 75 %)</w:t>
            </w:r>
          </w:p>
          <w:p>
            <w:pPr>
              <w:spacing w:before="120" w:after="120"/>
              <w:rPr>
                <w:rFonts w:ascii="Times New Roman" w:hAnsi="Times New Roman" w:cs="Times New Roman"/>
                <w:noProof/>
                <w:sz w:val="24"/>
                <w:szCs w:val="24"/>
              </w:rPr>
            </w:pPr>
          </w:p>
        </w:tc>
      </w:tr>
      <w:tr>
        <w:tc>
          <w:tcPr>
            <w:tcW w:w="9016" w:type="dxa"/>
          </w:tcPr>
          <w:p>
            <w:pPr>
              <w:kinsoku w:val="0"/>
              <w:overflowPunct w:val="0"/>
              <w:spacing w:after="240"/>
              <w:jc w:val="both"/>
              <w:textAlignment w:val="baseline"/>
              <w:rPr>
                <w:rFonts w:ascii="Times New Roman" w:hAnsi="Times New Roman" w:cs="Times New Roman"/>
                <w:noProof/>
                <w:sz w:val="24"/>
                <w:szCs w:val="24"/>
              </w:rPr>
            </w:pPr>
            <w:r>
              <w:rPr>
                <w:rFonts w:ascii="Times New Roman" w:hAnsi="Times New Roman" w:cs="Times New Roman"/>
                <w:noProof/>
                <w:sz w:val="24"/>
                <w:szCs w:val="24"/>
                <w:lang w:val="en-GB" w:eastAsia="en-GB"/>
              </w:rPr>
              <w:drawing>
                <wp:inline distT="0" distB="0" distL="0" distR="0">
                  <wp:extent cx="5219700" cy="2514431"/>
                  <wp:effectExtent l="0" t="0" r="0" b="635"/>
                  <wp:docPr id="36" name="Εικόνα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231201" cy="2519971"/>
                          </a:xfrm>
                          <a:prstGeom prst="rect">
                            <a:avLst/>
                          </a:prstGeom>
                          <a:noFill/>
                          <a:ln>
                            <a:noFill/>
                          </a:ln>
                        </pic:spPr>
                      </pic:pic>
                    </a:graphicData>
                  </a:graphic>
                </wp:inline>
              </w:drawing>
            </w:r>
          </w:p>
        </w:tc>
      </w:tr>
      <w:tr>
        <w:tc>
          <w:tcPr>
            <w:tcW w:w="9016" w:type="dxa"/>
          </w:tcPr>
          <w:p>
            <w:pPr>
              <w:kinsoku w:val="0"/>
              <w:overflowPunct w:val="0"/>
              <w:spacing w:after="240"/>
              <w:jc w:val="both"/>
              <w:textAlignment w:val="baseline"/>
              <w:rPr>
                <w:rFonts w:ascii="Times New Roman" w:hAnsi="Times New Roman" w:cs="Times New Roman"/>
                <w:noProof/>
                <w:sz w:val="24"/>
                <w:szCs w:val="24"/>
              </w:rPr>
            </w:pPr>
            <w:r>
              <w:rPr>
                <w:rFonts w:ascii="Times New Roman" w:hAnsi="Times New Roman"/>
                <w:b/>
                <w:noProof/>
                <w:sz w:val="18"/>
                <w:szCs w:val="18"/>
              </w:rPr>
              <w:t>Забележка:</w:t>
            </w:r>
            <w:r>
              <w:rPr>
                <w:rFonts w:ascii="Times New Roman" w:hAnsi="Times New Roman"/>
                <w:noProof/>
                <w:sz w:val="18"/>
                <w:szCs w:val="18"/>
              </w:rPr>
              <w:t xml:space="preserve"> „Подобряване“ съответства на оценките за незадоволителен или лош статус, който се е подобрил или е станал добър, „остава благоприятен“ — на оценките за запазване на добър статус, „без промяна“ — на оценките за незадоволителен или лош статус, който не се е подобрил или се е влошил, „влошаване“ — на оценките за незадоволителен или лош статус, който допълнително се е влошил или се е променил от добър към незадоволителен или лош, и „неизвестен“ — на оценките без тенденция.</w:t>
            </w:r>
            <w:r>
              <w:rPr>
                <w:rFonts w:ascii="Times New Roman" w:hAnsi="Times New Roman"/>
                <w:noProof/>
              </w:rPr>
              <w:t xml:space="preserve"> </w:t>
            </w:r>
            <w:r>
              <w:rPr>
                <w:rFonts w:ascii="Times New Roman" w:hAnsi="Times New Roman"/>
                <w:noProof/>
                <w:sz w:val="18"/>
                <w:szCs w:val="18"/>
              </w:rPr>
              <w:t>Броят на оценките за всяка група е посочен в скоби. Общият брой на оценките е 2 970.</w:t>
            </w:r>
          </w:p>
        </w:tc>
      </w:tr>
    </w:tbl>
    <w:p>
      <w:pPr>
        <w:spacing w:after="240"/>
        <w:jc w:val="both"/>
        <w:rPr>
          <w:rFonts w:ascii="Times New Roman" w:hAnsi="Times New Roman" w:cs="Times New Roman"/>
          <w:noProof/>
          <w:sz w:val="24"/>
          <w:szCs w:val="24"/>
        </w:rPr>
      </w:pPr>
    </w:p>
    <w:p>
      <w:pPr>
        <w:spacing w:after="240"/>
        <w:jc w:val="both"/>
        <w:rPr>
          <w:rFonts w:ascii="Times New Roman" w:hAnsi="Times New Roman" w:cs="Times New Roman"/>
          <w:noProof/>
          <w:sz w:val="24"/>
          <w:szCs w:val="24"/>
        </w:rPr>
      </w:pPr>
      <w:r>
        <w:rPr>
          <w:rFonts w:ascii="Times New Roman" w:hAnsi="Times New Roman"/>
          <w:noProof/>
          <w:sz w:val="24"/>
          <w:szCs w:val="24"/>
        </w:rPr>
        <w:t>Като цяло докладваната информация не ни дава възможност да направим категорични заключения относно ефективността на мрежата „Натура 2000“. Това се дължи предимно на ограничения мониторинг, и по-специално на обичайната практика за мониторинг само на извадка от защитените зони по „Натура 2000“. За задоволителна оценка на ефективността на мерките, свързани с „Натура 2000“, мониторингът следва да включва събиране на повече данни за областите в рамките на и извън мрежата, както и за качеството на управлението на опазването.</w:t>
      </w:r>
    </w:p>
    <w:p>
      <w:pPr>
        <w:kinsoku w:val="0"/>
        <w:overflowPunct w:val="0"/>
        <w:spacing w:after="240"/>
        <w:jc w:val="both"/>
        <w:textAlignment w:val="baseline"/>
        <w:rPr>
          <w:rFonts w:ascii="Times New Roman" w:hAnsi="Times New Roman" w:cs="Times New Roman"/>
          <w:noProof/>
          <w:sz w:val="24"/>
          <w:szCs w:val="24"/>
        </w:rPr>
      </w:pPr>
      <w:r>
        <w:rPr>
          <w:rFonts w:ascii="Times New Roman" w:hAnsi="Times New Roman"/>
          <w:noProof/>
          <w:sz w:val="24"/>
          <w:szCs w:val="24"/>
        </w:rPr>
        <w:t>Въпреки някои положителни индикации за приноса на мрежата към природозащитния статус, наличната информация категорично показва, че нейният пълен потенциал все още не е разгърнат и че остава да бъдат отстранени значителни пропуски в реализацията.</w:t>
      </w:r>
    </w:p>
    <w:p>
      <w:pPr>
        <w:kinsoku w:val="0"/>
        <w:overflowPunct w:val="0"/>
        <w:spacing w:after="240"/>
        <w:jc w:val="both"/>
        <w:textAlignment w:val="baseline"/>
        <w:rPr>
          <w:rFonts w:ascii="Times New Roman" w:hAnsi="Times New Roman" w:cs="Times New Roman"/>
          <w:noProof/>
          <w:sz w:val="24"/>
          <w:szCs w:val="24"/>
        </w:rPr>
      </w:pPr>
    </w:p>
    <w:p>
      <w:pPr>
        <w:pStyle w:val="Heading1"/>
        <w:numPr>
          <w:ilvl w:val="0"/>
          <w:numId w:val="10"/>
        </w:numPr>
        <w:spacing w:after="240"/>
        <w:ind w:left="714" w:hanging="357"/>
        <w:rPr>
          <w:rFonts w:eastAsia="Times New Roman"/>
          <w:noProof/>
          <w:color w:val="auto"/>
        </w:rPr>
      </w:pPr>
      <w:r>
        <w:rPr>
          <w:noProof/>
          <w:color w:val="auto"/>
        </w:rPr>
        <w:t>Заключения и перспективи</w:t>
      </w:r>
    </w:p>
    <w:p>
      <w:pPr>
        <w:spacing w:after="240"/>
        <w:jc w:val="both"/>
        <w:rPr>
          <w:rFonts w:ascii="Times New Roman" w:hAnsi="Times New Roman" w:cs="Times New Roman"/>
          <w:noProof/>
          <w:sz w:val="24"/>
          <w:szCs w:val="24"/>
        </w:rPr>
      </w:pPr>
      <w:r>
        <w:rPr>
          <w:rFonts w:ascii="Times New Roman" w:hAnsi="Times New Roman"/>
          <w:noProof/>
          <w:sz w:val="24"/>
          <w:szCs w:val="24"/>
        </w:rPr>
        <w:t>Настоящата оценка на природозащитния статус представлява най-мащабната и най-пълна проверка на състоянието на природата, извършвана някога в ЕС. Тя предоставя стабилна основа за оценяване на прилагането на директивите за природата и солидни статистически базови данни за измерване на напредъка по новата стратегия за биологичното разнообразие за 2030 г.</w:t>
      </w:r>
    </w:p>
    <w:p>
      <w:pPr>
        <w:spacing w:after="240"/>
        <w:jc w:val="both"/>
        <w:rPr>
          <w:rFonts w:ascii="Times New Roman" w:hAnsi="Times New Roman" w:cs="Times New Roman"/>
          <w:noProof/>
          <w:sz w:val="24"/>
          <w:szCs w:val="24"/>
        </w:rPr>
      </w:pPr>
      <w:r>
        <w:rPr>
          <w:rFonts w:ascii="Times New Roman" w:hAnsi="Times New Roman"/>
          <w:noProof/>
          <w:sz w:val="24"/>
          <w:szCs w:val="24"/>
        </w:rPr>
        <w:t>От оценката е видно, че ЕС все още не е успял да спре намаляването на защитените типове местообитания и видове от природозащитно значение за ЕС. Ключовият натиск от земеползването и водопотреблението, довел до влошаване на състоянието на природата, все още съществува, вследствие на което има значителна разлика спрямо целта за 2020 г. за спиране и измеримо обръщане на тенденцията към влошаване на състоянието на видовете и местообитанията.</w:t>
      </w:r>
    </w:p>
    <w:p>
      <w:pPr>
        <w:spacing w:after="240"/>
        <w:jc w:val="both"/>
        <w:rPr>
          <w:rFonts w:ascii="Times New Roman" w:hAnsi="Times New Roman" w:cs="Times New Roman"/>
          <w:noProof/>
          <w:sz w:val="24"/>
          <w:szCs w:val="24"/>
        </w:rPr>
      </w:pPr>
      <w:r>
        <w:rPr>
          <w:rFonts w:ascii="Times New Roman" w:hAnsi="Times New Roman"/>
          <w:noProof/>
          <w:sz w:val="24"/>
          <w:szCs w:val="24"/>
        </w:rPr>
        <w:t>Окуражаващите примери за успех от всички държави членки показват какво може да се постигне чрез целенасочени действия, често подкрепяни чрез инициативи по програма LIFE на ЕС</w:t>
      </w:r>
      <w:r>
        <w:rPr>
          <w:rStyle w:val="FootnoteReference"/>
          <w:rFonts w:ascii="Times New Roman" w:hAnsi="Times New Roman" w:cs="Times New Roman"/>
          <w:noProof/>
          <w:sz w:val="24"/>
          <w:szCs w:val="24"/>
        </w:rPr>
        <w:footnoteReference w:id="24"/>
      </w:r>
      <w:r>
        <w:rPr>
          <w:rFonts w:ascii="Times New Roman" w:hAnsi="Times New Roman"/>
          <w:noProof/>
          <w:sz w:val="24"/>
          <w:szCs w:val="24"/>
        </w:rPr>
        <w:t xml:space="preserve"> или специални агроекологични схеми в рамките на oбщата селскостопанска политика. Подобен успех обаче не се постига в достатъчен мащаб.</w:t>
      </w:r>
    </w:p>
    <w:p>
      <w:pPr>
        <w:spacing w:after="240"/>
        <w:jc w:val="both"/>
        <w:rPr>
          <w:rFonts w:ascii="Times New Roman" w:hAnsi="Times New Roman" w:cs="Times New Roman"/>
          <w:noProof/>
          <w:sz w:val="24"/>
          <w:szCs w:val="24"/>
        </w:rPr>
      </w:pPr>
      <w:r>
        <w:rPr>
          <w:rFonts w:ascii="Times New Roman" w:hAnsi="Times New Roman"/>
          <w:noProof/>
          <w:sz w:val="24"/>
          <w:szCs w:val="24"/>
        </w:rPr>
        <w:t xml:space="preserve">Напредъкът по прилагането на двете директиви през последните 6 години (значително разширяване на мрежата „Натура 2000“ и повече защитени зони с планове за управление) не е достатъчен за подобряване на природозащитния статус. Създаването на напълно функционална мрежа от защитени зони все още е непълно, особено в морската среда. Освен това за голям брой зони все още предстои въвеждане на необходимите мерки за опазване, основани на ясно определени цели за опазване. Не е осъществена необходимата инвестиция в природата, </w:t>
      </w:r>
      <w:r>
        <w:rPr>
          <w:rFonts w:ascii="Times New Roman" w:hAnsi="Times New Roman"/>
          <w:i/>
          <w:noProof/>
          <w:sz w:val="24"/>
          <w:szCs w:val="24"/>
        </w:rPr>
        <w:t>inter alia</w:t>
      </w:r>
      <w:r>
        <w:rPr>
          <w:rFonts w:ascii="Times New Roman" w:hAnsi="Times New Roman"/>
          <w:noProof/>
          <w:sz w:val="24"/>
          <w:szCs w:val="24"/>
        </w:rPr>
        <w:t>, по отношение на възстановяването в рамките на и извън мрежата от защитени зони. Изискванията за природата не са включени в достатъчна степен в основните политики за земеползването и водопотреблението, за да се преодолее отрицателният натиск, който може да възникне от сектори като селското стопанство и горското стопанство. За голям брой морски защитени зони по „Натура 2000“ все още предстои да бъдат съгласувани и въведени мерки за управление на риболовните дейности. В допълнение, изменението на климата е нарастваща заплаха, с прогнози за рязко увеличаване на натиска и както на преките, така и на непреките въздействия върху видовете и местообитанията, като например от промени в земеползването и в географското положение или в качеството на местообитанията.</w:t>
      </w:r>
    </w:p>
    <w:p>
      <w:pPr>
        <w:spacing w:after="240"/>
        <w:jc w:val="both"/>
        <w:rPr>
          <w:rFonts w:ascii="Times New Roman" w:hAnsi="Times New Roman" w:cs="Times New Roman"/>
          <w:noProof/>
          <w:sz w:val="24"/>
          <w:szCs w:val="24"/>
        </w:rPr>
      </w:pPr>
      <w:r>
        <w:rPr>
          <w:rFonts w:ascii="Times New Roman" w:hAnsi="Times New Roman"/>
          <w:noProof/>
          <w:sz w:val="24"/>
          <w:szCs w:val="24"/>
        </w:rPr>
        <w:t xml:space="preserve">С настоящата оценка се подчертава необходимостта от качествена промяна в действията, ако искаме да дадем сериозна възможност на биологичното разнообразие в Европа да поеме по пътя към възстановяване до 2030 г., както е предвидено в новата стратегия за биологичното разнообразие </w:t>
      </w:r>
      <w:r>
        <w:rPr>
          <w:rStyle w:val="FootnoteReference"/>
          <w:rFonts w:ascii="Times New Roman" w:hAnsi="Times New Roman" w:cs="Times New Roman"/>
          <w:noProof/>
          <w:sz w:val="24"/>
          <w:szCs w:val="24"/>
        </w:rPr>
        <w:footnoteReference w:id="25"/>
      </w:r>
      <w:r>
        <w:rPr>
          <w:rFonts w:ascii="Times New Roman" w:hAnsi="Times New Roman"/>
          <w:noProof/>
          <w:sz w:val="24"/>
          <w:szCs w:val="24"/>
        </w:rPr>
        <w:t>. Ако не го направим, това ще означава трайна загуба не само на нашето общо природно наследство, но и на предоставяните от него жизненоважни услуги, които в крайна сметка са в основата на човешкото здраве и благополучие.</w:t>
      </w:r>
    </w:p>
    <w:p>
      <w:pPr>
        <w:spacing w:after="240"/>
        <w:jc w:val="both"/>
        <w:rPr>
          <w:rFonts w:ascii="Times New Roman" w:hAnsi="Times New Roman" w:cs="Times New Roman"/>
          <w:noProof/>
          <w:sz w:val="24"/>
          <w:szCs w:val="24"/>
        </w:rPr>
      </w:pPr>
      <w:r>
        <w:rPr>
          <w:rFonts w:ascii="Times New Roman" w:hAnsi="Times New Roman"/>
          <w:noProof/>
          <w:sz w:val="24"/>
          <w:szCs w:val="24"/>
        </w:rPr>
        <w:t xml:space="preserve">Новата стратегия за биологичното разнообразие за 2030 г. осигурява необходимата рамка за тази преобразяваща промяна. Заедно с други инициативи в рамките на Зеления пакт, тя определя изключително амбициозна практическа програма за действие, насочена, </w:t>
      </w:r>
      <w:r>
        <w:rPr>
          <w:rFonts w:ascii="Times New Roman" w:hAnsi="Times New Roman"/>
          <w:i/>
          <w:noProof/>
          <w:sz w:val="24"/>
          <w:szCs w:val="24"/>
        </w:rPr>
        <w:t>inter alia</w:t>
      </w:r>
      <w:r>
        <w:rPr>
          <w:rFonts w:ascii="Times New Roman" w:hAnsi="Times New Roman"/>
          <w:noProof/>
          <w:sz w:val="24"/>
          <w:szCs w:val="24"/>
        </w:rPr>
        <w:t>, към разширяване на обхвата на правно защитените и ефективно управлявани зони, като същевременно предлага план за възстановяване на природата на ЕС.</w:t>
      </w:r>
    </w:p>
    <w:p>
      <w:pPr>
        <w:spacing w:after="240"/>
        <w:jc w:val="both"/>
        <w:rPr>
          <w:rFonts w:ascii="Times New Roman" w:hAnsi="Times New Roman" w:cs="Times New Roman"/>
          <w:noProof/>
          <w:sz w:val="24"/>
          <w:szCs w:val="24"/>
        </w:rPr>
      </w:pPr>
      <w:r>
        <w:rPr>
          <w:rFonts w:ascii="Times New Roman" w:hAnsi="Times New Roman"/>
          <w:noProof/>
          <w:sz w:val="24"/>
          <w:szCs w:val="24"/>
        </w:rPr>
        <w:t>С настоящата оценка на природата се подчертава значителният потенциал за възстановяване на защитените местообитания, както по отношение на състоянието им в момента, така и на допълнителната площ, необходима за постигане на благоприятен природозащитен статус. Това включва възстановяване на богатите на въглерод местообитания, които може да донесат съпътстващи ползи за смекчаване на последиците от изменението на климата. Оценката е пряко свързана и с измерването на успеха на действията в рамките на стратегията за преодоляване на по-широкия основен натиск от земеползването и водопотреблението, особено във връзка със селското стопанство, който е довел до най-голям брой оценки за лошо състояние на видовете и местообитанията във всички държави членки. Заедно със стратегията „От фермата до трапезата“</w:t>
      </w:r>
      <w:r>
        <w:rPr>
          <w:rStyle w:val="FootnoteReference"/>
          <w:rFonts w:ascii="Times New Roman" w:hAnsi="Times New Roman" w:cs="Times New Roman"/>
          <w:noProof/>
          <w:sz w:val="24"/>
          <w:szCs w:val="24"/>
        </w:rPr>
        <w:footnoteReference w:id="26"/>
      </w:r>
      <w:r>
        <w:rPr>
          <w:rFonts w:ascii="Times New Roman" w:hAnsi="Times New Roman"/>
          <w:noProof/>
          <w:sz w:val="24"/>
          <w:szCs w:val="24"/>
        </w:rPr>
        <w:t xml:space="preserve"> действията за насърчаване на биологичното земеделие, намаляването на употребата на пестициди и свързания с тях риск, защитата и възстановяването на почвените екосистеми и увеличаването на особеностите на ландшафта върху земеделските земи следва да подпомогнат възстановяването на защитените съгласно директивите за природата видове и местообитания, включително опрашителите и техните местообитания.</w:t>
      </w:r>
    </w:p>
    <w:p>
      <w:pPr>
        <w:spacing w:after="240"/>
        <w:jc w:val="both"/>
        <w:rPr>
          <w:rFonts w:ascii="Times New Roman" w:hAnsi="Times New Roman" w:cs="Times New Roman"/>
          <w:noProof/>
          <w:sz w:val="24"/>
          <w:szCs w:val="24"/>
        </w:rPr>
      </w:pPr>
      <w:r>
        <w:rPr>
          <w:rFonts w:ascii="Times New Roman" w:hAnsi="Times New Roman"/>
          <w:noProof/>
          <w:sz w:val="24"/>
          <w:szCs w:val="24"/>
        </w:rPr>
        <w:t xml:space="preserve">В новата стратегия за биологичното разнообразие се изтъква, че борбата срещу загубата на биологично разнообразие трябва да се основава на солидни научни познания. Държавите членки следва да продължат да подобряват качеството и пълнотата на своите системи за мониторинг, на които да се основава бъдещото докладване. Настоящият мониторинг и докладване биха могли да бъдат допълнени и подкрепени от наблюдението на Земята/дистанционното наблюдение, от други технологии и инструменти (напр. моделирането), от резултатите от научноизследователските/иновационните дейности и от гражданската наука. Този потенциал следва да бъде тестван и използван, за да се улесни работата на докладващите органи.  </w:t>
      </w:r>
    </w:p>
    <w:p>
      <w:pPr>
        <w:spacing w:after="240"/>
        <w:jc w:val="both"/>
        <w:rPr>
          <w:rFonts w:ascii="Times New Roman" w:hAnsi="Times New Roman" w:cs="Times New Roman"/>
          <w:noProof/>
        </w:rPr>
      </w:pPr>
      <w:r>
        <w:rPr>
          <w:rFonts w:ascii="Times New Roman" w:hAnsi="Times New Roman"/>
          <w:noProof/>
          <w:sz w:val="24"/>
          <w:szCs w:val="24"/>
        </w:rPr>
        <w:t>Следващата оценка на състоянието на природата в ЕС, планирана за 2026 г., следва да допринесе значително за измерването на напредъка към целите по отношение на природата съгласно новата стратегия за биологичното разнообразие.</w:t>
      </w:r>
    </w:p>
    <w:sectPr>
      <w:headerReference w:type="even" r:id="rId42"/>
      <w:headerReference w:type="default" r:id="rId43"/>
      <w:footerReference w:type="even" r:id="rId44"/>
      <w:footerReference w:type="default" r:id="rId45"/>
      <w:headerReference w:type="first" r:id="rId46"/>
      <w:footerReference w:type="first" r:id="rId4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ヒラギノ角ゴ Pro W3">
    <w:altName w:val="MS Gothic"/>
    <w:charset w:val="80"/>
    <w:family w:val="swiss"/>
    <w:pitch w:val="variable"/>
    <w:sig w:usb0="E00002FF"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9076003"/>
      <w:docPartObj>
        <w:docPartGallery w:val="Page Numbers (Bottom of Page)"/>
        <w:docPartUnique/>
      </w:docPartObj>
    </w:sdtPr>
    <w:sdtContent>
      <w:p>
        <w:pPr>
          <w:pStyle w:val="Footer"/>
          <w:jc w:val="cen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w:t>
        </w:r>
        <w:r>
          <w:rPr>
            <w:rFonts w:ascii="Times New Roman" w:hAnsi="Times New Roman" w:cs="Times New Roman"/>
            <w:sz w:val="20"/>
            <w:szCs w:val="20"/>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rPr>
          <w:rFonts w:ascii="Times New Roman" w:hAnsi="Times New Roman"/>
          <w:sz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sz w:val="20"/>
        </w:rPr>
        <w:tab/>
        <w:t>Директива 2009/147/ЕО на Европейския парламент и на Съвета от 30 ноември 2009 г. относно опазването на дивите птици (ОВ L 20, 26.1.2010 г., стр. 7).</w:t>
      </w:r>
    </w:p>
  </w:footnote>
  <w:footnote w:id="2">
    <w:p>
      <w:pPr>
        <w:pStyle w:val="FootnoteText"/>
        <w:ind w:left="284" w:hanging="284"/>
        <w:rPr>
          <w:rFonts w:ascii="Times New Roman" w:hAnsi="Times New Roman"/>
          <w:sz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sz w:val="20"/>
        </w:rPr>
        <w:tab/>
        <w:t>Директива 92/43/ЕИО на Съвета от 21 май 1992 г. за опазване на естествените местообитания и на дивата флора и фауна (ОВ L 206, 22.7.1992 г., стр. 7).</w:t>
      </w:r>
    </w:p>
  </w:footnote>
  <w:footnote w:id="3">
    <w:p>
      <w:pPr>
        <w:pStyle w:val="FootnoteText"/>
        <w:ind w:left="284" w:hanging="284"/>
        <w:rPr>
          <w:rFonts w:ascii="Times New Roman" w:hAnsi="Times New Roman"/>
          <w:sz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sz w:val="20"/>
        </w:rPr>
        <w:tab/>
        <w:t>В настоящия доклад все още са включени данни от Обединеното кралство, което се оттегли от ЕС през януари 2020 г. В него за първи път са включени данни от Хърватия, която се присъедини към ЕС през юли 2013 г. Румъния е единствената държава членка, която не е представила доклад за птиците.</w:t>
      </w:r>
    </w:p>
  </w:footnote>
  <w:footnote w:id="4">
    <w:p>
      <w:pPr>
        <w:pStyle w:val="FootnoteText"/>
        <w:ind w:left="284" w:hanging="284"/>
        <w:rPr>
          <w:rFonts w:ascii="Times New Roman" w:hAnsi="Times New Roman"/>
          <w:sz w:val="20"/>
        </w:rPr>
      </w:pPr>
      <w:r>
        <w:rPr>
          <w:rStyle w:val="FootnoteReference"/>
        </w:rPr>
        <w:t>4</w:t>
      </w:r>
      <w:r>
        <w:rPr>
          <w:rFonts w:ascii="Times New Roman" w:hAnsi="Times New Roman"/>
          <w:sz w:val="20"/>
        </w:rPr>
        <w:t xml:space="preserve"> </w:t>
      </w:r>
      <w:r>
        <w:rPr>
          <w:rFonts w:ascii="Times New Roman" w:hAnsi="Times New Roman"/>
          <w:sz w:val="20"/>
        </w:rPr>
        <w:tab/>
      </w:r>
      <w:r>
        <w:rPr>
          <w:rFonts w:ascii="Times New Roman" w:hAnsi="Times New Roman"/>
          <w:i/>
          <w:sz w:val="20"/>
        </w:rPr>
        <w:t>Състоянието на природата в ЕС — резултати от докладването съгласно директивите за природата за периода 2013—2018 г.</w:t>
      </w:r>
      <w:r>
        <w:rPr>
          <w:rFonts w:ascii="Times New Roman" w:hAnsi="Times New Roman"/>
          <w:sz w:val="20"/>
        </w:rPr>
        <w:t xml:space="preserve">, Европейска </w:t>
      </w:r>
      <w:r>
        <w:rPr>
          <w:rFonts w:ascii="Times New Roman" w:hAnsi="Times New Roman"/>
          <w:sz w:val="20"/>
        </w:rPr>
        <w:cr/>
      </w:r>
      <w:r>
        <w:rPr>
          <w:rFonts w:ascii="Times New Roman" w:hAnsi="Times New Roman"/>
          <w:sz w:val="20"/>
        </w:rPr>
        <w:br/>
        <w:t xml:space="preserve">агенция за околна среда; публикуван заедно с допълнителни онлайн материали, включително и резюмета по държави членки, на: </w:t>
      </w:r>
      <w:r>
        <w:rPr>
          <w:rFonts w:ascii="Times New Roman" w:hAnsi="Times New Roman"/>
          <w:sz w:val="20"/>
        </w:rPr>
        <w:tab/>
      </w:r>
      <w:r>
        <w:rPr>
          <w:rFonts w:ascii="Times New Roman" w:hAnsi="Times New Roman"/>
          <w:sz w:val="20"/>
        </w:rPr>
        <w:cr/>
      </w:r>
      <w:r>
        <w:rPr>
          <w:rFonts w:ascii="Times New Roman" w:hAnsi="Times New Roman"/>
          <w:sz w:val="20"/>
        </w:rPr>
        <w:br/>
      </w:r>
      <w:hyperlink r:id="rId1" w:history="1">
        <w:r>
          <w:rPr>
            <w:rStyle w:val="Hyperlink"/>
            <w:rFonts w:ascii="Times New Roman" w:hAnsi="Times New Roman"/>
            <w:sz w:val="20"/>
          </w:rPr>
          <w:t>https://www.eea.europa.eu/themes/biodiversity/state-of-nature-in-the-eu/state-of-nature-2020</w:t>
        </w:r>
      </w:hyperlink>
      <w:r>
        <w:rPr>
          <w:rFonts w:ascii="Times New Roman" w:hAnsi="Times New Roman"/>
          <w:sz w:val="20"/>
        </w:rPr>
        <w:t xml:space="preserve"> </w:t>
      </w:r>
      <w:hyperlink r:id="rId2" w:history="1">
        <w:r>
          <w:rPr>
            <w:rStyle w:val="Hyperlink"/>
            <w:rFonts w:ascii="Times New Roman" w:hAnsi="Times New Roman"/>
            <w:sz w:val="20"/>
          </w:rPr>
          <w:t>https://ec.europa.eu/environment/nature/knowledge/rep_habitats/index_en.htm</w:t>
        </w:r>
      </w:hyperlink>
      <w:r>
        <w:rPr>
          <w:rFonts w:ascii="Times New Roman" w:hAnsi="Times New Roman"/>
          <w:sz w:val="20"/>
        </w:rPr>
        <w:t xml:space="preserve"> </w:t>
      </w:r>
    </w:p>
  </w:footnote>
  <w:footnote w:id="5">
    <w:p>
      <w:pPr>
        <w:pStyle w:val="FootnoteText"/>
        <w:ind w:left="284" w:hanging="284"/>
        <w:rPr>
          <w:rFonts w:ascii="Times New Roman" w:hAnsi="Times New Roman"/>
          <w:sz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sz w:val="20"/>
        </w:rPr>
        <w:tab/>
        <w:t>Алпийски, бореален, средиземноморски, атлантически, континентален, панонски, черноморски, макаронезийски, степен.</w:t>
      </w:r>
    </w:p>
  </w:footnote>
  <w:footnote w:id="6">
    <w:p>
      <w:pPr>
        <w:pStyle w:val="FootnoteText"/>
        <w:ind w:left="284" w:hanging="284"/>
        <w:rPr>
          <w:rFonts w:ascii="Times New Roman" w:hAnsi="Times New Roman"/>
          <w:sz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sz w:val="20"/>
        </w:rPr>
        <w:tab/>
        <w:t>Атлантически, балтийски, черноморски, макаронезийски, средиземноморски.</w:t>
      </w:r>
    </w:p>
  </w:footnote>
  <w:footnote w:id="7">
    <w:p>
      <w:pPr>
        <w:pStyle w:val="FootnoteText"/>
        <w:ind w:left="284" w:hanging="284"/>
        <w:rPr>
          <w:rFonts w:ascii="Times New Roman" w:hAnsi="Times New Roman"/>
          <w:sz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sz w:val="20"/>
        </w:rPr>
        <w:tab/>
        <w:t>Вж. доклада на ЕАОС за повече подробности относно методите за оценка съгласно Директивата за птиците и Директивата за местообитанията.</w:t>
      </w:r>
    </w:p>
  </w:footnote>
  <w:footnote w:id="8">
    <w:p>
      <w:pPr>
        <w:pStyle w:val="FootnoteText"/>
        <w:ind w:left="284" w:hanging="284"/>
        <w:rPr>
          <w:rFonts w:ascii="Times New Roman" w:hAnsi="Times New Roman"/>
          <w:sz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sz w:val="20"/>
        </w:rPr>
        <w:tab/>
      </w:r>
      <w:r>
        <w:rPr>
          <w:rFonts w:ascii="Times New Roman" w:hAnsi="Times New Roman"/>
          <w:i/>
          <w:sz w:val="20"/>
        </w:rPr>
        <w:t>State of nature in the EU — results from reporting under the nature directives 2007–2012</w:t>
      </w:r>
      <w:r>
        <w:rPr>
          <w:rFonts w:ascii="Times New Roman" w:hAnsi="Times New Roman"/>
          <w:sz w:val="20"/>
        </w:rPr>
        <w:t>, ЕАОС (2015 г.), Технически доклад № 2/2015, ISSN 1725-2237, Служба за публикации на Европейския съюз, 2015 г.</w:t>
      </w:r>
    </w:p>
  </w:footnote>
  <w:footnote w:id="9">
    <w:p>
      <w:pPr>
        <w:pStyle w:val="FootnoteText"/>
        <w:ind w:left="284" w:hanging="284"/>
        <w:rPr>
          <w:rFonts w:ascii="Times New Roman" w:hAnsi="Times New Roman"/>
          <w:sz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sz w:val="20"/>
        </w:rPr>
        <w:tab/>
        <w:t>За подробности вж. доклада на ЕАОС;</w:t>
      </w:r>
      <w:r>
        <w:rPr>
          <w:rFonts w:ascii="Times New Roman" w:hAnsi="Times New Roman"/>
          <w:sz w:val="20"/>
        </w:rPr>
        <w:tab/>
      </w:r>
      <w:r>
        <w:rPr>
          <w:rFonts w:ascii="Times New Roman" w:hAnsi="Times New Roman"/>
          <w:sz w:val="20"/>
        </w:rPr>
        <w:cr/>
      </w:r>
      <w:r>
        <w:rPr>
          <w:rFonts w:ascii="Times New Roman" w:hAnsi="Times New Roman"/>
          <w:sz w:val="20"/>
        </w:rPr>
        <w:br/>
      </w:r>
      <w:hyperlink r:id="rId3" w:history="1">
        <w:r>
          <w:rPr>
            <w:rStyle w:val="Hyperlink"/>
            <w:rFonts w:ascii="Times New Roman" w:hAnsi="Times New Roman"/>
            <w:sz w:val="20"/>
          </w:rPr>
          <w:t>https://www.eea.europa.eu/themes/biodiversity/state-of-nature-in-the-eu/state-of-nature-2020</w:t>
        </w:r>
      </w:hyperlink>
    </w:p>
  </w:footnote>
  <w:footnote w:id="10">
    <w:p>
      <w:pPr>
        <w:pStyle w:val="FootnoteText"/>
        <w:ind w:left="284" w:hanging="284"/>
        <w:rPr>
          <w:rStyle w:val="FootnoteReference"/>
          <w:rFonts w:ascii="Times New Roman" w:hAnsi="Times New Roman"/>
          <w:sz w:val="20"/>
          <w:vertAlign w:val="baseline"/>
        </w:rPr>
      </w:pPr>
      <w:r>
        <w:rPr>
          <w:rStyle w:val="FootnoteReference"/>
          <w:rFonts w:ascii="Times New Roman" w:hAnsi="Times New Roman"/>
          <w:sz w:val="20"/>
        </w:rPr>
        <w:footnoteRef/>
      </w:r>
      <w:r>
        <w:rPr>
          <w:rStyle w:val="FootnoteReference"/>
          <w:rFonts w:ascii="Times New Roman" w:hAnsi="Times New Roman"/>
          <w:sz w:val="20"/>
        </w:rPr>
        <w:t xml:space="preserve"> </w:t>
      </w:r>
      <w:r>
        <w:rPr>
          <w:rFonts w:ascii="Times New Roman" w:hAnsi="Times New Roman"/>
          <w:sz w:val="20"/>
        </w:rPr>
        <w:t xml:space="preserve"> </w:t>
      </w:r>
      <w:r>
        <w:rPr>
          <w:rStyle w:val="FootnoteReference"/>
          <w:rFonts w:ascii="Times New Roman" w:hAnsi="Times New Roman"/>
          <w:sz w:val="20"/>
          <w:vertAlign w:val="baseline"/>
        </w:rPr>
        <w:t>Типовете местообитания от тази група включват низинни сенокосни ливади (6510) и планински сенокосни ливади (6520)</w:t>
      </w:r>
      <w:r>
        <w:rPr>
          <w:rFonts w:ascii="Times New Roman" w:hAnsi="Times New Roman"/>
          <w:sz w:val="20"/>
        </w:rPr>
        <w:t>.</w:t>
      </w:r>
    </w:p>
  </w:footnote>
  <w:footnote w:id="11">
    <w:p>
      <w:pPr>
        <w:pStyle w:val="FootnoteText"/>
        <w:ind w:left="284" w:hanging="284"/>
        <w:rPr>
          <w:rFonts w:ascii="Times New Roman" w:hAnsi="Times New Roman"/>
          <w:sz w:val="20"/>
        </w:rPr>
      </w:pPr>
      <w:r>
        <w:rPr>
          <w:rStyle w:val="FootnoteReference"/>
          <w:rFonts w:ascii="Times New Roman" w:hAnsi="Times New Roman"/>
          <w:sz w:val="20"/>
        </w:rPr>
        <w:footnoteRef/>
      </w:r>
      <w:r>
        <w:rPr>
          <w:rFonts w:ascii="Times New Roman" w:hAnsi="Times New Roman"/>
          <w:sz w:val="20"/>
        </w:rPr>
        <w:t xml:space="preserve">  Ливади с </w:t>
      </w:r>
      <w:r>
        <w:rPr>
          <w:rFonts w:ascii="Times New Roman" w:hAnsi="Times New Roman"/>
          <w:i/>
          <w:sz w:val="20"/>
        </w:rPr>
        <w:t>Molinia</w:t>
      </w:r>
      <w:r>
        <w:rPr>
          <w:rFonts w:ascii="Times New Roman" w:hAnsi="Times New Roman"/>
          <w:sz w:val="20"/>
        </w:rPr>
        <w:t xml:space="preserve"> на карбонатна, торфна или глинеста почва (</w:t>
      </w:r>
      <w:r>
        <w:rPr>
          <w:rFonts w:ascii="Times New Roman" w:hAnsi="Times New Roman"/>
          <w:i/>
          <w:sz w:val="20"/>
        </w:rPr>
        <w:t>Molinion caeruleae</w:t>
      </w:r>
      <w:r>
        <w:rPr>
          <w:rFonts w:ascii="Times New Roman" w:hAnsi="Times New Roman"/>
          <w:sz w:val="20"/>
        </w:rPr>
        <w:t>) (6410).</w:t>
      </w:r>
    </w:p>
  </w:footnote>
  <w:footnote w:id="12">
    <w:p>
      <w:pPr>
        <w:pStyle w:val="FootnoteText"/>
        <w:ind w:left="284" w:hanging="284"/>
        <w:rPr>
          <w:rFonts w:ascii="Times New Roman" w:hAnsi="Times New Roman"/>
          <w:sz w:val="20"/>
        </w:rPr>
      </w:pPr>
      <w:r>
        <w:rPr>
          <w:rStyle w:val="FootnoteReference"/>
          <w:rFonts w:ascii="Times New Roman" w:hAnsi="Times New Roman"/>
          <w:sz w:val="20"/>
        </w:rPr>
        <w:footnoteRef/>
      </w:r>
      <w:r>
        <w:rPr>
          <w:rFonts w:ascii="Times New Roman" w:hAnsi="Times New Roman"/>
          <w:sz w:val="20"/>
        </w:rPr>
        <w:t xml:space="preserve">  Типовете местообитания от тази група включват полуестествени сухи тревни и храстови съобщества върху варовик (</w:t>
      </w:r>
      <w:r>
        <w:rPr>
          <w:rFonts w:ascii="Times New Roman" w:hAnsi="Times New Roman"/>
          <w:i/>
          <w:sz w:val="20"/>
        </w:rPr>
        <w:t>Festuco-Brometalia</w:t>
      </w:r>
      <w:r>
        <w:rPr>
          <w:rFonts w:ascii="Times New Roman" w:hAnsi="Times New Roman"/>
          <w:sz w:val="20"/>
        </w:rPr>
        <w:t>) (6210) и северни алварови и предкамбрийски варовикови плоски скали (6280).</w:t>
      </w:r>
    </w:p>
  </w:footnote>
  <w:footnote w:id="13">
    <w:p>
      <w:pPr>
        <w:pStyle w:val="FootnoteText"/>
        <w:ind w:left="284" w:hanging="284"/>
        <w:rPr>
          <w:rFonts w:ascii="Times New Roman" w:hAnsi="Times New Roman"/>
          <w:sz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sz w:val="20"/>
        </w:rPr>
        <w:tab/>
        <w:t xml:space="preserve">Приложение II: видове, чието съхраняване изисква обявяването на специални защитени зони (защитени зони по „Натура 2000“); </w:t>
      </w:r>
      <w:r>
        <w:rPr>
          <w:rFonts w:ascii="Times New Roman" w:hAnsi="Times New Roman"/>
          <w:sz w:val="20"/>
        </w:rPr>
        <w:tab/>
      </w:r>
      <w:r>
        <w:rPr>
          <w:rFonts w:ascii="Times New Roman" w:hAnsi="Times New Roman"/>
          <w:sz w:val="20"/>
        </w:rPr>
        <w:br/>
        <w:t xml:space="preserve">приложение IV: видове, които се нуждаят от строга защита; </w:t>
      </w:r>
      <w:r>
        <w:rPr>
          <w:rFonts w:ascii="Times New Roman" w:hAnsi="Times New Roman"/>
          <w:sz w:val="20"/>
        </w:rPr>
        <w:tab/>
      </w:r>
      <w:r>
        <w:rPr>
          <w:rFonts w:ascii="Times New Roman" w:hAnsi="Times New Roman"/>
          <w:sz w:val="20"/>
        </w:rPr>
        <w:br/>
        <w:t>приложение V: видове, чието вземане от дивата природа и експлоатация могат да бъдат предмет на мерки за управление.</w:t>
      </w:r>
    </w:p>
  </w:footnote>
  <w:footnote w:id="14">
    <w:p>
      <w:pPr>
        <w:pStyle w:val="FootnoteText"/>
        <w:ind w:left="284" w:hanging="284"/>
        <w:rPr>
          <w:rFonts w:ascii="Times New Roman" w:hAnsi="Times New Roman"/>
          <w:sz w:val="20"/>
        </w:rPr>
      </w:pPr>
      <w:r>
        <w:rPr>
          <w:rStyle w:val="FootnoteReference"/>
          <w:sz w:val="20"/>
        </w:rPr>
        <w:footnoteRef/>
      </w:r>
      <w:r>
        <w:rPr>
          <w:sz w:val="20"/>
        </w:rPr>
        <w:t xml:space="preserve"> </w:t>
      </w:r>
      <w:r>
        <w:rPr>
          <w:sz w:val="20"/>
        </w:rPr>
        <w:tab/>
      </w:r>
      <w:r>
        <w:rPr>
          <w:rFonts w:ascii="Times New Roman" w:hAnsi="Times New Roman"/>
          <w:sz w:val="20"/>
        </w:rPr>
        <w:t xml:space="preserve">Съобщение на Комисията до Европейския парламент, Съвета, Европейския икономически и социален комитет и Комитета на регионите. </w:t>
      </w:r>
      <w:r>
        <w:rPr>
          <w:rFonts w:ascii="Times New Roman" w:hAnsi="Times New Roman"/>
          <w:i/>
          <w:sz w:val="20"/>
        </w:rPr>
        <w:t>Нашата застраховка живот, нашият природен капитал: стратегия на ЕС за биологичното разнообразие до 2020 г.</w:t>
      </w:r>
      <w:r>
        <w:rPr>
          <w:rFonts w:ascii="Times New Roman" w:hAnsi="Times New Roman"/>
          <w:sz w:val="20"/>
        </w:rPr>
        <w:t xml:space="preserve"> (COM(2011) 244 final).</w:t>
      </w:r>
    </w:p>
  </w:footnote>
  <w:footnote w:id="15">
    <w:p>
      <w:pPr>
        <w:pStyle w:val="FootnoteText"/>
        <w:ind w:left="284" w:hanging="284"/>
        <w:rPr>
          <w:rFonts w:ascii="Times New Roman" w:hAnsi="Times New Roman"/>
          <w:sz w:val="20"/>
        </w:rPr>
      </w:pPr>
      <w:r>
        <w:rPr>
          <w:rStyle w:val="FootnoteReference"/>
        </w:rPr>
        <w:footnoteRef/>
      </w:r>
      <w:r>
        <w:t xml:space="preserve">   </w:t>
      </w:r>
      <w:r>
        <w:rPr>
          <w:rFonts w:ascii="Times New Roman" w:hAnsi="Times New Roman"/>
          <w:sz w:val="20"/>
        </w:rPr>
        <w:t>Обхванати от Споразумението за опазване на мигриращите водолюбиви птици от Африка и Евразия.</w:t>
      </w:r>
    </w:p>
  </w:footnote>
  <w:footnote w:id="16">
    <w:p>
      <w:pPr>
        <w:pStyle w:val="FootnoteText"/>
        <w:ind w:left="284" w:hanging="284"/>
        <w:rPr>
          <w:rFonts w:ascii="Times New Roman" w:hAnsi="Times New Roman"/>
          <w:sz w:val="20"/>
        </w:rPr>
      </w:pPr>
      <w:r>
        <w:rPr>
          <w:rStyle w:val="FootnoteReference"/>
        </w:rPr>
        <w:footnoteRef/>
      </w:r>
      <w:r>
        <w:t xml:space="preserve"> </w:t>
      </w:r>
      <w:r>
        <w:tab/>
      </w:r>
      <w:r>
        <w:rPr>
          <w:rFonts w:ascii="Times New Roman" w:hAnsi="Times New Roman"/>
          <w:sz w:val="20"/>
        </w:rPr>
        <w:t xml:space="preserve">Halada, L., Evans, D., Romão, C., Petersen, J. E., 2011 г. Which habitats of European importance depend on agricultural practices?, сп. </w:t>
      </w:r>
      <w:r>
        <w:rPr>
          <w:rFonts w:ascii="Times New Roman" w:hAnsi="Times New Roman"/>
          <w:i/>
          <w:sz w:val="20"/>
        </w:rPr>
        <w:t>Biodiversity and Conservation</w:t>
      </w:r>
      <w:r>
        <w:rPr>
          <w:rFonts w:ascii="Times New Roman" w:hAnsi="Times New Roman"/>
          <w:sz w:val="20"/>
        </w:rPr>
        <w:t>, 20(11), стр. 2 365—2 378.</w:t>
      </w:r>
    </w:p>
  </w:footnote>
  <w:footnote w:id="17">
    <w:p>
      <w:pPr>
        <w:pStyle w:val="NormalWeb"/>
        <w:spacing w:before="0" w:beforeAutospacing="0" w:after="0" w:afterAutospacing="0"/>
        <w:ind w:left="284" w:hanging="284"/>
        <w:jc w:val="both"/>
        <w:rPr>
          <w:sz w:val="20"/>
        </w:rPr>
      </w:pPr>
      <w:r>
        <w:rPr>
          <w:rStyle w:val="FootnoteReference"/>
          <w:sz w:val="20"/>
          <w:szCs w:val="20"/>
        </w:rPr>
        <w:footnoteRef/>
      </w:r>
      <w:r>
        <w:rPr>
          <w:sz w:val="20"/>
          <w:szCs w:val="20"/>
        </w:rPr>
        <w:t xml:space="preserve"> </w:t>
      </w:r>
      <w:r>
        <w:rPr>
          <w:sz w:val="20"/>
          <w:szCs w:val="20"/>
        </w:rPr>
        <w:tab/>
        <w:t>Hirschfeld, A. и кол., 2019 г. Bird</w:t>
      </w:r>
      <w:r>
        <w:rPr>
          <w:sz w:val="20"/>
          <w:szCs w:val="20"/>
        </w:rPr>
        <w:noBreakHyphen/>
        <w:t xml:space="preserve">hunting in Europe: an analysis of bag figures and the potential impact on the conservation of threatened species, сп. </w:t>
      </w:r>
      <w:r>
        <w:rPr>
          <w:i/>
          <w:sz w:val="20"/>
          <w:szCs w:val="20"/>
        </w:rPr>
        <w:t>British Birds</w:t>
      </w:r>
      <w:r>
        <w:rPr>
          <w:sz w:val="20"/>
          <w:szCs w:val="20"/>
        </w:rPr>
        <w:t>, стр. 153—166.</w:t>
      </w:r>
    </w:p>
  </w:footnote>
  <w:footnote w:id="18">
    <w:p>
      <w:pPr>
        <w:pStyle w:val="FootnoteText"/>
        <w:ind w:left="284" w:hanging="284"/>
        <w:rPr>
          <w:rFonts w:ascii="Times New Roman" w:hAnsi="Times New Roman"/>
          <w:sz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sz w:val="20"/>
        </w:rPr>
        <w:tab/>
        <w:t>Директивата за местообитанията почти не обхваща морските риби (ограничени до няколко анадромни видове риби).</w:t>
      </w:r>
    </w:p>
  </w:footnote>
  <w:footnote w:id="19">
    <w:p>
      <w:pPr>
        <w:pStyle w:val="FootnoteText"/>
        <w:ind w:left="284" w:hanging="284"/>
        <w:rPr>
          <w:rFonts w:ascii="Times New Roman" w:hAnsi="Times New Roman"/>
          <w:sz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sz w:val="20"/>
        </w:rPr>
        <w:tab/>
        <w:t>Регламент (ЕС) № 1143/2014 относно предотвратяването и управлението на въвеждането и разпространението на инвазивни чужди видове съдържа списък на инвазивните чужди видове, които засягат Съюза (ОВ L 317, 4.11.2014 г., стр. 35).</w:t>
      </w:r>
    </w:p>
  </w:footnote>
  <w:footnote w:id="20">
    <w:p>
      <w:pPr>
        <w:pStyle w:val="FootnoteText"/>
        <w:ind w:left="284" w:hanging="284"/>
        <w:rPr>
          <w:rFonts w:ascii="Times New Roman" w:hAnsi="Times New Roman"/>
          <w:sz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sz w:val="20"/>
        </w:rPr>
        <w:tab/>
        <w:t xml:space="preserve">Вж. например: IPBES (2018 г.). </w:t>
      </w:r>
      <w:r>
        <w:rPr>
          <w:rFonts w:ascii="Times New Roman" w:hAnsi="Times New Roman"/>
          <w:i/>
          <w:sz w:val="20"/>
        </w:rPr>
        <w:t>The IPBES regional assessment report on biodiversity and ecosystem services for Europe and Central Asia</w:t>
      </w:r>
      <w:r>
        <w:rPr>
          <w:rFonts w:ascii="Times New Roman" w:hAnsi="Times New Roman"/>
          <w:sz w:val="20"/>
        </w:rPr>
        <w:t>, Rounsevell, M. и кол</w:t>
      </w:r>
      <w:r>
        <w:rPr>
          <w:rFonts w:ascii="Times New Roman" w:hAnsi="Times New Roman"/>
          <w:i/>
          <w:sz w:val="20"/>
        </w:rPr>
        <w:t>.</w:t>
      </w:r>
      <w:r>
        <w:rPr>
          <w:rFonts w:ascii="Times New Roman" w:hAnsi="Times New Roman"/>
          <w:sz w:val="20"/>
        </w:rPr>
        <w:t xml:space="preserve"> Секретариат на IPBES (</w:t>
      </w:r>
      <w:r>
        <w:rPr>
          <w:rFonts w:ascii="Times New Roman" w:hAnsi="Times New Roman"/>
          <w:sz w:val="20"/>
          <w:lang w:val="en-GB"/>
        </w:rPr>
        <w:t>M</w:t>
      </w:r>
      <w:r>
        <w:rPr>
          <w:rFonts w:ascii="Times New Roman" w:hAnsi="Times New Roman"/>
          <w:sz w:val="20"/>
        </w:rPr>
        <w:t>еждуправителствената научно</w:t>
      </w:r>
      <w:r>
        <w:rPr>
          <w:rFonts w:ascii="Times New Roman" w:hAnsi="Times New Roman"/>
          <w:sz w:val="20"/>
        </w:rPr>
        <w:noBreakHyphen/>
        <w:t>политическа платформа за биологично разнообразие и екосистемни услуги), Бон, Германия, 892 страници.</w:t>
      </w:r>
    </w:p>
  </w:footnote>
  <w:footnote w:id="21">
    <w:p>
      <w:pPr>
        <w:pStyle w:val="FootnoteText"/>
        <w:ind w:left="284" w:hanging="284"/>
        <w:rPr>
          <w:rFonts w:ascii="Times New Roman" w:hAnsi="Times New Roman"/>
          <w:sz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sz w:val="20"/>
        </w:rPr>
        <w:tab/>
        <w:t>Изчисленията на необходимостта от възстановяване изключват Обединеното кралство.</w:t>
      </w:r>
    </w:p>
  </w:footnote>
  <w:footnote w:id="22">
    <w:p>
      <w:pPr>
        <w:pStyle w:val="FootnoteText"/>
        <w:ind w:left="284" w:hanging="284"/>
        <w:rPr>
          <w:rFonts w:ascii="Times New Roman" w:eastAsia="Times New Roman" w:hAnsi="Times New Roman"/>
          <w:iCs w:val="0"/>
          <w:sz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sz w:val="20"/>
        </w:rPr>
        <w:tab/>
      </w:r>
      <w:r>
        <w:rPr>
          <w:rFonts w:ascii="Times New Roman" w:hAnsi="Times New Roman"/>
          <w:iCs w:val="0"/>
          <w:sz w:val="20"/>
        </w:rPr>
        <w:t>Съгласно Директивата за местообитанията държавите членки предлагат „територии от значение за Общността“ (ТЗО), които след това Комисията включва в списъци по биогеографски региони. След това държавите членки разполагат с 6 години, за да определят ТЗО за специални защитени зони по същата директива.</w:t>
      </w:r>
    </w:p>
  </w:footnote>
  <w:footnote w:id="23">
    <w:p>
      <w:pPr>
        <w:pStyle w:val="FootnoteText"/>
        <w:ind w:left="284" w:hanging="284"/>
        <w:rPr>
          <w:rFonts w:ascii="Times New Roman" w:hAnsi="Times New Roman"/>
          <w:sz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sz w:val="20"/>
        </w:rPr>
        <w:tab/>
        <w:t>Това са данните за морските зони в рамките на 200 морски мили от бреговата линия; те не включват защитените зони по „Натура 2000“ на разширения континентален шелф (от значение за Ирландия, Португалия и Обединеното кралство).</w:t>
      </w:r>
    </w:p>
  </w:footnote>
  <w:footnote w:id="24">
    <w:p>
      <w:pPr>
        <w:pStyle w:val="FootnoteText"/>
        <w:ind w:left="284" w:hanging="284"/>
        <w:rPr>
          <w:rFonts w:ascii="Times New Roman" w:hAnsi="Times New Roman"/>
          <w:sz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sz w:val="20"/>
        </w:rPr>
        <w:tab/>
      </w:r>
      <w:hyperlink r:id="rId4" w:history="1">
        <w:r>
          <w:rPr>
            <w:rStyle w:val="Hyperlink"/>
            <w:rFonts w:ascii="Times New Roman" w:hAnsi="Times New Roman"/>
            <w:sz w:val="20"/>
          </w:rPr>
          <w:t>https://ec.europa.eu/easme/en/life</w:t>
        </w:r>
      </w:hyperlink>
      <w:r>
        <w:rPr>
          <w:rFonts w:ascii="Times New Roman" w:hAnsi="Times New Roman"/>
          <w:sz w:val="20"/>
        </w:rPr>
        <w:t xml:space="preserve"> </w:t>
      </w:r>
    </w:p>
  </w:footnote>
  <w:footnote w:id="25">
    <w:p>
      <w:pPr>
        <w:pStyle w:val="FootnoteText"/>
        <w:ind w:left="284" w:hanging="284"/>
        <w:rPr>
          <w:rFonts w:ascii="Times New Roman" w:hAnsi="Times New Roman"/>
          <w:sz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sz w:val="20"/>
        </w:rPr>
        <w:tab/>
        <w:t xml:space="preserve">Съобщение на Комисията до Европейския парламент, Съвета, Европейския икономически и социален комитет и Комитета на регионите. </w:t>
      </w:r>
      <w:r>
        <w:rPr>
          <w:rFonts w:ascii="Times New Roman" w:hAnsi="Times New Roman"/>
          <w:i/>
          <w:sz w:val="20"/>
        </w:rPr>
        <w:t>Стратегия на ЕС за биологичното разнообразие за 2030 г. Да осигурим полагащото се място на природата в нашия живот</w:t>
      </w:r>
      <w:r>
        <w:rPr>
          <w:rFonts w:ascii="Times New Roman" w:hAnsi="Times New Roman"/>
          <w:sz w:val="20"/>
        </w:rPr>
        <w:t xml:space="preserve"> (COM/2020/380 final);</w:t>
      </w:r>
      <w:r>
        <w:rPr>
          <w:rFonts w:ascii="Times New Roman" w:hAnsi="Times New Roman"/>
          <w:sz w:val="20"/>
        </w:rPr>
        <w:tab/>
      </w:r>
      <w:r>
        <w:rPr>
          <w:rFonts w:ascii="Times New Roman" w:hAnsi="Times New Roman"/>
          <w:sz w:val="20"/>
        </w:rPr>
        <w:br/>
      </w:r>
      <w:hyperlink r:id="rId5" w:history="1">
        <w:r>
          <w:rPr>
            <w:rStyle w:val="Hyperlink"/>
            <w:rFonts w:ascii="Times New Roman" w:hAnsi="Times New Roman"/>
            <w:sz w:val="20"/>
          </w:rPr>
          <w:t>https://eur-lex.europa.eu/legal-content/BG/TXT/?uri=CELEX:52020DC0380</w:t>
        </w:r>
      </w:hyperlink>
    </w:p>
  </w:footnote>
  <w:footnote w:id="26">
    <w:p>
      <w:pPr>
        <w:pStyle w:val="FootnoteText"/>
        <w:ind w:left="284" w:hanging="284"/>
        <w:rPr>
          <w:rFonts w:ascii="Times New Roman" w:hAnsi="Times New Roman"/>
          <w:sz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sz w:val="20"/>
        </w:rPr>
        <w:tab/>
        <w:t xml:space="preserve">Съобщение на Комисията до Европейския парламент, Съвета, Европейския икономически и социален комитет и Комитета на регионите. </w:t>
      </w:r>
      <w:r>
        <w:rPr>
          <w:rFonts w:ascii="Times New Roman" w:hAnsi="Times New Roman"/>
          <w:i/>
          <w:sz w:val="20"/>
        </w:rPr>
        <w:t>Стратегия „От фермата до трапезата“ за справедлива, здравословна и екологосъобразна продоволствена система</w:t>
      </w:r>
      <w:r>
        <w:rPr>
          <w:rFonts w:ascii="Times New Roman" w:hAnsi="Times New Roman"/>
          <w:sz w:val="20"/>
        </w:rPr>
        <w:t>, (COM/2020/381 final);</w:t>
      </w:r>
      <w:r>
        <w:rPr>
          <w:rFonts w:ascii="Times New Roman" w:hAnsi="Times New Roman"/>
          <w:sz w:val="20"/>
        </w:rPr>
        <w:tab/>
      </w:r>
      <w:r>
        <w:rPr>
          <w:rFonts w:ascii="Times New Roman" w:hAnsi="Times New Roman"/>
          <w:sz w:val="20"/>
        </w:rPr>
        <w:cr/>
      </w:r>
      <w:r>
        <w:rPr>
          <w:rFonts w:ascii="Times New Roman" w:hAnsi="Times New Roman"/>
          <w:sz w:val="20"/>
        </w:rPr>
        <w:br/>
      </w:r>
      <w:hyperlink r:id="rId6" w:history="1">
        <w:r>
          <w:rPr>
            <w:rStyle w:val="Hyperlink"/>
            <w:rFonts w:ascii="Times New Roman" w:hAnsi="Times New Roman"/>
            <w:sz w:val="20"/>
          </w:rPr>
          <w:t>https://eur-lex.europa.eu/legal-content/BG/TXT/?uri=CELEX:52020DC0381</w:t>
        </w:r>
      </w:hyperlink>
      <w:r>
        <w:rPr>
          <w:rFonts w:ascii="Times New Roman" w:hAnsi="Times New Roman"/>
          <w:sz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81B71"/>
    <w:multiLevelType w:val="hybridMultilevel"/>
    <w:tmpl w:val="93882E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B13E82"/>
    <w:multiLevelType w:val="multilevel"/>
    <w:tmpl w:val="4F2E0D4E"/>
    <w:lvl w:ilvl="0">
      <w:start w:val="1"/>
      <w:numFmt w:val="decimal"/>
      <w:pStyle w:val="Style2-Annex"/>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2EAE7260"/>
    <w:multiLevelType w:val="hybridMultilevel"/>
    <w:tmpl w:val="4DE85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590BE7"/>
    <w:multiLevelType w:val="hybridMultilevel"/>
    <w:tmpl w:val="43E6482E"/>
    <w:lvl w:ilvl="0" w:tplc="9CE0CE52">
      <w:start w:val="1"/>
      <w:numFmt w:val="bullet"/>
      <w:pStyle w:val="BodyTex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0920882"/>
    <w:multiLevelType w:val="hybridMultilevel"/>
    <w:tmpl w:val="30D6C6D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30DC22BE"/>
    <w:multiLevelType w:val="hybridMultilevel"/>
    <w:tmpl w:val="CCAA494C"/>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6">
    <w:nsid w:val="3EF57FC0"/>
    <w:multiLevelType w:val="hybridMultilevel"/>
    <w:tmpl w:val="81CE2F44"/>
    <w:lvl w:ilvl="0" w:tplc="08090001">
      <w:start w:val="1"/>
      <w:numFmt w:val="bullet"/>
      <w:lvlText w:val=""/>
      <w:lvlJc w:val="left"/>
      <w:pPr>
        <w:tabs>
          <w:tab w:val="num" w:pos="720"/>
        </w:tabs>
        <w:ind w:left="720" w:hanging="360"/>
      </w:pPr>
      <w:rPr>
        <w:rFonts w:ascii="Symbol" w:hAnsi="Symbol" w:hint="default"/>
      </w:rPr>
    </w:lvl>
    <w:lvl w:ilvl="1" w:tplc="B62897E2">
      <w:start w:val="146"/>
      <w:numFmt w:val="bullet"/>
      <w:lvlText w:val="•"/>
      <w:lvlJc w:val="left"/>
      <w:pPr>
        <w:tabs>
          <w:tab w:val="num" w:pos="1440"/>
        </w:tabs>
        <w:ind w:left="1440" w:hanging="360"/>
      </w:pPr>
      <w:rPr>
        <w:rFonts w:ascii="Times New Roman" w:hAnsi="Times New Roman" w:hint="default"/>
      </w:rPr>
    </w:lvl>
    <w:lvl w:ilvl="2" w:tplc="3BEAF2B0" w:tentative="1">
      <w:start w:val="1"/>
      <w:numFmt w:val="bullet"/>
      <w:lvlText w:val="•"/>
      <w:lvlJc w:val="left"/>
      <w:pPr>
        <w:tabs>
          <w:tab w:val="num" w:pos="2160"/>
        </w:tabs>
        <w:ind w:left="2160" w:hanging="360"/>
      </w:pPr>
      <w:rPr>
        <w:rFonts w:ascii="Arial" w:hAnsi="Arial" w:hint="default"/>
      </w:rPr>
    </w:lvl>
    <w:lvl w:ilvl="3" w:tplc="C9125EF8" w:tentative="1">
      <w:start w:val="1"/>
      <w:numFmt w:val="bullet"/>
      <w:lvlText w:val="•"/>
      <w:lvlJc w:val="left"/>
      <w:pPr>
        <w:tabs>
          <w:tab w:val="num" w:pos="2880"/>
        </w:tabs>
        <w:ind w:left="2880" w:hanging="360"/>
      </w:pPr>
      <w:rPr>
        <w:rFonts w:ascii="Arial" w:hAnsi="Arial" w:hint="default"/>
      </w:rPr>
    </w:lvl>
    <w:lvl w:ilvl="4" w:tplc="A972FFAA" w:tentative="1">
      <w:start w:val="1"/>
      <w:numFmt w:val="bullet"/>
      <w:lvlText w:val="•"/>
      <w:lvlJc w:val="left"/>
      <w:pPr>
        <w:tabs>
          <w:tab w:val="num" w:pos="3600"/>
        </w:tabs>
        <w:ind w:left="3600" w:hanging="360"/>
      </w:pPr>
      <w:rPr>
        <w:rFonts w:ascii="Arial" w:hAnsi="Arial" w:hint="default"/>
      </w:rPr>
    </w:lvl>
    <w:lvl w:ilvl="5" w:tplc="B4026304" w:tentative="1">
      <w:start w:val="1"/>
      <w:numFmt w:val="bullet"/>
      <w:lvlText w:val="•"/>
      <w:lvlJc w:val="left"/>
      <w:pPr>
        <w:tabs>
          <w:tab w:val="num" w:pos="4320"/>
        </w:tabs>
        <w:ind w:left="4320" w:hanging="360"/>
      </w:pPr>
      <w:rPr>
        <w:rFonts w:ascii="Arial" w:hAnsi="Arial" w:hint="default"/>
      </w:rPr>
    </w:lvl>
    <w:lvl w:ilvl="6" w:tplc="0EDA22A2" w:tentative="1">
      <w:start w:val="1"/>
      <w:numFmt w:val="bullet"/>
      <w:lvlText w:val="•"/>
      <w:lvlJc w:val="left"/>
      <w:pPr>
        <w:tabs>
          <w:tab w:val="num" w:pos="5040"/>
        </w:tabs>
        <w:ind w:left="5040" w:hanging="360"/>
      </w:pPr>
      <w:rPr>
        <w:rFonts w:ascii="Arial" w:hAnsi="Arial" w:hint="default"/>
      </w:rPr>
    </w:lvl>
    <w:lvl w:ilvl="7" w:tplc="1C2C3088" w:tentative="1">
      <w:start w:val="1"/>
      <w:numFmt w:val="bullet"/>
      <w:lvlText w:val="•"/>
      <w:lvlJc w:val="left"/>
      <w:pPr>
        <w:tabs>
          <w:tab w:val="num" w:pos="5760"/>
        </w:tabs>
        <w:ind w:left="5760" w:hanging="360"/>
      </w:pPr>
      <w:rPr>
        <w:rFonts w:ascii="Arial" w:hAnsi="Arial" w:hint="default"/>
      </w:rPr>
    </w:lvl>
    <w:lvl w:ilvl="8" w:tplc="299CBF9C" w:tentative="1">
      <w:start w:val="1"/>
      <w:numFmt w:val="bullet"/>
      <w:lvlText w:val="•"/>
      <w:lvlJc w:val="left"/>
      <w:pPr>
        <w:tabs>
          <w:tab w:val="num" w:pos="6480"/>
        </w:tabs>
        <w:ind w:left="6480" w:hanging="360"/>
      </w:pPr>
      <w:rPr>
        <w:rFonts w:ascii="Arial" w:hAnsi="Arial" w:hint="default"/>
      </w:rPr>
    </w:lvl>
  </w:abstractNum>
  <w:abstractNum w:abstractNumId="7">
    <w:nsid w:val="4ECF2223"/>
    <w:multiLevelType w:val="hybridMultilevel"/>
    <w:tmpl w:val="EF808130"/>
    <w:lvl w:ilvl="0" w:tplc="08090001">
      <w:start w:val="1"/>
      <w:numFmt w:val="bullet"/>
      <w:lvlText w:val=""/>
      <w:lvlJc w:val="left"/>
      <w:pPr>
        <w:tabs>
          <w:tab w:val="num" w:pos="720"/>
        </w:tabs>
        <w:ind w:left="720" w:hanging="360"/>
      </w:pPr>
      <w:rPr>
        <w:rFonts w:ascii="Symbol" w:hAnsi="Symbol" w:hint="default"/>
      </w:rPr>
    </w:lvl>
    <w:lvl w:ilvl="1" w:tplc="27008BF0" w:tentative="1">
      <w:start w:val="1"/>
      <w:numFmt w:val="bullet"/>
      <w:lvlText w:val="•"/>
      <w:lvlJc w:val="left"/>
      <w:pPr>
        <w:tabs>
          <w:tab w:val="num" w:pos="1440"/>
        </w:tabs>
        <w:ind w:left="1440" w:hanging="360"/>
      </w:pPr>
      <w:rPr>
        <w:rFonts w:ascii="Arial" w:hAnsi="Arial" w:hint="default"/>
      </w:rPr>
    </w:lvl>
    <w:lvl w:ilvl="2" w:tplc="0C5A5742" w:tentative="1">
      <w:start w:val="1"/>
      <w:numFmt w:val="bullet"/>
      <w:lvlText w:val="•"/>
      <w:lvlJc w:val="left"/>
      <w:pPr>
        <w:tabs>
          <w:tab w:val="num" w:pos="2160"/>
        </w:tabs>
        <w:ind w:left="2160" w:hanging="360"/>
      </w:pPr>
      <w:rPr>
        <w:rFonts w:ascii="Arial" w:hAnsi="Arial" w:hint="default"/>
      </w:rPr>
    </w:lvl>
    <w:lvl w:ilvl="3" w:tplc="D354CFBA" w:tentative="1">
      <w:start w:val="1"/>
      <w:numFmt w:val="bullet"/>
      <w:lvlText w:val="•"/>
      <w:lvlJc w:val="left"/>
      <w:pPr>
        <w:tabs>
          <w:tab w:val="num" w:pos="2880"/>
        </w:tabs>
        <w:ind w:left="2880" w:hanging="360"/>
      </w:pPr>
      <w:rPr>
        <w:rFonts w:ascii="Arial" w:hAnsi="Arial" w:hint="default"/>
      </w:rPr>
    </w:lvl>
    <w:lvl w:ilvl="4" w:tplc="BABC4F78" w:tentative="1">
      <w:start w:val="1"/>
      <w:numFmt w:val="bullet"/>
      <w:lvlText w:val="•"/>
      <w:lvlJc w:val="left"/>
      <w:pPr>
        <w:tabs>
          <w:tab w:val="num" w:pos="3600"/>
        </w:tabs>
        <w:ind w:left="3600" w:hanging="360"/>
      </w:pPr>
      <w:rPr>
        <w:rFonts w:ascii="Arial" w:hAnsi="Arial" w:hint="default"/>
      </w:rPr>
    </w:lvl>
    <w:lvl w:ilvl="5" w:tplc="20BAEC22" w:tentative="1">
      <w:start w:val="1"/>
      <w:numFmt w:val="bullet"/>
      <w:lvlText w:val="•"/>
      <w:lvlJc w:val="left"/>
      <w:pPr>
        <w:tabs>
          <w:tab w:val="num" w:pos="4320"/>
        </w:tabs>
        <w:ind w:left="4320" w:hanging="360"/>
      </w:pPr>
      <w:rPr>
        <w:rFonts w:ascii="Arial" w:hAnsi="Arial" w:hint="default"/>
      </w:rPr>
    </w:lvl>
    <w:lvl w:ilvl="6" w:tplc="713A1B7E" w:tentative="1">
      <w:start w:val="1"/>
      <w:numFmt w:val="bullet"/>
      <w:lvlText w:val="•"/>
      <w:lvlJc w:val="left"/>
      <w:pPr>
        <w:tabs>
          <w:tab w:val="num" w:pos="5040"/>
        </w:tabs>
        <w:ind w:left="5040" w:hanging="360"/>
      </w:pPr>
      <w:rPr>
        <w:rFonts w:ascii="Arial" w:hAnsi="Arial" w:hint="default"/>
      </w:rPr>
    </w:lvl>
    <w:lvl w:ilvl="7" w:tplc="0E040F96" w:tentative="1">
      <w:start w:val="1"/>
      <w:numFmt w:val="bullet"/>
      <w:lvlText w:val="•"/>
      <w:lvlJc w:val="left"/>
      <w:pPr>
        <w:tabs>
          <w:tab w:val="num" w:pos="5760"/>
        </w:tabs>
        <w:ind w:left="5760" w:hanging="360"/>
      </w:pPr>
      <w:rPr>
        <w:rFonts w:ascii="Arial" w:hAnsi="Arial" w:hint="default"/>
      </w:rPr>
    </w:lvl>
    <w:lvl w:ilvl="8" w:tplc="61684B6E" w:tentative="1">
      <w:start w:val="1"/>
      <w:numFmt w:val="bullet"/>
      <w:lvlText w:val="•"/>
      <w:lvlJc w:val="left"/>
      <w:pPr>
        <w:tabs>
          <w:tab w:val="num" w:pos="6480"/>
        </w:tabs>
        <w:ind w:left="6480" w:hanging="360"/>
      </w:pPr>
      <w:rPr>
        <w:rFonts w:ascii="Arial" w:hAnsi="Arial" w:hint="default"/>
      </w:rPr>
    </w:lvl>
  </w:abstractNum>
  <w:abstractNum w:abstractNumId="8">
    <w:nsid w:val="60097414"/>
    <w:multiLevelType w:val="hybridMultilevel"/>
    <w:tmpl w:val="0546C3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6BE920D4"/>
    <w:multiLevelType w:val="hybridMultilevel"/>
    <w:tmpl w:val="052A86B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7900560C"/>
    <w:multiLevelType w:val="hybridMultilevel"/>
    <w:tmpl w:val="B88A0204"/>
    <w:lvl w:ilvl="0" w:tplc="0809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5"/>
  </w:num>
  <w:num w:numId="4">
    <w:abstractNumId w:val="8"/>
  </w:num>
  <w:num w:numId="5">
    <w:abstractNumId w:val="7"/>
  </w:num>
  <w:num w:numId="6">
    <w:abstractNumId w:val="4"/>
  </w:num>
  <w:num w:numId="7">
    <w:abstractNumId w:val="3"/>
  </w:num>
  <w:num w:numId="8">
    <w:abstractNumId w:val="2"/>
  </w:num>
  <w:num w:numId="9">
    <w:abstractNumId w:val="10"/>
  </w:num>
  <w:num w:numId="10">
    <w:abstractNumId w:val="0"/>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AA732F2-5548-46A1-B5A7-4E8A12DCA165"/>
    <w:docVar w:name="LW_COVERPAGE_TYPE" w:val="1"/>
    <w:docVar w:name="LW_CROSSREFERENCE" w:val="&lt;UNUSED&gt;"/>
    <w:docVar w:name="LW_DocType" w:val="NORMAL"/>
    <w:docVar w:name="LW_EMISSION" w:val="15.10.2020"/>
    <w:docVar w:name="LW_EMISSION_ISODATE" w:val="2020-10-15"/>
    <w:docVar w:name="LW_EMISSION_LOCATION" w:val="BRX"/>
    <w:docVar w:name="LW_EMISSION_PREFIX" w:val="Брюксел, "/>
    <w:docVar w:name="LW_EMISSION_SUFFIX" w:val=" \u1075?."/>
    <w:docVar w:name="LW_ID_DOCTYPE_NONLW" w:val="CP-007"/>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63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57?\u1098?\u1089?\u1090?\u1086?\u1103?\u1085?\u1080?\u1077?\u1090?\u1086? \u1085?\u1072? \u1087?\u1088?\u1080?\u1088?\u1086?\u1076?\u1072?\u1090?\u1072? \u1074? \u1045?\u1074?\u1088?\u1086?\u1087?\u1077?\u1081?\u1089?\u1082?\u1080?\u1103? \u1089?\u1098?\u1102?\u1079?_x000d__x000d__x000d__x000b__x000d__x000d__x000d__x000b_\u1044?\u1086?\u1082?\u1083?\u1072?\u1076? \u1079?\u1072? \u1089?\u1090?\u1072?\u1090?\u1091?\u1089?\u1072? \u1080? \u1090?\u1077?\u1085?\u1076?\u1077?\u1085?\u1094?\u1080?\u1080?\u1090?\u1077? \u1087?\u1088?\u1077?\u1079? \u1087?\u1077?\u1088?\u1080?\u1086?\u1076?\u1072? 2013\u8212?2018 \u1075?. \u1087?\u1088?\u1080? \u1074?\u1080?\u1076?\u1086?\u1074?\u1077?\u1090?\u1077? \u1080? \u1087?\u1088?\u1080? \u1090?\u1080?\u1087?\u1086?\u1074?\u1077?\u1090?\u1077? \u1084?\u1077?\u1089?\u1090?\u1086?\u1086?\u1073?\u1080?\u1090?\u1072?\u1085?\u1080?\u1103?, \u1079?\u1072?\u1097?\u1080?\u1090?\u1077?\u1085?\u1080? \u1089?\u1098?\u1075?\u1083?\u1072?\u1089?\u1085?\u1086? \u1044?\u1080?\u1088?\u1077?\u1082?\u1090?\u1080?\u1074?\u1072?\u1090?\u1072? \u1079?\u1072? \u1087?\u1090?\u1080?\u1094?\u1080?\u1090?\u1077? \u1080? \u1044?\u1080?\u1088?\u1077?\u1082?\u1090?\u1080?\u1074?\u1072?\u1090?\u1072? \u1079?\u1072? \u1084?\u1077?\u1089?\u1090?\u1086?\u1086?\u1073?\u1080?\u1090?\u1072?\u1085?\u1080?\u1103?\u1090?\u1072?&lt;FMT:Font=Calibri&gt;_x000d_&lt;/FMT&gt;_x000d__x000d__x000d__x000b_"/>
    <w:docVar w:name="LW_TYPE.DOC.CP" w:val="\u1044?\u1054?\u1050?\u1051?\u1040?\u1044? \u1053?\u1040? \u1050?\u1054?\u1052?\u1048?\u1057?\u1048?\u1071?\u1058?\u1040? \u1044?\u1054? \u1045?\u1042?\u1056?\u1054?\u1055?\u1045?\u1049?\u1057?\u1050?\u1048?\u1071? \u1055?\u1040?\u1056?\u1051?\u1040?\u1052?\u1045?\u1053?\u1058?, \u1057?\u1066?\u1042?\u1045?\u1058?\u1040? \u1048? \u1045?\u1042?\u1056?\u1054?\u1055?\u1045?\u1049?\u1057?\u1050?\u1048?\u1071? \u1048?\u1050?\u1054?\u1053?\u1054?\u1052?\u1048?\u1063?\u1045?\u1057?\u1050?\u1048? \u1048? \u1057?\u1054?\u1062?\u1048?\u1040?\u1051?\u1045?\u1053? \u1050?\u1054?\u1052?\u1048?\u1058?\u1045?\u1058?"/>
    <w:docVar w:name="Stamp" w:val="\\dossiers.dgt.cec.eu.int\dossiers\ENV\ENV-2020-01276\ENV-2020-01276-00-00-EN-EDT-00.20200814150325524594.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120" w:after="120" w:line="240" w:lineRule="auto"/>
      <w:ind w:left="720" w:hanging="720"/>
      <w:jc w:val="both"/>
      <w:outlineLvl w:val="2"/>
    </w:pPr>
    <w:rPr>
      <w:rFonts w:eastAsia="ヒラギノ角ゴ Pro W3" w:cstheme="majorBidi"/>
      <w:b/>
      <w:i/>
      <w:iCs/>
      <w:color w:val="17365D"/>
      <w:sz w:val="24"/>
      <w:szCs w:val="24"/>
    </w:rPr>
  </w:style>
  <w:style w:type="paragraph" w:styleId="Heading8">
    <w:name w:val="heading 8"/>
    <w:basedOn w:val="Normal"/>
    <w:next w:val="Normal"/>
    <w:link w:val="Heading8Char"/>
    <w:uiPriority w:val="9"/>
    <w:semiHidden/>
    <w:unhideWhenUsed/>
    <w:qFormat/>
    <w:pPr>
      <w:keepNext/>
      <w:keepLines/>
      <w:spacing w:before="40" w:after="0" w:line="240" w:lineRule="auto"/>
      <w:ind w:left="1440" w:hanging="1440"/>
      <w:jc w:val="both"/>
      <w:outlineLvl w:val="7"/>
    </w:pPr>
    <w:rPr>
      <w:rFonts w:asciiTheme="majorHAnsi" w:eastAsiaTheme="majorEastAsia" w:hAnsiTheme="majorHAnsi" w:cstheme="majorBidi"/>
      <w:iCs/>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spacing w:before="40" w:after="0" w:line="240" w:lineRule="auto"/>
      <w:ind w:left="1584" w:hanging="1584"/>
      <w:jc w:val="both"/>
      <w:outlineLvl w:val="8"/>
    </w:pPr>
    <w:rPr>
      <w:rFonts w:asciiTheme="majorHAnsi" w:eastAsiaTheme="majorEastAsia" w:hAnsiTheme="majorHAnsi" w:cstheme="majorBidi"/>
      <w: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e de liste 2,Reference list,Bullet List Paragraph,List Paragraph1,Numbered Para 1,Dot pt,No Spacing1,List Paragraph Char Char Char,Indicator Text,Bullet 1,Bullet Points,MAIN CONTENT,List Paragraph12,F5 List Paragraph"/>
    <w:basedOn w:val="Normal"/>
    <w:link w:val="ListParagraphChar"/>
    <w:uiPriority w:val="34"/>
    <w:qFormat/>
    <w:pPr>
      <w:ind w:left="720"/>
      <w:contextualSpacing/>
    </w:pPr>
  </w:style>
  <w:style w:type="table" w:styleId="TableGrid">
    <w:name w:val="Table Grid"/>
    <w:aliases w:val="Table Format 1,HTG"/>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Table legend,Tab_Überschrift,Figure reference,Char Char,Char Char Char,Caption1 Char Char Char Char Char Char Char Char Tegn Tegn Tegn Tegn Tegn,Caption1 Char Char Char Char Char Char Char Char Tegn Tegn Tegn,F10 Table Figure and Chart Tit"/>
    <w:basedOn w:val="Normal"/>
    <w:next w:val="Normal"/>
    <w:link w:val="CaptionChar"/>
    <w:autoRedefine/>
    <w:unhideWhenUsed/>
    <w:qFormat/>
    <w:pPr>
      <w:keepNext/>
      <w:framePr w:hSpace="141" w:wrap="around" w:vAnchor="text" w:hAnchor="margin" w:y="179"/>
      <w:spacing w:after="120" w:line="240" w:lineRule="auto"/>
      <w:jc w:val="center"/>
    </w:pPr>
    <w:rPr>
      <w:rFonts w:ascii="Times New Roman" w:eastAsia="ヒラギノ角ゴ Pro W3" w:hAnsi="Times New Roman" w:cs="Times New Roman"/>
      <w:b/>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CaptionChar">
    <w:name w:val="Caption Char"/>
    <w:aliases w:val="Table legend Char,Tab_Überschrift Char,Figure reference Char,Char Char Char1,Char Char Char Char,Caption1 Char Char Char Char Char Char Char Char Tegn Tegn Tegn Tegn Tegn Char,F10 Table Figure and Chart Tit Char"/>
    <w:basedOn w:val="DefaultParagraphFont"/>
    <w:link w:val="Caption"/>
    <w:locked/>
    <w:rPr>
      <w:rFonts w:ascii="Times New Roman" w:eastAsia="ヒラギノ角ゴ Pro W3" w:hAnsi="Times New Roman" w:cs="Times New Roman"/>
      <w:b/>
      <w:sz w:val="20"/>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pPr>
      <w:spacing w:before="360" w:after="360" w:line="240" w:lineRule="auto"/>
      <w:ind w:left="360"/>
      <w:jc w:val="both"/>
    </w:pPr>
    <w:rPr>
      <w:rFonts w:asciiTheme="minorHAnsi" w:eastAsia="ヒラギノ角ゴ Pro W3" w:hAnsiTheme="minorHAnsi" w:cs="Times New Roman"/>
      <w:b/>
      <w:iCs/>
      <w:color w:val="17365D"/>
      <w:sz w:val="24"/>
      <w:szCs w:val="24"/>
    </w:rPr>
  </w:style>
  <w:style w:type="paragraph" w:customStyle="1" w:styleId="Style2-Annex">
    <w:name w:val="Style2 - Annex"/>
    <w:basedOn w:val="Heading2"/>
    <w:next w:val="Normal"/>
    <w:qFormat/>
    <w:pPr>
      <w:numPr>
        <w:numId w:val="2"/>
      </w:numPr>
      <w:spacing w:before="240" w:after="240" w:line="240" w:lineRule="auto"/>
      <w:ind w:left="1440" w:hanging="360"/>
      <w:jc w:val="both"/>
    </w:pPr>
    <w:rPr>
      <w:rFonts w:asciiTheme="minorHAnsi" w:eastAsia="ヒラギノ角ゴ Pro W3" w:hAnsiTheme="minorHAnsi"/>
      <w:b/>
      <w:iCs/>
      <w:color w:val="17365D"/>
      <w:sz w:val="28"/>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aliases w:val="Paragraphe de liste 2 Char,Reference list Char,Bullet List Paragraph Char,List Paragraph1 Char,Numbered Para 1 Char,Dot pt Char,No Spacing1 Char,List Paragraph Char Char Char Char,Indicator Text Char,Bullet 1 Char,Bullet Points Char"/>
    <w:basedOn w:val="DefaultParagraphFont"/>
    <w:link w:val="ListParagraph"/>
    <w:uiPriority w:val="34"/>
    <w:qFormat/>
    <w:locked/>
  </w:style>
  <w:style w:type="character" w:customStyle="1" w:styleId="Heading3Char">
    <w:name w:val="Heading 3 Char"/>
    <w:basedOn w:val="DefaultParagraphFont"/>
    <w:link w:val="Heading3"/>
    <w:uiPriority w:val="9"/>
    <w:rPr>
      <w:rFonts w:eastAsia="ヒラギノ角ゴ Pro W3" w:cstheme="majorBidi"/>
      <w:b/>
      <w:i/>
      <w:iCs/>
      <w:color w:val="17365D"/>
      <w:sz w:val="24"/>
      <w:szCs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Cs/>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color w:val="272727" w:themeColor="text1" w:themeTint="D8"/>
      <w:sz w:val="21"/>
      <w:szCs w:val="21"/>
    </w:rPr>
  </w:style>
  <w:style w:type="paragraph" w:styleId="FootnoteText">
    <w:name w:val="footnote text"/>
    <w:basedOn w:val="Normal"/>
    <w:uiPriority w:val="99"/>
    <w:unhideWhenUsed/>
    <w:pPr>
      <w:spacing w:after="0" w:line="240" w:lineRule="auto"/>
      <w:jc w:val="both"/>
    </w:pPr>
    <w:rPr>
      <w:rFonts w:eastAsia="ヒラギノ角ゴ Pro W3" w:cs="Times New Roman"/>
      <w:iCs/>
      <w:szCs w:val="20"/>
    </w:rPr>
  </w:style>
  <w:style w:type="character" w:customStyle="1" w:styleId="FootnoteTextChar">
    <w:name w:val="Footnote Text Char"/>
    <w:basedOn w:val="DefaultParagraphFont"/>
    <w:uiPriority w:val="99"/>
    <w:rPr>
      <w:rFonts w:eastAsia="ヒラギノ角ゴ Pro W3" w:cs="Times New Roman"/>
      <w:iCs/>
      <w:szCs w:val="20"/>
    </w:rPr>
  </w:style>
  <w:style w:type="character" w:styleId="FootnoteReference">
    <w:name w:val="footnote reference"/>
    <w:basedOn w:val="DefaultParagraphFont"/>
    <w:uiPriority w:val="99"/>
    <w:unhideWhenUsed/>
    <w:rPr>
      <w:vertAlign w:val="superscript"/>
    </w:rPr>
  </w:style>
  <w:style w:type="table" w:customStyle="1" w:styleId="HTG1">
    <w:name w:val="HTG1"/>
    <w:basedOn w:val="TableNormal"/>
    <w:next w:val="TableGrid"/>
    <w:uiPriority w:val="5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HTG2">
    <w:name w:val="HTG2"/>
    <w:basedOn w:val="TableNormal"/>
    <w:next w:val="TableGrid"/>
    <w:uiPriority w:val="5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TG3">
    <w:name w:val="HTG3"/>
    <w:basedOn w:val="TableNormal"/>
    <w:next w:val="TableGrid"/>
    <w:uiPriority w:val="5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TG4">
    <w:name w:val="HTG4"/>
    <w:basedOn w:val="TableNormal"/>
    <w:next w:val="TableGrid"/>
    <w:uiPriority w:val="5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TG5">
    <w:name w:val="HTG5"/>
    <w:basedOn w:val="TableNormal"/>
    <w:next w:val="TableGrid"/>
    <w:uiPriority w:val="5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TG6">
    <w:name w:val="HTG6"/>
    <w:basedOn w:val="TableNormal"/>
    <w:next w:val="TableGrid"/>
    <w:uiPriority w:val="5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odyText">
    <w:name w:val="Body Text"/>
    <w:aliases w:val="EEA - Body Text"/>
    <w:basedOn w:val="Normal"/>
    <w:link w:val="BodyTextChar"/>
    <w:autoRedefine/>
    <w:qFormat/>
    <w:pPr>
      <w:numPr>
        <w:numId w:val="7"/>
      </w:numPr>
      <w:spacing w:after="160" w:line="259" w:lineRule="auto"/>
    </w:pPr>
    <w:rPr>
      <w:rFonts w:eastAsia="ヒラギノ角ゴ Pro W3" w:cs="Times New Roman"/>
      <w:color w:val="000000"/>
      <w:szCs w:val="20"/>
      <w:lang w:eastAsia="en-GB"/>
    </w:rPr>
  </w:style>
  <w:style w:type="character" w:customStyle="1" w:styleId="BodyTextChar">
    <w:name w:val="Body Text Char"/>
    <w:aliases w:val="EEA - Body Text Char"/>
    <w:basedOn w:val="DefaultParagraphFont"/>
    <w:link w:val="BodyText"/>
    <w:rPr>
      <w:rFonts w:eastAsia="ヒラギノ角ゴ Pro W3" w:cs="Times New Roman"/>
      <w:color w:val="000000"/>
      <w:szCs w:val="20"/>
      <w:lang w:eastAsia="en-GB"/>
    </w:rPr>
  </w:style>
  <w:style w:type="table" w:customStyle="1" w:styleId="HTG7">
    <w:name w:val="HTG7"/>
    <w:basedOn w:val="TableNormal"/>
    <w:next w:val="TableGrid"/>
    <w:uiPriority w:val="5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contextualSpacing/>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contextualSpacing/>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contextualSpacing/>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contextualSpacing/>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contextualSpacing/>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120" w:after="120" w:line="240" w:lineRule="auto"/>
      <w:ind w:left="720" w:hanging="720"/>
      <w:jc w:val="both"/>
      <w:outlineLvl w:val="2"/>
    </w:pPr>
    <w:rPr>
      <w:rFonts w:eastAsia="ヒラギノ角ゴ Pro W3" w:cstheme="majorBidi"/>
      <w:b/>
      <w:i/>
      <w:iCs/>
      <w:color w:val="17365D"/>
      <w:sz w:val="24"/>
      <w:szCs w:val="24"/>
    </w:rPr>
  </w:style>
  <w:style w:type="paragraph" w:styleId="Heading8">
    <w:name w:val="heading 8"/>
    <w:basedOn w:val="Normal"/>
    <w:next w:val="Normal"/>
    <w:link w:val="Heading8Char"/>
    <w:uiPriority w:val="9"/>
    <w:semiHidden/>
    <w:unhideWhenUsed/>
    <w:qFormat/>
    <w:pPr>
      <w:keepNext/>
      <w:keepLines/>
      <w:spacing w:before="40" w:after="0" w:line="240" w:lineRule="auto"/>
      <w:ind w:left="1440" w:hanging="1440"/>
      <w:jc w:val="both"/>
      <w:outlineLvl w:val="7"/>
    </w:pPr>
    <w:rPr>
      <w:rFonts w:asciiTheme="majorHAnsi" w:eastAsiaTheme="majorEastAsia" w:hAnsiTheme="majorHAnsi" w:cstheme="majorBidi"/>
      <w:iCs/>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spacing w:before="40" w:after="0" w:line="240" w:lineRule="auto"/>
      <w:ind w:left="1584" w:hanging="1584"/>
      <w:jc w:val="both"/>
      <w:outlineLvl w:val="8"/>
    </w:pPr>
    <w:rPr>
      <w:rFonts w:asciiTheme="majorHAnsi" w:eastAsiaTheme="majorEastAsia" w:hAnsiTheme="majorHAnsi" w:cstheme="majorBidi"/>
      <w: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e de liste 2,Reference list,Bullet List Paragraph,List Paragraph1,Numbered Para 1,Dot pt,No Spacing1,List Paragraph Char Char Char,Indicator Text,Bullet 1,Bullet Points,MAIN CONTENT,List Paragraph12,F5 List Paragraph"/>
    <w:basedOn w:val="Normal"/>
    <w:link w:val="ListParagraphChar"/>
    <w:uiPriority w:val="34"/>
    <w:qFormat/>
    <w:pPr>
      <w:ind w:left="720"/>
      <w:contextualSpacing/>
    </w:pPr>
  </w:style>
  <w:style w:type="table" w:styleId="TableGrid">
    <w:name w:val="Table Grid"/>
    <w:aliases w:val="Table Format 1,HTG"/>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Table legend,Tab_Überschrift,Figure reference,Char Char,Char Char Char,Caption1 Char Char Char Char Char Char Char Char Tegn Tegn Tegn Tegn Tegn,Caption1 Char Char Char Char Char Char Char Char Tegn Tegn Tegn,F10 Table Figure and Chart Tit"/>
    <w:basedOn w:val="Normal"/>
    <w:next w:val="Normal"/>
    <w:link w:val="CaptionChar"/>
    <w:autoRedefine/>
    <w:unhideWhenUsed/>
    <w:qFormat/>
    <w:pPr>
      <w:keepNext/>
      <w:framePr w:hSpace="141" w:wrap="around" w:vAnchor="text" w:hAnchor="margin" w:y="179"/>
      <w:spacing w:after="120" w:line="240" w:lineRule="auto"/>
      <w:jc w:val="center"/>
    </w:pPr>
    <w:rPr>
      <w:rFonts w:ascii="Times New Roman" w:eastAsia="ヒラギノ角ゴ Pro W3" w:hAnsi="Times New Roman" w:cs="Times New Roman"/>
      <w:b/>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CaptionChar">
    <w:name w:val="Caption Char"/>
    <w:aliases w:val="Table legend Char,Tab_Überschrift Char,Figure reference Char,Char Char Char1,Char Char Char Char,Caption1 Char Char Char Char Char Char Char Char Tegn Tegn Tegn Tegn Tegn Char,F10 Table Figure and Chart Tit Char"/>
    <w:basedOn w:val="DefaultParagraphFont"/>
    <w:link w:val="Caption"/>
    <w:locked/>
    <w:rPr>
      <w:rFonts w:ascii="Times New Roman" w:eastAsia="ヒラギノ角ゴ Pro W3" w:hAnsi="Times New Roman" w:cs="Times New Roman"/>
      <w:b/>
      <w:sz w:val="20"/>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pPr>
      <w:spacing w:before="360" w:after="360" w:line="240" w:lineRule="auto"/>
      <w:ind w:left="360"/>
      <w:jc w:val="both"/>
    </w:pPr>
    <w:rPr>
      <w:rFonts w:asciiTheme="minorHAnsi" w:eastAsia="ヒラギノ角ゴ Pro W3" w:hAnsiTheme="minorHAnsi" w:cs="Times New Roman"/>
      <w:b/>
      <w:iCs/>
      <w:color w:val="17365D"/>
      <w:sz w:val="24"/>
      <w:szCs w:val="24"/>
    </w:rPr>
  </w:style>
  <w:style w:type="paragraph" w:customStyle="1" w:styleId="Style2-Annex">
    <w:name w:val="Style2 - Annex"/>
    <w:basedOn w:val="Heading2"/>
    <w:next w:val="Normal"/>
    <w:qFormat/>
    <w:pPr>
      <w:numPr>
        <w:numId w:val="2"/>
      </w:numPr>
      <w:spacing w:before="240" w:after="240" w:line="240" w:lineRule="auto"/>
      <w:ind w:left="1440" w:hanging="360"/>
      <w:jc w:val="both"/>
    </w:pPr>
    <w:rPr>
      <w:rFonts w:asciiTheme="minorHAnsi" w:eastAsia="ヒラギノ角ゴ Pro W3" w:hAnsiTheme="minorHAnsi"/>
      <w:b/>
      <w:iCs/>
      <w:color w:val="17365D"/>
      <w:sz w:val="28"/>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aliases w:val="Paragraphe de liste 2 Char,Reference list Char,Bullet List Paragraph Char,List Paragraph1 Char,Numbered Para 1 Char,Dot pt Char,No Spacing1 Char,List Paragraph Char Char Char Char,Indicator Text Char,Bullet 1 Char,Bullet Points Char"/>
    <w:basedOn w:val="DefaultParagraphFont"/>
    <w:link w:val="ListParagraph"/>
    <w:uiPriority w:val="34"/>
    <w:qFormat/>
    <w:locked/>
  </w:style>
  <w:style w:type="character" w:customStyle="1" w:styleId="Heading3Char">
    <w:name w:val="Heading 3 Char"/>
    <w:basedOn w:val="DefaultParagraphFont"/>
    <w:link w:val="Heading3"/>
    <w:uiPriority w:val="9"/>
    <w:rPr>
      <w:rFonts w:eastAsia="ヒラギノ角ゴ Pro W3" w:cstheme="majorBidi"/>
      <w:b/>
      <w:i/>
      <w:iCs/>
      <w:color w:val="17365D"/>
      <w:sz w:val="24"/>
      <w:szCs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Cs/>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color w:val="272727" w:themeColor="text1" w:themeTint="D8"/>
      <w:sz w:val="21"/>
      <w:szCs w:val="21"/>
    </w:rPr>
  </w:style>
  <w:style w:type="paragraph" w:styleId="FootnoteText">
    <w:name w:val="footnote text"/>
    <w:basedOn w:val="Normal"/>
    <w:uiPriority w:val="99"/>
    <w:unhideWhenUsed/>
    <w:pPr>
      <w:spacing w:after="0" w:line="240" w:lineRule="auto"/>
      <w:jc w:val="both"/>
    </w:pPr>
    <w:rPr>
      <w:rFonts w:eastAsia="ヒラギノ角ゴ Pro W3" w:cs="Times New Roman"/>
      <w:iCs/>
      <w:szCs w:val="20"/>
    </w:rPr>
  </w:style>
  <w:style w:type="character" w:customStyle="1" w:styleId="FootnoteTextChar">
    <w:name w:val="Footnote Text Char"/>
    <w:basedOn w:val="DefaultParagraphFont"/>
    <w:uiPriority w:val="99"/>
    <w:rPr>
      <w:rFonts w:eastAsia="ヒラギノ角ゴ Pro W3" w:cs="Times New Roman"/>
      <w:iCs/>
      <w:szCs w:val="20"/>
    </w:rPr>
  </w:style>
  <w:style w:type="character" w:styleId="FootnoteReference">
    <w:name w:val="footnote reference"/>
    <w:basedOn w:val="DefaultParagraphFont"/>
    <w:uiPriority w:val="99"/>
    <w:unhideWhenUsed/>
    <w:rPr>
      <w:vertAlign w:val="superscript"/>
    </w:rPr>
  </w:style>
  <w:style w:type="table" w:customStyle="1" w:styleId="HTG1">
    <w:name w:val="HTG1"/>
    <w:basedOn w:val="TableNormal"/>
    <w:next w:val="TableGrid"/>
    <w:uiPriority w:val="5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HTG2">
    <w:name w:val="HTG2"/>
    <w:basedOn w:val="TableNormal"/>
    <w:next w:val="TableGrid"/>
    <w:uiPriority w:val="5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TG3">
    <w:name w:val="HTG3"/>
    <w:basedOn w:val="TableNormal"/>
    <w:next w:val="TableGrid"/>
    <w:uiPriority w:val="5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TG4">
    <w:name w:val="HTG4"/>
    <w:basedOn w:val="TableNormal"/>
    <w:next w:val="TableGrid"/>
    <w:uiPriority w:val="5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TG5">
    <w:name w:val="HTG5"/>
    <w:basedOn w:val="TableNormal"/>
    <w:next w:val="TableGrid"/>
    <w:uiPriority w:val="5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TG6">
    <w:name w:val="HTG6"/>
    <w:basedOn w:val="TableNormal"/>
    <w:next w:val="TableGrid"/>
    <w:uiPriority w:val="5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odyText">
    <w:name w:val="Body Text"/>
    <w:aliases w:val="EEA - Body Text"/>
    <w:basedOn w:val="Normal"/>
    <w:link w:val="BodyTextChar"/>
    <w:autoRedefine/>
    <w:qFormat/>
    <w:pPr>
      <w:numPr>
        <w:numId w:val="7"/>
      </w:numPr>
      <w:spacing w:after="160" w:line="259" w:lineRule="auto"/>
    </w:pPr>
    <w:rPr>
      <w:rFonts w:eastAsia="ヒラギノ角ゴ Pro W3" w:cs="Times New Roman"/>
      <w:color w:val="000000"/>
      <w:szCs w:val="20"/>
      <w:lang w:eastAsia="en-GB"/>
    </w:rPr>
  </w:style>
  <w:style w:type="character" w:customStyle="1" w:styleId="BodyTextChar">
    <w:name w:val="Body Text Char"/>
    <w:aliases w:val="EEA - Body Text Char"/>
    <w:basedOn w:val="DefaultParagraphFont"/>
    <w:link w:val="BodyText"/>
    <w:rPr>
      <w:rFonts w:eastAsia="ヒラギノ角ゴ Pro W3" w:cs="Times New Roman"/>
      <w:color w:val="000000"/>
      <w:szCs w:val="20"/>
      <w:lang w:eastAsia="en-GB"/>
    </w:rPr>
  </w:style>
  <w:style w:type="table" w:customStyle="1" w:styleId="HTG7">
    <w:name w:val="HTG7"/>
    <w:basedOn w:val="TableNormal"/>
    <w:next w:val="TableGrid"/>
    <w:uiPriority w:val="5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contextualSpacing/>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contextualSpacing/>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contextualSpacing/>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contextualSpacing/>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contextualSpacing/>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30593">
      <w:bodyDiv w:val="1"/>
      <w:marLeft w:val="0"/>
      <w:marRight w:val="0"/>
      <w:marTop w:val="0"/>
      <w:marBottom w:val="0"/>
      <w:divBdr>
        <w:top w:val="none" w:sz="0" w:space="0" w:color="auto"/>
        <w:left w:val="none" w:sz="0" w:space="0" w:color="auto"/>
        <w:bottom w:val="none" w:sz="0" w:space="0" w:color="auto"/>
        <w:right w:val="none" w:sz="0" w:space="0" w:color="auto"/>
      </w:divBdr>
      <w:divsChild>
        <w:div w:id="1396275877">
          <w:marLeft w:val="547"/>
          <w:marRight w:val="0"/>
          <w:marTop w:val="115"/>
          <w:marBottom w:val="0"/>
          <w:divBdr>
            <w:top w:val="none" w:sz="0" w:space="0" w:color="auto"/>
            <w:left w:val="none" w:sz="0" w:space="0" w:color="auto"/>
            <w:bottom w:val="none" w:sz="0" w:space="0" w:color="auto"/>
            <w:right w:val="none" w:sz="0" w:space="0" w:color="auto"/>
          </w:divBdr>
        </w:div>
        <w:div w:id="1548640616">
          <w:marLeft w:val="547"/>
          <w:marRight w:val="0"/>
          <w:marTop w:val="115"/>
          <w:marBottom w:val="0"/>
          <w:divBdr>
            <w:top w:val="none" w:sz="0" w:space="0" w:color="auto"/>
            <w:left w:val="none" w:sz="0" w:space="0" w:color="auto"/>
            <w:bottom w:val="none" w:sz="0" w:space="0" w:color="auto"/>
            <w:right w:val="none" w:sz="0" w:space="0" w:color="auto"/>
          </w:divBdr>
        </w:div>
      </w:divsChild>
    </w:div>
    <w:div w:id="144862763">
      <w:bodyDiv w:val="1"/>
      <w:marLeft w:val="0"/>
      <w:marRight w:val="0"/>
      <w:marTop w:val="0"/>
      <w:marBottom w:val="0"/>
      <w:divBdr>
        <w:top w:val="none" w:sz="0" w:space="0" w:color="auto"/>
        <w:left w:val="none" w:sz="0" w:space="0" w:color="auto"/>
        <w:bottom w:val="none" w:sz="0" w:space="0" w:color="auto"/>
        <w:right w:val="none" w:sz="0" w:space="0" w:color="auto"/>
      </w:divBdr>
      <w:divsChild>
        <w:div w:id="545064902">
          <w:marLeft w:val="547"/>
          <w:marRight w:val="0"/>
          <w:marTop w:val="86"/>
          <w:marBottom w:val="0"/>
          <w:divBdr>
            <w:top w:val="none" w:sz="0" w:space="0" w:color="auto"/>
            <w:left w:val="none" w:sz="0" w:space="0" w:color="auto"/>
            <w:bottom w:val="none" w:sz="0" w:space="0" w:color="auto"/>
            <w:right w:val="none" w:sz="0" w:space="0" w:color="auto"/>
          </w:divBdr>
        </w:div>
        <w:div w:id="1278416364">
          <w:marLeft w:val="547"/>
          <w:marRight w:val="0"/>
          <w:marTop w:val="86"/>
          <w:marBottom w:val="0"/>
          <w:divBdr>
            <w:top w:val="none" w:sz="0" w:space="0" w:color="auto"/>
            <w:left w:val="none" w:sz="0" w:space="0" w:color="auto"/>
            <w:bottom w:val="none" w:sz="0" w:space="0" w:color="auto"/>
            <w:right w:val="none" w:sz="0" w:space="0" w:color="auto"/>
          </w:divBdr>
        </w:div>
        <w:div w:id="1326938521">
          <w:marLeft w:val="547"/>
          <w:marRight w:val="0"/>
          <w:marTop w:val="86"/>
          <w:marBottom w:val="0"/>
          <w:divBdr>
            <w:top w:val="none" w:sz="0" w:space="0" w:color="auto"/>
            <w:left w:val="none" w:sz="0" w:space="0" w:color="auto"/>
            <w:bottom w:val="none" w:sz="0" w:space="0" w:color="auto"/>
            <w:right w:val="none" w:sz="0" w:space="0" w:color="auto"/>
          </w:divBdr>
        </w:div>
        <w:div w:id="1916235343">
          <w:marLeft w:val="547"/>
          <w:marRight w:val="0"/>
          <w:marTop w:val="86"/>
          <w:marBottom w:val="0"/>
          <w:divBdr>
            <w:top w:val="none" w:sz="0" w:space="0" w:color="auto"/>
            <w:left w:val="none" w:sz="0" w:space="0" w:color="auto"/>
            <w:bottom w:val="none" w:sz="0" w:space="0" w:color="auto"/>
            <w:right w:val="none" w:sz="0" w:space="0" w:color="auto"/>
          </w:divBdr>
        </w:div>
      </w:divsChild>
    </w:div>
    <w:div w:id="200896669">
      <w:bodyDiv w:val="1"/>
      <w:marLeft w:val="0"/>
      <w:marRight w:val="0"/>
      <w:marTop w:val="0"/>
      <w:marBottom w:val="0"/>
      <w:divBdr>
        <w:top w:val="none" w:sz="0" w:space="0" w:color="auto"/>
        <w:left w:val="none" w:sz="0" w:space="0" w:color="auto"/>
        <w:bottom w:val="none" w:sz="0" w:space="0" w:color="auto"/>
        <w:right w:val="none" w:sz="0" w:space="0" w:color="auto"/>
      </w:divBdr>
      <w:divsChild>
        <w:div w:id="510337513">
          <w:marLeft w:val="547"/>
          <w:marRight w:val="0"/>
          <w:marTop w:val="86"/>
          <w:marBottom w:val="0"/>
          <w:divBdr>
            <w:top w:val="none" w:sz="0" w:space="0" w:color="auto"/>
            <w:left w:val="none" w:sz="0" w:space="0" w:color="auto"/>
            <w:bottom w:val="none" w:sz="0" w:space="0" w:color="auto"/>
            <w:right w:val="none" w:sz="0" w:space="0" w:color="auto"/>
          </w:divBdr>
        </w:div>
        <w:div w:id="939870130">
          <w:marLeft w:val="547"/>
          <w:marRight w:val="0"/>
          <w:marTop w:val="86"/>
          <w:marBottom w:val="0"/>
          <w:divBdr>
            <w:top w:val="none" w:sz="0" w:space="0" w:color="auto"/>
            <w:left w:val="none" w:sz="0" w:space="0" w:color="auto"/>
            <w:bottom w:val="none" w:sz="0" w:space="0" w:color="auto"/>
            <w:right w:val="none" w:sz="0" w:space="0" w:color="auto"/>
          </w:divBdr>
        </w:div>
        <w:div w:id="1377852902">
          <w:marLeft w:val="547"/>
          <w:marRight w:val="0"/>
          <w:marTop w:val="86"/>
          <w:marBottom w:val="0"/>
          <w:divBdr>
            <w:top w:val="none" w:sz="0" w:space="0" w:color="auto"/>
            <w:left w:val="none" w:sz="0" w:space="0" w:color="auto"/>
            <w:bottom w:val="none" w:sz="0" w:space="0" w:color="auto"/>
            <w:right w:val="none" w:sz="0" w:space="0" w:color="auto"/>
          </w:divBdr>
        </w:div>
        <w:div w:id="2039156541">
          <w:marLeft w:val="547"/>
          <w:marRight w:val="0"/>
          <w:marTop w:val="86"/>
          <w:marBottom w:val="0"/>
          <w:divBdr>
            <w:top w:val="none" w:sz="0" w:space="0" w:color="auto"/>
            <w:left w:val="none" w:sz="0" w:space="0" w:color="auto"/>
            <w:bottom w:val="none" w:sz="0" w:space="0" w:color="auto"/>
            <w:right w:val="none" w:sz="0" w:space="0" w:color="auto"/>
          </w:divBdr>
        </w:div>
      </w:divsChild>
    </w:div>
    <w:div w:id="249657218">
      <w:bodyDiv w:val="1"/>
      <w:marLeft w:val="0"/>
      <w:marRight w:val="0"/>
      <w:marTop w:val="0"/>
      <w:marBottom w:val="0"/>
      <w:divBdr>
        <w:top w:val="none" w:sz="0" w:space="0" w:color="auto"/>
        <w:left w:val="none" w:sz="0" w:space="0" w:color="auto"/>
        <w:bottom w:val="none" w:sz="0" w:space="0" w:color="auto"/>
        <w:right w:val="none" w:sz="0" w:space="0" w:color="auto"/>
      </w:divBdr>
      <w:divsChild>
        <w:div w:id="30113353">
          <w:marLeft w:val="547"/>
          <w:marRight w:val="0"/>
          <w:marTop w:val="115"/>
          <w:marBottom w:val="0"/>
          <w:divBdr>
            <w:top w:val="none" w:sz="0" w:space="0" w:color="auto"/>
            <w:left w:val="none" w:sz="0" w:space="0" w:color="auto"/>
            <w:bottom w:val="none" w:sz="0" w:space="0" w:color="auto"/>
            <w:right w:val="none" w:sz="0" w:space="0" w:color="auto"/>
          </w:divBdr>
        </w:div>
        <w:div w:id="860321644">
          <w:marLeft w:val="547"/>
          <w:marRight w:val="0"/>
          <w:marTop w:val="115"/>
          <w:marBottom w:val="0"/>
          <w:divBdr>
            <w:top w:val="none" w:sz="0" w:space="0" w:color="auto"/>
            <w:left w:val="none" w:sz="0" w:space="0" w:color="auto"/>
            <w:bottom w:val="none" w:sz="0" w:space="0" w:color="auto"/>
            <w:right w:val="none" w:sz="0" w:space="0" w:color="auto"/>
          </w:divBdr>
        </w:div>
        <w:div w:id="1640962737">
          <w:marLeft w:val="547"/>
          <w:marRight w:val="0"/>
          <w:marTop w:val="115"/>
          <w:marBottom w:val="0"/>
          <w:divBdr>
            <w:top w:val="none" w:sz="0" w:space="0" w:color="auto"/>
            <w:left w:val="none" w:sz="0" w:space="0" w:color="auto"/>
            <w:bottom w:val="none" w:sz="0" w:space="0" w:color="auto"/>
            <w:right w:val="none" w:sz="0" w:space="0" w:color="auto"/>
          </w:divBdr>
        </w:div>
      </w:divsChild>
    </w:div>
    <w:div w:id="325283249">
      <w:bodyDiv w:val="1"/>
      <w:marLeft w:val="0"/>
      <w:marRight w:val="0"/>
      <w:marTop w:val="0"/>
      <w:marBottom w:val="0"/>
      <w:divBdr>
        <w:top w:val="none" w:sz="0" w:space="0" w:color="auto"/>
        <w:left w:val="none" w:sz="0" w:space="0" w:color="auto"/>
        <w:bottom w:val="none" w:sz="0" w:space="0" w:color="auto"/>
        <w:right w:val="none" w:sz="0" w:space="0" w:color="auto"/>
      </w:divBdr>
    </w:div>
    <w:div w:id="336231972">
      <w:bodyDiv w:val="1"/>
      <w:marLeft w:val="0"/>
      <w:marRight w:val="0"/>
      <w:marTop w:val="0"/>
      <w:marBottom w:val="0"/>
      <w:divBdr>
        <w:top w:val="none" w:sz="0" w:space="0" w:color="auto"/>
        <w:left w:val="none" w:sz="0" w:space="0" w:color="auto"/>
        <w:bottom w:val="none" w:sz="0" w:space="0" w:color="auto"/>
        <w:right w:val="none" w:sz="0" w:space="0" w:color="auto"/>
      </w:divBdr>
      <w:divsChild>
        <w:div w:id="23217114">
          <w:marLeft w:val="547"/>
          <w:marRight w:val="0"/>
          <w:marTop w:val="115"/>
          <w:marBottom w:val="0"/>
          <w:divBdr>
            <w:top w:val="none" w:sz="0" w:space="0" w:color="auto"/>
            <w:left w:val="none" w:sz="0" w:space="0" w:color="auto"/>
            <w:bottom w:val="none" w:sz="0" w:space="0" w:color="auto"/>
            <w:right w:val="none" w:sz="0" w:space="0" w:color="auto"/>
          </w:divBdr>
        </w:div>
        <w:div w:id="171919333">
          <w:marLeft w:val="547"/>
          <w:marRight w:val="0"/>
          <w:marTop w:val="115"/>
          <w:marBottom w:val="0"/>
          <w:divBdr>
            <w:top w:val="none" w:sz="0" w:space="0" w:color="auto"/>
            <w:left w:val="none" w:sz="0" w:space="0" w:color="auto"/>
            <w:bottom w:val="none" w:sz="0" w:space="0" w:color="auto"/>
            <w:right w:val="none" w:sz="0" w:space="0" w:color="auto"/>
          </w:divBdr>
        </w:div>
        <w:div w:id="401099658">
          <w:marLeft w:val="547"/>
          <w:marRight w:val="0"/>
          <w:marTop w:val="115"/>
          <w:marBottom w:val="0"/>
          <w:divBdr>
            <w:top w:val="none" w:sz="0" w:space="0" w:color="auto"/>
            <w:left w:val="none" w:sz="0" w:space="0" w:color="auto"/>
            <w:bottom w:val="none" w:sz="0" w:space="0" w:color="auto"/>
            <w:right w:val="none" w:sz="0" w:space="0" w:color="auto"/>
          </w:divBdr>
        </w:div>
        <w:div w:id="1676109372">
          <w:marLeft w:val="547"/>
          <w:marRight w:val="0"/>
          <w:marTop w:val="115"/>
          <w:marBottom w:val="0"/>
          <w:divBdr>
            <w:top w:val="none" w:sz="0" w:space="0" w:color="auto"/>
            <w:left w:val="none" w:sz="0" w:space="0" w:color="auto"/>
            <w:bottom w:val="none" w:sz="0" w:space="0" w:color="auto"/>
            <w:right w:val="none" w:sz="0" w:space="0" w:color="auto"/>
          </w:divBdr>
        </w:div>
      </w:divsChild>
    </w:div>
    <w:div w:id="453331561">
      <w:bodyDiv w:val="1"/>
      <w:marLeft w:val="0"/>
      <w:marRight w:val="0"/>
      <w:marTop w:val="0"/>
      <w:marBottom w:val="0"/>
      <w:divBdr>
        <w:top w:val="none" w:sz="0" w:space="0" w:color="auto"/>
        <w:left w:val="none" w:sz="0" w:space="0" w:color="auto"/>
        <w:bottom w:val="none" w:sz="0" w:space="0" w:color="auto"/>
        <w:right w:val="none" w:sz="0" w:space="0" w:color="auto"/>
      </w:divBdr>
      <w:divsChild>
        <w:div w:id="1973553213">
          <w:marLeft w:val="547"/>
          <w:marRight w:val="0"/>
          <w:marTop w:val="106"/>
          <w:marBottom w:val="0"/>
          <w:divBdr>
            <w:top w:val="none" w:sz="0" w:space="0" w:color="auto"/>
            <w:left w:val="none" w:sz="0" w:space="0" w:color="auto"/>
            <w:bottom w:val="none" w:sz="0" w:space="0" w:color="auto"/>
            <w:right w:val="none" w:sz="0" w:space="0" w:color="auto"/>
          </w:divBdr>
        </w:div>
        <w:div w:id="2004313609">
          <w:marLeft w:val="547"/>
          <w:marRight w:val="0"/>
          <w:marTop w:val="106"/>
          <w:marBottom w:val="0"/>
          <w:divBdr>
            <w:top w:val="none" w:sz="0" w:space="0" w:color="auto"/>
            <w:left w:val="none" w:sz="0" w:space="0" w:color="auto"/>
            <w:bottom w:val="none" w:sz="0" w:space="0" w:color="auto"/>
            <w:right w:val="none" w:sz="0" w:space="0" w:color="auto"/>
          </w:divBdr>
        </w:div>
      </w:divsChild>
    </w:div>
    <w:div w:id="482502114">
      <w:bodyDiv w:val="1"/>
      <w:marLeft w:val="0"/>
      <w:marRight w:val="0"/>
      <w:marTop w:val="0"/>
      <w:marBottom w:val="0"/>
      <w:divBdr>
        <w:top w:val="none" w:sz="0" w:space="0" w:color="auto"/>
        <w:left w:val="none" w:sz="0" w:space="0" w:color="auto"/>
        <w:bottom w:val="none" w:sz="0" w:space="0" w:color="auto"/>
        <w:right w:val="none" w:sz="0" w:space="0" w:color="auto"/>
      </w:divBdr>
      <w:divsChild>
        <w:div w:id="40180027">
          <w:marLeft w:val="547"/>
          <w:marRight w:val="0"/>
          <w:marTop w:val="86"/>
          <w:marBottom w:val="0"/>
          <w:divBdr>
            <w:top w:val="none" w:sz="0" w:space="0" w:color="auto"/>
            <w:left w:val="none" w:sz="0" w:space="0" w:color="auto"/>
            <w:bottom w:val="none" w:sz="0" w:space="0" w:color="auto"/>
            <w:right w:val="none" w:sz="0" w:space="0" w:color="auto"/>
          </w:divBdr>
        </w:div>
        <w:div w:id="128057585">
          <w:marLeft w:val="547"/>
          <w:marRight w:val="0"/>
          <w:marTop w:val="86"/>
          <w:marBottom w:val="0"/>
          <w:divBdr>
            <w:top w:val="none" w:sz="0" w:space="0" w:color="auto"/>
            <w:left w:val="none" w:sz="0" w:space="0" w:color="auto"/>
            <w:bottom w:val="none" w:sz="0" w:space="0" w:color="auto"/>
            <w:right w:val="none" w:sz="0" w:space="0" w:color="auto"/>
          </w:divBdr>
        </w:div>
        <w:div w:id="1065764765">
          <w:marLeft w:val="547"/>
          <w:marRight w:val="0"/>
          <w:marTop w:val="86"/>
          <w:marBottom w:val="0"/>
          <w:divBdr>
            <w:top w:val="none" w:sz="0" w:space="0" w:color="auto"/>
            <w:left w:val="none" w:sz="0" w:space="0" w:color="auto"/>
            <w:bottom w:val="none" w:sz="0" w:space="0" w:color="auto"/>
            <w:right w:val="none" w:sz="0" w:space="0" w:color="auto"/>
          </w:divBdr>
        </w:div>
        <w:div w:id="1819611068">
          <w:marLeft w:val="547"/>
          <w:marRight w:val="0"/>
          <w:marTop w:val="86"/>
          <w:marBottom w:val="0"/>
          <w:divBdr>
            <w:top w:val="none" w:sz="0" w:space="0" w:color="auto"/>
            <w:left w:val="none" w:sz="0" w:space="0" w:color="auto"/>
            <w:bottom w:val="none" w:sz="0" w:space="0" w:color="auto"/>
            <w:right w:val="none" w:sz="0" w:space="0" w:color="auto"/>
          </w:divBdr>
        </w:div>
      </w:divsChild>
    </w:div>
    <w:div w:id="631591434">
      <w:bodyDiv w:val="1"/>
      <w:marLeft w:val="0"/>
      <w:marRight w:val="0"/>
      <w:marTop w:val="0"/>
      <w:marBottom w:val="0"/>
      <w:divBdr>
        <w:top w:val="none" w:sz="0" w:space="0" w:color="auto"/>
        <w:left w:val="none" w:sz="0" w:space="0" w:color="auto"/>
        <w:bottom w:val="none" w:sz="0" w:space="0" w:color="auto"/>
        <w:right w:val="none" w:sz="0" w:space="0" w:color="auto"/>
      </w:divBdr>
      <w:divsChild>
        <w:div w:id="653536133">
          <w:marLeft w:val="446"/>
          <w:marRight w:val="0"/>
          <w:marTop w:val="77"/>
          <w:marBottom w:val="0"/>
          <w:divBdr>
            <w:top w:val="none" w:sz="0" w:space="0" w:color="auto"/>
            <w:left w:val="none" w:sz="0" w:space="0" w:color="auto"/>
            <w:bottom w:val="none" w:sz="0" w:space="0" w:color="auto"/>
            <w:right w:val="none" w:sz="0" w:space="0" w:color="auto"/>
          </w:divBdr>
        </w:div>
      </w:divsChild>
    </w:div>
    <w:div w:id="690108345">
      <w:bodyDiv w:val="1"/>
      <w:marLeft w:val="0"/>
      <w:marRight w:val="0"/>
      <w:marTop w:val="0"/>
      <w:marBottom w:val="0"/>
      <w:divBdr>
        <w:top w:val="none" w:sz="0" w:space="0" w:color="auto"/>
        <w:left w:val="none" w:sz="0" w:space="0" w:color="auto"/>
        <w:bottom w:val="none" w:sz="0" w:space="0" w:color="auto"/>
        <w:right w:val="none" w:sz="0" w:space="0" w:color="auto"/>
      </w:divBdr>
      <w:divsChild>
        <w:div w:id="424763518">
          <w:marLeft w:val="547"/>
          <w:marRight w:val="0"/>
          <w:marTop w:val="106"/>
          <w:marBottom w:val="0"/>
          <w:divBdr>
            <w:top w:val="none" w:sz="0" w:space="0" w:color="auto"/>
            <w:left w:val="none" w:sz="0" w:space="0" w:color="auto"/>
            <w:bottom w:val="none" w:sz="0" w:space="0" w:color="auto"/>
            <w:right w:val="none" w:sz="0" w:space="0" w:color="auto"/>
          </w:divBdr>
        </w:div>
        <w:div w:id="1799689502">
          <w:marLeft w:val="547"/>
          <w:marRight w:val="0"/>
          <w:marTop w:val="106"/>
          <w:marBottom w:val="0"/>
          <w:divBdr>
            <w:top w:val="none" w:sz="0" w:space="0" w:color="auto"/>
            <w:left w:val="none" w:sz="0" w:space="0" w:color="auto"/>
            <w:bottom w:val="none" w:sz="0" w:space="0" w:color="auto"/>
            <w:right w:val="none" w:sz="0" w:space="0" w:color="auto"/>
          </w:divBdr>
        </w:div>
        <w:div w:id="2100591369">
          <w:marLeft w:val="547"/>
          <w:marRight w:val="0"/>
          <w:marTop w:val="106"/>
          <w:marBottom w:val="0"/>
          <w:divBdr>
            <w:top w:val="none" w:sz="0" w:space="0" w:color="auto"/>
            <w:left w:val="none" w:sz="0" w:space="0" w:color="auto"/>
            <w:bottom w:val="none" w:sz="0" w:space="0" w:color="auto"/>
            <w:right w:val="none" w:sz="0" w:space="0" w:color="auto"/>
          </w:divBdr>
        </w:div>
      </w:divsChild>
    </w:div>
    <w:div w:id="692264281">
      <w:bodyDiv w:val="1"/>
      <w:marLeft w:val="0"/>
      <w:marRight w:val="0"/>
      <w:marTop w:val="0"/>
      <w:marBottom w:val="0"/>
      <w:divBdr>
        <w:top w:val="none" w:sz="0" w:space="0" w:color="auto"/>
        <w:left w:val="none" w:sz="0" w:space="0" w:color="auto"/>
        <w:bottom w:val="none" w:sz="0" w:space="0" w:color="auto"/>
        <w:right w:val="none" w:sz="0" w:space="0" w:color="auto"/>
      </w:divBdr>
      <w:divsChild>
        <w:div w:id="17390937">
          <w:marLeft w:val="720"/>
          <w:marRight w:val="0"/>
          <w:marTop w:val="96"/>
          <w:marBottom w:val="0"/>
          <w:divBdr>
            <w:top w:val="none" w:sz="0" w:space="0" w:color="auto"/>
            <w:left w:val="none" w:sz="0" w:space="0" w:color="auto"/>
            <w:bottom w:val="none" w:sz="0" w:space="0" w:color="auto"/>
            <w:right w:val="none" w:sz="0" w:space="0" w:color="auto"/>
          </w:divBdr>
        </w:div>
        <w:div w:id="534079233">
          <w:marLeft w:val="720"/>
          <w:marRight w:val="0"/>
          <w:marTop w:val="96"/>
          <w:marBottom w:val="0"/>
          <w:divBdr>
            <w:top w:val="none" w:sz="0" w:space="0" w:color="auto"/>
            <w:left w:val="none" w:sz="0" w:space="0" w:color="auto"/>
            <w:bottom w:val="none" w:sz="0" w:space="0" w:color="auto"/>
            <w:right w:val="none" w:sz="0" w:space="0" w:color="auto"/>
          </w:divBdr>
        </w:div>
        <w:div w:id="1340502661">
          <w:marLeft w:val="720"/>
          <w:marRight w:val="0"/>
          <w:marTop w:val="96"/>
          <w:marBottom w:val="0"/>
          <w:divBdr>
            <w:top w:val="none" w:sz="0" w:space="0" w:color="auto"/>
            <w:left w:val="none" w:sz="0" w:space="0" w:color="auto"/>
            <w:bottom w:val="none" w:sz="0" w:space="0" w:color="auto"/>
            <w:right w:val="none" w:sz="0" w:space="0" w:color="auto"/>
          </w:divBdr>
        </w:div>
      </w:divsChild>
    </w:div>
    <w:div w:id="725950733">
      <w:bodyDiv w:val="1"/>
      <w:marLeft w:val="0"/>
      <w:marRight w:val="0"/>
      <w:marTop w:val="0"/>
      <w:marBottom w:val="0"/>
      <w:divBdr>
        <w:top w:val="none" w:sz="0" w:space="0" w:color="auto"/>
        <w:left w:val="none" w:sz="0" w:space="0" w:color="auto"/>
        <w:bottom w:val="none" w:sz="0" w:space="0" w:color="auto"/>
        <w:right w:val="none" w:sz="0" w:space="0" w:color="auto"/>
      </w:divBdr>
      <w:divsChild>
        <w:div w:id="14501414">
          <w:marLeft w:val="547"/>
          <w:marRight w:val="0"/>
          <w:marTop w:val="115"/>
          <w:marBottom w:val="0"/>
          <w:divBdr>
            <w:top w:val="none" w:sz="0" w:space="0" w:color="auto"/>
            <w:left w:val="none" w:sz="0" w:space="0" w:color="auto"/>
            <w:bottom w:val="none" w:sz="0" w:space="0" w:color="auto"/>
            <w:right w:val="none" w:sz="0" w:space="0" w:color="auto"/>
          </w:divBdr>
        </w:div>
        <w:div w:id="159467209">
          <w:marLeft w:val="547"/>
          <w:marRight w:val="0"/>
          <w:marTop w:val="115"/>
          <w:marBottom w:val="0"/>
          <w:divBdr>
            <w:top w:val="none" w:sz="0" w:space="0" w:color="auto"/>
            <w:left w:val="none" w:sz="0" w:space="0" w:color="auto"/>
            <w:bottom w:val="none" w:sz="0" w:space="0" w:color="auto"/>
            <w:right w:val="none" w:sz="0" w:space="0" w:color="auto"/>
          </w:divBdr>
        </w:div>
        <w:div w:id="292565799">
          <w:marLeft w:val="547"/>
          <w:marRight w:val="0"/>
          <w:marTop w:val="115"/>
          <w:marBottom w:val="0"/>
          <w:divBdr>
            <w:top w:val="none" w:sz="0" w:space="0" w:color="auto"/>
            <w:left w:val="none" w:sz="0" w:space="0" w:color="auto"/>
            <w:bottom w:val="none" w:sz="0" w:space="0" w:color="auto"/>
            <w:right w:val="none" w:sz="0" w:space="0" w:color="auto"/>
          </w:divBdr>
        </w:div>
        <w:div w:id="1409767493">
          <w:marLeft w:val="547"/>
          <w:marRight w:val="0"/>
          <w:marTop w:val="115"/>
          <w:marBottom w:val="0"/>
          <w:divBdr>
            <w:top w:val="none" w:sz="0" w:space="0" w:color="auto"/>
            <w:left w:val="none" w:sz="0" w:space="0" w:color="auto"/>
            <w:bottom w:val="none" w:sz="0" w:space="0" w:color="auto"/>
            <w:right w:val="none" w:sz="0" w:space="0" w:color="auto"/>
          </w:divBdr>
        </w:div>
      </w:divsChild>
    </w:div>
    <w:div w:id="833759114">
      <w:bodyDiv w:val="1"/>
      <w:marLeft w:val="0"/>
      <w:marRight w:val="0"/>
      <w:marTop w:val="0"/>
      <w:marBottom w:val="0"/>
      <w:divBdr>
        <w:top w:val="none" w:sz="0" w:space="0" w:color="auto"/>
        <w:left w:val="none" w:sz="0" w:space="0" w:color="auto"/>
        <w:bottom w:val="none" w:sz="0" w:space="0" w:color="auto"/>
        <w:right w:val="none" w:sz="0" w:space="0" w:color="auto"/>
      </w:divBdr>
      <w:divsChild>
        <w:div w:id="10306345">
          <w:marLeft w:val="547"/>
          <w:marRight w:val="0"/>
          <w:marTop w:val="96"/>
          <w:marBottom w:val="0"/>
          <w:divBdr>
            <w:top w:val="none" w:sz="0" w:space="0" w:color="auto"/>
            <w:left w:val="none" w:sz="0" w:space="0" w:color="auto"/>
            <w:bottom w:val="none" w:sz="0" w:space="0" w:color="auto"/>
            <w:right w:val="none" w:sz="0" w:space="0" w:color="auto"/>
          </w:divBdr>
        </w:div>
        <w:div w:id="143665433">
          <w:marLeft w:val="547"/>
          <w:marRight w:val="0"/>
          <w:marTop w:val="96"/>
          <w:marBottom w:val="0"/>
          <w:divBdr>
            <w:top w:val="none" w:sz="0" w:space="0" w:color="auto"/>
            <w:left w:val="none" w:sz="0" w:space="0" w:color="auto"/>
            <w:bottom w:val="none" w:sz="0" w:space="0" w:color="auto"/>
            <w:right w:val="none" w:sz="0" w:space="0" w:color="auto"/>
          </w:divBdr>
        </w:div>
        <w:div w:id="1185173507">
          <w:marLeft w:val="547"/>
          <w:marRight w:val="0"/>
          <w:marTop w:val="96"/>
          <w:marBottom w:val="0"/>
          <w:divBdr>
            <w:top w:val="none" w:sz="0" w:space="0" w:color="auto"/>
            <w:left w:val="none" w:sz="0" w:space="0" w:color="auto"/>
            <w:bottom w:val="none" w:sz="0" w:space="0" w:color="auto"/>
            <w:right w:val="none" w:sz="0" w:space="0" w:color="auto"/>
          </w:divBdr>
        </w:div>
        <w:div w:id="1677538199">
          <w:marLeft w:val="547"/>
          <w:marRight w:val="0"/>
          <w:marTop w:val="96"/>
          <w:marBottom w:val="0"/>
          <w:divBdr>
            <w:top w:val="none" w:sz="0" w:space="0" w:color="auto"/>
            <w:left w:val="none" w:sz="0" w:space="0" w:color="auto"/>
            <w:bottom w:val="none" w:sz="0" w:space="0" w:color="auto"/>
            <w:right w:val="none" w:sz="0" w:space="0" w:color="auto"/>
          </w:divBdr>
        </w:div>
      </w:divsChild>
    </w:div>
    <w:div w:id="968512392">
      <w:bodyDiv w:val="1"/>
      <w:marLeft w:val="0"/>
      <w:marRight w:val="0"/>
      <w:marTop w:val="0"/>
      <w:marBottom w:val="0"/>
      <w:divBdr>
        <w:top w:val="none" w:sz="0" w:space="0" w:color="auto"/>
        <w:left w:val="none" w:sz="0" w:space="0" w:color="auto"/>
        <w:bottom w:val="none" w:sz="0" w:space="0" w:color="auto"/>
        <w:right w:val="none" w:sz="0" w:space="0" w:color="auto"/>
      </w:divBdr>
      <w:divsChild>
        <w:div w:id="8220587">
          <w:marLeft w:val="446"/>
          <w:marRight w:val="0"/>
          <w:marTop w:val="86"/>
          <w:marBottom w:val="0"/>
          <w:divBdr>
            <w:top w:val="none" w:sz="0" w:space="0" w:color="auto"/>
            <w:left w:val="none" w:sz="0" w:space="0" w:color="auto"/>
            <w:bottom w:val="none" w:sz="0" w:space="0" w:color="auto"/>
            <w:right w:val="none" w:sz="0" w:space="0" w:color="auto"/>
          </w:divBdr>
        </w:div>
        <w:div w:id="26297765">
          <w:marLeft w:val="446"/>
          <w:marRight w:val="0"/>
          <w:marTop w:val="0"/>
          <w:marBottom w:val="0"/>
          <w:divBdr>
            <w:top w:val="none" w:sz="0" w:space="0" w:color="auto"/>
            <w:left w:val="none" w:sz="0" w:space="0" w:color="auto"/>
            <w:bottom w:val="none" w:sz="0" w:space="0" w:color="auto"/>
            <w:right w:val="none" w:sz="0" w:space="0" w:color="auto"/>
          </w:divBdr>
        </w:div>
        <w:div w:id="604193114">
          <w:marLeft w:val="446"/>
          <w:marRight w:val="0"/>
          <w:marTop w:val="86"/>
          <w:marBottom w:val="0"/>
          <w:divBdr>
            <w:top w:val="none" w:sz="0" w:space="0" w:color="auto"/>
            <w:left w:val="none" w:sz="0" w:space="0" w:color="auto"/>
            <w:bottom w:val="none" w:sz="0" w:space="0" w:color="auto"/>
            <w:right w:val="none" w:sz="0" w:space="0" w:color="auto"/>
          </w:divBdr>
        </w:div>
        <w:div w:id="891380635">
          <w:marLeft w:val="446"/>
          <w:marRight w:val="0"/>
          <w:marTop w:val="86"/>
          <w:marBottom w:val="0"/>
          <w:divBdr>
            <w:top w:val="none" w:sz="0" w:space="0" w:color="auto"/>
            <w:left w:val="none" w:sz="0" w:space="0" w:color="auto"/>
            <w:bottom w:val="none" w:sz="0" w:space="0" w:color="auto"/>
            <w:right w:val="none" w:sz="0" w:space="0" w:color="auto"/>
          </w:divBdr>
        </w:div>
        <w:div w:id="1326855853">
          <w:marLeft w:val="446"/>
          <w:marRight w:val="0"/>
          <w:marTop w:val="86"/>
          <w:marBottom w:val="0"/>
          <w:divBdr>
            <w:top w:val="none" w:sz="0" w:space="0" w:color="auto"/>
            <w:left w:val="none" w:sz="0" w:space="0" w:color="auto"/>
            <w:bottom w:val="none" w:sz="0" w:space="0" w:color="auto"/>
            <w:right w:val="none" w:sz="0" w:space="0" w:color="auto"/>
          </w:divBdr>
        </w:div>
        <w:div w:id="1652755591">
          <w:marLeft w:val="446"/>
          <w:marRight w:val="0"/>
          <w:marTop w:val="0"/>
          <w:marBottom w:val="0"/>
          <w:divBdr>
            <w:top w:val="none" w:sz="0" w:space="0" w:color="auto"/>
            <w:left w:val="none" w:sz="0" w:space="0" w:color="auto"/>
            <w:bottom w:val="none" w:sz="0" w:space="0" w:color="auto"/>
            <w:right w:val="none" w:sz="0" w:space="0" w:color="auto"/>
          </w:divBdr>
        </w:div>
      </w:divsChild>
    </w:div>
    <w:div w:id="992488102">
      <w:bodyDiv w:val="1"/>
      <w:marLeft w:val="0"/>
      <w:marRight w:val="0"/>
      <w:marTop w:val="0"/>
      <w:marBottom w:val="0"/>
      <w:divBdr>
        <w:top w:val="none" w:sz="0" w:space="0" w:color="auto"/>
        <w:left w:val="none" w:sz="0" w:space="0" w:color="auto"/>
        <w:bottom w:val="none" w:sz="0" w:space="0" w:color="auto"/>
        <w:right w:val="none" w:sz="0" w:space="0" w:color="auto"/>
      </w:divBdr>
      <w:divsChild>
        <w:div w:id="118306263">
          <w:marLeft w:val="547"/>
          <w:marRight w:val="0"/>
          <w:marTop w:val="82"/>
          <w:marBottom w:val="0"/>
          <w:divBdr>
            <w:top w:val="none" w:sz="0" w:space="0" w:color="auto"/>
            <w:left w:val="none" w:sz="0" w:space="0" w:color="auto"/>
            <w:bottom w:val="none" w:sz="0" w:space="0" w:color="auto"/>
            <w:right w:val="none" w:sz="0" w:space="0" w:color="auto"/>
          </w:divBdr>
        </w:div>
        <w:div w:id="306446346">
          <w:marLeft w:val="446"/>
          <w:marRight w:val="0"/>
          <w:marTop w:val="82"/>
          <w:marBottom w:val="0"/>
          <w:divBdr>
            <w:top w:val="none" w:sz="0" w:space="0" w:color="auto"/>
            <w:left w:val="none" w:sz="0" w:space="0" w:color="auto"/>
            <w:bottom w:val="none" w:sz="0" w:space="0" w:color="auto"/>
            <w:right w:val="none" w:sz="0" w:space="0" w:color="auto"/>
          </w:divBdr>
        </w:div>
        <w:div w:id="413090796">
          <w:marLeft w:val="547"/>
          <w:marRight w:val="0"/>
          <w:marTop w:val="82"/>
          <w:marBottom w:val="0"/>
          <w:divBdr>
            <w:top w:val="none" w:sz="0" w:space="0" w:color="auto"/>
            <w:left w:val="none" w:sz="0" w:space="0" w:color="auto"/>
            <w:bottom w:val="none" w:sz="0" w:space="0" w:color="auto"/>
            <w:right w:val="none" w:sz="0" w:space="0" w:color="auto"/>
          </w:divBdr>
        </w:div>
        <w:div w:id="505051249">
          <w:marLeft w:val="547"/>
          <w:marRight w:val="0"/>
          <w:marTop w:val="82"/>
          <w:marBottom w:val="0"/>
          <w:divBdr>
            <w:top w:val="none" w:sz="0" w:space="0" w:color="auto"/>
            <w:left w:val="none" w:sz="0" w:space="0" w:color="auto"/>
            <w:bottom w:val="none" w:sz="0" w:space="0" w:color="auto"/>
            <w:right w:val="none" w:sz="0" w:space="0" w:color="auto"/>
          </w:divBdr>
        </w:div>
        <w:div w:id="560796562">
          <w:marLeft w:val="547"/>
          <w:marRight w:val="0"/>
          <w:marTop w:val="82"/>
          <w:marBottom w:val="0"/>
          <w:divBdr>
            <w:top w:val="none" w:sz="0" w:space="0" w:color="auto"/>
            <w:left w:val="none" w:sz="0" w:space="0" w:color="auto"/>
            <w:bottom w:val="none" w:sz="0" w:space="0" w:color="auto"/>
            <w:right w:val="none" w:sz="0" w:space="0" w:color="auto"/>
          </w:divBdr>
        </w:div>
        <w:div w:id="666443388">
          <w:marLeft w:val="547"/>
          <w:marRight w:val="0"/>
          <w:marTop w:val="82"/>
          <w:marBottom w:val="0"/>
          <w:divBdr>
            <w:top w:val="none" w:sz="0" w:space="0" w:color="auto"/>
            <w:left w:val="none" w:sz="0" w:space="0" w:color="auto"/>
            <w:bottom w:val="none" w:sz="0" w:space="0" w:color="auto"/>
            <w:right w:val="none" w:sz="0" w:space="0" w:color="auto"/>
          </w:divBdr>
        </w:div>
        <w:div w:id="1540821205">
          <w:marLeft w:val="547"/>
          <w:marRight w:val="0"/>
          <w:marTop w:val="82"/>
          <w:marBottom w:val="0"/>
          <w:divBdr>
            <w:top w:val="none" w:sz="0" w:space="0" w:color="auto"/>
            <w:left w:val="none" w:sz="0" w:space="0" w:color="auto"/>
            <w:bottom w:val="none" w:sz="0" w:space="0" w:color="auto"/>
            <w:right w:val="none" w:sz="0" w:space="0" w:color="auto"/>
          </w:divBdr>
        </w:div>
      </w:divsChild>
    </w:div>
    <w:div w:id="1042248920">
      <w:bodyDiv w:val="1"/>
      <w:marLeft w:val="0"/>
      <w:marRight w:val="0"/>
      <w:marTop w:val="0"/>
      <w:marBottom w:val="0"/>
      <w:divBdr>
        <w:top w:val="none" w:sz="0" w:space="0" w:color="auto"/>
        <w:left w:val="none" w:sz="0" w:space="0" w:color="auto"/>
        <w:bottom w:val="none" w:sz="0" w:space="0" w:color="auto"/>
        <w:right w:val="none" w:sz="0" w:space="0" w:color="auto"/>
      </w:divBdr>
    </w:div>
    <w:div w:id="1046761426">
      <w:bodyDiv w:val="1"/>
      <w:marLeft w:val="0"/>
      <w:marRight w:val="0"/>
      <w:marTop w:val="0"/>
      <w:marBottom w:val="0"/>
      <w:divBdr>
        <w:top w:val="none" w:sz="0" w:space="0" w:color="auto"/>
        <w:left w:val="none" w:sz="0" w:space="0" w:color="auto"/>
        <w:bottom w:val="none" w:sz="0" w:space="0" w:color="auto"/>
        <w:right w:val="none" w:sz="0" w:space="0" w:color="auto"/>
      </w:divBdr>
      <w:divsChild>
        <w:div w:id="1200240395">
          <w:marLeft w:val="547"/>
          <w:marRight w:val="0"/>
          <w:marTop w:val="106"/>
          <w:marBottom w:val="0"/>
          <w:divBdr>
            <w:top w:val="none" w:sz="0" w:space="0" w:color="auto"/>
            <w:left w:val="none" w:sz="0" w:space="0" w:color="auto"/>
            <w:bottom w:val="none" w:sz="0" w:space="0" w:color="auto"/>
            <w:right w:val="none" w:sz="0" w:space="0" w:color="auto"/>
          </w:divBdr>
        </w:div>
        <w:div w:id="1835100537">
          <w:marLeft w:val="547"/>
          <w:marRight w:val="0"/>
          <w:marTop w:val="106"/>
          <w:marBottom w:val="0"/>
          <w:divBdr>
            <w:top w:val="none" w:sz="0" w:space="0" w:color="auto"/>
            <w:left w:val="none" w:sz="0" w:space="0" w:color="auto"/>
            <w:bottom w:val="none" w:sz="0" w:space="0" w:color="auto"/>
            <w:right w:val="none" w:sz="0" w:space="0" w:color="auto"/>
          </w:divBdr>
        </w:div>
      </w:divsChild>
    </w:div>
    <w:div w:id="1239176036">
      <w:bodyDiv w:val="1"/>
      <w:marLeft w:val="0"/>
      <w:marRight w:val="0"/>
      <w:marTop w:val="0"/>
      <w:marBottom w:val="0"/>
      <w:divBdr>
        <w:top w:val="none" w:sz="0" w:space="0" w:color="auto"/>
        <w:left w:val="none" w:sz="0" w:space="0" w:color="auto"/>
        <w:bottom w:val="none" w:sz="0" w:space="0" w:color="auto"/>
        <w:right w:val="none" w:sz="0" w:space="0" w:color="auto"/>
      </w:divBdr>
    </w:div>
    <w:div w:id="1261135173">
      <w:bodyDiv w:val="1"/>
      <w:marLeft w:val="0"/>
      <w:marRight w:val="0"/>
      <w:marTop w:val="0"/>
      <w:marBottom w:val="0"/>
      <w:divBdr>
        <w:top w:val="none" w:sz="0" w:space="0" w:color="auto"/>
        <w:left w:val="none" w:sz="0" w:space="0" w:color="auto"/>
        <w:bottom w:val="none" w:sz="0" w:space="0" w:color="auto"/>
        <w:right w:val="none" w:sz="0" w:space="0" w:color="auto"/>
      </w:divBdr>
      <w:divsChild>
        <w:div w:id="632835312">
          <w:marLeft w:val="547"/>
          <w:marRight w:val="0"/>
          <w:marTop w:val="115"/>
          <w:marBottom w:val="0"/>
          <w:divBdr>
            <w:top w:val="none" w:sz="0" w:space="0" w:color="auto"/>
            <w:left w:val="none" w:sz="0" w:space="0" w:color="auto"/>
            <w:bottom w:val="none" w:sz="0" w:space="0" w:color="auto"/>
            <w:right w:val="none" w:sz="0" w:space="0" w:color="auto"/>
          </w:divBdr>
        </w:div>
        <w:div w:id="803737343">
          <w:marLeft w:val="547"/>
          <w:marRight w:val="0"/>
          <w:marTop w:val="115"/>
          <w:marBottom w:val="0"/>
          <w:divBdr>
            <w:top w:val="none" w:sz="0" w:space="0" w:color="auto"/>
            <w:left w:val="none" w:sz="0" w:space="0" w:color="auto"/>
            <w:bottom w:val="none" w:sz="0" w:space="0" w:color="auto"/>
            <w:right w:val="none" w:sz="0" w:space="0" w:color="auto"/>
          </w:divBdr>
        </w:div>
        <w:div w:id="1463572182">
          <w:marLeft w:val="547"/>
          <w:marRight w:val="0"/>
          <w:marTop w:val="115"/>
          <w:marBottom w:val="0"/>
          <w:divBdr>
            <w:top w:val="none" w:sz="0" w:space="0" w:color="auto"/>
            <w:left w:val="none" w:sz="0" w:space="0" w:color="auto"/>
            <w:bottom w:val="none" w:sz="0" w:space="0" w:color="auto"/>
            <w:right w:val="none" w:sz="0" w:space="0" w:color="auto"/>
          </w:divBdr>
        </w:div>
      </w:divsChild>
    </w:div>
    <w:div w:id="1332874663">
      <w:bodyDiv w:val="1"/>
      <w:marLeft w:val="0"/>
      <w:marRight w:val="0"/>
      <w:marTop w:val="0"/>
      <w:marBottom w:val="0"/>
      <w:divBdr>
        <w:top w:val="none" w:sz="0" w:space="0" w:color="auto"/>
        <w:left w:val="none" w:sz="0" w:space="0" w:color="auto"/>
        <w:bottom w:val="none" w:sz="0" w:space="0" w:color="auto"/>
        <w:right w:val="none" w:sz="0" w:space="0" w:color="auto"/>
      </w:divBdr>
    </w:div>
    <w:div w:id="1448085942">
      <w:bodyDiv w:val="1"/>
      <w:marLeft w:val="0"/>
      <w:marRight w:val="0"/>
      <w:marTop w:val="0"/>
      <w:marBottom w:val="0"/>
      <w:divBdr>
        <w:top w:val="none" w:sz="0" w:space="0" w:color="auto"/>
        <w:left w:val="none" w:sz="0" w:space="0" w:color="auto"/>
        <w:bottom w:val="none" w:sz="0" w:space="0" w:color="auto"/>
        <w:right w:val="none" w:sz="0" w:space="0" w:color="auto"/>
      </w:divBdr>
      <w:divsChild>
        <w:div w:id="125240172">
          <w:marLeft w:val="547"/>
          <w:marRight w:val="0"/>
          <w:marTop w:val="106"/>
          <w:marBottom w:val="0"/>
          <w:divBdr>
            <w:top w:val="none" w:sz="0" w:space="0" w:color="auto"/>
            <w:left w:val="none" w:sz="0" w:space="0" w:color="auto"/>
            <w:bottom w:val="none" w:sz="0" w:space="0" w:color="auto"/>
            <w:right w:val="none" w:sz="0" w:space="0" w:color="auto"/>
          </w:divBdr>
        </w:div>
        <w:div w:id="391125269">
          <w:marLeft w:val="547"/>
          <w:marRight w:val="0"/>
          <w:marTop w:val="106"/>
          <w:marBottom w:val="0"/>
          <w:divBdr>
            <w:top w:val="none" w:sz="0" w:space="0" w:color="auto"/>
            <w:left w:val="none" w:sz="0" w:space="0" w:color="auto"/>
            <w:bottom w:val="none" w:sz="0" w:space="0" w:color="auto"/>
            <w:right w:val="none" w:sz="0" w:space="0" w:color="auto"/>
          </w:divBdr>
        </w:div>
        <w:div w:id="503086300">
          <w:marLeft w:val="547"/>
          <w:marRight w:val="0"/>
          <w:marTop w:val="106"/>
          <w:marBottom w:val="0"/>
          <w:divBdr>
            <w:top w:val="none" w:sz="0" w:space="0" w:color="auto"/>
            <w:left w:val="none" w:sz="0" w:space="0" w:color="auto"/>
            <w:bottom w:val="none" w:sz="0" w:space="0" w:color="auto"/>
            <w:right w:val="none" w:sz="0" w:space="0" w:color="auto"/>
          </w:divBdr>
        </w:div>
        <w:div w:id="1162623435">
          <w:marLeft w:val="547"/>
          <w:marRight w:val="0"/>
          <w:marTop w:val="106"/>
          <w:marBottom w:val="0"/>
          <w:divBdr>
            <w:top w:val="none" w:sz="0" w:space="0" w:color="auto"/>
            <w:left w:val="none" w:sz="0" w:space="0" w:color="auto"/>
            <w:bottom w:val="none" w:sz="0" w:space="0" w:color="auto"/>
            <w:right w:val="none" w:sz="0" w:space="0" w:color="auto"/>
          </w:divBdr>
        </w:div>
        <w:div w:id="2095546269">
          <w:marLeft w:val="547"/>
          <w:marRight w:val="0"/>
          <w:marTop w:val="106"/>
          <w:marBottom w:val="0"/>
          <w:divBdr>
            <w:top w:val="none" w:sz="0" w:space="0" w:color="auto"/>
            <w:left w:val="none" w:sz="0" w:space="0" w:color="auto"/>
            <w:bottom w:val="none" w:sz="0" w:space="0" w:color="auto"/>
            <w:right w:val="none" w:sz="0" w:space="0" w:color="auto"/>
          </w:divBdr>
        </w:div>
      </w:divsChild>
    </w:div>
    <w:div w:id="1485002361">
      <w:bodyDiv w:val="1"/>
      <w:marLeft w:val="0"/>
      <w:marRight w:val="0"/>
      <w:marTop w:val="0"/>
      <w:marBottom w:val="0"/>
      <w:divBdr>
        <w:top w:val="none" w:sz="0" w:space="0" w:color="auto"/>
        <w:left w:val="none" w:sz="0" w:space="0" w:color="auto"/>
        <w:bottom w:val="none" w:sz="0" w:space="0" w:color="auto"/>
        <w:right w:val="none" w:sz="0" w:space="0" w:color="auto"/>
      </w:divBdr>
      <w:divsChild>
        <w:div w:id="319895932">
          <w:marLeft w:val="547"/>
          <w:marRight w:val="0"/>
          <w:marTop w:val="134"/>
          <w:marBottom w:val="0"/>
          <w:divBdr>
            <w:top w:val="none" w:sz="0" w:space="0" w:color="auto"/>
            <w:left w:val="none" w:sz="0" w:space="0" w:color="auto"/>
            <w:bottom w:val="none" w:sz="0" w:space="0" w:color="auto"/>
            <w:right w:val="none" w:sz="0" w:space="0" w:color="auto"/>
          </w:divBdr>
        </w:div>
        <w:div w:id="820582436">
          <w:marLeft w:val="547"/>
          <w:marRight w:val="0"/>
          <w:marTop w:val="134"/>
          <w:marBottom w:val="0"/>
          <w:divBdr>
            <w:top w:val="none" w:sz="0" w:space="0" w:color="auto"/>
            <w:left w:val="none" w:sz="0" w:space="0" w:color="auto"/>
            <w:bottom w:val="none" w:sz="0" w:space="0" w:color="auto"/>
            <w:right w:val="none" w:sz="0" w:space="0" w:color="auto"/>
          </w:divBdr>
        </w:div>
        <w:div w:id="2121217883">
          <w:marLeft w:val="547"/>
          <w:marRight w:val="0"/>
          <w:marTop w:val="134"/>
          <w:marBottom w:val="0"/>
          <w:divBdr>
            <w:top w:val="none" w:sz="0" w:space="0" w:color="auto"/>
            <w:left w:val="none" w:sz="0" w:space="0" w:color="auto"/>
            <w:bottom w:val="none" w:sz="0" w:space="0" w:color="auto"/>
            <w:right w:val="none" w:sz="0" w:space="0" w:color="auto"/>
          </w:divBdr>
        </w:div>
      </w:divsChild>
    </w:div>
    <w:div w:id="1584877481">
      <w:bodyDiv w:val="1"/>
      <w:marLeft w:val="0"/>
      <w:marRight w:val="0"/>
      <w:marTop w:val="0"/>
      <w:marBottom w:val="0"/>
      <w:divBdr>
        <w:top w:val="none" w:sz="0" w:space="0" w:color="auto"/>
        <w:left w:val="none" w:sz="0" w:space="0" w:color="auto"/>
        <w:bottom w:val="none" w:sz="0" w:space="0" w:color="auto"/>
        <w:right w:val="none" w:sz="0" w:space="0" w:color="auto"/>
      </w:divBdr>
      <w:divsChild>
        <w:div w:id="286744003">
          <w:marLeft w:val="547"/>
          <w:marRight w:val="0"/>
          <w:marTop w:val="115"/>
          <w:marBottom w:val="0"/>
          <w:divBdr>
            <w:top w:val="none" w:sz="0" w:space="0" w:color="auto"/>
            <w:left w:val="none" w:sz="0" w:space="0" w:color="auto"/>
            <w:bottom w:val="none" w:sz="0" w:space="0" w:color="auto"/>
            <w:right w:val="none" w:sz="0" w:space="0" w:color="auto"/>
          </w:divBdr>
        </w:div>
        <w:div w:id="289897360">
          <w:marLeft w:val="1166"/>
          <w:marRight w:val="0"/>
          <w:marTop w:val="96"/>
          <w:marBottom w:val="0"/>
          <w:divBdr>
            <w:top w:val="none" w:sz="0" w:space="0" w:color="auto"/>
            <w:left w:val="none" w:sz="0" w:space="0" w:color="auto"/>
            <w:bottom w:val="none" w:sz="0" w:space="0" w:color="auto"/>
            <w:right w:val="none" w:sz="0" w:space="0" w:color="auto"/>
          </w:divBdr>
        </w:div>
        <w:div w:id="321470567">
          <w:marLeft w:val="1166"/>
          <w:marRight w:val="0"/>
          <w:marTop w:val="96"/>
          <w:marBottom w:val="0"/>
          <w:divBdr>
            <w:top w:val="none" w:sz="0" w:space="0" w:color="auto"/>
            <w:left w:val="none" w:sz="0" w:space="0" w:color="auto"/>
            <w:bottom w:val="none" w:sz="0" w:space="0" w:color="auto"/>
            <w:right w:val="none" w:sz="0" w:space="0" w:color="auto"/>
          </w:divBdr>
        </w:div>
        <w:div w:id="327640973">
          <w:marLeft w:val="547"/>
          <w:marRight w:val="0"/>
          <w:marTop w:val="115"/>
          <w:marBottom w:val="0"/>
          <w:divBdr>
            <w:top w:val="none" w:sz="0" w:space="0" w:color="auto"/>
            <w:left w:val="none" w:sz="0" w:space="0" w:color="auto"/>
            <w:bottom w:val="none" w:sz="0" w:space="0" w:color="auto"/>
            <w:right w:val="none" w:sz="0" w:space="0" w:color="auto"/>
          </w:divBdr>
        </w:div>
        <w:div w:id="517353795">
          <w:marLeft w:val="1166"/>
          <w:marRight w:val="0"/>
          <w:marTop w:val="96"/>
          <w:marBottom w:val="0"/>
          <w:divBdr>
            <w:top w:val="none" w:sz="0" w:space="0" w:color="auto"/>
            <w:left w:val="none" w:sz="0" w:space="0" w:color="auto"/>
            <w:bottom w:val="none" w:sz="0" w:space="0" w:color="auto"/>
            <w:right w:val="none" w:sz="0" w:space="0" w:color="auto"/>
          </w:divBdr>
        </w:div>
        <w:div w:id="866719950">
          <w:marLeft w:val="547"/>
          <w:marRight w:val="0"/>
          <w:marTop w:val="115"/>
          <w:marBottom w:val="0"/>
          <w:divBdr>
            <w:top w:val="none" w:sz="0" w:space="0" w:color="auto"/>
            <w:left w:val="none" w:sz="0" w:space="0" w:color="auto"/>
            <w:bottom w:val="none" w:sz="0" w:space="0" w:color="auto"/>
            <w:right w:val="none" w:sz="0" w:space="0" w:color="auto"/>
          </w:divBdr>
        </w:div>
        <w:div w:id="1631520220">
          <w:marLeft w:val="547"/>
          <w:marRight w:val="0"/>
          <w:marTop w:val="115"/>
          <w:marBottom w:val="0"/>
          <w:divBdr>
            <w:top w:val="none" w:sz="0" w:space="0" w:color="auto"/>
            <w:left w:val="none" w:sz="0" w:space="0" w:color="auto"/>
            <w:bottom w:val="none" w:sz="0" w:space="0" w:color="auto"/>
            <w:right w:val="none" w:sz="0" w:space="0" w:color="auto"/>
          </w:divBdr>
        </w:div>
      </w:divsChild>
    </w:div>
    <w:div w:id="1588880712">
      <w:bodyDiv w:val="1"/>
      <w:marLeft w:val="0"/>
      <w:marRight w:val="0"/>
      <w:marTop w:val="0"/>
      <w:marBottom w:val="0"/>
      <w:divBdr>
        <w:top w:val="none" w:sz="0" w:space="0" w:color="auto"/>
        <w:left w:val="none" w:sz="0" w:space="0" w:color="auto"/>
        <w:bottom w:val="none" w:sz="0" w:space="0" w:color="auto"/>
        <w:right w:val="none" w:sz="0" w:space="0" w:color="auto"/>
      </w:divBdr>
      <w:divsChild>
        <w:div w:id="888876115">
          <w:marLeft w:val="547"/>
          <w:marRight w:val="0"/>
          <w:marTop w:val="115"/>
          <w:marBottom w:val="0"/>
          <w:divBdr>
            <w:top w:val="none" w:sz="0" w:space="0" w:color="auto"/>
            <w:left w:val="none" w:sz="0" w:space="0" w:color="auto"/>
            <w:bottom w:val="none" w:sz="0" w:space="0" w:color="auto"/>
            <w:right w:val="none" w:sz="0" w:space="0" w:color="auto"/>
          </w:divBdr>
        </w:div>
        <w:div w:id="1565529455">
          <w:marLeft w:val="547"/>
          <w:marRight w:val="0"/>
          <w:marTop w:val="115"/>
          <w:marBottom w:val="0"/>
          <w:divBdr>
            <w:top w:val="none" w:sz="0" w:space="0" w:color="auto"/>
            <w:left w:val="none" w:sz="0" w:space="0" w:color="auto"/>
            <w:bottom w:val="none" w:sz="0" w:space="0" w:color="auto"/>
            <w:right w:val="none" w:sz="0" w:space="0" w:color="auto"/>
          </w:divBdr>
        </w:div>
        <w:div w:id="2053311756">
          <w:marLeft w:val="547"/>
          <w:marRight w:val="0"/>
          <w:marTop w:val="115"/>
          <w:marBottom w:val="0"/>
          <w:divBdr>
            <w:top w:val="none" w:sz="0" w:space="0" w:color="auto"/>
            <w:left w:val="none" w:sz="0" w:space="0" w:color="auto"/>
            <w:bottom w:val="none" w:sz="0" w:space="0" w:color="auto"/>
            <w:right w:val="none" w:sz="0" w:space="0" w:color="auto"/>
          </w:divBdr>
        </w:div>
      </w:divsChild>
    </w:div>
    <w:div w:id="1588997875">
      <w:bodyDiv w:val="1"/>
      <w:marLeft w:val="0"/>
      <w:marRight w:val="0"/>
      <w:marTop w:val="0"/>
      <w:marBottom w:val="0"/>
      <w:divBdr>
        <w:top w:val="none" w:sz="0" w:space="0" w:color="auto"/>
        <w:left w:val="none" w:sz="0" w:space="0" w:color="auto"/>
        <w:bottom w:val="none" w:sz="0" w:space="0" w:color="auto"/>
        <w:right w:val="none" w:sz="0" w:space="0" w:color="auto"/>
      </w:divBdr>
      <w:divsChild>
        <w:div w:id="405222825">
          <w:marLeft w:val="547"/>
          <w:marRight w:val="0"/>
          <w:marTop w:val="96"/>
          <w:marBottom w:val="0"/>
          <w:divBdr>
            <w:top w:val="none" w:sz="0" w:space="0" w:color="auto"/>
            <w:left w:val="none" w:sz="0" w:space="0" w:color="auto"/>
            <w:bottom w:val="none" w:sz="0" w:space="0" w:color="auto"/>
            <w:right w:val="none" w:sz="0" w:space="0" w:color="auto"/>
          </w:divBdr>
        </w:div>
        <w:div w:id="650405471">
          <w:marLeft w:val="547"/>
          <w:marRight w:val="0"/>
          <w:marTop w:val="96"/>
          <w:marBottom w:val="0"/>
          <w:divBdr>
            <w:top w:val="none" w:sz="0" w:space="0" w:color="auto"/>
            <w:left w:val="none" w:sz="0" w:space="0" w:color="auto"/>
            <w:bottom w:val="none" w:sz="0" w:space="0" w:color="auto"/>
            <w:right w:val="none" w:sz="0" w:space="0" w:color="auto"/>
          </w:divBdr>
        </w:div>
        <w:div w:id="1577087608">
          <w:marLeft w:val="547"/>
          <w:marRight w:val="0"/>
          <w:marTop w:val="96"/>
          <w:marBottom w:val="0"/>
          <w:divBdr>
            <w:top w:val="none" w:sz="0" w:space="0" w:color="auto"/>
            <w:left w:val="none" w:sz="0" w:space="0" w:color="auto"/>
            <w:bottom w:val="none" w:sz="0" w:space="0" w:color="auto"/>
            <w:right w:val="none" w:sz="0" w:space="0" w:color="auto"/>
          </w:divBdr>
        </w:div>
        <w:div w:id="1602838319">
          <w:marLeft w:val="547"/>
          <w:marRight w:val="0"/>
          <w:marTop w:val="96"/>
          <w:marBottom w:val="0"/>
          <w:divBdr>
            <w:top w:val="none" w:sz="0" w:space="0" w:color="auto"/>
            <w:left w:val="none" w:sz="0" w:space="0" w:color="auto"/>
            <w:bottom w:val="none" w:sz="0" w:space="0" w:color="auto"/>
            <w:right w:val="none" w:sz="0" w:space="0" w:color="auto"/>
          </w:divBdr>
        </w:div>
        <w:div w:id="1947998292">
          <w:marLeft w:val="547"/>
          <w:marRight w:val="0"/>
          <w:marTop w:val="96"/>
          <w:marBottom w:val="0"/>
          <w:divBdr>
            <w:top w:val="none" w:sz="0" w:space="0" w:color="auto"/>
            <w:left w:val="none" w:sz="0" w:space="0" w:color="auto"/>
            <w:bottom w:val="none" w:sz="0" w:space="0" w:color="auto"/>
            <w:right w:val="none" w:sz="0" w:space="0" w:color="auto"/>
          </w:divBdr>
        </w:div>
      </w:divsChild>
    </w:div>
    <w:div w:id="1634406327">
      <w:bodyDiv w:val="1"/>
      <w:marLeft w:val="0"/>
      <w:marRight w:val="0"/>
      <w:marTop w:val="0"/>
      <w:marBottom w:val="0"/>
      <w:divBdr>
        <w:top w:val="none" w:sz="0" w:space="0" w:color="auto"/>
        <w:left w:val="none" w:sz="0" w:space="0" w:color="auto"/>
        <w:bottom w:val="none" w:sz="0" w:space="0" w:color="auto"/>
        <w:right w:val="none" w:sz="0" w:space="0" w:color="auto"/>
      </w:divBdr>
      <w:divsChild>
        <w:div w:id="494690533">
          <w:marLeft w:val="1627"/>
          <w:marRight w:val="0"/>
          <w:marTop w:val="0"/>
          <w:marBottom w:val="0"/>
          <w:divBdr>
            <w:top w:val="none" w:sz="0" w:space="0" w:color="auto"/>
            <w:left w:val="none" w:sz="0" w:space="0" w:color="auto"/>
            <w:bottom w:val="none" w:sz="0" w:space="0" w:color="auto"/>
            <w:right w:val="none" w:sz="0" w:space="0" w:color="auto"/>
          </w:divBdr>
        </w:div>
        <w:div w:id="1701779363">
          <w:marLeft w:val="1627"/>
          <w:marRight w:val="0"/>
          <w:marTop w:val="0"/>
          <w:marBottom w:val="0"/>
          <w:divBdr>
            <w:top w:val="none" w:sz="0" w:space="0" w:color="auto"/>
            <w:left w:val="none" w:sz="0" w:space="0" w:color="auto"/>
            <w:bottom w:val="none" w:sz="0" w:space="0" w:color="auto"/>
            <w:right w:val="none" w:sz="0" w:space="0" w:color="auto"/>
          </w:divBdr>
        </w:div>
      </w:divsChild>
    </w:div>
    <w:div w:id="1727800202">
      <w:bodyDiv w:val="1"/>
      <w:marLeft w:val="0"/>
      <w:marRight w:val="0"/>
      <w:marTop w:val="0"/>
      <w:marBottom w:val="0"/>
      <w:divBdr>
        <w:top w:val="none" w:sz="0" w:space="0" w:color="auto"/>
        <w:left w:val="none" w:sz="0" w:space="0" w:color="auto"/>
        <w:bottom w:val="none" w:sz="0" w:space="0" w:color="auto"/>
        <w:right w:val="none" w:sz="0" w:space="0" w:color="auto"/>
      </w:divBdr>
      <w:divsChild>
        <w:div w:id="559093533">
          <w:marLeft w:val="547"/>
          <w:marRight w:val="0"/>
          <w:marTop w:val="106"/>
          <w:marBottom w:val="0"/>
          <w:divBdr>
            <w:top w:val="none" w:sz="0" w:space="0" w:color="auto"/>
            <w:left w:val="none" w:sz="0" w:space="0" w:color="auto"/>
            <w:bottom w:val="none" w:sz="0" w:space="0" w:color="auto"/>
            <w:right w:val="none" w:sz="0" w:space="0" w:color="auto"/>
          </w:divBdr>
        </w:div>
        <w:div w:id="1326737168">
          <w:marLeft w:val="547"/>
          <w:marRight w:val="0"/>
          <w:marTop w:val="106"/>
          <w:marBottom w:val="0"/>
          <w:divBdr>
            <w:top w:val="none" w:sz="0" w:space="0" w:color="auto"/>
            <w:left w:val="none" w:sz="0" w:space="0" w:color="auto"/>
            <w:bottom w:val="none" w:sz="0" w:space="0" w:color="auto"/>
            <w:right w:val="none" w:sz="0" w:space="0" w:color="auto"/>
          </w:divBdr>
        </w:div>
        <w:div w:id="1839802627">
          <w:marLeft w:val="547"/>
          <w:marRight w:val="0"/>
          <w:marTop w:val="106"/>
          <w:marBottom w:val="0"/>
          <w:divBdr>
            <w:top w:val="none" w:sz="0" w:space="0" w:color="auto"/>
            <w:left w:val="none" w:sz="0" w:space="0" w:color="auto"/>
            <w:bottom w:val="none" w:sz="0" w:space="0" w:color="auto"/>
            <w:right w:val="none" w:sz="0" w:space="0" w:color="auto"/>
          </w:divBdr>
        </w:div>
      </w:divsChild>
    </w:div>
    <w:div w:id="1728991325">
      <w:bodyDiv w:val="1"/>
      <w:marLeft w:val="0"/>
      <w:marRight w:val="0"/>
      <w:marTop w:val="0"/>
      <w:marBottom w:val="0"/>
      <w:divBdr>
        <w:top w:val="none" w:sz="0" w:space="0" w:color="auto"/>
        <w:left w:val="none" w:sz="0" w:space="0" w:color="auto"/>
        <w:bottom w:val="none" w:sz="0" w:space="0" w:color="auto"/>
        <w:right w:val="none" w:sz="0" w:space="0" w:color="auto"/>
      </w:divBdr>
      <w:divsChild>
        <w:div w:id="202834277">
          <w:marLeft w:val="547"/>
          <w:marRight w:val="0"/>
          <w:marTop w:val="106"/>
          <w:marBottom w:val="0"/>
          <w:divBdr>
            <w:top w:val="none" w:sz="0" w:space="0" w:color="auto"/>
            <w:left w:val="none" w:sz="0" w:space="0" w:color="auto"/>
            <w:bottom w:val="none" w:sz="0" w:space="0" w:color="auto"/>
            <w:right w:val="none" w:sz="0" w:space="0" w:color="auto"/>
          </w:divBdr>
        </w:div>
        <w:div w:id="1237474950">
          <w:marLeft w:val="547"/>
          <w:marRight w:val="0"/>
          <w:marTop w:val="106"/>
          <w:marBottom w:val="0"/>
          <w:divBdr>
            <w:top w:val="none" w:sz="0" w:space="0" w:color="auto"/>
            <w:left w:val="none" w:sz="0" w:space="0" w:color="auto"/>
            <w:bottom w:val="none" w:sz="0" w:space="0" w:color="auto"/>
            <w:right w:val="none" w:sz="0" w:space="0" w:color="auto"/>
          </w:divBdr>
        </w:div>
        <w:div w:id="1482304554">
          <w:marLeft w:val="547"/>
          <w:marRight w:val="0"/>
          <w:marTop w:val="106"/>
          <w:marBottom w:val="0"/>
          <w:divBdr>
            <w:top w:val="none" w:sz="0" w:space="0" w:color="auto"/>
            <w:left w:val="none" w:sz="0" w:space="0" w:color="auto"/>
            <w:bottom w:val="none" w:sz="0" w:space="0" w:color="auto"/>
            <w:right w:val="none" w:sz="0" w:space="0" w:color="auto"/>
          </w:divBdr>
        </w:div>
        <w:div w:id="1486362340">
          <w:marLeft w:val="547"/>
          <w:marRight w:val="0"/>
          <w:marTop w:val="106"/>
          <w:marBottom w:val="0"/>
          <w:divBdr>
            <w:top w:val="none" w:sz="0" w:space="0" w:color="auto"/>
            <w:left w:val="none" w:sz="0" w:space="0" w:color="auto"/>
            <w:bottom w:val="none" w:sz="0" w:space="0" w:color="auto"/>
            <w:right w:val="none" w:sz="0" w:space="0" w:color="auto"/>
          </w:divBdr>
        </w:div>
      </w:divsChild>
    </w:div>
    <w:div w:id="1730575521">
      <w:bodyDiv w:val="1"/>
      <w:marLeft w:val="0"/>
      <w:marRight w:val="0"/>
      <w:marTop w:val="0"/>
      <w:marBottom w:val="0"/>
      <w:divBdr>
        <w:top w:val="none" w:sz="0" w:space="0" w:color="auto"/>
        <w:left w:val="none" w:sz="0" w:space="0" w:color="auto"/>
        <w:bottom w:val="none" w:sz="0" w:space="0" w:color="auto"/>
        <w:right w:val="none" w:sz="0" w:space="0" w:color="auto"/>
      </w:divBdr>
    </w:div>
    <w:div w:id="1739399391">
      <w:bodyDiv w:val="1"/>
      <w:marLeft w:val="0"/>
      <w:marRight w:val="0"/>
      <w:marTop w:val="0"/>
      <w:marBottom w:val="0"/>
      <w:divBdr>
        <w:top w:val="none" w:sz="0" w:space="0" w:color="auto"/>
        <w:left w:val="none" w:sz="0" w:space="0" w:color="auto"/>
        <w:bottom w:val="none" w:sz="0" w:space="0" w:color="auto"/>
        <w:right w:val="none" w:sz="0" w:space="0" w:color="auto"/>
      </w:divBdr>
    </w:div>
    <w:div w:id="1774786044">
      <w:bodyDiv w:val="1"/>
      <w:marLeft w:val="0"/>
      <w:marRight w:val="0"/>
      <w:marTop w:val="0"/>
      <w:marBottom w:val="0"/>
      <w:divBdr>
        <w:top w:val="none" w:sz="0" w:space="0" w:color="auto"/>
        <w:left w:val="none" w:sz="0" w:space="0" w:color="auto"/>
        <w:bottom w:val="none" w:sz="0" w:space="0" w:color="auto"/>
        <w:right w:val="none" w:sz="0" w:space="0" w:color="auto"/>
      </w:divBdr>
    </w:div>
    <w:div w:id="1801919690">
      <w:bodyDiv w:val="1"/>
      <w:marLeft w:val="0"/>
      <w:marRight w:val="0"/>
      <w:marTop w:val="0"/>
      <w:marBottom w:val="0"/>
      <w:divBdr>
        <w:top w:val="none" w:sz="0" w:space="0" w:color="auto"/>
        <w:left w:val="none" w:sz="0" w:space="0" w:color="auto"/>
        <w:bottom w:val="none" w:sz="0" w:space="0" w:color="auto"/>
        <w:right w:val="none" w:sz="0" w:space="0" w:color="auto"/>
      </w:divBdr>
    </w:div>
    <w:div w:id="1813713233">
      <w:bodyDiv w:val="1"/>
      <w:marLeft w:val="0"/>
      <w:marRight w:val="0"/>
      <w:marTop w:val="0"/>
      <w:marBottom w:val="0"/>
      <w:divBdr>
        <w:top w:val="none" w:sz="0" w:space="0" w:color="auto"/>
        <w:left w:val="none" w:sz="0" w:space="0" w:color="auto"/>
        <w:bottom w:val="none" w:sz="0" w:space="0" w:color="auto"/>
        <w:right w:val="none" w:sz="0" w:space="0" w:color="auto"/>
      </w:divBdr>
      <w:divsChild>
        <w:div w:id="113914022">
          <w:marLeft w:val="547"/>
          <w:marRight w:val="0"/>
          <w:marTop w:val="115"/>
          <w:marBottom w:val="0"/>
          <w:divBdr>
            <w:top w:val="none" w:sz="0" w:space="0" w:color="auto"/>
            <w:left w:val="none" w:sz="0" w:space="0" w:color="auto"/>
            <w:bottom w:val="none" w:sz="0" w:space="0" w:color="auto"/>
            <w:right w:val="none" w:sz="0" w:space="0" w:color="auto"/>
          </w:divBdr>
        </w:div>
        <w:div w:id="177894506">
          <w:marLeft w:val="547"/>
          <w:marRight w:val="0"/>
          <w:marTop w:val="115"/>
          <w:marBottom w:val="0"/>
          <w:divBdr>
            <w:top w:val="none" w:sz="0" w:space="0" w:color="auto"/>
            <w:left w:val="none" w:sz="0" w:space="0" w:color="auto"/>
            <w:bottom w:val="none" w:sz="0" w:space="0" w:color="auto"/>
            <w:right w:val="none" w:sz="0" w:space="0" w:color="auto"/>
          </w:divBdr>
        </w:div>
        <w:div w:id="327174833">
          <w:marLeft w:val="547"/>
          <w:marRight w:val="0"/>
          <w:marTop w:val="115"/>
          <w:marBottom w:val="0"/>
          <w:divBdr>
            <w:top w:val="none" w:sz="0" w:space="0" w:color="auto"/>
            <w:left w:val="none" w:sz="0" w:space="0" w:color="auto"/>
            <w:bottom w:val="none" w:sz="0" w:space="0" w:color="auto"/>
            <w:right w:val="none" w:sz="0" w:space="0" w:color="auto"/>
          </w:divBdr>
        </w:div>
        <w:div w:id="1888029491">
          <w:marLeft w:val="547"/>
          <w:marRight w:val="0"/>
          <w:marTop w:val="115"/>
          <w:marBottom w:val="0"/>
          <w:divBdr>
            <w:top w:val="none" w:sz="0" w:space="0" w:color="auto"/>
            <w:left w:val="none" w:sz="0" w:space="0" w:color="auto"/>
            <w:bottom w:val="none" w:sz="0" w:space="0" w:color="auto"/>
            <w:right w:val="none" w:sz="0" w:space="0" w:color="auto"/>
          </w:divBdr>
        </w:div>
      </w:divsChild>
    </w:div>
    <w:div w:id="1854369524">
      <w:bodyDiv w:val="1"/>
      <w:marLeft w:val="0"/>
      <w:marRight w:val="0"/>
      <w:marTop w:val="0"/>
      <w:marBottom w:val="0"/>
      <w:divBdr>
        <w:top w:val="none" w:sz="0" w:space="0" w:color="auto"/>
        <w:left w:val="none" w:sz="0" w:space="0" w:color="auto"/>
        <w:bottom w:val="none" w:sz="0" w:space="0" w:color="auto"/>
        <w:right w:val="none" w:sz="0" w:space="0" w:color="auto"/>
      </w:divBdr>
      <w:divsChild>
        <w:div w:id="383482024">
          <w:marLeft w:val="547"/>
          <w:marRight w:val="0"/>
          <w:marTop w:val="115"/>
          <w:marBottom w:val="0"/>
          <w:divBdr>
            <w:top w:val="none" w:sz="0" w:space="0" w:color="auto"/>
            <w:left w:val="none" w:sz="0" w:space="0" w:color="auto"/>
            <w:bottom w:val="none" w:sz="0" w:space="0" w:color="auto"/>
            <w:right w:val="none" w:sz="0" w:space="0" w:color="auto"/>
          </w:divBdr>
        </w:div>
        <w:div w:id="1406296078">
          <w:marLeft w:val="547"/>
          <w:marRight w:val="0"/>
          <w:marTop w:val="115"/>
          <w:marBottom w:val="0"/>
          <w:divBdr>
            <w:top w:val="none" w:sz="0" w:space="0" w:color="auto"/>
            <w:left w:val="none" w:sz="0" w:space="0" w:color="auto"/>
            <w:bottom w:val="none" w:sz="0" w:space="0" w:color="auto"/>
            <w:right w:val="none" w:sz="0" w:space="0" w:color="auto"/>
          </w:divBdr>
        </w:div>
        <w:div w:id="1709913112">
          <w:marLeft w:val="547"/>
          <w:marRight w:val="0"/>
          <w:marTop w:val="115"/>
          <w:marBottom w:val="0"/>
          <w:divBdr>
            <w:top w:val="none" w:sz="0" w:space="0" w:color="auto"/>
            <w:left w:val="none" w:sz="0" w:space="0" w:color="auto"/>
            <w:bottom w:val="none" w:sz="0" w:space="0" w:color="auto"/>
            <w:right w:val="none" w:sz="0" w:space="0" w:color="auto"/>
          </w:divBdr>
        </w:div>
      </w:divsChild>
    </w:div>
    <w:div w:id="1898583516">
      <w:bodyDiv w:val="1"/>
      <w:marLeft w:val="0"/>
      <w:marRight w:val="0"/>
      <w:marTop w:val="0"/>
      <w:marBottom w:val="0"/>
      <w:divBdr>
        <w:top w:val="none" w:sz="0" w:space="0" w:color="auto"/>
        <w:left w:val="none" w:sz="0" w:space="0" w:color="auto"/>
        <w:bottom w:val="none" w:sz="0" w:space="0" w:color="auto"/>
        <w:right w:val="none" w:sz="0" w:space="0" w:color="auto"/>
      </w:divBdr>
    </w:div>
    <w:div w:id="1928610624">
      <w:bodyDiv w:val="1"/>
      <w:marLeft w:val="0"/>
      <w:marRight w:val="0"/>
      <w:marTop w:val="0"/>
      <w:marBottom w:val="0"/>
      <w:divBdr>
        <w:top w:val="none" w:sz="0" w:space="0" w:color="auto"/>
        <w:left w:val="none" w:sz="0" w:space="0" w:color="auto"/>
        <w:bottom w:val="none" w:sz="0" w:space="0" w:color="auto"/>
        <w:right w:val="none" w:sz="0" w:space="0" w:color="auto"/>
      </w:divBdr>
      <w:divsChild>
        <w:div w:id="1369406299">
          <w:marLeft w:val="0"/>
          <w:marRight w:val="0"/>
          <w:marTop w:val="0"/>
          <w:marBottom w:val="0"/>
          <w:divBdr>
            <w:top w:val="none" w:sz="0" w:space="0" w:color="auto"/>
            <w:left w:val="none" w:sz="0" w:space="0" w:color="auto"/>
            <w:bottom w:val="none" w:sz="0" w:space="0" w:color="auto"/>
            <w:right w:val="none" w:sz="0" w:space="0" w:color="auto"/>
          </w:divBdr>
          <w:divsChild>
            <w:div w:id="1932422864">
              <w:marLeft w:val="0"/>
              <w:marRight w:val="0"/>
              <w:marTop w:val="0"/>
              <w:marBottom w:val="0"/>
              <w:divBdr>
                <w:top w:val="none" w:sz="0" w:space="0" w:color="auto"/>
                <w:left w:val="none" w:sz="0" w:space="0" w:color="auto"/>
                <w:bottom w:val="none" w:sz="0" w:space="0" w:color="auto"/>
                <w:right w:val="none" w:sz="0" w:space="0" w:color="auto"/>
              </w:divBdr>
              <w:divsChild>
                <w:div w:id="1175730700">
                  <w:marLeft w:val="0"/>
                  <w:marRight w:val="0"/>
                  <w:marTop w:val="0"/>
                  <w:marBottom w:val="0"/>
                  <w:divBdr>
                    <w:top w:val="none" w:sz="0" w:space="0" w:color="auto"/>
                    <w:left w:val="none" w:sz="0" w:space="0" w:color="auto"/>
                    <w:bottom w:val="none" w:sz="0" w:space="0" w:color="auto"/>
                    <w:right w:val="none" w:sz="0" w:space="0" w:color="auto"/>
                  </w:divBdr>
                </w:div>
              </w:divsChild>
            </w:div>
            <w:div w:id="153302029">
              <w:marLeft w:val="0"/>
              <w:marRight w:val="0"/>
              <w:marTop w:val="0"/>
              <w:marBottom w:val="0"/>
              <w:divBdr>
                <w:top w:val="none" w:sz="0" w:space="0" w:color="auto"/>
                <w:left w:val="none" w:sz="0" w:space="0" w:color="auto"/>
                <w:bottom w:val="none" w:sz="0" w:space="0" w:color="auto"/>
                <w:right w:val="none" w:sz="0" w:space="0" w:color="auto"/>
              </w:divBdr>
            </w:div>
            <w:div w:id="22807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06177">
      <w:bodyDiv w:val="1"/>
      <w:marLeft w:val="0"/>
      <w:marRight w:val="0"/>
      <w:marTop w:val="0"/>
      <w:marBottom w:val="0"/>
      <w:divBdr>
        <w:top w:val="none" w:sz="0" w:space="0" w:color="auto"/>
        <w:left w:val="none" w:sz="0" w:space="0" w:color="auto"/>
        <w:bottom w:val="none" w:sz="0" w:space="0" w:color="auto"/>
        <w:right w:val="none" w:sz="0" w:space="0" w:color="auto"/>
      </w:divBdr>
    </w:div>
    <w:div w:id="1980957063">
      <w:bodyDiv w:val="1"/>
      <w:marLeft w:val="0"/>
      <w:marRight w:val="0"/>
      <w:marTop w:val="0"/>
      <w:marBottom w:val="0"/>
      <w:divBdr>
        <w:top w:val="none" w:sz="0" w:space="0" w:color="auto"/>
        <w:left w:val="none" w:sz="0" w:space="0" w:color="auto"/>
        <w:bottom w:val="none" w:sz="0" w:space="0" w:color="auto"/>
        <w:right w:val="none" w:sz="0" w:space="0" w:color="auto"/>
      </w:divBdr>
      <w:divsChild>
        <w:div w:id="1388336437">
          <w:marLeft w:val="547"/>
          <w:marRight w:val="0"/>
          <w:marTop w:val="115"/>
          <w:marBottom w:val="0"/>
          <w:divBdr>
            <w:top w:val="none" w:sz="0" w:space="0" w:color="auto"/>
            <w:left w:val="none" w:sz="0" w:space="0" w:color="auto"/>
            <w:bottom w:val="none" w:sz="0" w:space="0" w:color="auto"/>
            <w:right w:val="none" w:sz="0" w:space="0" w:color="auto"/>
          </w:divBdr>
        </w:div>
        <w:div w:id="2012757756">
          <w:marLeft w:val="547"/>
          <w:marRight w:val="0"/>
          <w:marTop w:val="115"/>
          <w:marBottom w:val="0"/>
          <w:divBdr>
            <w:top w:val="none" w:sz="0" w:space="0" w:color="auto"/>
            <w:left w:val="none" w:sz="0" w:space="0" w:color="auto"/>
            <w:bottom w:val="none" w:sz="0" w:space="0" w:color="auto"/>
            <w:right w:val="none" w:sz="0" w:space="0" w:color="auto"/>
          </w:divBdr>
        </w:div>
      </w:divsChild>
    </w:div>
    <w:div w:id="1994212487">
      <w:bodyDiv w:val="1"/>
      <w:marLeft w:val="0"/>
      <w:marRight w:val="0"/>
      <w:marTop w:val="0"/>
      <w:marBottom w:val="0"/>
      <w:divBdr>
        <w:top w:val="none" w:sz="0" w:space="0" w:color="auto"/>
        <w:left w:val="none" w:sz="0" w:space="0" w:color="auto"/>
        <w:bottom w:val="none" w:sz="0" w:space="0" w:color="auto"/>
        <w:right w:val="none" w:sz="0" w:space="0" w:color="auto"/>
      </w:divBdr>
      <w:divsChild>
        <w:div w:id="274097945">
          <w:marLeft w:val="547"/>
          <w:marRight w:val="0"/>
          <w:marTop w:val="96"/>
          <w:marBottom w:val="0"/>
          <w:divBdr>
            <w:top w:val="none" w:sz="0" w:space="0" w:color="auto"/>
            <w:left w:val="none" w:sz="0" w:space="0" w:color="auto"/>
            <w:bottom w:val="none" w:sz="0" w:space="0" w:color="auto"/>
            <w:right w:val="none" w:sz="0" w:space="0" w:color="auto"/>
          </w:divBdr>
        </w:div>
        <w:div w:id="1052924997">
          <w:marLeft w:val="547"/>
          <w:marRight w:val="0"/>
          <w:marTop w:val="96"/>
          <w:marBottom w:val="0"/>
          <w:divBdr>
            <w:top w:val="none" w:sz="0" w:space="0" w:color="auto"/>
            <w:left w:val="none" w:sz="0" w:space="0" w:color="auto"/>
            <w:bottom w:val="none" w:sz="0" w:space="0" w:color="auto"/>
            <w:right w:val="none" w:sz="0" w:space="0" w:color="auto"/>
          </w:divBdr>
        </w:div>
        <w:div w:id="1218856753">
          <w:marLeft w:val="547"/>
          <w:marRight w:val="0"/>
          <w:marTop w:val="96"/>
          <w:marBottom w:val="0"/>
          <w:divBdr>
            <w:top w:val="none" w:sz="0" w:space="0" w:color="auto"/>
            <w:left w:val="none" w:sz="0" w:space="0" w:color="auto"/>
            <w:bottom w:val="none" w:sz="0" w:space="0" w:color="auto"/>
            <w:right w:val="none" w:sz="0" w:space="0" w:color="auto"/>
          </w:divBdr>
        </w:div>
        <w:div w:id="1710757699">
          <w:marLeft w:val="547"/>
          <w:marRight w:val="0"/>
          <w:marTop w:val="96"/>
          <w:marBottom w:val="0"/>
          <w:divBdr>
            <w:top w:val="none" w:sz="0" w:space="0" w:color="auto"/>
            <w:left w:val="none" w:sz="0" w:space="0" w:color="auto"/>
            <w:bottom w:val="none" w:sz="0" w:space="0" w:color="auto"/>
            <w:right w:val="none" w:sz="0" w:space="0" w:color="auto"/>
          </w:divBdr>
        </w:div>
      </w:divsChild>
    </w:div>
    <w:div w:id="2122873602">
      <w:bodyDiv w:val="1"/>
      <w:marLeft w:val="0"/>
      <w:marRight w:val="0"/>
      <w:marTop w:val="0"/>
      <w:marBottom w:val="0"/>
      <w:divBdr>
        <w:top w:val="none" w:sz="0" w:space="0" w:color="auto"/>
        <w:left w:val="none" w:sz="0" w:space="0" w:color="auto"/>
        <w:bottom w:val="none" w:sz="0" w:space="0" w:color="auto"/>
        <w:right w:val="none" w:sz="0" w:space="0" w:color="auto"/>
      </w:divBdr>
    </w:div>
    <w:div w:id="2139913564">
      <w:bodyDiv w:val="1"/>
      <w:marLeft w:val="0"/>
      <w:marRight w:val="0"/>
      <w:marTop w:val="0"/>
      <w:marBottom w:val="0"/>
      <w:divBdr>
        <w:top w:val="none" w:sz="0" w:space="0" w:color="auto"/>
        <w:left w:val="none" w:sz="0" w:space="0" w:color="auto"/>
        <w:bottom w:val="none" w:sz="0" w:space="0" w:color="auto"/>
        <w:right w:val="none" w:sz="0" w:space="0" w:color="auto"/>
      </w:divBdr>
      <w:divsChild>
        <w:div w:id="139002335">
          <w:marLeft w:val="547"/>
          <w:marRight w:val="0"/>
          <w:marTop w:val="115"/>
          <w:marBottom w:val="0"/>
          <w:divBdr>
            <w:top w:val="none" w:sz="0" w:space="0" w:color="auto"/>
            <w:left w:val="none" w:sz="0" w:space="0" w:color="auto"/>
            <w:bottom w:val="none" w:sz="0" w:space="0" w:color="auto"/>
            <w:right w:val="none" w:sz="0" w:space="0" w:color="auto"/>
          </w:divBdr>
        </w:div>
        <w:div w:id="530611131">
          <w:marLeft w:val="547"/>
          <w:marRight w:val="0"/>
          <w:marTop w:val="115"/>
          <w:marBottom w:val="0"/>
          <w:divBdr>
            <w:top w:val="none" w:sz="0" w:space="0" w:color="auto"/>
            <w:left w:val="none" w:sz="0" w:space="0" w:color="auto"/>
            <w:bottom w:val="none" w:sz="0" w:space="0" w:color="auto"/>
            <w:right w:val="none" w:sz="0" w:space="0" w:color="auto"/>
          </w:divBdr>
        </w:div>
        <w:div w:id="559098873">
          <w:marLeft w:val="547"/>
          <w:marRight w:val="0"/>
          <w:marTop w:val="115"/>
          <w:marBottom w:val="0"/>
          <w:divBdr>
            <w:top w:val="none" w:sz="0" w:space="0" w:color="auto"/>
            <w:left w:val="none" w:sz="0" w:space="0" w:color="auto"/>
            <w:bottom w:val="none" w:sz="0" w:space="0" w:color="auto"/>
            <w:right w:val="none" w:sz="0" w:space="0" w:color="auto"/>
          </w:divBdr>
        </w:div>
        <w:div w:id="834295794">
          <w:marLeft w:val="547"/>
          <w:marRight w:val="0"/>
          <w:marTop w:val="115"/>
          <w:marBottom w:val="0"/>
          <w:divBdr>
            <w:top w:val="none" w:sz="0" w:space="0" w:color="auto"/>
            <w:left w:val="none" w:sz="0" w:space="0" w:color="auto"/>
            <w:bottom w:val="none" w:sz="0" w:space="0" w:color="auto"/>
            <w:right w:val="none" w:sz="0" w:space="0" w:color="auto"/>
          </w:divBdr>
        </w:div>
        <w:div w:id="1667394274">
          <w:marLeft w:val="547"/>
          <w:marRight w:val="0"/>
          <w:marTop w:val="115"/>
          <w:marBottom w:val="0"/>
          <w:divBdr>
            <w:top w:val="none" w:sz="0" w:space="0" w:color="auto"/>
            <w:left w:val="none" w:sz="0" w:space="0" w:color="auto"/>
            <w:bottom w:val="none" w:sz="0" w:space="0" w:color="auto"/>
            <w:right w:val="none" w:sz="0" w:space="0" w:color="auto"/>
          </w:divBdr>
        </w:div>
      </w:divsChild>
    </w:div>
    <w:div w:id="2140831149">
      <w:bodyDiv w:val="1"/>
      <w:marLeft w:val="0"/>
      <w:marRight w:val="0"/>
      <w:marTop w:val="0"/>
      <w:marBottom w:val="0"/>
      <w:divBdr>
        <w:top w:val="none" w:sz="0" w:space="0" w:color="auto"/>
        <w:left w:val="none" w:sz="0" w:space="0" w:color="auto"/>
        <w:bottom w:val="none" w:sz="0" w:space="0" w:color="auto"/>
        <w:right w:val="none" w:sz="0" w:space="0" w:color="auto"/>
      </w:divBdr>
      <w:divsChild>
        <w:div w:id="515776070">
          <w:marLeft w:val="446"/>
          <w:marRight w:val="0"/>
          <w:marTop w:val="77"/>
          <w:marBottom w:val="0"/>
          <w:divBdr>
            <w:top w:val="none" w:sz="0" w:space="0" w:color="auto"/>
            <w:left w:val="none" w:sz="0" w:space="0" w:color="auto"/>
            <w:bottom w:val="none" w:sz="0" w:space="0" w:color="auto"/>
            <w:right w:val="none" w:sz="0" w:space="0" w:color="auto"/>
          </w:divBdr>
        </w:div>
        <w:div w:id="1725370188">
          <w:marLeft w:val="446"/>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image" Target="media/image11.emf"/><Relationship Id="rId39" Type="http://schemas.openxmlformats.org/officeDocument/2006/relationships/image" Target="media/image23.emf"/><Relationship Id="rId3" Type="http://schemas.openxmlformats.org/officeDocument/2006/relationships/styles" Target="styles.xml"/><Relationship Id="rId21" Type="http://schemas.openxmlformats.org/officeDocument/2006/relationships/image" Target="media/image6.emf"/><Relationship Id="rId34" Type="http://schemas.openxmlformats.org/officeDocument/2006/relationships/image" Target="media/image18.emf"/><Relationship Id="rId42" Type="http://schemas.openxmlformats.org/officeDocument/2006/relationships/header" Target="header4.xml"/><Relationship Id="rId47"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image" Target="media/image10.emf"/><Relationship Id="rId33" Type="http://schemas.openxmlformats.org/officeDocument/2006/relationships/image" Target="media/image17.emf"/><Relationship Id="rId38" Type="http://schemas.openxmlformats.org/officeDocument/2006/relationships/image" Target="media/image22.emf"/><Relationship Id="rId46"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oleObject" Target="embeddings/oleObject1.bin"/><Relationship Id="rId29" Type="http://schemas.openxmlformats.org/officeDocument/2006/relationships/image" Target="media/image13.emf"/><Relationship Id="rId41" Type="http://schemas.openxmlformats.org/officeDocument/2006/relationships/image" Target="media/image2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9.emf"/><Relationship Id="rId32" Type="http://schemas.openxmlformats.org/officeDocument/2006/relationships/image" Target="media/image16.emf"/><Relationship Id="rId37" Type="http://schemas.openxmlformats.org/officeDocument/2006/relationships/image" Target="media/image21.emf"/><Relationship Id="rId40" Type="http://schemas.openxmlformats.org/officeDocument/2006/relationships/image" Target="media/image24.png"/><Relationship Id="rId45"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8.emf"/><Relationship Id="rId28" Type="http://schemas.openxmlformats.org/officeDocument/2006/relationships/oleObject" Target="embeddings/oleObject2.bin"/><Relationship Id="rId36" Type="http://schemas.openxmlformats.org/officeDocument/2006/relationships/image" Target="media/image20.png"/><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image" Target="media/image15.emf"/><Relationship Id="rId44"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7.emf"/><Relationship Id="rId27" Type="http://schemas.openxmlformats.org/officeDocument/2006/relationships/image" Target="media/image12.png"/><Relationship Id="rId30" Type="http://schemas.openxmlformats.org/officeDocument/2006/relationships/image" Target="media/image14.emf"/><Relationship Id="rId35" Type="http://schemas.openxmlformats.org/officeDocument/2006/relationships/image" Target="media/image19.png"/><Relationship Id="rId43" Type="http://schemas.openxmlformats.org/officeDocument/2006/relationships/header" Target="header5.xml"/><Relationship Id="rId48" Type="http://schemas.openxmlformats.org/officeDocument/2006/relationships/fontTable" Target="fontTable.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eea.europa.eu/themes/biodiversity/state-of-nature-in-the-eu/state-of-nature-2020" TargetMode="External"/><Relationship Id="rId2" Type="http://schemas.openxmlformats.org/officeDocument/2006/relationships/hyperlink" Target="https://ec.europa.eu/environment/nature/knowledge/rep_habitats/index_en.htm" TargetMode="External"/><Relationship Id="rId1" Type="http://schemas.openxmlformats.org/officeDocument/2006/relationships/hyperlink" Target="https://www.eea.europa.eu/themes/biodiversity/state-of-nature-in-the-eu/state-of-nature-2020" TargetMode="External"/><Relationship Id="rId6" Type="http://schemas.openxmlformats.org/officeDocument/2006/relationships/hyperlink" Target="https://eur-lex.europa.eu/legal-content/BG/TXT/?uri=CELEX:52020DC0381" TargetMode="External"/><Relationship Id="rId5" Type="http://schemas.openxmlformats.org/officeDocument/2006/relationships/hyperlink" Target="https://eur-lex.europa.eu/legal-content/BG/TXT/?uri=CELEX:52020DC0380" TargetMode="External"/><Relationship Id="rId4" Type="http://schemas.openxmlformats.org/officeDocument/2006/relationships/hyperlink" Target="https://ec.europa.eu/easme/en/li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C1666CF-1557-4B4E-9A93-CC90382F3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26</Pages>
  <Words>6712</Words>
  <Characters>38129</Characters>
  <Application>Microsoft Office Word</Application>
  <DocSecurity>0</DocSecurity>
  <Lines>747</Lines>
  <Paragraphs>177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Manager/>
  <Company/>
  <LinksUpToDate>false</LinksUpToDate>
  <CharactersWithSpaces>44664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146</cp:revision>
  <dcterms:created xsi:type="dcterms:W3CDTF">2020-09-25T21:56:00Z</dcterms:created>
  <dcterms:modified xsi:type="dcterms:W3CDTF">2020-10-12T14:25:00Z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CP-007</vt:lpwstr>
  </property>
  <property fmtid="{D5CDD505-2E9C-101B-9397-08002B2CF9AE}" pid="7" name="Last edited using">
    <vt:lpwstr>LW 7.0, Build 20190717</vt:lpwstr>
  </property>
  <property fmtid="{D5CDD505-2E9C-101B-9397-08002B2CF9AE}" pid="8" name="Created using">
    <vt:lpwstr>LW 7.0.1, Build 20190916</vt:lpwstr>
  </property>
</Properties>
</file>