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B6D9E5F-B5A3-4A2B-9C2C-FF0F2AC0975D" style="width:450.75pt;height:54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Annexetitre"/>
        <w:spacing w:before="100" w:after="100"/>
        <w:rPr>
          <w:noProof/>
        </w:rPr>
      </w:pPr>
      <w:bookmarkStart w:id="1" w:name="_GoBack"/>
      <w:bookmarkEnd w:id="1"/>
      <w:r>
        <w:rPr>
          <w:noProof/>
        </w:rPr>
        <w:lastRenderedPageBreak/>
        <w:t>ПРИЛОЖЕНИЕ</w:t>
      </w:r>
    </w:p>
    <w:p>
      <w:pPr>
        <w:pStyle w:val="Annexetitre"/>
        <w:spacing w:before="100" w:after="100"/>
        <w:rPr>
          <w:noProof/>
        </w:rPr>
      </w:pPr>
      <w:r>
        <w:rPr>
          <w:noProof/>
        </w:rPr>
        <w:t>Различия, за които трябва да бъде уведомена Международната организация за гражданско въздухоплаване във връзка с редица приети изменения на приложенията към Чикагската конвенция</w:t>
      </w:r>
    </w:p>
    <w:p>
      <w:pPr>
        <w:pStyle w:val="Heading"/>
        <w:numPr>
          <w:ilvl w:val="0"/>
          <w:numId w:val="2"/>
        </w:numPr>
        <w:spacing w:before="100" w:after="100"/>
        <w:ind w:left="850" w:hanging="850"/>
        <w:rPr>
          <w:noProof/>
        </w:rPr>
      </w:pPr>
      <w:r>
        <w:rPr>
          <w:noProof/>
        </w:rPr>
        <w:t>Различия</w:t>
      </w:r>
      <w:r>
        <w:rPr>
          <w:noProof/>
        </w:rPr>
        <w:t xml:space="preserve">, </w:t>
      </w:r>
      <w:r>
        <w:rPr>
          <w:noProof/>
        </w:rPr>
        <w:t>за</w:t>
      </w:r>
      <w:r>
        <w:rPr>
          <w:noProof/>
        </w:rPr>
        <w:t xml:space="preserve"> </w:t>
      </w:r>
      <w:r>
        <w:rPr>
          <w:noProof/>
        </w:rPr>
        <w:t>които</w:t>
      </w:r>
      <w:r>
        <w:rPr>
          <w:noProof/>
        </w:rPr>
        <w:t xml:space="preserve"> </w:t>
      </w:r>
      <w:r>
        <w:rPr>
          <w:noProof/>
        </w:rPr>
        <w:t>трябва</w:t>
      </w:r>
      <w:r>
        <w:rPr>
          <w:noProof/>
        </w:rPr>
        <w:t xml:space="preserve"> </w:t>
      </w:r>
      <w:r>
        <w:rPr>
          <w:noProof/>
        </w:rPr>
        <w:t>да</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p>
    <w:p>
      <w:pPr>
        <w:pStyle w:val="Body"/>
        <w:spacing w:before="100" w:after="100" w:line="240" w:lineRule="auto"/>
        <w:jc w:val="both"/>
        <w:rPr>
          <w:rFonts w:ascii="Times New Roman" w:eastAsia="Times New Roman" w:hAnsi="Times New Roman" w:cs="Times New Roman"/>
          <w:noProof/>
          <w:sz w:val="24"/>
          <w:szCs w:val="24"/>
        </w:rPr>
      </w:pPr>
      <w:r>
        <w:rPr>
          <w:rFonts w:ascii="Times New Roman"/>
          <w:noProof/>
          <w:sz w:val="24"/>
          <w:szCs w:val="24"/>
        </w:rPr>
        <w:t>По</w:t>
      </w:r>
      <w:r>
        <w:rPr>
          <w:rFonts w:ascii="Times New Roman"/>
          <w:noProof/>
          <w:sz w:val="24"/>
          <w:szCs w:val="24"/>
        </w:rPr>
        <w:t xml:space="preserve"> </w:t>
      </w:r>
      <w:r>
        <w:rPr>
          <w:rFonts w:ascii="Times New Roman"/>
          <w:noProof/>
          <w:sz w:val="24"/>
          <w:szCs w:val="24"/>
        </w:rPr>
        <w:t>време</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своята</w:t>
      </w:r>
      <w:r>
        <w:rPr>
          <w:rFonts w:ascii="Times New Roman"/>
          <w:noProof/>
          <w:sz w:val="24"/>
          <w:szCs w:val="24"/>
        </w:rPr>
        <w:t xml:space="preserve"> 219-</w:t>
      </w:r>
      <w:r>
        <w:rPr>
          <w:rFonts w:ascii="Times New Roman"/>
          <w:noProof/>
          <w:sz w:val="24"/>
          <w:szCs w:val="24"/>
        </w:rPr>
        <w:t>а</w:t>
      </w:r>
      <w:r>
        <w:rPr>
          <w:rFonts w:ascii="Times New Roman"/>
          <w:noProof/>
          <w:sz w:val="24"/>
          <w:szCs w:val="24"/>
        </w:rPr>
        <w:t xml:space="preserve"> </w:t>
      </w:r>
      <w:r>
        <w:rPr>
          <w:rFonts w:ascii="Times New Roman"/>
          <w:noProof/>
          <w:sz w:val="24"/>
          <w:szCs w:val="24"/>
        </w:rPr>
        <w:t>сесия</w:t>
      </w:r>
      <w:r>
        <w:rPr>
          <w:rFonts w:ascii="Times New Roman"/>
          <w:noProof/>
          <w:sz w:val="24"/>
          <w:szCs w:val="24"/>
        </w:rPr>
        <w:t xml:space="preserve">, </w:t>
      </w:r>
      <w:r>
        <w:rPr>
          <w:rFonts w:ascii="Times New Roman"/>
          <w:noProof/>
          <w:sz w:val="24"/>
          <w:szCs w:val="24"/>
        </w:rPr>
        <w:t>проведена</w:t>
      </w:r>
      <w:r>
        <w:rPr>
          <w:rFonts w:ascii="Times New Roman"/>
          <w:noProof/>
          <w:sz w:val="24"/>
          <w:szCs w:val="24"/>
        </w:rPr>
        <w:t xml:space="preserve"> </w:t>
      </w:r>
      <w:r>
        <w:rPr>
          <w:rFonts w:ascii="Times New Roman"/>
          <w:noProof/>
          <w:sz w:val="24"/>
          <w:szCs w:val="24"/>
        </w:rPr>
        <w:t>от</w:t>
      </w:r>
      <w:r>
        <w:rPr>
          <w:rFonts w:ascii="Times New Roman"/>
          <w:noProof/>
          <w:sz w:val="24"/>
          <w:szCs w:val="24"/>
        </w:rPr>
        <w:t xml:space="preserve"> 2 </w:t>
      </w:r>
      <w:r>
        <w:rPr>
          <w:rFonts w:ascii="Times New Roman"/>
          <w:noProof/>
          <w:sz w:val="24"/>
          <w:szCs w:val="24"/>
        </w:rPr>
        <w:t>март</w:t>
      </w:r>
      <w:r>
        <w:rPr>
          <w:rFonts w:ascii="Times New Roman"/>
          <w:noProof/>
          <w:sz w:val="24"/>
          <w:szCs w:val="24"/>
        </w:rPr>
        <w:t xml:space="preserve"> </w:t>
      </w:r>
      <w:r>
        <w:rPr>
          <w:rFonts w:ascii="Times New Roman"/>
          <w:noProof/>
          <w:sz w:val="24"/>
          <w:szCs w:val="24"/>
        </w:rPr>
        <w:t>до</w:t>
      </w:r>
      <w:r>
        <w:rPr>
          <w:rFonts w:ascii="Times New Roman"/>
          <w:noProof/>
          <w:sz w:val="24"/>
          <w:szCs w:val="24"/>
        </w:rPr>
        <w:t xml:space="preserve"> 20 </w:t>
      </w:r>
      <w:r>
        <w:rPr>
          <w:rFonts w:ascii="Times New Roman"/>
          <w:noProof/>
          <w:sz w:val="24"/>
          <w:szCs w:val="24"/>
        </w:rPr>
        <w:t>март</w:t>
      </w:r>
      <w:r>
        <w:rPr>
          <w:rFonts w:ascii="Times New Roman"/>
          <w:noProof/>
          <w:sz w:val="24"/>
          <w:szCs w:val="24"/>
        </w:rPr>
        <w:t xml:space="preserve"> 2020</w:t>
      </w:r>
      <w:r>
        <w:rPr>
          <w:rFonts w:ascii="Times New Roman"/>
          <w:noProof/>
          <w:sz w:val="24"/>
          <w:szCs w:val="24"/>
        </w:rPr>
        <w:t> г</w:t>
      </w:r>
      <w:r>
        <w:rPr>
          <w:rFonts w:ascii="Times New Roman"/>
          <w:noProof/>
          <w:sz w:val="24"/>
          <w:szCs w:val="24"/>
        </w:rPr>
        <w:t xml:space="preserve">., </w:t>
      </w:r>
      <w:r>
        <w:rPr>
          <w:rFonts w:ascii="Times New Roman"/>
          <w:noProof/>
          <w:sz w:val="24"/>
          <w:szCs w:val="24"/>
        </w:rPr>
        <w:t>Съветът</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ИКАО</w:t>
      </w:r>
      <w:r>
        <w:rPr>
          <w:rFonts w:ascii="Times New Roman"/>
          <w:noProof/>
          <w:sz w:val="24"/>
          <w:szCs w:val="24"/>
        </w:rPr>
        <w:t xml:space="preserve"> </w:t>
      </w:r>
      <w:r>
        <w:rPr>
          <w:rFonts w:ascii="Times New Roman"/>
          <w:noProof/>
          <w:sz w:val="24"/>
          <w:szCs w:val="24"/>
        </w:rPr>
        <w:t>прие</w:t>
      </w:r>
      <w:r>
        <w:rPr>
          <w:rFonts w:ascii="Times New Roman"/>
          <w:noProof/>
          <w:sz w:val="24"/>
          <w:szCs w:val="24"/>
        </w:rPr>
        <w:t xml:space="preserve"> </w:t>
      </w:r>
      <w:r>
        <w:rPr>
          <w:rFonts w:ascii="Times New Roman"/>
          <w:noProof/>
          <w:sz w:val="24"/>
          <w:szCs w:val="24"/>
        </w:rPr>
        <w:t>редица</w:t>
      </w:r>
      <w:r>
        <w:rPr>
          <w:rFonts w:ascii="Times New Roman"/>
          <w:noProof/>
          <w:sz w:val="24"/>
          <w:szCs w:val="24"/>
        </w:rPr>
        <w:t xml:space="preserve"> </w:t>
      </w:r>
      <w:r>
        <w:rPr>
          <w:rFonts w:ascii="Times New Roman"/>
          <w:noProof/>
          <w:sz w:val="24"/>
          <w:szCs w:val="24"/>
        </w:rPr>
        <w:t>изменения</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различни</w:t>
      </w:r>
      <w:r>
        <w:rPr>
          <w:rFonts w:ascii="Times New Roman"/>
          <w:noProof/>
          <w:sz w:val="24"/>
          <w:szCs w:val="24"/>
        </w:rPr>
        <w:t xml:space="preserve"> </w:t>
      </w:r>
      <w:r>
        <w:rPr>
          <w:rFonts w:ascii="Times New Roman"/>
          <w:noProof/>
          <w:sz w:val="24"/>
          <w:szCs w:val="24"/>
        </w:rPr>
        <w:t>приложения</w:t>
      </w:r>
      <w:r>
        <w:rPr>
          <w:rFonts w:ascii="Times New Roman"/>
          <w:noProof/>
          <w:sz w:val="24"/>
          <w:szCs w:val="24"/>
        </w:rPr>
        <w:t xml:space="preserve"> </w:t>
      </w:r>
      <w:r>
        <w:rPr>
          <w:rFonts w:ascii="Times New Roman"/>
          <w:noProof/>
          <w:sz w:val="24"/>
          <w:szCs w:val="24"/>
        </w:rPr>
        <w:t>към</w:t>
      </w:r>
      <w:r>
        <w:rPr>
          <w:rFonts w:ascii="Times New Roman"/>
          <w:noProof/>
          <w:sz w:val="24"/>
          <w:szCs w:val="24"/>
        </w:rPr>
        <w:t xml:space="preserve"> </w:t>
      </w:r>
      <w:r>
        <w:rPr>
          <w:rFonts w:ascii="Times New Roman"/>
          <w:noProof/>
          <w:sz w:val="24"/>
          <w:szCs w:val="24"/>
        </w:rPr>
        <w:t>Чикагската</w:t>
      </w:r>
      <w:r>
        <w:rPr>
          <w:rFonts w:ascii="Times New Roman"/>
          <w:noProof/>
          <w:sz w:val="24"/>
          <w:szCs w:val="24"/>
        </w:rPr>
        <w:t xml:space="preserve"> </w:t>
      </w:r>
      <w:r>
        <w:rPr>
          <w:rFonts w:ascii="Times New Roman"/>
          <w:noProof/>
          <w:sz w:val="24"/>
          <w:szCs w:val="24"/>
        </w:rPr>
        <w:t>конвенция</w:t>
      </w:r>
      <w:r>
        <w:rPr>
          <w:rFonts w:ascii="Times New Roman"/>
          <w:noProof/>
          <w:sz w:val="24"/>
          <w:szCs w:val="24"/>
        </w:rPr>
        <w:t xml:space="preserve"> </w:t>
      </w:r>
      <w:r>
        <w:rPr>
          <w:rFonts w:ascii="Times New Roman"/>
          <w:noProof/>
          <w:sz w:val="24"/>
          <w:szCs w:val="24"/>
        </w:rPr>
        <w:t>в</w:t>
      </w:r>
      <w:r>
        <w:rPr>
          <w:rFonts w:ascii="Times New Roman"/>
          <w:noProof/>
          <w:sz w:val="24"/>
          <w:szCs w:val="24"/>
        </w:rPr>
        <w:t xml:space="preserve"> </w:t>
      </w:r>
      <w:r>
        <w:rPr>
          <w:rFonts w:ascii="Times New Roman"/>
          <w:noProof/>
          <w:sz w:val="24"/>
          <w:szCs w:val="24"/>
        </w:rPr>
        <w:t>областта</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безопасността</w:t>
      </w:r>
      <w:r>
        <w:rPr>
          <w:rFonts w:ascii="Times New Roman"/>
          <w:noProof/>
          <w:sz w:val="24"/>
          <w:szCs w:val="24"/>
        </w:rPr>
        <w:t xml:space="preserve">, </w:t>
      </w:r>
      <w:r>
        <w:rPr>
          <w:rFonts w:ascii="Times New Roman"/>
          <w:noProof/>
          <w:sz w:val="24"/>
          <w:szCs w:val="24"/>
        </w:rPr>
        <w:t>околната</w:t>
      </w:r>
      <w:r>
        <w:rPr>
          <w:rFonts w:ascii="Times New Roman"/>
          <w:noProof/>
          <w:sz w:val="24"/>
          <w:szCs w:val="24"/>
        </w:rPr>
        <w:t xml:space="preserve"> </w:t>
      </w:r>
      <w:r>
        <w:rPr>
          <w:rFonts w:ascii="Times New Roman"/>
          <w:noProof/>
          <w:sz w:val="24"/>
          <w:szCs w:val="24"/>
        </w:rPr>
        <w:t>среда</w:t>
      </w:r>
      <w:r>
        <w:rPr>
          <w:rFonts w:ascii="Times New Roman"/>
          <w:noProof/>
          <w:sz w:val="24"/>
          <w:szCs w:val="24"/>
        </w:rPr>
        <w:t xml:space="preserve"> </w:t>
      </w:r>
      <w:r>
        <w:rPr>
          <w:rFonts w:ascii="Times New Roman"/>
          <w:noProof/>
          <w:sz w:val="24"/>
          <w:szCs w:val="24"/>
        </w:rPr>
        <w:t>и</w:t>
      </w:r>
      <w:r>
        <w:rPr>
          <w:rFonts w:ascii="Times New Roman"/>
          <w:noProof/>
          <w:sz w:val="24"/>
          <w:szCs w:val="24"/>
        </w:rPr>
        <w:t xml:space="preserve"> </w:t>
      </w:r>
      <w:r>
        <w:rPr>
          <w:rFonts w:ascii="Times New Roman"/>
          <w:noProof/>
          <w:sz w:val="24"/>
          <w:szCs w:val="24"/>
        </w:rPr>
        <w:t>въздухоплаването</w:t>
      </w:r>
      <w:r>
        <w:rPr>
          <w:rFonts w:ascii="Times New Roman"/>
          <w:noProof/>
          <w:sz w:val="24"/>
          <w:szCs w:val="24"/>
        </w:rPr>
        <w:t xml:space="preserve">. </w:t>
      </w:r>
      <w:r>
        <w:rPr>
          <w:rFonts w:ascii="Times New Roman"/>
          <w:noProof/>
          <w:sz w:val="24"/>
          <w:szCs w:val="24"/>
        </w:rPr>
        <w:t>В</w:t>
      </w:r>
      <w:r>
        <w:rPr>
          <w:rFonts w:ascii="Times New Roman"/>
          <w:noProof/>
          <w:sz w:val="24"/>
          <w:szCs w:val="24"/>
        </w:rPr>
        <w:t xml:space="preserve"> </w:t>
      </w:r>
      <w:r>
        <w:rPr>
          <w:rFonts w:ascii="Times New Roman"/>
          <w:noProof/>
          <w:sz w:val="24"/>
          <w:szCs w:val="24"/>
        </w:rPr>
        <w:t>този</w:t>
      </w:r>
      <w:r>
        <w:rPr>
          <w:rFonts w:ascii="Times New Roman"/>
          <w:noProof/>
          <w:sz w:val="24"/>
          <w:szCs w:val="24"/>
        </w:rPr>
        <w:t xml:space="preserve"> </w:t>
      </w:r>
      <w:r>
        <w:rPr>
          <w:rFonts w:ascii="Times New Roman"/>
          <w:noProof/>
          <w:sz w:val="24"/>
          <w:szCs w:val="24"/>
        </w:rPr>
        <w:t>контекст</w:t>
      </w:r>
      <w:r>
        <w:rPr>
          <w:rFonts w:ascii="Times New Roman"/>
          <w:noProof/>
          <w:sz w:val="24"/>
          <w:szCs w:val="24"/>
        </w:rPr>
        <w:t xml:space="preserve">, </w:t>
      </w:r>
      <w:r>
        <w:rPr>
          <w:rFonts w:ascii="Times New Roman"/>
          <w:noProof/>
          <w:sz w:val="24"/>
          <w:szCs w:val="24"/>
        </w:rPr>
        <w:t>като</w:t>
      </w:r>
      <w:r>
        <w:rPr>
          <w:rFonts w:ascii="Times New Roman"/>
          <w:noProof/>
          <w:sz w:val="24"/>
          <w:szCs w:val="24"/>
        </w:rPr>
        <w:t xml:space="preserve"> </w:t>
      </w:r>
      <w:r>
        <w:rPr>
          <w:rFonts w:ascii="Times New Roman"/>
          <w:noProof/>
          <w:sz w:val="24"/>
          <w:szCs w:val="24"/>
        </w:rPr>
        <w:t>се</w:t>
      </w:r>
      <w:r>
        <w:rPr>
          <w:rFonts w:ascii="Times New Roman"/>
          <w:noProof/>
          <w:sz w:val="24"/>
          <w:szCs w:val="24"/>
        </w:rPr>
        <w:t xml:space="preserve"> </w:t>
      </w:r>
      <w:r>
        <w:rPr>
          <w:rFonts w:ascii="Times New Roman"/>
          <w:noProof/>
          <w:sz w:val="24"/>
          <w:szCs w:val="24"/>
        </w:rPr>
        <w:t>взема</w:t>
      </w:r>
      <w:r>
        <w:rPr>
          <w:rFonts w:ascii="Times New Roman"/>
          <w:noProof/>
          <w:sz w:val="24"/>
          <w:szCs w:val="24"/>
        </w:rPr>
        <w:t xml:space="preserve"> </w:t>
      </w:r>
      <w:r>
        <w:rPr>
          <w:rFonts w:ascii="Times New Roman"/>
          <w:noProof/>
          <w:sz w:val="24"/>
          <w:szCs w:val="24"/>
        </w:rPr>
        <w:t>предвид</w:t>
      </w:r>
      <w:r>
        <w:rPr>
          <w:rFonts w:ascii="Times New Roman"/>
          <w:noProof/>
          <w:sz w:val="24"/>
          <w:szCs w:val="24"/>
        </w:rPr>
        <w:t xml:space="preserve"> </w:t>
      </w:r>
      <w:r>
        <w:rPr>
          <w:rFonts w:ascii="Times New Roman"/>
          <w:noProof/>
          <w:sz w:val="24"/>
          <w:szCs w:val="24"/>
        </w:rPr>
        <w:t>съответното</w:t>
      </w:r>
      <w:r>
        <w:rPr>
          <w:rFonts w:ascii="Times New Roman"/>
          <w:noProof/>
          <w:sz w:val="24"/>
          <w:szCs w:val="24"/>
        </w:rPr>
        <w:t xml:space="preserve"> </w:t>
      </w:r>
      <w:r>
        <w:rPr>
          <w:rFonts w:ascii="Times New Roman"/>
          <w:noProof/>
          <w:sz w:val="24"/>
          <w:szCs w:val="24"/>
        </w:rPr>
        <w:t>законодателство</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Съюза</w:t>
      </w:r>
      <w:r>
        <w:rPr>
          <w:rFonts w:ascii="Times New Roman"/>
          <w:noProof/>
          <w:sz w:val="24"/>
          <w:szCs w:val="24"/>
        </w:rPr>
        <w:t xml:space="preserve">, </w:t>
      </w:r>
      <w:r>
        <w:rPr>
          <w:rFonts w:ascii="Times New Roman"/>
          <w:noProof/>
          <w:sz w:val="24"/>
          <w:szCs w:val="24"/>
        </w:rPr>
        <w:t>различията</w:t>
      </w:r>
      <w:r>
        <w:rPr>
          <w:rFonts w:ascii="Times New Roman"/>
          <w:noProof/>
          <w:sz w:val="24"/>
          <w:szCs w:val="24"/>
        </w:rPr>
        <w:t xml:space="preserve">, </w:t>
      </w:r>
      <w:r>
        <w:rPr>
          <w:rFonts w:ascii="Times New Roman"/>
          <w:noProof/>
          <w:sz w:val="24"/>
          <w:szCs w:val="24"/>
        </w:rPr>
        <w:t>за</w:t>
      </w:r>
      <w:r>
        <w:rPr>
          <w:rFonts w:ascii="Times New Roman"/>
          <w:noProof/>
          <w:sz w:val="24"/>
          <w:szCs w:val="24"/>
        </w:rPr>
        <w:t xml:space="preserve"> </w:t>
      </w:r>
      <w:r>
        <w:rPr>
          <w:rFonts w:ascii="Times New Roman"/>
          <w:noProof/>
          <w:sz w:val="24"/>
          <w:szCs w:val="24"/>
        </w:rPr>
        <w:t>които</w:t>
      </w:r>
      <w:r>
        <w:rPr>
          <w:rFonts w:ascii="Times New Roman"/>
          <w:noProof/>
          <w:sz w:val="24"/>
          <w:szCs w:val="24"/>
        </w:rPr>
        <w:t xml:space="preserve"> </w:t>
      </w:r>
      <w:r>
        <w:rPr>
          <w:rFonts w:ascii="Times New Roman"/>
          <w:noProof/>
          <w:sz w:val="24"/>
          <w:szCs w:val="24"/>
        </w:rPr>
        <w:t>ще</w:t>
      </w:r>
      <w:r>
        <w:rPr>
          <w:rFonts w:ascii="Times New Roman"/>
          <w:noProof/>
          <w:sz w:val="24"/>
          <w:szCs w:val="24"/>
        </w:rPr>
        <w:t xml:space="preserve"> </w:t>
      </w:r>
      <w:r>
        <w:rPr>
          <w:rFonts w:ascii="Times New Roman"/>
          <w:noProof/>
          <w:sz w:val="24"/>
          <w:szCs w:val="24"/>
        </w:rPr>
        <w:t>бъде</w:t>
      </w:r>
      <w:r>
        <w:rPr>
          <w:rFonts w:ascii="Times New Roman"/>
          <w:noProof/>
          <w:sz w:val="24"/>
          <w:szCs w:val="24"/>
        </w:rPr>
        <w:t xml:space="preserve"> </w:t>
      </w:r>
      <w:r>
        <w:rPr>
          <w:rFonts w:ascii="Times New Roman"/>
          <w:noProof/>
          <w:sz w:val="24"/>
          <w:szCs w:val="24"/>
        </w:rPr>
        <w:t>уведомена</w:t>
      </w:r>
      <w:r>
        <w:rPr>
          <w:rFonts w:ascii="Times New Roman"/>
          <w:noProof/>
          <w:sz w:val="24"/>
          <w:szCs w:val="24"/>
        </w:rPr>
        <w:t xml:space="preserve"> </w:t>
      </w:r>
      <w:r>
        <w:rPr>
          <w:rFonts w:ascii="Times New Roman"/>
          <w:noProof/>
          <w:sz w:val="24"/>
          <w:szCs w:val="24"/>
        </w:rPr>
        <w:t>ИКАО</w:t>
      </w:r>
      <w:r>
        <w:rPr>
          <w:rFonts w:ascii="Times New Roman"/>
          <w:noProof/>
          <w:sz w:val="24"/>
          <w:szCs w:val="24"/>
        </w:rPr>
        <w:t xml:space="preserve">, </w:t>
      </w:r>
      <w:r>
        <w:rPr>
          <w:rFonts w:ascii="Times New Roman"/>
          <w:noProof/>
          <w:sz w:val="24"/>
          <w:szCs w:val="24"/>
        </w:rPr>
        <w:t>са</w:t>
      </w:r>
      <w:r>
        <w:rPr>
          <w:rFonts w:ascii="Times New Roman"/>
          <w:noProof/>
          <w:sz w:val="24"/>
          <w:szCs w:val="24"/>
        </w:rPr>
        <w:t xml:space="preserve"> </w:t>
      </w:r>
      <w:r>
        <w:rPr>
          <w:rFonts w:ascii="Times New Roman"/>
          <w:noProof/>
          <w:sz w:val="24"/>
          <w:szCs w:val="24"/>
        </w:rPr>
        <w:t>следните</w:t>
      </w:r>
      <w:r>
        <w:rPr>
          <w:rFonts w:ascii="Times New Roman"/>
          <w:noProof/>
          <w:sz w:val="24"/>
          <w:szCs w:val="24"/>
        </w:rPr>
        <w:t>.</w:t>
      </w:r>
    </w:p>
    <w:p>
      <w:pPr>
        <w:pStyle w:val="NumPar2"/>
        <w:numPr>
          <w:ilvl w:val="1"/>
          <w:numId w:val="4"/>
        </w:numPr>
        <w:spacing w:before="100" w:after="100"/>
        <w:ind w:left="850" w:hanging="850"/>
        <w:rPr>
          <w:noProof/>
        </w:rPr>
      </w:pPr>
      <w:r>
        <w:rPr>
          <w:noProof/>
        </w:rPr>
        <w:t>Изменение</w:t>
      </w:r>
      <w:r>
        <w:rPr>
          <w:noProof/>
        </w:rPr>
        <w:t xml:space="preserve"> 176 </w:t>
      </w:r>
      <w:r>
        <w:rPr>
          <w:noProof/>
        </w:rPr>
        <w:t>на</w:t>
      </w:r>
      <w:r>
        <w:rPr>
          <w:noProof/>
        </w:rPr>
        <w:t xml:space="preserve"> </w:t>
      </w:r>
      <w:r>
        <w:rPr>
          <w:noProof/>
        </w:rPr>
        <w:t>приложение</w:t>
      </w:r>
      <w:r>
        <w:rPr>
          <w:noProof/>
        </w:rPr>
        <w:t xml:space="preserve"> 1 </w:t>
      </w:r>
      <w:r>
        <w:rPr>
          <w:noProof/>
        </w:rPr>
        <w:t>относно</w:t>
      </w:r>
      <w:r>
        <w:rPr>
          <w:noProof/>
        </w:rPr>
        <w:t xml:space="preserve"> </w:t>
      </w:r>
      <w:r>
        <w:rPr>
          <w:noProof/>
        </w:rPr>
        <w:t>лицензирането</w:t>
      </w:r>
      <w:r>
        <w:rPr>
          <w:noProof/>
        </w:rPr>
        <w:t xml:space="preserve"> </w:t>
      </w:r>
      <w:r>
        <w:rPr>
          <w:noProof/>
        </w:rPr>
        <w:t>на</w:t>
      </w:r>
      <w:r>
        <w:rPr>
          <w:noProof/>
        </w:rPr>
        <w:t xml:space="preserve"> </w:t>
      </w:r>
      <w:r>
        <w:rPr>
          <w:noProof/>
        </w:rPr>
        <w:t>персонала</w:t>
      </w:r>
    </w:p>
    <w:p>
      <w:pPr>
        <w:pStyle w:val="Text1"/>
        <w:spacing w:before="100" w:after="100"/>
        <w:ind w:left="0"/>
        <w:rPr>
          <w:noProof/>
        </w:rPr>
      </w:pP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p>
    <w:p>
      <w:pPr>
        <w:pStyle w:val="NumPar2"/>
        <w:numPr>
          <w:ilvl w:val="1"/>
          <w:numId w:val="4"/>
        </w:numPr>
        <w:spacing w:before="100" w:after="100"/>
        <w:ind w:left="850" w:hanging="850"/>
        <w:rPr>
          <w:noProof/>
        </w:rPr>
      </w:pPr>
      <w:r>
        <w:rPr>
          <w:noProof/>
        </w:rPr>
        <w:t>Изменение</w:t>
      </w:r>
      <w:r>
        <w:rPr>
          <w:noProof/>
        </w:rPr>
        <w:t xml:space="preserve"> 79 </w:t>
      </w:r>
      <w:r>
        <w:rPr>
          <w:noProof/>
        </w:rPr>
        <w:t>на</w:t>
      </w:r>
      <w:r>
        <w:rPr>
          <w:noProof/>
        </w:rPr>
        <w:t xml:space="preserve"> </w:t>
      </w:r>
      <w:r>
        <w:rPr>
          <w:noProof/>
        </w:rPr>
        <w:t>приложение</w:t>
      </w:r>
      <w:r>
        <w:rPr>
          <w:noProof/>
        </w:rPr>
        <w:t xml:space="preserve"> 3 </w:t>
      </w:r>
      <w:r>
        <w:rPr>
          <w:noProof/>
        </w:rPr>
        <w:t>относно</w:t>
      </w:r>
      <w:r>
        <w:rPr>
          <w:noProof/>
        </w:rPr>
        <w:t xml:space="preserve"> </w:t>
      </w:r>
      <w:r>
        <w:rPr>
          <w:noProof/>
        </w:rPr>
        <w:t>метеорологичното</w:t>
      </w:r>
      <w:r>
        <w:rPr>
          <w:noProof/>
        </w:rPr>
        <w:t xml:space="preserve"> </w:t>
      </w:r>
      <w:r>
        <w:rPr>
          <w:noProof/>
        </w:rPr>
        <w:t>обслужване</w:t>
      </w:r>
      <w:r>
        <w:rPr>
          <w:noProof/>
        </w:rPr>
        <w:t xml:space="preserve"> </w:t>
      </w:r>
      <w:r>
        <w:rPr>
          <w:noProof/>
        </w:rPr>
        <w:t>на</w:t>
      </w:r>
      <w:r>
        <w:rPr>
          <w:noProof/>
        </w:rPr>
        <w:t xml:space="preserve"> </w:t>
      </w:r>
      <w:r>
        <w:rPr>
          <w:noProof/>
        </w:rPr>
        <w:t>международното</w:t>
      </w:r>
      <w:r>
        <w:rPr>
          <w:noProof/>
        </w:rPr>
        <w:t xml:space="preserve"> </w:t>
      </w:r>
      <w:r>
        <w:rPr>
          <w:noProof/>
        </w:rPr>
        <w:t>въздухоплаване</w:t>
      </w:r>
      <w:r>
        <w:rPr>
          <w:noProof/>
        </w:rPr>
        <w:t xml:space="preserve"> </w:t>
      </w:r>
    </w:p>
    <w:p>
      <w:pPr>
        <w:pStyle w:val="NumPar2"/>
        <w:spacing w:before="100" w:after="100"/>
        <w:ind w:left="0" w:firstLine="0"/>
        <w:rPr>
          <w:noProof/>
        </w:rPr>
      </w:pP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r>
        <w:rPr>
          <w:noProof/>
        </w:rPr>
        <w:t xml:space="preserve"> </w:t>
      </w:r>
    </w:p>
    <w:p>
      <w:pPr>
        <w:pStyle w:val="NumPar2"/>
        <w:numPr>
          <w:ilvl w:val="1"/>
          <w:numId w:val="4"/>
        </w:numPr>
        <w:spacing w:before="100" w:after="100"/>
        <w:ind w:left="850" w:hanging="850"/>
        <w:rPr>
          <w:noProof/>
        </w:rPr>
      </w:pPr>
      <w:r>
        <w:rPr>
          <w:noProof/>
        </w:rPr>
        <w:t>Изменения</w:t>
      </w:r>
      <w:r>
        <w:rPr>
          <w:noProof/>
        </w:rPr>
        <w:t xml:space="preserve"> 44, 37, 23 </w:t>
      </w:r>
      <w:r>
        <w:rPr>
          <w:noProof/>
        </w:rPr>
        <w:t>съответно</w:t>
      </w:r>
      <w:r>
        <w:rPr>
          <w:noProof/>
        </w:rPr>
        <w:t xml:space="preserve"> </w:t>
      </w:r>
      <w:r>
        <w:rPr>
          <w:noProof/>
        </w:rPr>
        <w:t>на</w:t>
      </w:r>
      <w:r>
        <w:rPr>
          <w:noProof/>
        </w:rPr>
        <w:t xml:space="preserve"> </w:t>
      </w:r>
      <w:r>
        <w:rPr>
          <w:noProof/>
        </w:rPr>
        <w:t>части</w:t>
      </w:r>
      <w:r>
        <w:rPr>
          <w:noProof/>
        </w:rPr>
        <w:t xml:space="preserve"> I, II </w:t>
      </w:r>
      <w:r>
        <w:rPr>
          <w:noProof/>
        </w:rPr>
        <w:t>и</w:t>
      </w:r>
      <w:r>
        <w:rPr>
          <w:noProof/>
        </w:rPr>
        <w:t xml:space="preserve"> III </w:t>
      </w:r>
      <w:r>
        <w:rPr>
          <w:noProof/>
        </w:rPr>
        <w:t>от</w:t>
      </w:r>
      <w:r>
        <w:rPr>
          <w:noProof/>
        </w:rPr>
        <w:t xml:space="preserve"> </w:t>
      </w:r>
      <w:r>
        <w:rPr>
          <w:noProof/>
        </w:rPr>
        <w:t>приложение</w:t>
      </w:r>
      <w:r>
        <w:rPr>
          <w:noProof/>
        </w:rPr>
        <w:t xml:space="preserve"> 6 </w:t>
      </w:r>
      <w:r>
        <w:rPr>
          <w:noProof/>
        </w:rPr>
        <w:t>относно</w:t>
      </w:r>
      <w:r>
        <w:rPr>
          <w:noProof/>
        </w:rPr>
        <w:t xml:space="preserve"> </w:t>
      </w:r>
      <w:r>
        <w:rPr>
          <w:noProof/>
        </w:rPr>
        <w:t>експлоатацията</w:t>
      </w:r>
      <w:r>
        <w:rPr>
          <w:noProof/>
        </w:rPr>
        <w:t xml:space="preserve"> </w:t>
      </w:r>
      <w:r>
        <w:rPr>
          <w:noProof/>
        </w:rPr>
        <w:t>на</w:t>
      </w:r>
      <w:r>
        <w:rPr>
          <w:noProof/>
        </w:rPr>
        <w:t xml:space="preserve"> </w:t>
      </w:r>
      <w:r>
        <w:rPr>
          <w:noProof/>
        </w:rPr>
        <w:t>въздухоплавателни</w:t>
      </w:r>
      <w:r>
        <w:rPr>
          <w:noProof/>
        </w:rPr>
        <w:t xml:space="preserve"> </w:t>
      </w:r>
      <w:r>
        <w:rPr>
          <w:noProof/>
        </w:rPr>
        <w:t>средства</w:t>
      </w:r>
      <w:r>
        <w:rPr>
          <w:noProof/>
        </w:rPr>
        <w:t xml:space="preserve"> </w:t>
      </w:r>
    </w:p>
    <w:p>
      <w:pPr>
        <w:pStyle w:val="Text1"/>
        <w:spacing w:before="100" w:after="100"/>
        <w:ind w:left="0"/>
        <w:jc w:val="left"/>
        <w:rPr>
          <w:noProof/>
        </w:rPr>
      </w:pPr>
      <w:r>
        <w:rPr>
          <w:noProof/>
        </w:rPr>
        <w:t>Част</w:t>
      </w:r>
      <w:r>
        <w:rPr>
          <w:noProof/>
        </w:rPr>
        <w:t xml:space="preserve"> I: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r>
        <w:rPr>
          <w:noProof/>
        </w:rPr>
        <w:br/>
      </w:r>
      <w:r>
        <w:rPr>
          <w:noProof/>
        </w:rPr>
        <w:t>Част</w:t>
      </w:r>
      <w:r>
        <w:rPr>
          <w:noProof/>
        </w:rPr>
        <w:t xml:space="preserve"> </w:t>
      </w:r>
      <w:r>
        <w:rPr>
          <w:noProof/>
        </w:rPr>
        <w:t>ІІ</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r>
        <w:rPr>
          <w:noProof/>
        </w:rPr>
        <w:br/>
      </w:r>
      <w:r>
        <w:rPr>
          <w:noProof/>
        </w:rPr>
        <w:t>Част</w:t>
      </w:r>
      <w:r>
        <w:rPr>
          <w:noProof/>
        </w:rPr>
        <w:t xml:space="preserve"> II</w:t>
      </w:r>
      <w:r>
        <w:rPr>
          <w:noProof/>
        </w:rPr>
        <w:t>І</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p>
    <w:p>
      <w:pPr>
        <w:pStyle w:val="NumPar2"/>
        <w:numPr>
          <w:ilvl w:val="1"/>
          <w:numId w:val="4"/>
        </w:numPr>
        <w:spacing w:before="100" w:after="100"/>
        <w:ind w:left="850" w:hanging="850"/>
        <w:rPr>
          <w:noProof/>
        </w:rPr>
      </w:pPr>
      <w:r>
        <w:rPr>
          <w:noProof/>
        </w:rPr>
        <w:t>Изменение</w:t>
      </w:r>
      <w:r>
        <w:rPr>
          <w:noProof/>
        </w:rPr>
        <w:t xml:space="preserve"> 92 </w:t>
      </w:r>
      <w:r>
        <w:rPr>
          <w:noProof/>
        </w:rPr>
        <w:t>на</w:t>
      </w:r>
      <w:r>
        <w:rPr>
          <w:noProof/>
        </w:rPr>
        <w:t xml:space="preserve"> </w:t>
      </w:r>
      <w:r>
        <w:rPr>
          <w:noProof/>
        </w:rPr>
        <w:t>приложение</w:t>
      </w:r>
      <w:r>
        <w:rPr>
          <w:noProof/>
        </w:rPr>
        <w:t xml:space="preserve"> 10 </w:t>
      </w:r>
      <w:r>
        <w:rPr>
          <w:noProof/>
        </w:rPr>
        <w:t>относно</w:t>
      </w:r>
      <w:r>
        <w:rPr>
          <w:noProof/>
        </w:rPr>
        <w:t xml:space="preserve"> </w:t>
      </w:r>
      <w:r>
        <w:rPr>
          <w:noProof/>
        </w:rPr>
        <w:t>аеронавигационните</w:t>
      </w:r>
      <w:r>
        <w:rPr>
          <w:noProof/>
        </w:rPr>
        <w:t xml:space="preserve"> </w:t>
      </w:r>
      <w:r>
        <w:rPr>
          <w:noProof/>
        </w:rPr>
        <w:t>телекомуникации</w:t>
      </w:r>
      <w:r>
        <w:rPr>
          <w:noProof/>
        </w:rPr>
        <w:t xml:space="preserve">, </w:t>
      </w:r>
      <w:r>
        <w:rPr>
          <w:noProof/>
        </w:rPr>
        <w:t>томове</w:t>
      </w:r>
      <w:r>
        <w:rPr>
          <w:noProof/>
        </w:rPr>
        <w:t xml:space="preserve"> I </w:t>
      </w:r>
      <w:r>
        <w:rPr>
          <w:noProof/>
        </w:rPr>
        <w:t>и</w:t>
      </w:r>
      <w:r>
        <w:rPr>
          <w:noProof/>
        </w:rPr>
        <w:t xml:space="preserve"> II </w:t>
      </w:r>
    </w:p>
    <w:p>
      <w:pPr>
        <w:pStyle w:val="Text1"/>
        <w:spacing w:before="100" w:after="100"/>
        <w:ind w:left="0"/>
        <w:jc w:val="left"/>
        <w:rPr>
          <w:noProof/>
        </w:rPr>
      </w:pPr>
      <w:r>
        <w:rPr>
          <w:noProof/>
        </w:rPr>
        <w:t>Том</w:t>
      </w:r>
      <w:r>
        <w:rPr>
          <w:noProof/>
        </w:rPr>
        <w:t xml:space="preserve"> </w:t>
      </w:r>
      <w:r>
        <w:rPr>
          <w:noProof/>
        </w:rPr>
        <w:t>І</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r>
        <w:rPr>
          <w:noProof/>
        </w:rPr>
        <w:br/>
      </w:r>
      <w:r>
        <w:rPr>
          <w:noProof/>
        </w:rPr>
        <w:t>Том</w:t>
      </w:r>
      <w:r>
        <w:rPr>
          <w:noProof/>
        </w:rPr>
        <w:t xml:space="preserve"> I</w:t>
      </w:r>
      <w:r>
        <w:rPr>
          <w:noProof/>
        </w:rPr>
        <w:t>І</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r>
        <w:rPr>
          <w:noProof/>
        </w:rPr>
        <w:t xml:space="preserve"> </w:t>
      </w:r>
    </w:p>
    <w:p>
      <w:pPr>
        <w:pStyle w:val="NumPar2"/>
        <w:numPr>
          <w:ilvl w:val="1"/>
          <w:numId w:val="4"/>
        </w:numPr>
        <w:spacing w:before="100" w:after="100"/>
        <w:ind w:left="850" w:hanging="850"/>
        <w:rPr>
          <w:noProof/>
        </w:rPr>
      </w:pPr>
      <w:r>
        <w:rPr>
          <w:noProof/>
        </w:rPr>
        <w:t>Изменение</w:t>
      </w:r>
      <w:r>
        <w:rPr>
          <w:noProof/>
        </w:rPr>
        <w:t xml:space="preserve"> 52 </w:t>
      </w:r>
      <w:r>
        <w:rPr>
          <w:noProof/>
        </w:rPr>
        <w:t>на</w:t>
      </w:r>
      <w:r>
        <w:rPr>
          <w:noProof/>
        </w:rPr>
        <w:t xml:space="preserve"> </w:t>
      </w:r>
      <w:r>
        <w:rPr>
          <w:noProof/>
        </w:rPr>
        <w:t>приложение</w:t>
      </w:r>
      <w:r>
        <w:rPr>
          <w:noProof/>
        </w:rPr>
        <w:t xml:space="preserve"> 11 </w:t>
      </w:r>
      <w:r>
        <w:rPr>
          <w:noProof/>
        </w:rPr>
        <w:t>относно</w:t>
      </w:r>
      <w:r>
        <w:rPr>
          <w:noProof/>
        </w:rPr>
        <w:t xml:space="preserve"> </w:t>
      </w:r>
      <w:r>
        <w:rPr>
          <w:noProof/>
        </w:rPr>
        <w:t>обслужването</w:t>
      </w:r>
      <w:r>
        <w:rPr>
          <w:noProof/>
        </w:rPr>
        <w:t xml:space="preserve"> </w:t>
      </w:r>
      <w:r>
        <w:rPr>
          <w:noProof/>
        </w:rPr>
        <w:t>на</w:t>
      </w:r>
      <w:r>
        <w:rPr>
          <w:noProof/>
        </w:rPr>
        <w:t xml:space="preserve"> </w:t>
      </w:r>
      <w:r>
        <w:rPr>
          <w:noProof/>
        </w:rPr>
        <w:t>въздушното</w:t>
      </w:r>
      <w:r>
        <w:rPr>
          <w:noProof/>
        </w:rPr>
        <w:t xml:space="preserve"> </w:t>
      </w:r>
      <w:r>
        <w:rPr>
          <w:noProof/>
        </w:rPr>
        <w:t>движение</w:t>
      </w:r>
      <w:r>
        <w:rPr>
          <w:noProof/>
        </w:rPr>
        <w:t xml:space="preserve"> </w:t>
      </w:r>
    </w:p>
    <w:p>
      <w:pPr>
        <w:pStyle w:val="Text1"/>
        <w:spacing w:before="100" w:after="100"/>
        <w:ind w:left="0"/>
        <w:rPr>
          <w:noProof/>
        </w:rPr>
      </w:pP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r>
        <w:rPr>
          <w:noProof/>
        </w:rPr>
        <w:t xml:space="preserve"> </w:t>
      </w:r>
    </w:p>
    <w:p>
      <w:pPr>
        <w:pStyle w:val="NumPar2"/>
        <w:numPr>
          <w:ilvl w:val="1"/>
          <w:numId w:val="4"/>
        </w:numPr>
        <w:spacing w:before="100" w:after="100"/>
        <w:ind w:left="850" w:hanging="850"/>
        <w:rPr>
          <w:noProof/>
        </w:rPr>
      </w:pPr>
      <w:r>
        <w:rPr>
          <w:noProof/>
        </w:rPr>
        <w:t>Изменения</w:t>
      </w:r>
      <w:r>
        <w:rPr>
          <w:noProof/>
        </w:rPr>
        <w:t xml:space="preserve"> 15 </w:t>
      </w:r>
      <w:r>
        <w:rPr>
          <w:noProof/>
        </w:rPr>
        <w:t>и</w:t>
      </w:r>
      <w:r>
        <w:rPr>
          <w:noProof/>
        </w:rPr>
        <w:t xml:space="preserve"> 9 </w:t>
      </w:r>
      <w:r>
        <w:rPr>
          <w:noProof/>
        </w:rPr>
        <w:t>на</w:t>
      </w:r>
      <w:r>
        <w:rPr>
          <w:noProof/>
        </w:rPr>
        <w:t xml:space="preserve"> </w:t>
      </w:r>
      <w:r>
        <w:rPr>
          <w:noProof/>
        </w:rPr>
        <w:t>приложение</w:t>
      </w:r>
      <w:r>
        <w:rPr>
          <w:noProof/>
        </w:rPr>
        <w:t xml:space="preserve"> 14 </w:t>
      </w:r>
      <w:r>
        <w:rPr>
          <w:noProof/>
        </w:rPr>
        <w:t>относно</w:t>
      </w:r>
      <w:r>
        <w:rPr>
          <w:noProof/>
        </w:rPr>
        <w:t xml:space="preserve"> </w:t>
      </w:r>
      <w:r>
        <w:rPr>
          <w:noProof/>
        </w:rPr>
        <w:t>летищата</w:t>
      </w:r>
      <w:r>
        <w:rPr>
          <w:noProof/>
        </w:rPr>
        <w:t xml:space="preserve">, </w:t>
      </w:r>
      <w:r>
        <w:rPr>
          <w:noProof/>
        </w:rPr>
        <w:t>томове</w:t>
      </w:r>
      <w:r>
        <w:rPr>
          <w:noProof/>
        </w:rPr>
        <w:t xml:space="preserve"> I </w:t>
      </w:r>
      <w:r>
        <w:rPr>
          <w:noProof/>
        </w:rPr>
        <w:t>и</w:t>
      </w:r>
      <w:r>
        <w:rPr>
          <w:noProof/>
        </w:rPr>
        <w:t xml:space="preserve"> II</w:t>
      </w:r>
    </w:p>
    <w:p>
      <w:pPr>
        <w:pStyle w:val="NumPar2"/>
        <w:spacing w:before="100" w:after="100"/>
        <w:ind w:left="0" w:firstLine="0"/>
        <w:jc w:val="left"/>
        <w:rPr>
          <w:noProof/>
        </w:rPr>
      </w:pPr>
      <w:r>
        <w:rPr>
          <w:noProof/>
        </w:rPr>
        <w:t>Том</w:t>
      </w:r>
      <w:r>
        <w:rPr>
          <w:noProof/>
        </w:rPr>
        <w:t xml:space="preserve"> </w:t>
      </w:r>
      <w:r>
        <w:rPr>
          <w:noProof/>
        </w:rPr>
        <w:t>І</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r>
        <w:rPr>
          <w:noProof/>
        </w:rPr>
        <w:t xml:space="preserve"> </w:t>
      </w:r>
      <w:r>
        <w:rPr>
          <w:noProof/>
        </w:rPr>
        <w:br/>
      </w:r>
      <w:r>
        <w:rPr>
          <w:noProof/>
        </w:rPr>
        <w:t>Том</w:t>
      </w:r>
      <w:r>
        <w:rPr>
          <w:noProof/>
        </w:rPr>
        <w:t xml:space="preserve"> I</w:t>
      </w:r>
      <w:r>
        <w:rPr>
          <w:noProof/>
        </w:rPr>
        <w:t>І</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различията</w:t>
      </w:r>
    </w:p>
    <w:p>
      <w:pPr>
        <w:pStyle w:val="NumPar2"/>
        <w:numPr>
          <w:ilvl w:val="1"/>
          <w:numId w:val="4"/>
        </w:numPr>
        <w:spacing w:before="100" w:after="100"/>
        <w:ind w:left="850" w:hanging="850"/>
        <w:rPr>
          <w:noProof/>
        </w:rPr>
      </w:pPr>
      <w:r>
        <w:rPr>
          <w:noProof/>
        </w:rPr>
        <w:t>Изменение</w:t>
      </w:r>
      <w:r>
        <w:rPr>
          <w:noProof/>
        </w:rPr>
        <w:t xml:space="preserve"> 41 </w:t>
      </w:r>
      <w:r>
        <w:rPr>
          <w:noProof/>
        </w:rPr>
        <w:t>на</w:t>
      </w:r>
      <w:r>
        <w:rPr>
          <w:noProof/>
        </w:rPr>
        <w:t xml:space="preserve"> </w:t>
      </w:r>
      <w:r>
        <w:rPr>
          <w:noProof/>
        </w:rPr>
        <w:t>приложение</w:t>
      </w:r>
      <w:r>
        <w:rPr>
          <w:noProof/>
        </w:rPr>
        <w:t xml:space="preserve"> 15 </w:t>
      </w:r>
    </w:p>
    <w:p>
      <w:pPr>
        <w:pStyle w:val="Text1"/>
        <w:spacing w:before="100" w:after="100"/>
        <w:ind w:left="0"/>
        <w:rPr>
          <w:noProof/>
        </w:rPr>
      </w:pP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за</w:t>
      </w:r>
      <w:r>
        <w:rPr>
          <w:noProof/>
        </w:rPr>
        <w:t xml:space="preserve"> </w:t>
      </w:r>
      <w:r>
        <w:rPr>
          <w:noProof/>
        </w:rPr>
        <w:t>различието</w:t>
      </w:r>
      <w:r>
        <w:rPr>
          <w:noProof/>
        </w:rPr>
        <w:t xml:space="preserve"> </w:t>
      </w:r>
    </w:p>
    <w:p>
      <w:pPr>
        <w:pStyle w:val="NumPar2"/>
        <w:numPr>
          <w:ilvl w:val="1"/>
          <w:numId w:val="4"/>
        </w:numPr>
        <w:spacing w:before="100" w:after="100"/>
        <w:ind w:left="850" w:hanging="850"/>
        <w:rPr>
          <w:noProof/>
        </w:rPr>
      </w:pPr>
      <w:r>
        <w:rPr>
          <w:noProof/>
        </w:rPr>
        <w:t>Изменения</w:t>
      </w:r>
      <w:r>
        <w:rPr>
          <w:noProof/>
        </w:rPr>
        <w:t xml:space="preserve"> 13, 10 </w:t>
      </w:r>
      <w:r>
        <w:rPr>
          <w:noProof/>
        </w:rPr>
        <w:t>и</w:t>
      </w:r>
      <w:r>
        <w:rPr>
          <w:noProof/>
        </w:rPr>
        <w:t xml:space="preserve"> 1 </w:t>
      </w:r>
      <w:r>
        <w:rPr>
          <w:noProof/>
        </w:rPr>
        <w:t>на</w:t>
      </w:r>
      <w:r>
        <w:rPr>
          <w:noProof/>
        </w:rPr>
        <w:t xml:space="preserve"> </w:t>
      </w:r>
      <w:r>
        <w:rPr>
          <w:noProof/>
        </w:rPr>
        <w:t>приложение</w:t>
      </w:r>
      <w:r>
        <w:rPr>
          <w:noProof/>
        </w:rPr>
        <w:t xml:space="preserve"> 16 </w:t>
      </w:r>
      <w:r>
        <w:rPr>
          <w:noProof/>
        </w:rPr>
        <w:t>относно</w:t>
      </w:r>
      <w:r>
        <w:rPr>
          <w:noProof/>
        </w:rPr>
        <w:t xml:space="preserve"> </w:t>
      </w:r>
      <w:r>
        <w:rPr>
          <w:noProof/>
        </w:rPr>
        <w:t>опазването</w:t>
      </w:r>
      <w:r>
        <w:rPr>
          <w:noProof/>
        </w:rPr>
        <w:t xml:space="preserve"> </w:t>
      </w:r>
      <w:r>
        <w:rPr>
          <w:noProof/>
        </w:rPr>
        <w:t>на</w:t>
      </w:r>
      <w:r>
        <w:rPr>
          <w:noProof/>
        </w:rPr>
        <w:t xml:space="preserve"> </w:t>
      </w:r>
      <w:r>
        <w:rPr>
          <w:noProof/>
        </w:rPr>
        <w:t>околната</w:t>
      </w:r>
      <w:r>
        <w:rPr>
          <w:noProof/>
        </w:rPr>
        <w:t xml:space="preserve"> </w:t>
      </w:r>
      <w:r>
        <w:rPr>
          <w:noProof/>
        </w:rPr>
        <w:t>среда</w:t>
      </w:r>
      <w:r>
        <w:rPr>
          <w:noProof/>
        </w:rPr>
        <w:t xml:space="preserve">, </w:t>
      </w:r>
      <w:r>
        <w:rPr>
          <w:noProof/>
        </w:rPr>
        <w:t>томове</w:t>
      </w:r>
      <w:r>
        <w:rPr>
          <w:noProof/>
        </w:rPr>
        <w:t xml:space="preserve"> I, II </w:t>
      </w:r>
      <w:r>
        <w:rPr>
          <w:noProof/>
        </w:rPr>
        <w:t>и</w:t>
      </w:r>
      <w:r>
        <w:rPr>
          <w:noProof/>
        </w:rPr>
        <w:t xml:space="preserve"> III </w:t>
      </w:r>
    </w:p>
    <w:p>
      <w:pPr>
        <w:pStyle w:val="Body"/>
        <w:spacing w:before="100" w:after="100" w:line="240" w:lineRule="auto"/>
        <w:rPr>
          <w:rFonts w:ascii="Times New Roman" w:eastAsia="Times New Roman" w:hAnsi="Times New Roman" w:cs="Times New Roman"/>
          <w:noProof/>
          <w:sz w:val="24"/>
          <w:szCs w:val="24"/>
        </w:rPr>
      </w:pPr>
      <w:r>
        <w:rPr>
          <w:rFonts w:ascii="Times New Roman"/>
          <w:noProof/>
          <w:sz w:val="24"/>
          <w:szCs w:val="24"/>
        </w:rPr>
        <w:t>Том</w:t>
      </w:r>
      <w:r>
        <w:rPr>
          <w:rFonts w:ascii="Times New Roman"/>
          <w:noProof/>
          <w:sz w:val="24"/>
          <w:szCs w:val="24"/>
        </w:rPr>
        <w:t xml:space="preserve"> </w:t>
      </w:r>
      <w:r>
        <w:rPr>
          <w:rFonts w:ascii="Times New Roman"/>
          <w:noProof/>
          <w:sz w:val="24"/>
          <w:szCs w:val="24"/>
        </w:rPr>
        <w:t>І</w:t>
      </w:r>
      <w:r>
        <w:rPr>
          <w:rFonts w:ascii="Times New Roman"/>
          <w:noProof/>
          <w:sz w:val="24"/>
          <w:szCs w:val="24"/>
        </w:rPr>
        <w:t xml:space="preserve">: </w:t>
      </w:r>
      <w:r>
        <w:rPr>
          <w:rFonts w:ascii="Times New Roman" w:hAnsi="Times New Roman"/>
          <w:noProof/>
          <w:sz w:val="24"/>
          <w:szCs w:val="24"/>
        </w:rPr>
        <w:t>Ще бъде отправено уведомление за различията</w:t>
      </w:r>
      <w:r>
        <w:rPr>
          <w:rFonts w:ascii="Times New Roman" w:hAnsi="Times New Roman"/>
          <w:noProof/>
          <w:sz w:val="24"/>
          <w:szCs w:val="24"/>
        </w:rPr>
        <w:br/>
      </w:r>
      <w:r>
        <w:rPr>
          <w:rFonts w:ascii="Times New Roman"/>
          <w:noProof/>
          <w:sz w:val="24"/>
          <w:szCs w:val="24"/>
        </w:rPr>
        <w:t>Том</w:t>
      </w:r>
      <w:r>
        <w:rPr>
          <w:rFonts w:ascii="Times New Roman"/>
          <w:noProof/>
          <w:sz w:val="24"/>
          <w:szCs w:val="24"/>
        </w:rPr>
        <w:t xml:space="preserve"> II: </w:t>
      </w:r>
      <w:r>
        <w:rPr>
          <w:rFonts w:ascii="Times New Roman"/>
          <w:noProof/>
          <w:sz w:val="24"/>
          <w:szCs w:val="24"/>
        </w:rPr>
        <w:t>Ще</w:t>
      </w:r>
      <w:r>
        <w:rPr>
          <w:rFonts w:ascii="Times New Roman"/>
          <w:noProof/>
          <w:sz w:val="24"/>
          <w:szCs w:val="24"/>
        </w:rPr>
        <w:t xml:space="preserve"> </w:t>
      </w:r>
      <w:r>
        <w:rPr>
          <w:rFonts w:ascii="Times New Roman"/>
          <w:noProof/>
          <w:sz w:val="24"/>
          <w:szCs w:val="24"/>
        </w:rPr>
        <w:t>бъде</w:t>
      </w:r>
      <w:r>
        <w:rPr>
          <w:rFonts w:ascii="Times New Roman"/>
          <w:noProof/>
          <w:sz w:val="24"/>
          <w:szCs w:val="24"/>
        </w:rPr>
        <w:t xml:space="preserve"> </w:t>
      </w:r>
      <w:r>
        <w:rPr>
          <w:rFonts w:ascii="Times New Roman"/>
          <w:noProof/>
          <w:sz w:val="24"/>
          <w:szCs w:val="24"/>
        </w:rPr>
        <w:t>отправено</w:t>
      </w:r>
      <w:r>
        <w:rPr>
          <w:rFonts w:ascii="Times New Roman"/>
          <w:noProof/>
          <w:sz w:val="24"/>
          <w:szCs w:val="24"/>
        </w:rPr>
        <w:t xml:space="preserve"> </w:t>
      </w:r>
      <w:r>
        <w:rPr>
          <w:rFonts w:ascii="Times New Roman"/>
          <w:noProof/>
          <w:sz w:val="24"/>
          <w:szCs w:val="24"/>
        </w:rPr>
        <w:t>уведомление</w:t>
      </w:r>
      <w:r>
        <w:rPr>
          <w:rFonts w:ascii="Times New Roman"/>
          <w:noProof/>
          <w:sz w:val="24"/>
          <w:szCs w:val="24"/>
        </w:rPr>
        <w:t xml:space="preserve"> </w:t>
      </w:r>
      <w:r>
        <w:rPr>
          <w:rFonts w:ascii="Times New Roman"/>
          <w:noProof/>
          <w:sz w:val="24"/>
          <w:szCs w:val="24"/>
        </w:rPr>
        <w:t>за</w:t>
      </w:r>
      <w:r>
        <w:rPr>
          <w:rFonts w:ascii="Times New Roman"/>
          <w:noProof/>
          <w:sz w:val="24"/>
          <w:szCs w:val="24"/>
        </w:rPr>
        <w:t xml:space="preserve"> </w:t>
      </w:r>
      <w:r>
        <w:rPr>
          <w:rFonts w:ascii="Times New Roman"/>
          <w:noProof/>
          <w:sz w:val="24"/>
          <w:szCs w:val="24"/>
        </w:rPr>
        <w:t>различията</w:t>
      </w:r>
      <w:r>
        <w:rPr>
          <w:noProof/>
        </w:rPr>
        <w:br/>
      </w:r>
      <w:r>
        <w:rPr>
          <w:rFonts w:ascii="Times New Roman"/>
          <w:noProof/>
          <w:sz w:val="24"/>
          <w:szCs w:val="24"/>
        </w:rPr>
        <w:t>Том</w:t>
      </w:r>
      <w:r>
        <w:rPr>
          <w:rFonts w:ascii="Times New Roman"/>
          <w:noProof/>
          <w:sz w:val="24"/>
          <w:szCs w:val="24"/>
        </w:rPr>
        <w:t xml:space="preserve"> III: </w:t>
      </w:r>
      <w:r>
        <w:rPr>
          <w:rFonts w:ascii="Times New Roman"/>
          <w:noProof/>
          <w:sz w:val="24"/>
          <w:szCs w:val="24"/>
        </w:rPr>
        <w:t>Ще</w:t>
      </w:r>
      <w:r>
        <w:rPr>
          <w:rFonts w:ascii="Times New Roman"/>
          <w:noProof/>
          <w:sz w:val="24"/>
          <w:szCs w:val="24"/>
        </w:rPr>
        <w:t xml:space="preserve"> </w:t>
      </w:r>
      <w:r>
        <w:rPr>
          <w:rFonts w:ascii="Times New Roman"/>
          <w:noProof/>
          <w:sz w:val="24"/>
          <w:szCs w:val="24"/>
        </w:rPr>
        <w:t>бъде</w:t>
      </w:r>
      <w:r>
        <w:rPr>
          <w:rFonts w:ascii="Times New Roman"/>
          <w:noProof/>
          <w:sz w:val="24"/>
          <w:szCs w:val="24"/>
        </w:rPr>
        <w:t xml:space="preserve"> </w:t>
      </w:r>
      <w:r>
        <w:rPr>
          <w:rFonts w:ascii="Times New Roman"/>
          <w:noProof/>
          <w:sz w:val="24"/>
          <w:szCs w:val="24"/>
        </w:rPr>
        <w:t>отправено</w:t>
      </w:r>
      <w:r>
        <w:rPr>
          <w:rFonts w:ascii="Times New Roman"/>
          <w:noProof/>
          <w:sz w:val="24"/>
          <w:szCs w:val="24"/>
        </w:rPr>
        <w:t xml:space="preserve"> </w:t>
      </w:r>
      <w:r>
        <w:rPr>
          <w:rFonts w:ascii="Times New Roman"/>
          <w:noProof/>
          <w:sz w:val="24"/>
          <w:szCs w:val="24"/>
        </w:rPr>
        <w:t>уведомление</w:t>
      </w:r>
      <w:r>
        <w:rPr>
          <w:rFonts w:ascii="Times New Roman"/>
          <w:noProof/>
          <w:sz w:val="24"/>
          <w:szCs w:val="24"/>
        </w:rPr>
        <w:t xml:space="preserve"> </w:t>
      </w:r>
      <w:r>
        <w:rPr>
          <w:rFonts w:ascii="Times New Roman"/>
          <w:noProof/>
          <w:sz w:val="24"/>
          <w:szCs w:val="24"/>
        </w:rPr>
        <w:t>за</w:t>
      </w:r>
      <w:r>
        <w:rPr>
          <w:rFonts w:ascii="Times New Roman"/>
          <w:noProof/>
          <w:sz w:val="24"/>
          <w:szCs w:val="24"/>
        </w:rPr>
        <w:t xml:space="preserve"> </w:t>
      </w:r>
      <w:r>
        <w:rPr>
          <w:rFonts w:ascii="Times New Roman"/>
          <w:noProof/>
          <w:sz w:val="24"/>
          <w:szCs w:val="24"/>
        </w:rPr>
        <w:t>различията</w:t>
      </w:r>
    </w:p>
    <w:p>
      <w:pPr>
        <w:pStyle w:val="Body"/>
        <w:rPr>
          <w:noProof/>
        </w:rPr>
      </w:pPr>
      <w:r>
        <w:rPr>
          <w:noProof/>
        </w:rPr>
        <w:br w:type="page"/>
      </w:r>
    </w:p>
    <w:p>
      <w:pPr>
        <w:pStyle w:val="Heading"/>
        <w:numPr>
          <w:ilvl w:val="0"/>
          <w:numId w:val="2"/>
        </w:numPr>
        <w:spacing w:before="100" w:after="100"/>
        <w:ind w:left="850" w:hanging="850"/>
        <w:rPr>
          <w:noProof/>
        </w:rPr>
      </w:pPr>
      <w:r>
        <w:rPr>
          <w:noProof/>
        </w:rPr>
        <w:t>Подробности</w:t>
      </w:r>
      <w:r>
        <w:rPr>
          <w:noProof/>
        </w:rPr>
        <w:t xml:space="preserve"> </w:t>
      </w:r>
      <w:r>
        <w:rPr>
          <w:noProof/>
        </w:rPr>
        <w:t>за</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p>
    <w:p>
      <w:pPr>
        <w:pStyle w:val="Heading2"/>
        <w:numPr>
          <w:ilvl w:val="1"/>
          <w:numId w:val="2"/>
        </w:numPr>
        <w:spacing w:before="100" w:after="100"/>
        <w:ind w:left="850" w:hanging="850"/>
        <w:rPr>
          <w:rFonts w:eastAsia="Arial Unicode MS"/>
          <w:noProof/>
        </w:rPr>
      </w:pPr>
      <w:r>
        <w:rPr>
          <w:noProof/>
        </w:rPr>
        <w:t>Изменение</w:t>
      </w:r>
      <w:r>
        <w:rPr>
          <w:noProof/>
        </w:rPr>
        <w:t xml:space="preserve"> 176 </w:t>
      </w:r>
      <w:r>
        <w:rPr>
          <w:noProof/>
        </w:rPr>
        <w:t>на</w:t>
      </w:r>
      <w:r>
        <w:rPr>
          <w:noProof/>
        </w:rPr>
        <w:t xml:space="preserve"> </w:t>
      </w:r>
      <w:r>
        <w:rPr>
          <w:noProof/>
        </w:rPr>
        <w:t>приложение</w:t>
      </w:r>
      <w:r>
        <w:rPr>
          <w:noProof/>
        </w:rPr>
        <w:t xml:space="preserve"> 1 </w:t>
      </w:r>
      <w:r>
        <w:rPr>
          <w:noProof/>
        </w:rPr>
        <w:t>относно</w:t>
      </w:r>
      <w:r>
        <w:rPr>
          <w:noProof/>
        </w:rPr>
        <w:t xml:space="preserve"> </w:t>
      </w:r>
      <w:r>
        <w:rPr>
          <w:noProof/>
        </w:rPr>
        <w:t>лицензирането</w:t>
      </w:r>
      <w:r>
        <w:rPr>
          <w:noProof/>
        </w:rPr>
        <w:t xml:space="preserve"> </w:t>
      </w:r>
      <w:r>
        <w:rPr>
          <w:noProof/>
        </w:rPr>
        <w:t>на</w:t>
      </w:r>
      <w:r>
        <w:rPr>
          <w:noProof/>
        </w:rPr>
        <w:t xml:space="preserve"> </w:t>
      </w:r>
      <w:r>
        <w:rPr>
          <w:noProof/>
        </w:rPr>
        <w:t>персонала</w:t>
      </w:r>
      <w:r>
        <w:rPr>
          <w:noProof/>
        </w:rPr>
        <w:t xml:space="preserve"> </w:t>
      </w:r>
    </w:p>
    <w:p>
      <w:pPr>
        <w:pStyle w:val="Heading3"/>
        <w:numPr>
          <w:ilvl w:val="2"/>
          <w:numId w:val="2"/>
        </w:numPr>
        <w:spacing w:before="100" w:after="100"/>
        <w:ind w:left="850" w:hanging="850"/>
        <w:rPr>
          <w:rFonts w:eastAsia="Arial Unicode MS"/>
          <w:noProof/>
        </w:rPr>
      </w:pPr>
      <w:r>
        <w:rPr>
          <w:noProof/>
        </w:rPr>
        <w:t>Описание</w:t>
      </w:r>
    </w:p>
    <w:p>
      <w:pPr>
        <w:pStyle w:val="Text1"/>
        <w:spacing w:before="100" w:after="100"/>
        <w:ind w:left="0"/>
        <w:rPr>
          <w:noProof/>
        </w:rPr>
      </w:pPr>
      <w:r>
        <w:rPr>
          <w:noProof/>
        </w:rPr>
        <w:t>Изменението</w:t>
      </w:r>
      <w:r>
        <w:rPr>
          <w:noProof/>
        </w:rPr>
        <w:t xml:space="preserve"> </w:t>
      </w:r>
      <w:r>
        <w:rPr>
          <w:noProof/>
        </w:rPr>
        <w:t>произтича</w:t>
      </w:r>
      <w:r>
        <w:rPr>
          <w:noProof/>
        </w:rPr>
        <w:t xml:space="preserve"> </w:t>
      </w:r>
      <w:r>
        <w:rPr>
          <w:noProof/>
        </w:rPr>
        <w:t>от</w:t>
      </w:r>
      <w:r>
        <w:rPr>
          <w:noProof/>
        </w:rPr>
        <w:t xml:space="preserve"> </w:t>
      </w:r>
      <w:r>
        <w:rPr>
          <w:noProof/>
        </w:rPr>
        <w:t>препоръките</w:t>
      </w:r>
      <w:r>
        <w:rPr>
          <w:noProof/>
        </w:rPr>
        <w:t xml:space="preserve">, </w:t>
      </w:r>
      <w:r>
        <w:rPr>
          <w:noProof/>
        </w:rPr>
        <w:t>изготвени</w:t>
      </w:r>
      <w:r>
        <w:rPr>
          <w:noProof/>
        </w:rPr>
        <w:t xml:space="preserve"> </w:t>
      </w:r>
      <w:r>
        <w:rPr>
          <w:noProof/>
        </w:rPr>
        <w:t>от</w:t>
      </w:r>
      <w:r>
        <w:rPr>
          <w:noProof/>
        </w:rPr>
        <w:t xml:space="preserve"> </w:t>
      </w:r>
      <w:r>
        <w:rPr>
          <w:noProof/>
        </w:rPr>
        <w:t>работната</w:t>
      </w:r>
      <w:r>
        <w:rPr>
          <w:noProof/>
        </w:rPr>
        <w:t xml:space="preserve"> </w:t>
      </w:r>
      <w:r>
        <w:rPr>
          <w:noProof/>
        </w:rPr>
        <w:t>група</w:t>
      </w:r>
      <w:r>
        <w:rPr>
          <w:noProof/>
        </w:rPr>
        <w:t xml:space="preserve"> </w:t>
      </w:r>
      <w:r>
        <w:rPr>
          <w:noProof/>
        </w:rPr>
        <w:t>на</w:t>
      </w:r>
      <w:r>
        <w:rPr>
          <w:noProof/>
        </w:rPr>
        <w:t xml:space="preserve"> </w:t>
      </w:r>
      <w:r>
        <w:rPr>
          <w:noProof/>
        </w:rPr>
        <w:t>ИКАО</w:t>
      </w:r>
      <w:r>
        <w:rPr>
          <w:noProof/>
        </w:rPr>
        <w:t xml:space="preserve"> </w:t>
      </w:r>
      <w:r>
        <w:rPr>
          <w:noProof/>
        </w:rPr>
        <w:t>по</w:t>
      </w:r>
      <w:r>
        <w:rPr>
          <w:noProof/>
        </w:rPr>
        <w:t xml:space="preserve"> </w:t>
      </w:r>
      <w:r>
        <w:rPr>
          <w:noProof/>
        </w:rPr>
        <w:t>обучение</w:t>
      </w:r>
      <w:r>
        <w:rPr>
          <w:noProof/>
        </w:rPr>
        <w:t xml:space="preserve"> </w:t>
      </w:r>
      <w:r>
        <w:rPr>
          <w:noProof/>
        </w:rPr>
        <w:t>и</w:t>
      </w:r>
      <w:r>
        <w:rPr>
          <w:noProof/>
        </w:rPr>
        <w:t xml:space="preserve"> </w:t>
      </w:r>
      <w:r>
        <w:rPr>
          <w:noProof/>
        </w:rPr>
        <w:t>оценка</w:t>
      </w:r>
      <w:r>
        <w:rPr>
          <w:noProof/>
        </w:rPr>
        <w:t xml:space="preserve">, </w:t>
      </w:r>
      <w:r>
        <w:rPr>
          <w:noProof/>
        </w:rPr>
        <w:t>основани</w:t>
      </w:r>
      <w:r>
        <w:rPr>
          <w:noProof/>
        </w:rPr>
        <w:t xml:space="preserve"> </w:t>
      </w:r>
      <w:r>
        <w:rPr>
          <w:noProof/>
        </w:rPr>
        <w:t>на</w:t>
      </w:r>
      <w:r>
        <w:rPr>
          <w:noProof/>
        </w:rPr>
        <w:t xml:space="preserve"> </w:t>
      </w:r>
      <w:r>
        <w:rPr>
          <w:noProof/>
        </w:rPr>
        <w:t>компетентността</w:t>
      </w:r>
      <w:r>
        <w:rPr>
          <w:noProof/>
        </w:rPr>
        <w:t xml:space="preserve"> (CBTA-TF), </w:t>
      </w:r>
      <w:r>
        <w:rPr>
          <w:noProof/>
        </w:rPr>
        <w:t>и</w:t>
      </w:r>
      <w:r>
        <w:rPr>
          <w:noProof/>
        </w:rPr>
        <w:t xml:space="preserve"> </w:t>
      </w:r>
      <w:r>
        <w:rPr>
          <w:noProof/>
        </w:rPr>
        <w:t>секретариата</w:t>
      </w:r>
      <w:r>
        <w:rPr>
          <w:noProof/>
        </w:rPr>
        <w:t xml:space="preserve"> </w:t>
      </w:r>
      <w:r>
        <w:rPr>
          <w:noProof/>
        </w:rPr>
        <w:t>на</w:t>
      </w:r>
      <w:r>
        <w:rPr>
          <w:noProof/>
        </w:rPr>
        <w:t xml:space="preserve"> </w:t>
      </w:r>
      <w:r>
        <w:rPr>
          <w:noProof/>
        </w:rPr>
        <w:t>ИКАО</w:t>
      </w:r>
      <w:r>
        <w:rPr>
          <w:noProof/>
        </w:rPr>
        <w:t xml:space="preserve">, </w:t>
      </w:r>
      <w:r>
        <w:rPr>
          <w:noProof/>
        </w:rPr>
        <w:t>и</w:t>
      </w:r>
      <w:r>
        <w:rPr>
          <w:noProof/>
        </w:rPr>
        <w:t xml:space="preserve">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съгласуване</w:t>
      </w:r>
      <w:r>
        <w:rPr>
          <w:noProof/>
        </w:rPr>
        <w:t xml:space="preserve"> </w:t>
      </w:r>
      <w:r>
        <w:rPr>
          <w:noProof/>
        </w:rPr>
        <w:t>на</w:t>
      </w:r>
      <w:r>
        <w:rPr>
          <w:noProof/>
        </w:rPr>
        <w:t xml:space="preserve"> </w:t>
      </w:r>
      <w:r>
        <w:rPr>
          <w:noProof/>
        </w:rPr>
        <w:t>изменение</w:t>
      </w:r>
      <w:r>
        <w:rPr>
          <w:noProof/>
        </w:rPr>
        <w:t xml:space="preserve"> 5 </w:t>
      </w:r>
      <w:r>
        <w:rPr>
          <w:noProof/>
        </w:rPr>
        <w:t>с</w:t>
      </w:r>
      <w:r>
        <w:rPr>
          <w:noProof/>
        </w:rPr>
        <w:t xml:space="preserve"> </w:t>
      </w:r>
      <w:r>
        <w:rPr>
          <w:noProof/>
        </w:rPr>
        <w:t>„Процедурите</w:t>
      </w:r>
      <w:r>
        <w:rPr>
          <w:noProof/>
        </w:rPr>
        <w:t xml:space="preserve"> </w:t>
      </w:r>
      <w:r>
        <w:rPr>
          <w:noProof/>
        </w:rPr>
        <w:t>за</w:t>
      </w:r>
      <w:r>
        <w:rPr>
          <w:noProof/>
        </w:rPr>
        <w:t xml:space="preserve"> </w:t>
      </w:r>
      <w:r>
        <w:rPr>
          <w:noProof/>
        </w:rPr>
        <w:t>аеронавигационно</w:t>
      </w:r>
      <w:r>
        <w:rPr>
          <w:noProof/>
        </w:rPr>
        <w:t xml:space="preserve"> </w:t>
      </w:r>
      <w:r>
        <w:rPr>
          <w:noProof/>
        </w:rPr>
        <w:t>обслужване</w:t>
      </w:r>
      <w:r>
        <w:rPr>
          <w:noProof/>
        </w:rPr>
        <w:t xml:space="preserve"> </w:t>
      </w:r>
      <w:r>
        <w:rPr>
          <w:noProof/>
        </w:rPr>
        <w:t>—</w:t>
      </w:r>
      <w:r>
        <w:rPr>
          <w:noProof/>
        </w:rPr>
        <w:t xml:space="preserve"> </w:t>
      </w:r>
      <w:r>
        <w:rPr>
          <w:noProof/>
        </w:rPr>
        <w:t>обучение“</w:t>
      </w:r>
      <w:r>
        <w:rPr>
          <w:noProof/>
        </w:rPr>
        <w:t xml:space="preserve"> (PANS-TRG, </w:t>
      </w:r>
      <w:r>
        <w:rPr>
          <w:noProof/>
        </w:rPr>
        <w:t>док</w:t>
      </w:r>
      <w:r>
        <w:rPr>
          <w:noProof/>
        </w:rPr>
        <w:t>.</w:t>
      </w:r>
      <w:r>
        <w:rPr>
          <w:noProof/>
        </w:rPr>
        <w:t> </w:t>
      </w:r>
      <w:r>
        <w:rPr>
          <w:noProof/>
        </w:rPr>
        <w:t xml:space="preserve">9868), </w:t>
      </w:r>
      <w:r>
        <w:rPr>
          <w:noProof/>
        </w:rPr>
        <w:t>нови</w:t>
      </w:r>
      <w:r>
        <w:rPr>
          <w:noProof/>
        </w:rPr>
        <w:t xml:space="preserve"> </w:t>
      </w:r>
      <w:r>
        <w:rPr>
          <w:noProof/>
        </w:rPr>
        <w:t>определения</w:t>
      </w:r>
      <w:r>
        <w:rPr>
          <w:noProof/>
        </w:rPr>
        <w:t xml:space="preserve">, </w:t>
      </w:r>
      <w:r>
        <w:rPr>
          <w:noProof/>
        </w:rPr>
        <w:t>актуализиране</w:t>
      </w:r>
      <w:r>
        <w:rPr>
          <w:noProof/>
        </w:rPr>
        <w:t xml:space="preserve"> </w:t>
      </w:r>
      <w:r>
        <w:rPr>
          <w:noProof/>
        </w:rPr>
        <w:t>на</w:t>
      </w:r>
      <w:r>
        <w:rPr>
          <w:noProof/>
        </w:rPr>
        <w:t xml:space="preserve"> </w:t>
      </w:r>
      <w:r>
        <w:rPr>
          <w:noProof/>
        </w:rPr>
        <w:t>изискванията</w:t>
      </w:r>
      <w:r>
        <w:rPr>
          <w:noProof/>
        </w:rPr>
        <w:t xml:space="preserve"> </w:t>
      </w:r>
      <w:r>
        <w:rPr>
          <w:noProof/>
        </w:rPr>
        <w:t>за</w:t>
      </w:r>
      <w:r>
        <w:rPr>
          <w:noProof/>
        </w:rPr>
        <w:t xml:space="preserve"> </w:t>
      </w:r>
      <w:r>
        <w:rPr>
          <w:noProof/>
        </w:rPr>
        <w:t>полетните</w:t>
      </w:r>
      <w:r>
        <w:rPr>
          <w:noProof/>
        </w:rPr>
        <w:t xml:space="preserve"> </w:t>
      </w:r>
      <w:r>
        <w:rPr>
          <w:noProof/>
        </w:rPr>
        <w:t>диспечери</w:t>
      </w:r>
      <w:r>
        <w:rPr>
          <w:noProof/>
        </w:rPr>
        <w:t xml:space="preserve">, </w:t>
      </w:r>
      <w:r>
        <w:rPr>
          <w:noProof/>
        </w:rPr>
        <w:t>изменение</w:t>
      </w:r>
      <w:r>
        <w:rPr>
          <w:noProof/>
        </w:rPr>
        <w:t xml:space="preserve"> </w:t>
      </w:r>
      <w:r>
        <w:rPr>
          <w:noProof/>
        </w:rPr>
        <w:t>на</w:t>
      </w:r>
      <w:r>
        <w:rPr>
          <w:noProof/>
        </w:rPr>
        <w:t xml:space="preserve"> </w:t>
      </w:r>
      <w:r>
        <w:rPr>
          <w:noProof/>
        </w:rPr>
        <w:t>разпоредбите</w:t>
      </w:r>
      <w:r>
        <w:rPr>
          <w:noProof/>
        </w:rPr>
        <w:t xml:space="preserve"> </w:t>
      </w:r>
      <w:r>
        <w:rPr>
          <w:noProof/>
        </w:rPr>
        <w:t>за</w:t>
      </w:r>
      <w:r>
        <w:rPr>
          <w:noProof/>
        </w:rPr>
        <w:t xml:space="preserve"> </w:t>
      </w:r>
      <w:r>
        <w:rPr>
          <w:noProof/>
        </w:rPr>
        <w:t>въздухоплавателните</w:t>
      </w:r>
      <w:r>
        <w:rPr>
          <w:noProof/>
        </w:rPr>
        <w:t xml:space="preserve"> </w:t>
      </w:r>
      <w:r>
        <w:rPr>
          <w:noProof/>
        </w:rPr>
        <w:t>средства</w:t>
      </w:r>
      <w:r>
        <w:rPr>
          <w:noProof/>
        </w:rPr>
        <w:t xml:space="preserve">, </w:t>
      </w:r>
      <w:r>
        <w:rPr>
          <w:noProof/>
        </w:rPr>
        <w:t>задвижвани</w:t>
      </w:r>
      <w:r>
        <w:rPr>
          <w:noProof/>
        </w:rPr>
        <w:t xml:space="preserve"> </w:t>
      </w:r>
      <w:r>
        <w:rPr>
          <w:noProof/>
        </w:rPr>
        <w:t>от</w:t>
      </w:r>
      <w:r>
        <w:rPr>
          <w:noProof/>
        </w:rPr>
        <w:t xml:space="preserve"> </w:t>
      </w:r>
      <w:r>
        <w:rPr>
          <w:noProof/>
        </w:rPr>
        <w:t>силова</w:t>
      </w:r>
      <w:r>
        <w:rPr>
          <w:noProof/>
        </w:rPr>
        <w:t xml:space="preserve"> </w:t>
      </w:r>
      <w:r>
        <w:rPr>
          <w:noProof/>
        </w:rPr>
        <w:t>установка</w:t>
      </w:r>
      <w:r>
        <w:rPr>
          <w:noProof/>
        </w:rPr>
        <w:t xml:space="preserve">, </w:t>
      </w:r>
      <w:r>
        <w:rPr>
          <w:noProof/>
        </w:rPr>
        <w:t>и</w:t>
      </w:r>
      <w:r>
        <w:rPr>
          <w:noProof/>
        </w:rPr>
        <w:t xml:space="preserve"> </w:t>
      </w:r>
      <w:r>
        <w:rPr>
          <w:noProof/>
        </w:rPr>
        <w:t>отлагане</w:t>
      </w:r>
      <w:r>
        <w:rPr>
          <w:noProof/>
        </w:rPr>
        <w:t xml:space="preserve"> </w:t>
      </w:r>
      <w:r>
        <w:rPr>
          <w:noProof/>
        </w:rPr>
        <w:t>на</w:t>
      </w:r>
      <w:r>
        <w:rPr>
          <w:noProof/>
        </w:rPr>
        <w:t xml:space="preserve"> </w:t>
      </w:r>
      <w:r>
        <w:rPr>
          <w:noProof/>
        </w:rPr>
        <w:t>тяхното</w:t>
      </w:r>
      <w:r>
        <w:rPr>
          <w:noProof/>
        </w:rPr>
        <w:t xml:space="preserve"> </w:t>
      </w:r>
      <w:r>
        <w:rPr>
          <w:noProof/>
        </w:rPr>
        <w:t>прилагане</w:t>
      </w:r>
      <w:r>
        <w:rPr>
          <w:noProof/>
        </w:rPr>
        <w:t xml:space="preserve">, </w:t>
      </w:r>
      <w:r>
        <w:rPr>
          <w:noProof/>
        </w:rPr>
        <w:t>както</w:t>
      </w:r>
      <w:r>
        <w:rPr>
          <w:noProof/>
        </w:rPr>
        <w:t xml:space="preserve"> </w:t>
      </w:r>
      <w:r>
        <w:rPr>
          <w:noProof/>
        </w:rPr>
        <w:t>и</w:t>
      </w:r>
      <w:r>
        <w:rPr>
          <w:noProof/>
        </w:rPr>
        <w:t xml:space="preserve"> </w:t>
      </w:r>
      <w:r>
        <w:rPr>
          <w:noProof/>
        </w:rPr>
        <w:t>въвеждане</w:t>
      </w:r>
      <w:r>
        <w:rPr>
          <w:noProof/>
        </w:rPr>
        <w:t xml:space="preserve"> </w:t>
      </w:r>
      <w:r>
        <w:rPr>
          <w:noProof/>
        </w:rPr>
        <w:t>на</w:t>
      </w:r>
      <w:r>
        <w:rPr>
          <w:noProof/>
        </w:rPr>
        <w:t xml:space="preserve"> </w:t>
      </w:r>
      <w:r>
        <w:rPr>
          <w:noProof/>
        </w:rPr>
        <w:t>разпоредби</w:t>
      </w:r>
      <w:r>
        <w:rPr>
          <w:noProof/>
        </w:rPr>
        <w:t xml:space="preserve"> </w:t>
      </w:r>
      <w:r>
        <w:rPr>
          <w:noProof/>
        </w:rPr>
        <w:t>за</w:t>
      </w:r>
      <w:r>
        <w:rPr>
          <w:noProof/>
        </w:rPr>
        <w:t xml:space="preserve"> </w:t>
      </w:r>
      <w:r>
        <w:rPr>
          <w:noProof/>
        </w:rPr>
        <w:t>инструктори</w:t>
      </w:r>
      <w:r>
        <w:rPr>
          <w:noProof/>
        </w:rPr>
        <w:t xml:space="preserve"> </w:t>
      </w:r>
      <w:r>
        <w:rPr>
          <w:noProof/>
        </w:rPr>
        <w:t>за</w:t>
      </w:r>
      <w:r>
        <w:rPr>
          <w:noProof/>
        </w:rPr>
        <w:t xml:space="preserve"> </w:t>
      </w:r>
      <w:r>
        <w:rPr>
          <w:noProof/>
        </w:rPr>
        <w:t>обучение</w:t>
      </w:r>
      <w:r>
        <w:rPr>
          <w:noProof/>
        </w:rPr>
        <w:t xml:space="preserve"> </w:t>
      </w:r>
      <w:r>
        <w:rPr>
          <w:noProof/>
        </w:rPr>
        <w:t>на</w:t>
      </w:r>
      <w:r>
        <w:rPr>
          <w:noProof/>
        </w:rPr>
        <w:t xml:space="preserve"> </w:t>
      </w:r>
      <w:r>
        <w:rPr>
          <w:noProof/>
        </w:rPr>
        <w:t>работното</w:t>
      </w:r>
      <w:r>
        <w:rPr>
          <w:noProof/>
        </w:rPr>
        <w:t xml:space="preserve"> </w:t>
      </w:r>
      <w:r>
        <w:rPr>
          <w:noProof/>
        </w:rPr>
        <w:t>място</w:t>
      </w:r>
      <w:r>
        <w:rPr>
          <w:noProof/>
        </w:rPr>
        <w:t xml:space="preserve"> </w:t>
      </w:r>
      <w:r>
        <w:rPr>
          <w:noProof/>
        </w:rPr>
        <w:t>по</w:t>
      </w:r>
      <w:r>
        <w:rPr>
          <w:noProof/>
        </w:rPr>
        <w:t xml:space="preserve"> </w:t>
      </w:r>
      <w:r>
        <w:rPr>
          <w:noProof/>
        </w:rPr>
        <w:t>контрол</w:t>
      </w:r>
      <w:r>
        <w:rPr>
          <w:noProof/>
        </w:rPr>
        <w:t xml:space="preserve"> </w:t>
      </w:r>
      <w:r>
        <w:rPr>
          <w:noProof/>
        </w:rPr>
        <w:t>на</w:t>
      </w:r>
      <w:r>
        <w:rPr>
          <w:noProof/>
        </w:rPr>
        <w:t xml:space="preserve"> </w:t>
      </w:r>
      <w:r>
        <w:rPr>
          <w:noProof/>
        </w:rPr>
        <w:t>въздушното</w:t>
      </w:r>
      <w:r>
        <w:rPr>
          <w:noProof/>
        </w:rPr>
        <w:t xml:space="preserve"> </w:t>
      </w:r>
      <w:r>
        <w:rPr>
          <w:noProof/>
        </w:rPr>
        <w:t>движение</w:t>
      </w:r>
      <w:r>
        <w:rPr>
          <w:noProof/>
        </w:rPr>
        <w:t>.</w:t>
      </w:r>
    </w:p>
    <w:p>
      <w:pPr>
        <w:pStyle w:val="Heading3"/>
        <w:numPr>
          <w:ilvl w:val="2"/>
          <w:numId w:val="2"/>
        </w:numPr>
        <w:spacing w:before="100" w:after="100"/>
        <w:ind w:left="850" w:hanging="850"/>
        <w:rPr>
          <w:rFonts w:eastAsia="Arial Unicode MS"/>
          <w:noProof/>
        </w:rPr>
      </w:pPr>
      <w:r>
        <w:rPr>
          <w:noProof/>
        </w:rPr>
        <w:t>Приложимо</w:t>
      </w:r>
      <w:r>
        <w:rPr>
          <w:noProof/>
        </w:rPr>
        <w:t xml:space="preserve"> </w:t>
      </w:r>
      <w:r>
        <w:rPr>
          <w:noProof/>
        </w:rPr>
        <w:t>законодателство</w:t>
      </w:r>
      <w:r>
        <w:rPr>
          <w:noProof/>
        </w:rPr>
        <w:t xml:space="preserve"> </w:t>
      </w:r>
      <w:r>
        <w:rPr>
          <w:noProof/>
        </w:rPr>
        <w:t>на</w:t>
      </w:r>
      <w:r>
        <w:rPr>
          <w:noProof/>
        </w:rPr>
        <w:t xml:space="preserve"> </w:t>
      </w:r>
      <w:r>
        <w:rPr>
          <w:noProof/>
        </w:rPr>
        <w:t>Съюза</w:t>
      </w:r>
      <w:r>
        <w:rPr>
          <w:noProof/>
        </w:rPr>
        <w:t xml:space="preserve"> </w:t>
      </w:r>
    </w:p>
    <w:p>
      <w:pPr>
        <w:pStyle w:val="Text1"/>
        <w:spacing w:before="100" w:after="100"/>
        <w:ind w:left="0"/>
        <w:rPr>
          <w:noProof/>
        </w:rPr>
      </w:pPr>
      <w:r>
        <w:rPr>
          <w:noProof/>
        </w:rPr>
        <w:t>Регламент</w:t>
      </w:r>
      <w:r>
        <w:rPr>
          <w:noProof/>
        </w:rPr>
        <w:t xml:space="preserve"> (</w:t>
      </w:r>
      <w:r>
        <w:rPr>
          <w:noProof/>
        </w:rPr>
        <w:t>ЕС</w:t>
      </w:r>
      <w:r>
        <w:rPr>
          <w:noProof/>
        </w:rPr>
        <w:t xml:space="preserve">) </w:t>
      </w:r>
      <w:r>
        <w:rPr>
          <w:noProof/>
        </w:rPr>
        <w:t>№ </w:t>
      </w:r>
      <w:r>
        <w:rPr>
          <w:noProof/>
        </w:rPr>
        <w:t xml:space="preserve">1178/2011 </w:t>
      </w:r>
      <w:r>
        <w:rPr>
          <w:noProof/>
        </w:rPr>
        <w:t>на</w:t>
      </w:r>
      <w:r>
        <w:rPr>
          <w:noProof/>
        </w:rPr>
        <w:t xml:space="preserve"> </w:t>
      </w:r>
      <w:r>
        <w:rPr>
          <w:noProof/>
        </w:rPr>
        <w:t>Комисията</w:t>
      </w:r>
      <w:r>
        <w:rPr>
          <w:noProof/>
          <w:vertAlign w:val="superscript"/>
        </w:rPr>
        <w:footnoteReference w:id="1"/>
      </w:r>
    </w:p>
    <w:p>
      <w:pPr>
        <w:pStyle w:val="Text1"/>
        <w:spacing w:before="100" w:after="100"/>
        <w:ind w:left="0"/>
        <w:rPr>
          <w:noProof/>
        </w:rPr>
      </w:pPr>
      <w:r>
        <w:rPr>
          <w:noProof/>
        </w:rPr>
        <w:t>Регламент</w:t>
      </w:r>
      <w:r>
        <w:rPr>
          <w:noProof/>
        </w:rPr>
        <w:t xml:space="preserve"> (</w:t>
      </w:r>
      <w:r>
        <w:rPr>
          <w:noProof/>
        </w:rPr>
        <w:t>ЕС</w:t>
      </w:r>
      <w:r>
        <w:rPr>
          <w:noProof/>
        </w:rPr>
        <w:t xml:space="preserve">) 2015/340 </w:t>
      </w:r>
      <w:r>
        <w:rPr>
          <w:noProof/>
        </w:rPr>
        <w:t>на</w:t>
      </w:r>
      <w:r>
        <w:rPr>
          <w:noProof/>
        </w:rPr>
        <w:t xml:space="preserve"> </w:t>
      </w:r>
      <w:r>
        <w:rPr>
          <w:noProof/>
        </w:rPr>
        <w:t>Комисията</w:t>
      </w:r>
      <w:r>
        <w:rPr>
          <w:noProof/>
          <w:vertAlign w:val="superscript"/>
        </w:rPr>
        <w:footnoteReference w:id="2"/>
      </w:r>
    </w:p>
    <w:p>
      <w:pPr>
        <w:pStyle w:val="Heading3"/>
        <w:widowControl w:val="0"/>
        <w:numPr>
          <w:ilvl w:val="2"/>
          <w:numId w:val="2"/>
        </w:numPr>
        <w:spacing w:before="100" w:after="100"/>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176 </w:t>
      </w:r>
      <w:r>
        <w:rPr>
          <w:noProof/>
        </w:rPr>
        <w:t>на</w:t>
      </w:r>
      <w:r>
        <w:rPr>
          <w:noProof/>
        </w:rPr>
        <w:t xml:space="preserve"> </w:t>
      </w:r>
      <w:r>
        <w:rPr>
          <w:noProof/>
        </w:rPr>
        <w:t>приложение</w:t>
      </w:r>
      <w:r>
        <w:rPr>
          <w:noProof/>
        </w:rPr>
        <w:t xml:space="preserve"> 1 </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5"/>
        <w:gridCol w:w="1253"/>
        <w:gridCol w:w="2805"/>
        <w:gridCol w:w="3001"/>
      </w:tblGrid>
      <w:tr>
        <w:trPr>
          <w:trHeight w:val="73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Разпоредба от приложението</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Забележки</w:t>
            </w:r>
          </w:p>
        </w:tc>
      </w:tr>
      <w:tr>
        <w:trPr>
          <w:trHeight w:val="40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ГЛАВА 1. ОПРЕДЕЛЕНИЯ И ОБЩИ ПРАВИЛА ОТНОСНО СВИДЕТЕЛСТВАТА ЗА ЛЕТАТЕЛНА ПРАВОСПОСОБНОСТ</w:t>
            </w:r>
          </w:p>
          <w:p>
            <w:pPr>
              <w:pStyle w:val="Body"/>
              <w:spacing w:line="240" w:lineRule="auto"/>
              <w:jc w:val="both"/>
              <w:rPr>
                <w:noProof/>
              </w:rPr>
            </w:pPr>
            <w:r>
              <w:rPr>
                <w:noProof/>
              </w:rPr>
              <w:t>1.1 Определения</w:t>
            </w:r>
          </w:p>
          <w:p>
            <w:pPr>
              <w:pStyle w:val="Body"/>
              <w:spacing w:after="0" w:line="240" w:lineRule="auto"/>
              <w:jc w:val="both"/>
              <w:rPr>
                <w:noProof/>
              </w:rPr>
            </w:pPr>
            <w:r>
              <w:rPr>
                <w:noProof/>
              </w:rPr>
              <w:t>Компетентност;</w:t>
            </w:r>
          </w:p>
          <w:p>
            <w:pPr>
              <w:pStyle w:val="Body"/>
              <w:spacing w:after="0" w:line="240" w:lineRule="auto"/>
              <w:jc w:val="both"/>
              <w:rPr>
                <w:noProof/>
              </w:rPr>
            </w:pPr>
            <w:r>
              <w:rPr>
                <w:noProof/>
              </w:rPr>
              <w:t>Елемент на компетентността;</w:t>
            </w:r>
          </w:p>
          <w:p>
            <w:pPr>
              <w:pStyle w:val="Body"/>
              <w:spacing w:after="0" w:line="240" w:lineRule="auto"/>
              <w:jc w:val="both"/>
              <w:rPr>
                <w:noProof/>
              </w:rPr>
            </w:pPr>
            <w:r>
              <w:rPr>
                <w:noProof/>
              </w:rPr>
              <w:t>Част от компетентността;</w:t>
            </w:r>
          </w:p>
          <w:p>
            <w:pPr>
              <w:pStyle w:val="Body"/>
              <w:spacing w:after="0" w:line="240" w:lineRule="auto"/>
              <w:jc w:val="both"/>
              <w:rPr>
                <w:noProof/>
              </w:rPr>
            </w:pPr>
            <w:r>
              <w:rPr>
                <w:noProof/>
              </w:rPr>
              <w:t>Справяне с грешките; Критерии за ефективност; Справяне със заплаха.</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b/>
                <w:bCs/>
                <w:noProof/>
              </w:rPr>
            </w:pPr>
            <w:r>
              <w:rPr>
                <w:noProof/>
              </w:rPr>
              <w:t>Регламент (ЕС) № 1178/2011 включва тези определения, както са посочени в приложение 1 на ИКАО, 12-о издание от 2018 г.</w:t>
            </w:r>
          </w:p>
          <w:p>
            <w:pPr>
              <w:pStyle w:val="Body"/>
              <w:spacing w:after="0" w:line="240" w:lineRule="auto"/>
              <w:jc w:val="both"/>
              <w:rPr>
                <w:b/>
                <w:bCs/>
                <w:noProof/>
              </w:rPr>
            </w:pPr>
          </w:p>
          <w:p>
            <w:pPr>
              <w:pStyle w:val="Body"/>
              <w:spacing w:line="240" w:lineRule="auto"/>
              <w:jc w:val="both"/>
              <w:rPr>
                <w:noProof/>
              </w:rPr>
            </w:pPr>
            <w:r>
              <w:rPr>
                <w:noProof/>
              </w:rPr>
              <w:t>Регламент (ЕС) 2015/340 не включва посочените определения.</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За да се отстранят редакционните проблеми, е планирано приемането на изменение на Регламент (ЕС) № 1178/2011 в рамките на RMT.0587 „Редовна актуализация на разпоредбите относно обучението, изпитването и проверката на пилоти и свързания с това надзор“.</w:t>
            </w:r>
          </w:p>
          <w:p>
            <w:pPr>
              <w:pStyle w:val="Body"/>
              <w:spacing w:line="240" w:lineRule="auto"/>
              <w:jc w:val="both"/>
              <w:rPr>
                <w:noProof/>
              </w:rPr>
            </w:pPr>
            <w:r>
              <w:rPr>
                <w:noProof/>
              </w:rPr>
              <w:t>В бъдеще ще бъде обмислено изменение на Регламент (ЕС) 2015/340 в рамките на RMT.0668 „Редовна актуализация на правилата за лицензиране на ръководителите на полети“.</w:t>
            </w:r>
          </w:p>
        </w:tc>
      </w:tr>
      <w:tr>
        <w:trPr>
          <w:trHeight w:val="44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ГЛАВА 1. ОПРЕДЕЛЕНИЯ И ОБЩИ ПРАВИЛА ОТНОСНО СВИДЕТЕЛСТВАТА ЗА ЛЕТАТЕЛНА ПРАВОСПОСОБНОСТ</w:t>
            </w:r>
          </w:p>
          <w:p>
            <w:pPr>
              <w:pStyle w:val="Body"/>
              <w:spacing w:line="240" w:lineRule="auto"/>
              <w:jc w:val="both"/>
              <w:rPr>
                <w:noProof/>
              </w:rPr>
            </w:pPr>
            <w:r>
              <w:rPr>
                <w:noProof/>
              </w:rPr>
              <w:t>1.1 Определения</w:t>
            </w:r>
          </w:p>
          <w:p>
            <w:pPr>
              <w:pStyle w:val="Body"/>
              <w:spacing w:after="0" w:line="240" w:lineRule="auto"/>
              <w:jc w:val="both"/>
              <w:rPr>
                <w:noProof/>
              </w:rPr>
            </w:pPr>
            <w:r>
              <w:rPr>
                <w:noProof/>
              </w:rPr>
              <w:t>Обучение и оценка, основани на компетентността;</w:t>
            </w:r>
          </w:p>
          <w:p>
            <w:pPr>
              <w:pStyle w:val="Body"/>
              <w:spacing w:after="0" w:line="240" w:lineRule="auto"/>
              <w:jc w:val="both"/>
              <w:rPr>
                <w:noProof/>
              </w:rPr>
            </w:pPr>
            <w:r>
              <w:rPr>
                <w:noProof/>
              </w:rPr>
              <w:t>Стандарт за компетентност; Условия;</w:t>
            </w:r>
          </w:p>
          <w:p>
            <w:pPr>
              <w:pStyle w:val="Body"/>
              <w:spacing w:after="0" w:line="240" w:lineRule="auto"/>
              <w:jc w:val="both"/>
              <w:rPr>
                <w:noProof/>
              </w:rPr>
            </w:pPr>
            <w:r>
              <w:rPr>
                <w:noProof/>
              </w:rPr>
              <w:t>Рамка на ИКАО относно компетентността;</w:t>
            </w:r>
          </w:p>
          <w:p>
            <w:pPr>
              <w:pStyle w:val="Body"/>
              <w:spacing w:after="0" w:line="240" w:lineRule="auto"/>
              <w:jc w:val="both"/>
              <w:rPr>
                <w:noProof/>
              </w:rPr>
            </w:pPr>
            <w:r>
              <w:rPr>
                <w:noProof/>
              </w:rPr>
              <w:t>Наблюдение;</w:t>
            </w:r>
          </w:p>
          <w:p>
            <w:pPr>
              <w:pStyle w:val="Body"/>
              <w:spacing w:after="0" w:line="240" w:lineRule="auto"/>
              <w:jc w:val="both"/>
              <w:rPr>
                <w:noProof/>
              </w:rPr>
            </w:pPr>
            <w:r>
              <w:rPr>
                <w:noProof/>
              </w:rPr>
              <w:t>Наблюдаемо поведение (НП);</w:t>
            </w:r>
          </w:p>
          <w:p>
            <w:pPr>
              <w:pStyle w:val="Body"/>
              <w:spacing w:after="0" w:line="240" w:lineRule="auto"/>
              <w:jc w:val="both"/>
              <w:rPr>
                <w:noProof/>
              </w:rPr>
            </w:pPr>
            <w:r>
              <w:rPr>
                <w:noProof/>
              </w:rPr>
              <w:t>Пилотиращ пилот (ПП);</w:t>
            </w:r>
          </w:p>
          <w:p>
            <w:pPr>
              <w:pStyle w:val="Body"/>
              <w:spacing w:after="0" w:line="240" w:lineRule="auto"/>
              <w:jc w:val="both"/>
              <w:rPr>
                <w:noProof/>
              </w:rPr>
            </w:pPr>
            <w:r>
              <w:rPr>
                <w:noProof/>
              </w:rPr>
              <w:t>Обслужващ пилот (ОП).</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Регламентите на ЕС не включват тези определения.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Планирано е приемането на изменение на Регламент (ЕС) № 1178/2011 в рамките на RMT.0587 „Редовна актуализация на разпоредбите относно обучението, изпитването и проверката на пилоти и свързания с това надзор“.</w:t>
            </w:r>
          </w:p>
        </w:tc>
      </w:tr>
      <w:tr>
        <w:trPr>
          <w:trHeight w:val="233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2.4.3 Специфични изисквания за издаването на квалификационен клас за категория самолети</w:t>
            </w:r>
          </w:p>
          <w:p>
            <w:pPr>
              <w:pStyle w:val="Body"/>
              <w:spacing w:line="240" w:lineRule="auto"/>
              <w:jc w:val="both"/>
              <w:rPr>
                <w:noProof/>
              </w:rPr>
            </w:pPr>
            <w:r>
              <w:rPr>
                <w:noProof/>
              </w:rPr>
              <w:t>2.4.3.1 Опит</w:t>
            </w:r>
          </w:p>
          <w:p>
            <w:pPr>
              <w:pStyle w:val="Body"/>
              <w:spacing w:line="240" w:lineRule="auto"/>
              <w:jc w:val="both"/>
              <w:rPr>
                <w:noProof/>
              </w:rPr>
            </w:pPr>
            <w:r>
              <w:rPr>
                <w:noProof/>
              </w:rPr>
              <w:t>2.4.3.1.1 Признатите часове се ограничават до максимум 20 часа.</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FCL.315 CPL заедно с допълнение 3 към приложение I (част FCL) от Регламент № 1178/2011 позволява признаване на максимум 10 часа.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52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1.2.8.2 и</w:t>
            </w:r>
          </w:p>
          <w:p>
            <w:pPr>
              <w:pStyle w:val="Body"/>
              <w:spacing w:line="240" w:lineRule="auto"/>
              <w:jc w:val="both"/>
              <w:rPr>
                <w:noProof/>
              </w:rPr>
            </w:pPr>
            <w:r>
              <w:rPr>
                <w:noProof/>
              </w:rPr>
              <w:t xml:space="preserve">ДОПЪЛНЕНИЕ 2. ОДОБРЕНА ОРГАНИЗАЦИЯ ЗА ОБУЧЕНИЕ </w:t>
            </w:r>
          </w:p>
          <w:p>
            <w:pPr>
              <w:pStyle w:val="Body"/>
              <w:spacing w:line="240" w:lineRule="auto"/>
              <w:jc w:val="both"/>
              <w:rPr>
                <w:noProof/>
              </w:rPr>
            </w:pPr>
            <w:r>
              <w:rPr>
                <w:noProof/>
              </w:rPr>
              <w:t>3. Програми за обучение</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FCL.115 LAPL, FCL.210 PPL, FCL.315 CPL и FCL.315, буква а), FCL.410.A MPL, FCL.515 ATPL, FCL930 FI, FCL.930FI FI, FCL.930.TRI TRI, FCL.930.CRI CRI, FCL930.IRI IRI, FCL930.SFI SFI, FCL930.MCCI MCCI, FCL930.ST STI, FCL.930.MI MI, FCL.930FTI FTI, допълнение 3 към приложение I, допълнение 5 към приложение I и допълнение 6 към приложение I от приложение I (част FCL) на Регламент (ЕС) № 2011/1178 на Комисията (лицензиране на летателните екипажи) осигуряват необходимата гъвкавост на програмите за обучение.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345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ГЛАВА 4 СВИДЕТЕЛСТВА ЗА ПРАВОСПОСОБНОСТ И КВАЛИФИКАЦИИ ЗА ПЕРСОНАЛ, РАЗЛИЧЕН ОТ ЧЛЕНОВЕТЕ НА ЛЕТАТЕЛНИЯ ЕКИПАЖ</w:t>
            </w:r>
          </w:p>
          <w:p>
            <w:pPr>
              <w:pStyle w:val="Body"/>
              <w:spacing w:line="240" w:lineRule="auto"/>
              <w:jc w:val="both"/>
              <w:rPr>
                <w:noProof/>
              </w:rPr>
            </w:pPr>
            <w:r>
              <w:rPr>
                <w:noProof/>
              </w:rPr>
              <w:t>4.4 Свидетелство за правоспособност на ръководител на полети</w:t>
            </w:r>
          </w:p>
          <w:p>
            <w:pPr>
              <w:pStyle w:val="Body"/>
              <w:spacing w:line="240" w:lineRule="auto"/>
              <w:jc w:val="both"/>
              <w:rPr>
                <w:noProof/>
              </w:rPr>
            </w:pPr>
            <w:r>
              <w:rPr>
                <w:noProof/>
              </w:rPr>
              <w:t>4.4.1 Изисквания за издаване на свидетелство за правоспособност</w:t>
            </w:r>
          </w:p>
          <w:p>
            <w:pPr>
              <w:pStyle w:val="Body"/>
              <w:spacing w:line="240" w:lineRule="auto"/>
              <w:jc w:val="both"/>
              <w:rPr>
                <w:noProof/>
              </w:rPr>
            </w:pPr>
            <w:r>
              <w:rPr>
                <w:noProof/>
              </w:rPr>
              <w:t>4.4.1.3 Опит</w:t>
            </w:r>
          </w:p>
          <w:p>
            <w:pPr>
              <w:pStyle w:val="Body"/>
              <w:spacing w:line="240" w:lineRule="auto"/>
              <w:jc w:val="both"/>
              <w:rPr>
                <w:noProof/>
              </w:rPr>
            </w:pPr>
            <w:r>
              <w:rPr>
                <w:noProof/>
              </w:rPr>
              <w:t xml:space="preserve">4.4.1.3.1 </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Регламент (ЕС) 2015/340 не съдържа изискването за 3-месечна служба.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Ще бъде обмислено изменение на Регламент (ЕС) 2015/340 в рамките на задача за разработване на правила RMT.0668 „Редовна актуализация на правилата за лицензиране на ръководителите на полети“. Очаква се до края на 2020 г. да бъде издадено съобщение за предложено изменение .</w:t>
            </w:r>
          </w:p>
        </w:tc>
      </w:tr>
      <w:tr>
        <w:trPr>
          <w:trHeight w:val="169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4.4.1.3.2</w:t>
            </w:r>
            <w:r>
              <w:rPr>
                <w:noProof/>
                <w:sz w:val="18"/>
                <w:szCs w:val="18"/>
                <w:shd w:val="clear" w:color="auto" w:fill="C0C0C0"/>
              </w:rPr>
              <w:t xml:space="preserve"> </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Посоченият стандарт е описан подробно в Регламент (ЕС) 2015/340 по отношение на опита и обучението на инструктори за обучение на работното място.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Не се предвижда промяна на Регламент (ЕС) 2015/340, част ATCO.</w:t>
            </w:r>
          </w:p>
        </w:tc>
      </w:tr>
      <w:tr>
        <w:trPr>
          <w:trHeight w:val="253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4.5 Квалификационни класове на ръководител на полети</w:t>
            </w:r>
          </w:p>
          <w:p>
            <w:pPr>
              <w:pStyle w:val="Body"/>
              <w:spacing w:line="240" w:lineRule="auto"/>
              <w:jc w:val="both"/>
              <w:rPr>
                <w:noProof/>
              </w:rPr>
            </w:pPr>
            <w:r>
              <w:rPr>
                <w:noProof/>
              </w:rPr>
              <w:t>4.5.2 Изисквания за квалификационни класове на ръководител на полети</w:t>
            </w:r>
          </w:p>
          <w:p>
            <w:pPr>
              <w:pStyle w:val="Body"/>
              <w:spacing w:line="240" w:lineRule="auto"/>
              <w:jc w:val="both"/>
              <w:rPr>
                <w:noProof/>
              </w:rPr>
            </w:pPr>
            <w:r>
              <w:rPr>
                <w:noProof/>
              </w:rPr>
              <w:t>4.5.2.2 Опит</w:t>
            </w:r>
          </w:p>
          <w:p>
            <w:pPr>
              <w:pStyle w:val="Body"/>
              <w:spacing w:line="240" w:lineRule="auto"/>
              <w:jc w:val="both"/>
              <w:rPr>
                <w:noProof/>
              </w:rPr>
            </w:pPr>
            <w:r>
              <w:rPr>
                <w:noProof/>
              </w:rPr>
              <w:t>4.5.2.2.1 буква б)</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Посоченият стандарт е включен в част ATCO от Регламент (ЕС) 2015/340, без да се налагат допълнителни задължения.</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Не се предвижда промяна на Регламент (ЕС) 2015/340, част ATCO.</w:t>
            </w:r>
          </w:p>
        </w:tc>
      </w:tr>
      <w:tr>
        <w:trPr>
          <w:trHeight w:val="265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4.5.2.2.1 буква в)</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Регламентите на ЕС не изискват опит/обучение по обзорен радар за подход.</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Предвижда се стандартът да бъде включен в приемливите начини за съответствие (AMC) към част ATCO от Регламент (ЕС) 2015/340 в рамките на RMT.0668 „Редовна актуализация на правилата за лицензиране на ръководителите на полети“. Очаква се до края на 2020 г. да бъде издадено съобщение за предложено изменение .</w:t>
            </w:r>
          </w:p>
        </w:tc>
      </w:tr>
      <w:tr>
        <w:trPr>
          <w:trHeight w:val="8650"/>
        </w:trPr>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4.5.2.2.2</w:t>
            </w:r>
          </w:p>
        </w:tc>
        <w:tc>
          <w:tcPr>
            <w:tcW w:w="12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Част ATCO от Регламент (ЕС) 2015/340 не изисква да се подаде заявление за класификационен клас в шестмесечен срок от придобиването на опит. Посоченият регламент обаче изисква упражняването на правата да бъде извършено в рамките на срок, който не надхвърля 90 дни.</w:t>
            </w:r>
          </w:p>
          <w:p>
            <w:pPr>
              <w:pStyle w:val="Body"/>
              <w:spacing w:after="0" w:line="240" w:lineRule="auto"/>
              <w:jc w:val="both"/>
              <w:rPr>
                <w:noProof/>
              </w:rPr>
            </w:pPr>
            <w:r>
              <w:rPr>
                <w:noProof/>
              </w:rPr>
              <w:t>В правилото по ATCO се посочва 1 година, когато притежателят на свидетелство за правоспособност на стажант-ръководител на полети не е започнал да упражнява правата по това свидетелство от датата на издаването му или е прекъснал упражняването на тези права в продължение на повече от една година. В такъв случай той/тя може да започне или да продължи обучение в орган за обслужване на въздушното движение за този квалификационен клас само след оценка на неговата/нейната предишна компетентност дали той/тя продължава да отговаря на съответните изисквания за този квалификационен клас и след като изпълни всички изисквания за обучение, които произтичат от тази оценка.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2"/>
        <w:numPr>
          <w:ilvl w:val="1"/>
          <w:numId w:val="6"/>
        </w:numPr>
        <w:ind w:left="850" w:hanging="850"/>
        <w:rPr>
          <w:rFonts w:eastAsia="Arial Unicode MS"/>
          <w:noProof/>
        </w:rPr>
      </w:pPr>
      <w:r>
        <w:rPr>
          <w:noProof/>
        </w:rPr>
        <w:t>Изменение</w:t>
      </w:r>
      <w:r>
        <w:rPr>
          <w:noProof/>
        </w:rPr>
        <w:t xml:space="preserve"> 79 </w:t>
      </w:r>
      <w:r>
        <w:rPr>
          <w:noProof/>
        </w:rPr>
        <w:t>на</w:t>
      </w:r>
      <w:r>
        <w:rPr>
          <w:noProof/>
        </w:rPr>
        <w:t xml:space="preserve"> </w:t>
      </w:r>
      <w:r>
        <w:rPr>
          <w:noProof/>
        </w:rPr>
        <w:t>приложение</w:t>
      </w:r>
      <w:r>
        <w:rPr>
          <w:noProof/>
        </w:rPr>
        <w:t xml:space="preserve"> 3 </w:t>
      </w:r>
      <w:r>
        <w:rPr>
          <w:noProof/>
        </w:rPr>
        <w:t>относно</w:t>
      </w:r>
      <w:r>
        <w:rPr>
          <w:noProof/>
        </w:rPr>
        <w:t xml:space="preserve"> </w:t>
      </w:r>
      <w:r>
        <w:rPr>
          <w:noProof/>
        </w:rPr>
        <w:t>метеорологичното</w:t>
      </w:r>
      <w:r>
        <w:rPr>
          <w:noProof/>
        </w:rPr>
        <w:t xml:space="preserve"> </w:t>
      </w:r>
      <w:r>
        <w:rPr>
          <w:noProof/>
        </w:rPr>
        <w:t>обслужване</w:t>
      </w:r>
      <w:r>
        <w:rPr>
          <w:noProof/>
        </w:rPr>
        <w:t xml:space="preserve"> </w:t>
      </w:r>
      <w:r>
        <w:rPr>
          <w:noProof/>
        </w:rPr>
        <w:t>на</w:t>
      </w:r>
      <w:r>
        <w:rPr>
          <w:noProof/>
        </w:rPr>
        <w:t xml:space="preserve"> </w:t>
      </w:r>
      <w:r>
        <w:rPr>
          <w:noProof/>
        </w:rPr>
        <w:t>международното</w:t>
      </w:r>
      <w:r>
        <w:rPr>
          <w:noProof/>
        </w:rPr>
        <w:t xml:space="preserve"> </w:t>
      </w:r>
      <w:r>
        <w:rPr>
          <w:noProof/>
        </w:rPr>
        <w:t>въздухоплаване</w:t>
      </w:r>
    </w:p>
    <w:p>
      <w:pPr>
        <w:pStyle w:val="Heading3"/>
        <w:numPr>
          <w:ilvl w:val="2"/>
          <w:numId w:val="6"/>
        </w:numPr>
        <w:ind w:left="850" w:hanging="850"/>
        <w:rPr>
          <w:rFonts w:eastAsia="Arial Unicode MS"/>
          <w:noProof/>
        </w:rPr>
      </w:pPr>
      <w:r>
        <w:rPr>
          <w:noProof/>
        </w:rPr>
        <w:t>Описание</w:t>
      </w:r>
    </w:p>
    <w:p>
      <w:pPr>
        <w:pStyle w:val="NumPar1"/>
        <w:ind w:left="0" w:firstLine="0"/>
        <w:rPr>
          <w:noProof/>
        </w:rPr>
      </w:pPr>
      <w:r>
        <w:rPr>
          <w:noProof/>
        </w:rPr>
        <w:t>Изменението</w:t>
      </w:r>
      <w:r>
        <w:rPr>
          <w:noProof/>
        </w:rPr>
        <w:t xml:space="preserve">, </w:t>
      </w:r>
      <w:r>
        <w:rPr>
          <w:noProof/>
        </w:rPr>
        <w:t>формулирано</w:t>
      </w:r>
      <w:r>
        <w:rPr>
          <w:noProof/>
        </w:rPr>
        <w:t xml:space="preserve"> </w:t>
      </w:r>
      <w:r>
        <w:rPr>
          <w:noProof/>
        </w:rPr>
        <w:t>на</w:t>
      </w:r>
      <w:r>
        <w:rPr>
          <w:noProof/>
        </w:rPr>
        <w:t xml:space="preserve"> </w:t>
      </w:r>
      <w:r>
        <w:rPr>
          <w:noProof/>
        </w:rPr>
        <w:t>четвъртото</w:t>
      </w:r>
      <w:r>
        <w:rPr>
          <w:noProof/>
        </w:rPr>
        <w:t xml:space="preserve"> </w:t>
      </w:r>
      <w:r>
        <w:rPr>
          <w:noProof/>
        </w:rPr>
        <w:t>заседание</w:t>
      </w:r>
      <w:r>
        <w:rPr>
          <w:noProof/>
        </w:rPr>
        <w:t xml:space="preserve"> </w:t>
      </w:r>
      <w:r>
        <w:rPr>
          <w:noProof/>
        </w:rPr>
        <w:t>на</w:t>
      </w:r>
      <w:r>
        <w:rPr>
          <w:noProof/>
        </w:rPr>
        <w:t xml:space="preserve"> </w:t>
      </w:r>
      <w:r>
        <w:rPr>
          <w:noProof/>
        </w:rPr>
        <w:t>групата</w:t>
      </w:r>
      <w:r>
        <w:rPr>
          <w:noProof/>
        </w:rPr>
        <w:t xml:space="preserve"> </w:t>
      </w:r>
      <w:r>
        <w:rPr>
          <w:noProof/>
        </w:rPr>
        <w:t>по</w:t>
      </w:r>
      <w:r>
        <w:rPr>
          <w:noProof/>
        </w:rPr>
        <w:t xml:space="preserve"> </w:t>
      </w:r>
      <w:r>
        <w:rPr>
          <w:noProof/>
        </w:rPr>
        <w:t>метеорология</w:t>
      </w:r>
      <w:r>
        <w:rPr>
          <w:noProof/>
        </w:rPr>
        <w:t xml:space="preserve"> (METP/4),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модела</w:t>
      </w:r>
      <w:r>
        <w:rPr>
          <w:noProof/>
        </w:rPr>
        <w:t xml:space="preserve"> </w:t>
      </w:r>
      <w:r>
        <w:rPr>
          <w:noProof/>
        </w:rPr>
        <w:t>на</w:t>
      </w:r>
      <w:r>
        <w:rPr>
          <w:noProof/>
        </w:rPr>
        <w:t xml:space="preserve"> </w:t>
      </w:r>
      <w:r>
        <w:rPr>
          <w:noProof/>
        </w:rPr>
        <w:t>ИКАО</w:t>
      </w:r>
      <w:r>
        <w:rPr>
          <w:noProof/>
        </w:rPr>
        <w:t xml:space="preserve"> </w:t>
      </w:r>
      <w:r>
        <w:rPr>
          <w:noProof/>
        </w:rPr>
        <w:t>за</w:t>
      </w:r>
      <w:r>
        <w:rPr>
          <w:noProof/>
        </w:rPr>
        <w:t xml:space="preserve"> </w:t>
      </w:r>
      <w:r>
        <w:rPr>
          <w:noProof/>
        </w:rPr>
        <w:t>обмен</w:t>
      </w:r>
      <w:r>
        <w:rPr>
          <w:noProof/>
        </w:rPr>
        <w:t xml:space="preserve"> </w:t>
      </w:r>
      <w:r>
        <w:rPr>
          <w:noProof/>
        </w:rPr>
        <w:t>на</w:t>
      </w:r>
      <w:r>
        <w:rPr>
          <w:noProof/>
        </w:rPr>
        <w:t xml:space="preserve"> </w:t>
      </w:r>
      <w:r>
        <w:rPr>
          <w:noProof/>
        </w:rPr>
        <w:t>метеорологична</w:t>
      </w:r>
      <w:r>
        <w:rPr>
          <w:noProof/>
        </w:rPr>
        <w:t xml:space="preserve"> </w:t>
      </w:r>
      <w:r>
        <w:rPr>
          <w:noProof/>
        </w:rPr>
        <w:t>информация</w:t>
      </w:r>
      <w:r>
        <w:rPr>
          <w:noProof/>
        </w:rPr>
        <w:t xml:space="preserve"> (IWXXM), </w:t>
      </w:r>
      <w:r>
        <w:rPr>
          <w:noProof/>
        </w:rPr>
        <w:t>международното</w:t>
      </w:r>
      <w:r>
        <w:rPr>
          <w:noProof/>
        </w:rPr>
        <w:t xml:space="preserve"> </w:t>
      </w:r>
      <w:r>
        <w:rPr>
          <w:noProof/>
        </w:rPr>
        <w:t>наблюдение</w:t>
      </w:r>
      <w:r>
        <w:rPr>
          <w:noProof/>
        </w:rPr>
        <w:t xml:space="preserve"> </w:t>
      </w:r>
      <w:r>
        <w:rPr>
          <w:noProof/>
        </w:rPr>
        <w:t>на</w:t>
      </w:r>
      <w:r>
        <w:rPr>
          <w:noProof/>
        </w:rPr>
        <w:t xml:space="preserve"> </w:t>
      </w:r>
      <w:r>
        <w:rPr>
          <w:noProof/>
        </w:rPr>
        <w:t>вулкани</w:t>
      </w:r>
      <w:r>
        <w:rPr>
          <w:noProof/>
        </w:rPr>
        <w:t xml:space="preserve"> </w:t>
      </w:r>
      <w:r>
        <w:rPr>
          <w:noProof/>
        </w:rPr>
        <w:t>за</w:t>
      </w:r>
      <w:r>
        <w:rPr>
          <w:noProof/>
        </w:rPr>
        <w:t xml:space="preserve"> </w:t>
      </w:r>
      <w:r>
        <w:rPr>
          <w:noProof/>
        </w:rPr>
        <w:t>целите</w:t>
      </w:r>
      <w:r>
        <w:rPr>
          <w:noProof/>
        </w:rPr>
        <w:t xml:space="preserve"> </w:t>
      </w:r>
      <w:r>
        <w:rPr>
          <w:noProof/>
        </w:rPr>
        <w:t>на</w:t>
      </w:r>
      <w:r>
        <w:rPr>
          <w:noProof/>
        </w:rPr>
        <w:t xml:space="preserve"> </w:t>
      </w:r>
      <w:r>
        <w:rPr>
          <w:noProof/>
        </w:rPr>
        <w:t>авиокомпаниите</w:t>
      </w:r>
      <w:r>
        <w:rPr>
          <w:noProof/>
        </w:rPr>
        <w:t xml:space="preserve"> (IAVW), </w:t>
      </w:r>
      <w:r>
        <w:rPr>
          <w:noProof/>
        </w:rPr>
        <w:t>световната</w:t>
      </w:r>
      <w:r>
        <w:rPr>
          <w:noProof/>
        </w:rPr>
        <w:t xml:space="preserve"> </w:t>
      </w:r>
      <w:r>
        <w:rPr>
          <w:noProof/>
        </w:rPr>
        <w:t>система</w:t>
      </w:r>
      <w:r>
        <w:rPr>
          <w:noProof/>
        </w:rPr>
        <w:t xml:space="preserve"> </w:t>
      </w:r>
      <w:r>
        <w:rPr>
          <w:noProof/>
        </w:rPr>
        <w:t>за</w:t>
      </w:r>
      <w:r>
        <w:rPr>
          <w:noProof/>
        </w:rPr>
        <w:t xml:space="preserve"> </w:t>
      </w:r>
      <w:r>
        <w:rPr>
          <w:noProof/>
        </w:rPr>
        <w:t>зонални</w:t>
      </w:r>
      <w:r>
        <w:rPr>
          <w:noProof/>
        </w:rPr>
        <w:t xml:space="preserve"> </w:t>
      </w:r>
      <w:r>
        <w:rPr>
          <w:noProof/>
        </w:rPr>
        <w:t>прогнози</w:t>
      </w:r>
      <w:r>
        <w:rPr>
          <w:noProof/>
        </w:rPr>
        <w:t xml:space="preserve"> (</w:t>
      </w:r>
      <w:r>
        <w:rPr>
          <w:noProof/>
        </w:rPr>
        <w:t>ССЗП</w:t>
      </w:r>
      <w:r>
        <w:rPr>
          <w:noProof/>
        </w:rPr>
        <w:t xml:space="preserve">), SIGMET, AIRMET </w:t>
      </w:r>
      <w:r>
        <w:rPr>
          <w:noProof/>
        </w:rPr>
        <w:t>и</w:t>
      </w:r>
      <w:r>
        <w:rPr>
          <w:noProof/>
        </w:rPr>
        <w:t xml:space="preserve"> GAMET</w:t>
      </w:r>
      <w:r>
        <w:rPr>
          <w:noProof/>
          <w:vertAlign w:val="superscript"/>
        </w:rPr>
        <w:footnoteReference w:id="3"/>
      </w:r>
      <w:r>
        <w:rPr>
          <w:noProof/>
        </w:rPr>
        <w:t>.</w:t>
      </w:r>
    </w:p>
    <w:p>
      <w:pPr>
        <w:pStyle w:val="Heading3"/>
        <w:numPr>
          <w:ilvl w:val="2"/>
          <w:numId w:val="6"/>
        </w:numPr>
        <w:ind w:left="850" w:hanging="850"/>
        <w:rPr>
          <w:rFonts w:eastAsia="Arial Unicode MS"/>
          <w:noProof/>
        </w:rPr>
      </w:pPr>
      <w:r>
        <w:rPr>
          <w:noProof/>
        </w:rPr>
        <w:t>Приложимо</w:t>
      </w:r>
      <w:r>
        <w:rPr>
          <w:noProof/>
        </w:rPr>
        <w:t xml:space="preserve"> </w:t>
      </w:r>
      <w:r>
        <w:rPr>
          <w:noProof/>
        </w:rPr>
        <w:t>законодателство</w:t>
      </w:r>
      <w:r>
        <w:rPr>
          <w:noProof/>
        </w:rPr>
        <w:t xml:space="preserve"> </w:t>
      </w:r>
      <w:r>
        <w:rPr>
          <w:noProof/>
        </w:rPr>
        <w:t>на</w:t>
      </w:r>
      <w:r>
        <w:rPr>
          <w:noProof/>
        </w:rPr>
        <w:t xml:space="preserve"> </w:t>
      </w:r>
      <w:r>
        <w:rPr>
          <w:noProof/>
        </w:rPr>
        <w:t>Съюза</w:t>
      </w:r>
      <w:r>
        <w:rPr>
          <w:noProof/>
        </w:rPr>
        <w:t xml:space="preserve"> </w:t>
      </w:r>
    </w:p>
    <w:p>
      <w:pPr>
        <w:pStyle w:val="NumPar1"/>
        <w:ind w:left="0" w:firstLine="0"/>
        <w:rPr>
          <w:noProof/>
        </w:rPr>
      </w:pPr>
      <w:r>
        <w:rPr>
          <w:noProof/>
        </w:rPr>
        <w:t>Регламент</w:t>
      </w:r>
      <w:r>
        <w:rPr>
          <w:noProof/>
        </w:rPr>
        <w:t xml:space="preserve"> </w:t>
      </w:r>
      <w:r>
        <w:rPr>
          <w:noProof/>
        </w:rPr>
        <w:t>за</w:t>
      </w:r>
      <w:r>
        <w:rPr>
          <w:noProof/>
        </w:rPr>
        <w:t xml:space="preserve"> </w:t>
      </w:r>
      <w:r>
        <w:rPr>
          <w:noProof/>
        </w:rPr>
        <w:t>изпълнение</w:t>
      </w:r>
      <w:r>
        <w:rPr>
          <w:noProof/>
        </w:rPr>
        <w:t xml:space="preserve"> (</w:t>
      </w:r>
      <w:r>
        <w:rPr>
          <w:noProof/>
        </w:rPr>
        <w:t>ЕС</w:t>
      </w:r>
      <w:r>
        <w:rPr>
          <w:noProof/>
        </w:rPr>
        <w:t xml:space="preserve">) 2017/373 </w:t>
      </w:r>
      <w:r>
        <w:rPr>
          <w:noProof/>
        </w:rPr>
        <w:t>на</w:t>
      </w:r>
      <w:r>
        <w:rPr>
          <w:noProof/>
        </w:rPr>
        <w:t xml:space="preserve"> </w:t>
      </w:r>
      <w:r>
        <w:rPr>
          <w:noProof/>
        </w:rPr>
        <w:t>Комисията</w:t>
      </w:r>
      <w:r>
        <w:rPr>
          <w:noProof/>
          <w:vertAlign w:val="superscript"/>
        </w:rPr>
        <w:footnoteReference w:id="4"/>
      </w:r>
    </w:p>
    <w:p>
      <w:pPr>
        <w:pStyle w:val="Heading3"/>
        <w:widowControl w:val="0"/>
        <w:numPr>
          <w:ilvl w:val="2"/>
          <w:numId w:val="6"/>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79 </w:t>
      </w:r>
      <w:r>
        <w:rPr>
          <w:noProof/>
        </w:rPr>
        <w:t>на</w:t>
      </w:r>
      <w:r>
        <w:rPr>
          <w:noProof/>
        </w:rPr>
        <w:t xml:space="preserve"> </w:t>
      </w:r>
      <w:r>
        <w:rPr>
          <w:noProof/>
        </w:rPr>
        <w:t>приложение</w:t>
      </w:r>
      <w:r>
        <w:rPr>
          <w:noProof/>
        </w:rPr>
        <w:t xml:space="preserve"> 3 </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4"/>
        <w:gridCol w:w="1276"/>
        <w:gridCol w:w="2976"/>
        <w:gridCol w:w="3119"/>
      </w:tblGrid>
      <w:tr>
        <w:trPr>
          <w:trHeight w:val="7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Разпоредба от приложението</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Категория на различието</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Подробности за различието</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Забележки</w:t>
            </w:r>
          </w:p>
        </w:tc>
      </w:tr>
      <w:tr>
        <w:trPr>
          <w:trHeight w:val="26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3, изменение 79, глава 1. 1.1 „Определения“; „Консултативен център за вулканична пепел (КЦВП)“</w:t>
            </w:r>
          </w:p>
        </w:tc>
        <w:tc>
          <w:tcPr>
            <w:tcW w:w="1276" w:type="dxa"/>
            <w:tcBorders>
              <w:top w:val="single" w:sz="4" w:space="0" w:color="000000"/>
              <w:left w:val="single" w:sz="4" w:space="0" w:color="000000"/>
              <w:bottom w:val="single" w:sz="4" w:space="0" w:color="000000"/>
              <w:right w:val="single" w:sz="4" w:space="0" w:color="000000"/>
            </w:tcBorders>
            <w:tcMar>
              <w:top w:w="80" w:type="dxa"/>
              <w:left w:w="304" w:type="dxa"/>
              <w:bottom w:w="80" w:type="dxa"/>
              <w:right w:w="80" w:type="dxa"/>
            </w:tcMar>
            <w:hideMark/>
          </w:tcPr>
          <w:p>
            <w:pPr>
              <w:pStyle w:val="Body"/>
              <w:spacing w:line="240" w:lineRule="auto"/>
              <w:ind w:left="224" w:hanging="224"/>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В правилата на ЕС определението на „консултативен център за вулканична пепел (КЦВП)“ включва текста „вследствие на вулканични изригвания“.</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Планира се до третото тримесечие на 2021 г. да бъде прието изменение на Регламент (ЕС) 2017/373, когато се очаква текстът „вследствие на вулканични изригвания“ да бъде заличен и определението на „консултативен център за вулканична пепел (КЦВП)“ да бъде в съответствие с изменение 79 на ИКАО.</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3, изменение 79, глава 3. 3.4 „Метеорологични служби за следене“; нова разпоредба 3.4.4</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В правилата на ЕС не е включена препоръката метеорологичните служби за следене (МСС) да координират SIGMET със съседни МСС.</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бъде включено изискване, равностойно на посоченото в изменение 79 на ИКАО, в съответствие с изменение 79 на ИКАО.</w:t>
            </w:r>
          </w:p>
        </w:tc>
      </w:tr>
      <w:tr>
        <w:trPr>
          <w:trHeight w:val="28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3, изменение 79, глава 3. 3.7 „Консултативни център за тропични циклони (КЦТЦ)“ ; разпоредба 3.7, буква б).</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В правилата на ЕС не е включено изискването за включване на промените в интензивността към момента на наблюдението (на тропичен циклон).</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бъде включено изискване за включване на промените в интензивността към момента на наблюдението (на тропичен циклон) в съответствие с изменение 79 на ИКАО.</w:t>
            </w:r>
          </w:p>
        </w:tc>
      </w:tr>
      <w:tr>
        <w:trPr>
          <w:trHeight w:val="26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1. „Образци на таблици и формуляри“; ОБРАЗЕЦ VAG и ОБРАЗЕЦ SVA).</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не са включени актуализираните образци (примери) на таблици, изобразяващи проекции на Меркатор и полярни стереографични проекции за консултативна информация за вулканична пепел в графичен формат и за SIGMET в графичен формат.</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бъдат включени актуализирани образци (примери) на таблици, изобразяващи проекции на Меркатор и полярни стереографични проекции, в съответствие с изменение 79 на ИКАО.</w:t>
            </w:r>
          </w:p>
        </w:tc>
      </w:tr>
      <w:tr>
        <w:trPr>
          <w:trHeight w:val="43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1.2 „Прогнози за горното въздушно пространство в грид-формат“, разпоредба 1.2.1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съществуват следните различия по отношение на тази разпоредба:</w:t>
            </w:r>
          </w:p>
          <w:p>
            <w:pPr>
              <w:pStyle w:val="Body"/>
              <w:spacing w:after="0" w:line="240" w:lineRule="auto"/>
              <w:jc w:val="both"/>
              <w:rPr>
                <w:noProof/>
              </w:rPr>
            </w:pPr>
            <w:r>
              <w:rPr>
                <w:noProof/>
              </w:rPr>
              <w:t>1) Включено е посочване на „ясна атмосфера“ и „облачна атмосфера“ (в контекста на турбулентност);</w:t>
            </w:r>
          </w:p>
          <w:p>
            <w:pPr>
              <w:pStyle w:val="Body"/>
              <w:spacing w:after="0" w:line="240" w:lineRule="auto"/>
              <w:jc w:val="both"/>
              <w:rPr>
                <w:noProof/>
              </w:rPr>
            </w:pPr>
            <w:r>
              <w:rPr>
                <w:noProof/>
              </w:rPr>
              <w:t>2) Прогнозите се разпространяват в последователността, в която се изготвят; както и</w:t>
            </w:r>
          </w:p>
          <w:p>
            <w:pPr>
              <w:pStyle w:val="Body"/>
              <w:spacing w:after="0" w:line="240" w:lineRule="auto"/>
              <w:jc w:val="both"/>
              <w:rPr>
                <w:noProof/>
              </w:rPr>
            </w:pPr>
            <w:r>
              <w:rPr>
                <w:noProof/>
              </w:rPr>
              <w:t>3) Срокът за разпространение е 6 часа след стандартния срок на наблюдение.</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w:t>
            </w:r>
          </w:p>
          <w:p>
            <w:pPr>
              <w:pStyle w:val="Body"/>
              <w:spacing w:after="0" w:line="240" w:lineRule="auto"/>
              <w:jc w:val="both"/>
              <w:rPr>
                <w:noProof/>
              </w:rPr>
            </w:pPr>
            <w:r>
              <w:rPr>
                <w:noProof/>
              </w:rPr>
              <w:t>1) да бъдат заличени изразите „ясна атмосфера“ и „облачна атмосфера“;</w:t>
            </w:r>
          </w:p>
          <w:p>
            <w:pPr>
              <w:pStyle w:val="Body"/>
              <w:spacing w:after="0" w:line="240" w:lineRule="auto"/>
              <w:jc w:val="both"/>
              <w:rPr>
                <w:noProof/>
              </w:rPr>
            </w:pPr>
            <w:r>
              <w:rPr>
                <w:noProof/>
              </w:rPr>
              <w:t>2) да бъде заличена предварително определената последователност на разпространение; както и</w:t>
            </w:r>
          </w:p>
          <w:p>
            <w:pPr>
              <w:pStyle w:val="Body"/>
              <w:spacing w:after="0" w:line="240" w:lineRule="auto"/>
              <w:jc w:val="both"/>
              <w:rPr>
                <w:noProof/>
              </w:rPr>
            </w:pPr>
            <w:r>
              <w:rPr>
                <w:noProof/>
              </w:rPr>
              <w:t>3) срокът за разпространение да бъде променен на 5 часа,</w:t>
            </w:r>
          </w:p>
          <w:p>
            <w:pPr>
              <w:pStyle w:val="Body"/>
              <w:spacing w:after="0" w:line="240" w:lineRule="auto"/>
              <w:jc w:val="both"/>
              <w:rPr>
                <w:noProof/>
              </w:rPr>
            </w:pPr>
            <w:r>
              <w:rPr>
                <w:noProof/>
              </w:rPr>
              <w:t>в съответствие с изменение 79 на ИКАО.</w:t>
            </w:r>
          </w:p>
        </w:tc>
      </w:tr>
      <w:tr>
        <w:trPr>
          <w:trHeight w:val="31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1.2 „Прогнози за горното въздушно пространство в грид-формат“, към разпоредба 1.2.2, буква ж)</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не са включени нови слоеве на турбулентност на полетни нива 100 (700 hPa), 140 (600 hPa), 180 (500 hPa).</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бъдат включени нови слоеве на турбулентност на полетни нива 100 (700 hPa), 140 (600 hPa), 180 (500 hPa), включително свързани с тях забележки, в съответствие с изменение 79 на ИКАО.</w:t>
            </w:r>
          </w:p>
        </w:tc>
      </w:tr>
      <w:tr>
        <w:trPr>
          <w:trHeight w:val="33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1.3 „Значими метеорологични (SIGWX) прогнози“, към разпоредба 1.3.1.1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срокът за разпространение на значимите метеорологични (SIGWX) прогнози е не повече от 9 часа след стандартния срок на наблюдение.</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бъде включено изискване разпространението да се извършва до 7 часа при нормални операции и до 9 часа след стандартния срок на наблюдение по време на извънредни операции в съответствие с изменение 79 на ИКАО.</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1.3 „Значими метеорологични (SIGWX) прогнози“, към разпоредба 1.3.1.3</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и като се отчита отлагането на прилагането на изменението на ИКАО (4 ноември 2021 г.), не съществуват изисквания световните центрове за зонални прогнози да издават SIGWX прогнози в кодовата форма IWXXM.</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бъде включено изискване СЦЗП да издават SIGWX прогнози в кодовата форма IWXXM в съответствие с изменение 79 на ИКАО.</w:t>
            </w:r>
          </w:p>
        </w:tc>
      </w:tr>
      <w:tr>
        <w:trPr>
          <w:trHeight w:val="33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2.1 „Използване на продуктите на световната система за зонални прогнози (ССЗП)“, разпоредба 2.1.2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Тази разпоредба не е транспонирана в правилата на ЕС. В съответствие с това и като се отчита отлагането на прилагането на изменението на ИКАО (4 ноември 2021 г.), не съществуват изисквания летищните метеорологични служби да декодират получени от СЦЗП данни в кодовата форма IWXXM в стандартни таблици на ССЗП. </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MET.TR.215 на Регламент за изпълнение (ЕС) 2017/373 на Комисията не се посочват изрични разпоредби във връзка с използването на продуктите на ССЗП, използвани за изготвянето на метеорологичната информация, предоставяна за полетната документация. В това отношение не се предвижда промяна на Регламент (ЕС) 2017/373.</w:t>
            </w:r>
          </w:p>
        </w:tc>
      </w:tr>
      <w:tr>
        <w:trPr>
          <w:trHeight w:val="36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2.2 „Уведомяване на СЦЗП за значими несъответствия“, разпоредба 2.2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и като се отчита отлагането на прилагането на изменението на ИКАО (4 ноември 2021 г.), не съществуват изисквания летищните метеорологични служби, които използват данни в кодовата форма IWXXM, получени от съответния СЦЗП, да уведомяват за значими несъответствия.</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бъдат включени изисквания доставчикът на метеорологично обслужване (не само летищните метеорологични служби) да уведомява съответния СЦЗП за значими несъответствия при използването на данни в кодовата форма IWXXM в съответствие с изменение 79 на ИКАО.</w:t>
            </w:r>
          </w:p>
        </w:tc>
      </w:tr>
      <w:tr>
        <w:trPr>
          <w:trHeight w:val="38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Таблица A2-1 „Образец за консултативно съобщение за вулканична пепел“</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В правилата на ЕС образецът не включва разпоредби за посочване на „UNKNOWN“ в раздела „Държава/регион“ на консултативното съобщение.  Не е включено посочване на „SFC“ височина (на повърхност) и „UNKNOWN“ в раздела „Височина на вулкана“.  Не са включени примери и бележки под линия във връзка със „ЗАДЪРЖАЛА СЕ В АТМОСФЕРАТА“ вулканична пепел. </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бъдат включени разпоредбите за посочване на „UNKNOWN“ в раздела „Държава/регион“; на „SFC“ височина (на повърхност) и „UNKNOWN“ в раздела „Височина на вулкана“; и примери във връзка със „ЗАДЪРЖАЛА СЕ В АТМОСФЕРАТА“ вулканична пепел в съответствие с изменение 79 на ИКАО.</w:t>
            </w:r>
          </w:p>
        </w:tc>
      </w:tr>
      <w:tr>
        <w:trPr>
          <w:trHeight w:val="21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Пример A2-1 „Образец за консултативно съобщение за вулканична пепел“</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В правилата на ЕС в примера не е включена промяната на „референтния номер на вулкана“.  </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в примера да бъде включена промяната на „референтния номер на вулкана“ в съответствие с изменение 79 на ИКАО.</w:t>
            </w:r>
          </w:p>
        </w:tc>
      </w:tr>
      <w:tr>
        <w:trPr>
          <w:trHeight w:val="36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Таблица A2-2 „Образец за консултативно съобщение за тропичен циклон“</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образецът не включва:</w:t>
            </w:r>
          </w:p>
          <w:p>
            <w:pPr>
              <w:pStyle w:val="Body"/>
              <w:spacing w:after="0" w:line="240" w:lineRule="auto"/>
              <w:jc w:val="both"/>
              <w:rPr>
                <w:noProof/>
              </w:rPr>
            </w:pPr>
            <w:r>
              <w:rPr>
                <w:noProof/>
              </w:rPr>
              <w:t>1) разпоредби за включване на промяната в интензивността към момента на наблюдението на тропичния циклон;</w:t>
            </w:r>
          </w:p>
          <w:p>
            <w:pPr>
              <w:pStyle w:val="Body"/>
              <w:spacing w:after="0" w:line="240" w:lineRule="auto"/>
              <w:jc w:val="both"/>
              <w:rPr>
                <w:noProof/>
              </w:rPr>
            </w:pPr>
            <w:r>
              <w:rPr>
                <w:noProof/>
              </w:rPr>
              <w:t>2) опция „NIL“ по отношение на наблюдаван купесто-дъждовен облак.</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бъдат включени разпоредби за включване на промяната в интензивността към момента на наблюдението на тропичния циклон и включването на опция „NIL“ по отношение на наблюдаван купесто-дъждовен облак в съответствие с изменение 79 на ИКАО.</w:t>
            </w:r>
          </w:p>
        </w:tc>
      </w:tr>
      <w:tr>
        <w:trPr>
          <w:trHeight w:val="265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Пример A2-2 „Консултативно съобщение за тропичен циклон“</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актуализираният пример не включва точката за отбелязване на промяната в интензивността към момента на наблюдението на тропичния циклон.</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бъде включена точката за отбелязване на промяната в интензивността към момента на наблюдението на тропичния циклон в съответствие с изменение 79 на ИКАО.</w:t>
            </w:r>
          </w:p>
        </w:tc>
      </w:tr>
      <w:tr>
        <w:trPr>
          <w:trHeight w:val="21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2; Таблица A2-3 „Образец за консултативно съобщение за информация за метеорологични явления в космическото пространство“</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понастоящем не е включена функцията на центровете за метеорологични явления в космическото пространство и съответно таблица A2-3.</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ЕААБ ще продължи да наблюдава развитията в разпоредбата относно метеорологичните явления в космическото пространство. Към настоящия момент не се предвижда график за включване на функцията на центровете за метеорологични явления в космическото пространство в правилата на ЕС.</w:t>
            </w:r>
          </w:p>
        </w:tc>
      </w:tr>
      <w:tr>
        <w:trPr>
          <w:trHeight w:val="21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3, изменение 79, допълнение 3; Таблица A3-2 „Образец за консултативно съобщение за METAR и SPECI“</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В правилата на ЕС не е включено изрично използването на наклонена черта („/“) като индикатор за „липсващи данни“.</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Планира се до третото тримесечие на 2021 г. да бъде прието изменение на Регламент (ЕС) 2017/373, когато ще е обмислено дали в правилата на ЕС да бъде включено използването на наклонена черта („/“) като индикатор за „липсващи данни“ в контекста на ЕС.</w:t>
            </w:r>
          </w:p>
        </w:tc>
      </w:tr>
      <w:tr>
        <w:trPr>
          <w:trHeight w:val="45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3, изменение 79, допълнение 4; 2.6 „Турбулентност“, разпоредба 2.6.2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Глава 5 и приложение 4 към приложение 3 на ИКАО не са транспонирани в законодателството на ЕС.</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Разпоредбите относно съобщаването на турбулентност във връзка със „загубите от завихряне“ (EDR) ще бъдат обхванати от Регламент за изпълнение (ЕС) 923/2012 на Комисията (SERA — Стандартизирани европейски правила за полети), в който се посочват наблюдения на въздухоплавателни средства и доклади чрез гласова връзка в рамките на задача за разработване на правила 0476 „Редовна актуализация на SERA“. Разпоредбите относно връзката чрез линия за предаване на данни също ще бъдат проучени в рамките на бъдещата задача, свързана с операциите по осъществяване на линия за предаване на данни.</w:t>
            </w:r>
          </w:p>
        </w:tc>
      </w:tr>
      <w:tr>
        <w:trPr>
          <w:trHeight w:val="457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4; 2.6 „Турбулентност“, разпоредба 2.6.3</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Глава 5 и приложение 4 към приложение 3 на ИКАО не са транспонирани в законодателството на ЕС.</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Разпоредбите относно съобщаването на турбулентност във връзка със „загубите от завихряне“ (EDR) ще бъдат обхванати от Регламент за изпълнение (ЕС) 923/2012 на Комисията (SERA — Стандартизирани европейски правила за полети), в който се посочват наблюдения на въздухоплавателни средства и доклади чрез гласова връзка в рамките на задача за разработване на правила 0476 „Редовна актуализация на SERA“. Разпоредбите относно връзката чрез линия за предаване на данни също ще бъдат проучени в рамките на бъдещата задача, свързана с операциите по осъществяване на линия за предаване на данни.</w:t>
            </w:r>
          </w:p>
        </w:tc>
      </w:tr>
      <w:tr>
        <w:trPr>
          <w:trHeight w:val="433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ПРИЛОЖЕНИЕ 3, изменение 79, допълнение 4; Таблица A4-1 „Образец за специален доклад от въздухоплавателно средство“ (низходяща посока на предаване)</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Глава 5 и приложение 4 към приложение 3 на ИКАО не са транспонирани в законодателството на ЕС.</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Разпоредбите относно съобщаването на силни прашни бури ще бъдат обхванати от Регламент за изпълнение (ЕС) 923/2012 на Комисията (SERA — Стандартизирани европейски правила за полети), в който се посочват наблюдения на въздухоплавателни средства и доклади чрез гласова връзка в рамките на задача за разработване на правила 0476 „Редовна актуализация на SERA“. Разпоредбите относно връзката чрез линия за предаване на данни също ще бъдат проучени в рамките на бъдещата задача, свързана с операциите по осъществяване на линия за предаване на данни.</w:t>
            </w:r>
          </w:p>
        </w:tc>
      </w:tr>
      <w:tr>
        <w:trPr>
          <w:trHeight w:val="28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ПРИЛОЖЕНИЕ 3, изменение 79, допълнение 5; 4.4 „Обмен и разпространение на зонални прогнози за полети на малки височини“, нова разпоредба 4.4.2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В правилата на ЕС не се посочва разпространението на зонални прогнози за полети на малки височини към аеронавигационното неподвижно обслужване, базирано в интернет.</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бъде включено разпространението на зонални прогнози за полети на малки височини към аеронавигационното неподвижно обслужване, базирано в интернет, в съответствие с изменение 79 на ИКАО.</w:t>
            </w:r>
          </w:p>
        </w:tc>
      </w:tr>
      <w:tr>
        <w:trPr>
          <w:trHeight w:val="28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ПРИЛОЖЕНИЕ 3, изменение 79, допълнение 6; 4.2 „Критерии във връзка с явления, включително в съобщения SIGMET и AIRMET и специални доклади от въздухоплавателни средства“ (възходяща посока на предаване), нова разпоредба 4.2.6</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В правилата на ЕС долните прагове за силна и умерена турбулентност са съответно 0,7 и 0,4.</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Планира се до третото тримесечие на 2021 г. да бъде прието изменение на Регламент (ЕС) 2017/373, когато се очаква долните прагове за силна и умерена турбулентност да бъдат променени съответно на 0,45 и 0,20 в съответствие с изменение 79 на ИКАО.</w:t>
            </w:r>
          </w:p>
        </w:tc>
      </w:tr>
      <w:tr>
        <w:trPr>
          <w:trHeight w:val="439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ПРИЛОЖЕНИЕ 3, изменение 79, допълнение 6; Таблица A6-1A „Образец за SIGMET и AIRMET“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В правилата на ЕС не са включени разпоредби за:</w:t>
            </w:r>
          </w:p>
          <w:p>
            <w:pPr>
              <w:pStyle w:val="Body"/>
              <w:spacing w:before="100" w:after="100" w:line="240" w:lineRule="auto"/>
              <w:jc w:val="both"/>
              <w:rPr>
                <w:noProof/>
              </w:rPr>
            </w:pPr>
            <w:r>
              <w:rPr>
                <w:noProof/>
              </w:rPr>
              <w:t>1) идентифициране на купесто-дъждовни облаци спрямо позицията на прогнозиран тропичен циклон и свързаните с това бележки под линия; както и</w:t>
            </w:r>
          </w:p>
          <w:p>
            <w:pPr>
              <w:pStyle w:val="Body"/>
              <w:spacing w:before="100" w:after="100" w:line="240" w:lineRule="auto"/>
              <w:jc w:val="both"/>
              <w:rPr>
                <w:noProof/>
              </w:rPr>
            </w:pPr>
            <w:r>
              <w:rPr>
                <w:noProof/>
              </w:rPr>
              <w:t>2) преразглеждане на бележките под линия във връзка със SIGMET за радиоактивни облаци.</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before="100" w:after="10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бъдат включени разпоредбите за:</w:t>
            </w:r>
          </w:p>
          <w:p>
            <w:pPr>
              <w:pStyle w:val="Body"/>
              <w:spacing w:before="100" w:after="100" w:line="240" w:lineRule="auto"/>
              <w:jc w:val="both"/>
              <w:rPr>
                <w:noProof/>
              </w:rPr>
            </w:pPr>
            <w:r>
              <w:rPr>
                <w:noProof/>
              </w:rPr>
              <w:t>1) идентифициране на купесто-дъждовни облаци спрямо позицията на прогнозиран тропичен циклон и свързаните с това бележки под линия; както и</w:t>
            </w:r>
          </w:p>
          <w:p>
            <w:pPr>
              <w:pStyle w:val="Body"/>
              <w:spacing w:before="100" w:after="100" w:line="240" w:lineRule="auto"/>
              <w:jc w:val="both"/>
              <w:rPr>
                <w:noProof/>
              </w:rPr>
            </w:pPr>
            <w:r>
              <w:rPr>
                <w:noProof/>
              </w:rPr>
              <w:t>2) преразглеждане на бележките под линия във връзка със SIGMET за радиоактивни облаци</w:t>
            </w:r>
          </w:p>
          <w:p>
            <w:pPr>
              <w:pStyle w:val="Body"/>
              <w:spacing w:before="100" w:after="100" w:line="240" w:lineRule="auto"/>
              <w:jc w:val="both"/>
              <w:rPr>
                <w:noProof/>
              </w:rPr>
            </w:pPr>
            <w:r>
              <w:rPr>
                <w:noProof/>
              </w:rPr>
              <w:t>в съответствие с изменение 79 на ИКАО.</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6; Таблица A6-1B „Образец за специален доклад от въздухоплавателно средство“ (възходяща посока на предаване)</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w:t>
            </w:r>
          </w:p>
          <w:p>
            <w:pPr>
              <w:pStyle w:val="Body"/>
              <w:spacing w:after="0" w:line="240" w:lineRule="auto"/>
              <w:jc w:val="both"/>
              <w:rPr>
                <w:noProof/>
              </w:rPr>
            </w:pPr>
            <w:r>
              <w:rPr>
                <w:noProof/>
              </w:rPr>
              <w:t>1) не са включени „силни прашни бури“ (HVY DS); както и</w:t>
            </w:r>
          </w:p>
          <w:p>
            <w:pPr>
              <w:pStyle w:val="Body"/>
              <w:spacing w:after="0" w:line="240" w:lineRule="auto"/>
              <w:jc w:val="both"/>
              <w:rPr>
                <w:noProof/>
              </w:rPr>
            </w:pPr>
            <w:r>
              <w:rPr>
                <w:noProof/>
              </w:rPr>
              <w:t>2) не е включено въвеждането на уточнението „Наблюдавано“ във връзка с „Място“ и „Ниво“.</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ще е обмислено дали е целесъобразно в Регламент (ЕС) 2017/373 да бъдат включени специалните доклади от въздухоплавателни средства (възходяща посока на предаване) в контекста на операциите в ЕС.</w:t>
            </w:r>
          </w:p>
        </w:tc>
      </w:tr>
      <w:tr>
        <w:trPr>
          <w:trHeight w:val="24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6; Пример A6-4 „Съобщение SIGMET за радиоактивен облак“</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не е прието формулираното от ИКАО съобщение SIGMET за радиоактивен облак.</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се очаква да бъде включено формулираното от ИКАО съобщение SIGMET за радиоактивен облак в съответствие с изменение 79 на ИКАО.</w:t>
            </w:r>
          </w:p>
        </w:tc>
      </w:tr>
      <w:tr>
        <w:trPr>
          <w:trHeight w:val="12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8; 2.2 „Формат на информация относно значими метеорологични явления“, разпоредба 2.2.1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това отношение в правилата на ЕС не се прави разграничение между предполетно планиране и изменение на плана по време на полет.</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това отношение не се предвижда промяна на Регламент (ЕС) 2017/373.</w:t>
            </w:r>
          </w:p>
        </w:tc>
      </w:tr>
      <w:tr>
        <w:trPr>
          <w:trHeight w:val="3610"/>
        </w:trPr>
        <w:tc>
          <w:tcPr>
            <w:tcW w:w="26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ПРИЛОЖЕНИЕ 3, изменение 79, допълнение 8; 2.2 „Формат на информация относно значими метеорологични явления“, разпоредба 2.2.2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9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и като се отчита отлагането на прилагането (4 ноември 2021 г.), не е включена препоръката информацията относно значими метеорологични явления, предоставяна от СЦЗП, да бъде в кодовата форма IWXXM.</w:t>
            </w:r>
          </w:p>
        </w:tc>
        <w:tc>
          <w:tcPr>
            <w:tcW w:w="31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до третото тримесечие на 2021 г. да бъде прието изменение на Регламент (ЕС) 2017/373, когато — като се признава отлагането на прилагането (4 ноември 2021 г.) — се очаква да бъде включена препоръката информацията относно значими метеорологични явления, предоставяна от СЦЗП, да бъде в кодовата форма IWXXM в съответствие с изменение 79 на ИКАО.</w:t>
            </w:r>
          </w:p>
        </w:tc>
      </w:tr>
    </w:tbl>
    <w:p>
      <w:pPr>
        <w:pStyle w:val="Heading2"/>
        <w:numPr>
          <w:ilvl w:val="1"/>
          <w:numId w:val="8"/>
        </w:numPr>
        <w:ind w:left="850" w:hanging="850"/>
        <w:rPr>
          <w:rFonts w:eastAsia="Arial Unicode MS"/>
          <w:noProof/>
        </w:rPr>
      </w:pPr>
      <w:r>
        <w:rPr>
          <w:noProof/>
        </w:rPr>
        <w:t>Изменения</w:t>
      </w:r>
      <w:r>
        <w:rPr>
          <w:noProof/>
        </w:rPr>
        <w:t xml:space="preserve"> 44, 37, 23 </w:t>
      </w:r>
      <w:r>
        <w:rPr>
          <w:noProof/>
        </w:rPr>
        <w:t>съответно</w:t>
      </w:r>
      <w:r>
        <w:rPr>
          <w:noProof/>
        </w:rPr>
        <w:t xml:space="preserve"> </w:t>
      </w:r>
      <w:r>
        <w:rPr>
          <w:noProof/>
        </w:rPr>
        <w:t>на</w:t>
      </w:r>
      <w:r>
        <w:rPr>
          <w:noProof/>
        </w:rPr>
        <w:t xml:space="preserve"> </w:t>
      </w:r>
      <w:r>
        <w:rPr>
          <w:noProof/>
        </w:rPr>
        <w:t>части</w:t>
      </w:r>
      <w:r>
        <w:rPr>
          <w:noProof/>
        </w:rPr>
        <w:t xml:space="preserve"> I, II </w:t>
      </w:r>
      <w:r>
        <w:rPr>
          <w:noProof/>
        </w:rPr>
        <w:t>и</w:t>
      </w:r>
      <w:r>
        <w:rPr>
          <w:noProof/>
        </w:rPr>
        <w:t xml:space="preserve"> III </w:t>
      </w:r>
      <w:r>
        <w:rPr>
          <w:noProof/>
        </w:rPr>
        <w:t>от</w:t>
      </w:r>
      <w:r>
        <w:rPr>
          <w:noProof/>
        </w:rPr>
        <w:t xml:space="preserve"> </w:t>
      </w:r>
      <w:r>
        <w:rPr>
          <w:noProof/>
        </w:rPr>
        <w:t>приложение</w:t>
      </w:r>
      <w:r>
        <w:rPr>
          <w:noProof/>
        </w:rPr>
        <w:t xml:space="preserve"> 6 </w:t>
      </w:r>
      <w:r>
        <w:rPr>
          <w:noProof/>
        </w:rPr>
        <w:t>относно</w:t>
      </w:r>
      <w:r>
        <w:rPr>
          <w:noProof/>
        </w:rPr>
        <w:t xml:space="preserve"> </w:t>
      </w:r>
      <w:r>
        <w:rPr>
          <w:noProof/>
        </w:rPr>
        <w:t>експлоатацията</w:t>
      </w:r>
      <w:r>
        <w:rPr>
          <w:noProof/>
        </w:rPr>
        <w:t xml:space="preserve"> </w:t>
      </w:r>
      <w:r>
        <w:rPr>
          <w:noProof/>
        </w:rPr>
        <w:t>на</w:t>
      </w:r>
      <w:r>
        <w:rPr>
          <w:noProof/>
        </w:rPr>
        <w:t xml:space="preserve"> </w:t>
      </w:r>
      <w:r>
        <w:rPr>
          <w:noProof/>
        </w:rPr>
        <w:t>въздухоплавателни</w:t>
      </w:r>
      <w:r>
        <w:rPr>
          <w:noProof/>
        </w:rPr>
        <w:t xml:space="preserve"> </w:t>
      </w:r>
      <w:r>
        <w:rPr>
          <w:noProof/>
        </w:rPr>
        <w:t>средства</w:t>
      </w:r>
      <w:r>
        <w:rPr>
          <w:noProof/>
        </w:rPr>
        <w:t xml:space="preserve">  </w:t>
      </w:r>
    </w:p>
    <w:p>
      <w:pPr>
        <w:pStyle w:val="Heading3"/>
        <w:numPr>
          <w:ilvl w:val="2"/>
          <w:numId w:val="8"/>
        </w:numPr>
        <w:ind w:left="850" w:hanging="850"/>
        <w:rPr>
          <w:rFonts w:eastAsia="Arial Unicode MS"/>
          <w:noProof/>
        </w:rPr>
      </w:pPr>
      <w:r>
        <w:rPr>
          <w:noProof/>
        </w:rPr>
        <w:t>Описание</w:t>
      </w:r>
    </w:p>
    <w:p>
      <w:pPr>
        <w:pStyle w:val="Text1"/>
        <w:ind w:left="0"/>
        <w:rPr>
          <w:noProof/>
        </w:rPr>
      </w:pPr>
      <w:r>
        <w:rPr>
          <w:noProof/>
        </w:rPr>
        <w:t>Изменение</w:t>
      </w:r>
      <w:r>
        <w:rPr>
          <w:noProof/>
        </w:rPr>
        <w:t xml:space="preserve"> 44 </w:t>
      </w:r>
      <w:r>
        <w:rPr>
          <w:noProof/>
        </w:rPr>
        <w:t>на</w:t>
      </w:r>
      <w:r>
        <w:rPr>
          <w:noProof/>
        </w:rPr>
        <w:t xml:space="preserve"> </w:t>
      </w:r>
      <w:r>
        <w:rPr>
          <w:noProof/>
        </w:rPr>
        <w:t>приложение</w:t>
      </w:r>
      <w:r>
        <w:rPr>
          <w:noProof/>
        </w:rPr>
        <w:t xml:space="preserve"> 6, </w:t>
      </w:r>
      <w:r>
        <w:rPr>
          <w:noProof/>
        </w:rPr>
        <w:t>част</w:t>
      </w:r>
      <w:r>
        <w:rPr>
          <w:noProof/>
        </w:rPr>
        <w:t xml:space="preserve"> I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зоните</w:t>
      </w:r>
      <w:r>
        <w:rPr>
          <w:noProof/>
        </w:rPr>
        <w:t xml:space="preserve"> </w:t>
      </w:r>
      <w:r>
        <w:rPr>
          <w:noProof/>
        </w:rPr>
        <w:t>на</w:t>
      </w:r>
      <w:r>
        <w:rPr>
          <w:noProof/>
        </w:rPr>
        <w:t xml:space="preserve"> </w:t>
      </w:r>
      <w:r>
        <w:rPr>
          <w:noProof/>
        </w:rPr>
        <w:t>конфликти</w:t>
      </w:r>
      <w:r>
        <w:rPr>
          <w:noProof/>
        </w:rPr>
        <w:t xml:space="preserve">, </w:t>
      </w:r>
      <w:r>
        <w:rPr>
          <w:noProof/>
        </w:rPr>
        <w:t>експлоатацията</w:t>
      </w:r>
      <w:r>
        <w:rPr>
          <w:noProof/>
        </w:rPr>
        <w:t xml:space="preserve"> </w:t>
      </w:r>
      <w:r>
        <w:rPr>
          <w:noProof/>
        </w:rPr>
        <w:t>при</w:t>
      </w:r>
      <w:r>
        <w:rPr>
          <w:noProof/>
        </w:rPr>
        <w:t xml:space="preserve"> </w:t>
      </w:r>
      <w:r>
        <w:rPr>
          <w:noProof/>
        </w:rPr>
        <w:t>всякакви</w:t>
      </w:r>
      <w:r>
        <w:rPr>
          <w:noProof/>
        </w:rPr>
        <w:t xml:space="preserve"> </w:t>
      </w:r>
      <w:r>
        <w:rPr>
          <w:noProof/>
        </w:rPr>
        <w:t>метеорологични</w:t>
      </w:r>
      <w:r>
        <w:rPr>
          <w:noProof/>
        </w:rPr>
        <w:t xml:space="preserve"> </w:t>
      </w:r>
      <w:r>
        <w:rPr>
          <w:noProof/>
        </w:rPr>
        <w:t>условия</w:t>
      </w:r>
      <w:r>
        <w:rPr>
          <w:noProof/>
        </w:rPr>
        <w:t xml:space="preserve">, </w:t>
      </w:r>
      <w:r>
        <w:rPr>
          <w:noProof/>
        </w:rPr>
        <w:t>хармонизирането</w:t>
      </w:r>
      <w:r>
        <w:rPr>
          <w:noProof/>
        </w:rPr>
        <w:t xml:space="preserve"> </w:t>
      </w:r>
      <w:r>
        <w:rPr>
          <w:noProof/>
        </w:rPr>
        <w:t>на</w:t>
      </w:r>
      <w:r>
        <w:rPr>
          <w:noProof/>
        </w:rPr>
        <w:t xml:space="preserve"> </w:t>
      </w:r>
      <w:r>
        <w:rPr>
          <w:noProof/>
        </w:rPr>
        <w:t>условията</w:t>
      </w:r>
      <w:r>
        <w:rPr>
          <w:noProof/>
        </w:rPr>
        <w:t xml:space="preserve"> </w:t>
      </w:r>
      <w:r>
        <w:rPr>
          <w:noProof/>
        </w:rPr>
        <w:t>за</w:t>
      </w:r>
      <w:r>
        <w:rPr>
          <w:noProof/>
        </w:rPr>
        <w:t xml:space="preserve"> </w:t>
      </w:r>
      <w:r>
        <w:rPr>
          <w:noProof/>
        </w:rPr>
        <w:t>разрешения</w:t>
      </w:r>
      <w:r>
        <w:rPr>
          <w:noProof/>
        </w:rPr>
        <w:t xml:space="preserve">, </w:t>
      </w:r>
      <w:r>
        <w:rPr>
          <w:noProof/>
        </w:rPr>
        <w:t>приемане</w:t>
      </w:r>
      <w:r>
        <w:rPr>
          <w:noProof/>
        </w:rPr>
        <w:t xml:space="preserve"> </w:t>
      </w:r>
      <w:r>
        <w:rPr>
          <w:noProof/>
        </w:rPr>
        <w:t>и</w:t>
      </w:r>
      <w:r>
        <w:rPr>
          <w:noProof/>
        </w:rPr>
        <w:t xml:space="preserve"> </w:t>
      </w:r>
      <w:r>
        <w:rPr>
          <w:noProof/>
        </w:rPr>
        <w:t>одобрения</w:t>
      </w:r>
      <w:r>
        <w:rPr>
          <w:noProof/>
        </w:rPr>
        <w:t xml:space="preserve"> (AAA), </w:t>
      </w:r>
      <w:r>
        <w:rPr>
          <w:noProof/>
        </w:rPr>
        <w:t>товарното</w:t>
      </w:r>
      <w:r>
        <w:rPr>
          <w:noProof/>
        </w:rPr>
        <w:t xml:space="preserve"> </w:t>
      </w:r>
      <w:r>
        <w:rPr>
          <w:noProof/>
        </w:rPr>
        <w:t>отделение</w:t>
      </w:r>
      <w:r>
        <w:rPr>
          <w:noProof/>
        </w:rPr>
        <w:t xml:space="preserve">, </w:t>
      </w:r>
      <w:r>
        <w:rPr>
          <w:noProof/>
        </w:rPr>
        <w:t>системата</w:t>
      </w:r>
      <w:r>
        <w:rPr>
          <w:noProof/>
        </w:rPr>
        <w:t xml:space="preserve"> </w:t>
      </w:r>
      <w:r>
        <w:rPr>
          <w:noProof/>
        </w:rPr>
        <w:t>за</w:t>
      </w:r>
      <w:r>
        <w:rPr>
          <w:noProof/>
        </w:rPr>
        <w:t xml:space="preserve"> </w:t>
      </w:r>
      <w:r>
        <w:rPr>
          <w:noProof/>
        </w:rPr>
        <w:t>предупреждение</w:t>
      </w:r>
      <w:r>
        <w:rPr>
          <w:noProof/>
        </w:rPr>
        <w:t xml:space="preserve"> </w:t>
      </w:r>
      <w:r>
        <w:rPr>
          <w:noProof/>
        </w:rPr>
        <w:t>за</w:t>
      </w:r>
      <w:r>
        <w:rPr>
          <w:noProof/>
        </w:rPr>
        <w:t xml:space="preserve"> </w:t>
      </w:r>
      <w:r>
        <w:rPr>
          <w:noProof/>
        </w:rPr>
        <w:t>опасно</w:t>
      </w:r>
      <w:r>
        <w:rPr>
          <w:noProof/>
        </w:rPr>
        <w:t xml:space="preserve"> </w:t>
      </w:r>
      <w:r>
        <w:rPr>
          <w:noProof/>
        </w:rPr>
        <w:t>сближение</w:t>
      </w:r>
      <w:r>
        <w:rPr>
          <w:noProof/>
        </w:rPr>
        <w:t xml:space="preserve"> </w:t>
      </w:r>
      <w:r>
        <w:rPr>
          <w:noProof/>
        </w:rPr>
        <w:t>със</w:t>
      </w:r>
      <w:r>
        <w:rPr>
          <w:noProof/>
        </w:rPr>
        <w:t xml:space="preserve"> </w:t>
      </w:r>
      <w:r>
        <w:rPr>
          <w:noProof/>
        </w:rPr>
        <w:t>земята</w:t>
      </w:r>
      <w:r>
        <w:rPr>
          <w:noProof/>
        </w:rPr>
        <w:t xml:space="preserve"> (GPWS), </w:t>
      </w:r>
      <w:r>
        <w:rPr>
          <w:noProof/>
        </w:rPr>
        <w:t>спасителните</w:t>
      </w:r>
      <w:r>
        <w:rPr>
          <w:noProof/>
        </w:rPr>
        <w:t xml:space="preserve"> </w:t>
      </w:r>
      <w:r>
        <w:rPr>
          <w:noProof/>
        </w:rPr>
        <w:t>жилетки</w:t>
      </w:r>
      <w:r>
        <w:rPr>
          <w:noProof/>
        </w:rPr>
        <w:t xml:space="preserve">, </w:t>
      </w:r>
      <w:r>
        <w:rPr>
          <w:noProof/>
        </w:rPr>
        <w:t>член</w:t>
      </w:r>
      <w:r>
        <w:rPr>
          <w:noProof/>
        </w:rPr>
        <w:t xml:space="preserve"> 83</w:t>
      </w:r>
      <w:r>
        <w:rPr>
          <w:noProof/>
        </w:rPr>
        <w:t>а</w:t>
      </w:r>
      <w:r>
        <w:rPr>
          <w:noProof/>
        </w:rPr>
        <w:t xml:space="preserve">, </w:t>
      </w:r>
      <w:r>
        <w:rPr>
          <w:noProof/>
        </w:rPr>
        <w:t>полетните</w:t>
      </w:r>
      <w:r>
        <w:rPr>
          <w:noProof/>
        </w:rPr>
        <w:t xml:space="preserve"> </w:t>
      </w:r>
      <w:r>
        <w:rPr>
          <w:noProof/>
        </w:rPr>
        <w:t>записващи</w:t>
      </w:r>
      <w:r>
        <w:rPr>
          <w:noProof/>
        </w:rPr>
        <w:t xml:space="preserve"> </w:t>
      </w:r>
      <w:r>
        <w:rPr>
          <w:noProof/>
        </w:rPr>
        <w:t>устройства</w:t>
      </w:r>
      <w:r>
        <w:rPr>
          <w:noProof/>
        </w:rPr>
        <w:t xml:space="preserve">, </w:t>
      </w:r>
      <w:r>
        <w:rPr>
          <w:noProof/>
        </w:rPr>
        <w:t>записването</w:t>
      </w:r>
      <w:r>
        <w:rPr>
          <w:noProof/>
        </w:rPr>
        <w:t xml:space="preserve"> </w:t>
      </w:r>
      <w:r>
        <w:rPr>
          <w:noProof/>
        </w:rPr>
        <w:t>на</w:t>
      </w:r>
      <w:r>
        <w:rPr>
          <w:noProof/>
        </w:rPr>
        <w:t xml:space="preserve"> </w:t>
      </w:r>
      <w:r>
        <w:rPr>
          <w:noProof/>
        </w:rPr>
        <w:t>комуникационни</w:t>
      </w:r>
      <w:r>
        <w:rPr>
          <w:noProof/>
        </w:rPr>
        <w:t xml:space="preserve"> </w:t>
      </w:r>
      <w:r>
        <w:rPr>
          <w:noProof/>
        </w:rPr>
        <w:t>съобщения</w:t>
      </w:r>
      <w:r>
        <w:rPr>
          <w:noProof/>
        </w:rPr>
        <w:t xml:space="preserve"> </w:t>
      </w:r>
      <w:r>
        <w:rPr>
          <w:noProof/>
        </w:rPr>
        <w:t>по</w:t>
      </w:r>
      <w:r>
        <w:rPr>
          <w:noProof/>
        </w:rPr>
        <w:t xml:space="preserve"> </w:t>
      </w:r>
      <w:r>
        <w:rPr>
          <w:noProof/>
        </w:rPr>
        <w:t>линия</w:t>
      </w:r>
      <w:r>
        <w:rPr>
          <w:noProof/>
        </w:rPr>
        <w:t xml:space="preserve"> </w:t>
      </w:r>
      <w:r>
        <w:rPr>
          <w:noProof/>
        </w:rPr>
        <w:t>за</w:t>
      </w:r>
      <w:r>
        <w:rPr>
          <w:noProof/>
        </w:rPr>
        <w:t xml:space="preserve"> </w:t>
      </w:r>
      <w:r>
        <w:rPr>
          <w:noProof/>
        </w:rPr>
        <w:t>предаване</w:t>
      </w:r>
      <w:r>
        <w:rPr>
          <w:noProof/>
        </w:rPr>
        <w:t xml:space="preserve"> </w:t>
      </w:r>
      <w:r>
        <w:rPr>
          <w:noProof/>
        </w:rPr>
        <w:t>на</w:t>
      </w:r>
      <w:r>
        <w:rPr>
          <w:noProof/>
        </w:rPr>
        <w:t xml:space="preserve"> </w:t>
      </w:r>
      <w:r>
        <w:rPr>
          <w:noProof/>
        </w:rPr>
        <w:t>данни</w:t>
      </w:r>
      <w:r>
        <w:rPr>
          <w:noProof/>
        </w:rPr>
        <w:t xml:space="preserve"> </w:t>
      </w:r>
      <w:r>
        <w:rPr>
          <w:noProof/>
        </w:rPr>
        <w:t>и</w:t>
      </w:r>
      <w:r>
        <w:rPr>
          <w:noProof/>
        </w:rPr>
        <w:t xml:space="preserve"> </w:t>
      </w:r>
      <w:r>
        <w:rPr>
          <w:noProof/>
        </w:rPr>
        <w:t>установяването</w:t>
      </w:r>
      <w:r>
        <w:rPr>
          <w:noProof/>
        </w:rPr>
        <w:t xml:space="preserve"> </w:t>
      </w:r>
      <w:r>
        <w:rPr>
          <w:noProof/>
        </w:rPr>
        <w:t>на</w:t>
      </w:r>
      <w:r>
        <w:rPr>
          <w:noProof/>
        </w:rPr>
        <w:t xml:space="preserve"> </w:t>
      </w:r>
      <w:r>
        <w:rPr>
          <w:noProof/>
        </w:rPr>
        <w:t>местоположението</w:t>
      </w:r>
      <w:r>
        <w:rPr>
          <w:noProof/>
        </w:rPr>
        <w:t xml:space="preserve"> </w:t>
      </w:r>
      <w:r>
        <w:rPr>
          <w:noProof/>
        </w:rPr>
        <w:t>на</w:t>
      </w:r>
      <w:r>
        <w:rPr>
          <w:noProof/>
        </w:rPr>
        <w:t xml:space="preserve"> </w:t>
      </w:r>
      <w:r>
        <w:rPr>
          <w:noProof/>
        </w:rPr>
        <w:t>въздухоплавателно</w:t>
      </w:r>
      <w:r>
        <w:rPr>
          <w:noProof/>
        </w:rPr>
        <w:t xml:space="preserve"> </w:t>
      </w:r>
      <w:r>
        <w:rPr>
          <w:noProof/>
        </w:rPr>
        <w:t>средство</w:t>
      </w:r>
      <w:r>
        <w:rPr>
          <w:noProof/>
        </w:rPr>
        <w:t xml:space="preserve"> </w:t>
      </w:r>
      <w:r>
        <w:rPr>
          <w:noProof/>
        </w:rPr>
        <w:t>в</w:t>
      </w:r>
      <w:r>
        <w:rPr>
          <w:noProof/>
        </w:rPr>
        <w:t xml:space="preserve"> </w:t>
      </w:r>
      <w:r>
        <w:rPr>
          <w:noProof/>
        </w:rPr>
        <w:t>бедствие</w:t>
      </w:r>
      <w:r>
        <w:rPr>
          <w:noProof/>
        </w:rPr>
        <w:t xml:space="preserve">. </w:t>
      </w:r>
    </w:p>
    <w:p>
      <w:pPr>
        <w:pStyle w:val="Text1"/>
        <w:ind w:left="0"/>
        <w:rPr>
          <w:noProof/>
        </w:rPr>
      </w:pPr>
      <w:r>
        <w:rPr>
          <w:noProof/>
        </w:rPr>
        <w:t>Изменение</w:t>
      </w:r>
      <w:r>
        <w:rPr>
          <w:noProof/>
        </w:rPr>
        <w:t xml:space="preserve"> 37 </w:t>
      </w:r>
      <w:r>
        <w:rPr>
          <w:noProof/>
        </w:rPr>
        <w:t>на</w:t>
      </w:r>
      <w:r>
        <w:rPr>
          <w:noProof/>
        </w:rPr>
        <w:t xml:space="preserve"> </w:t>
      </w:r>
      <w:r>
        <w:rPr>
          <w:noProof/>
        </w:rPr>
        <w:t>приложение</w:t>
      </w:r>
      <w:r>
        <w:rPr>
          <w:noProof/>
        </w:rPr>
        <w:t xml:space="preserve"> 6, </w:t>
      </w:r>
      <w:r>
        <w:rPr>
          <w:noProof/>
        </w:rPr>
        <w:t>част</w:t>
      </w:r>
      <w:r>
        <w:rPr>
          <w:noProof/>
        </w:rPr>
        <w:t xml:space="preserve"> II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експлоатацията</w:t>
      </w:r>
      <w:r>
        <w:rPr>
          <w:noProof/>
        </w:rPr>
        <w:t xml:space="preserve"> </w:t>
      </w:r>
      <w:r>
        <w:rPr>
          <w:noProof/>
        </w:rPr>
        <w:t>при</w:t>
      </w:r>
      <w:r>
        <w:rPr>
          <w:noProof/>
        </w:rPr>
        <w:t xml:space="preserve"> </w:t>
      </w:r>
      <w:r>
        <w:rPr>
          <w:noProof/>
        </w:rPr>
        <w:t>всякакви</w:t>
      </w:r>
      <w:r>
        <w:rPr>
          <w:noProof/>
        </w:rPr>
        <w:t xml:space="preserve"> </w:t>
      </w:r>
      <w:r>
        <w:rPr>
          <w:noProof/>
        </w:rPr>
        <w:t>метеорологични</w:t>
      </w:r>
      <w:r>
        <w:rPr>
          <w:noProof/>
        </w:rPr>
        <w:t xml:space="preserve"> </w:t>
      </w:r>
      <w:r>
        <w:rPr>
          <w:noProof/>
        </w:rPr>
        <w:t>условия</w:t>
      </w:r>
      <w:r>
        <w:rPr>
          <w:noProof/>
        </w:rPr>
        <w:t xml:space="preserve">, </w:t>
      </w:r>
      <w:r>
        <w:rPr>
          <w:noProof/>
        </w:rPr>
        <w:t>хармонизирането</w:t>
      </w:r>
      <w:r>
        <w:rPr>
          <w:noProof/>
        </w:rPr>
        <w:t xml:space="preserve"> </w:t>
      </w:r>
      <w:r>
        <w:rPr>
          <w:noProof/>
        </w:rPr>
        <w:t>на</w:t>
      </w:r>
      <w:r>
        <w:rPr>
          <w:noProof/>
        </w:rPr>
        <w:t xml:space="preserve"> </w:t>
      </w:r>
      <w:r>
        <w:rPr>
          <w:noProof/>
        </w:rPr>
        <w:t>условията</w:t>
      </w:r>
      <w:r>
        <w:rPr>
          <w:noProof/>
        </w:rPr>
        <w:t xml:space="preserve"> </w:t>
      </w:r>
      <w:r>
        <w:rPr>
          <w:noProof/>
        </w:rPr>
        <w:t>за</w:t>
      </w:r>
      <w:r>
        <w:rPr>
          <w:noProof/>
        </w:rPr>
        <w:t xml:space="preserve"> </w:t>
      </w:r>
      <w:r>
        <w:rPr>
          <w:noProof/>
        </w:rPr>
        <w:t>разрешения</w:t>
      </w:r>
      <w:r>
        <w:rPr>
          <w:noProof/>
        </w:rPr>
        <w:t xml:space="preserve">, </w:t>
      </w:r>
      <w:r>
        <w:rPr>
          <w:noProof/>
        </w:rPr>
        <w:t>приемане</w:t>
      </w:r>
      <w:r>
        <w:rPr>
          <w:noProof/>
        </w:rPr>
        <w:t xml:space="preserve"> </w:t>
      </w:r>
      <w:r>
        <w:rPr>
          <w:noProof/>
        </w:rPr>
        <w:t>и</w:t>
      </w:r>
      <w:r>
        <w:rPr>
          <w:noProof/>
        </w:rPr>
        <w:t xml:space="preserve"> </w:t>
      </w:r>
      <w:r>
        <w:rPr>
          <w:noProof/>
        </w:rPr>
        <w:t>одобрения</w:t>
      </w:r>
      <w:r>
        <w:rPr>
          <w:noProof/>
        </w:rPr>
        <w:t xml:space="preserve"> (AAA), </w:t>
      </w:r>
      <w:r>
        <w:rPr>
          <w:noProof/>
        </w:rPr>
        <w:t>член</w:t>
      </w:r>
      <w:r>
        <w:rPr>
          <w:noProof/>
        </w:rPr>
        <w:t xml:space="preserve"> 83</w:t>
      </w:r>
      <w:r>
        <w:rPr>
          <w:noProof/>
        </w:rPr>
        <w:t>а</w:t>
      </w:r>
      <w:r>
        <w:rPr>
          <w:noProof/>
        </w:rPr>
        <w:t xml:space="preserve">, </w:t>
      </w:r>
      <w:r>
        <w:rPr>
          <w:noProof/>
        </w:rPr>
        <w:t>полетните</w:t>
      </w:r>
      <w:r>
        <w:rPr>
          <w:noProof/>
        </w:rPr>
        <w:t xml:space="preserve"> </w:t>
      </w:r>
      <w:r>
        <w:rPr>
          <w:noProof/>
        </w:rPr>
        <w:t>записващи</w:t>
      </w:r>
      <w:r>
        <w:rPr>
          <w:noProof/>
        </w:rPr>
        <w:t xml:space="preserve"> </w:t>
      </w:r>
      <w:r>
        <w:rPr>
          <w:noProof/>
        </w:rPr>
        <w:t>устройства</w:t>
      </w:r>
      <w:r>
        <w:rPr>
          <w:noProof/>
        </w:rPr>
        <w:t xml:space="preserve"> </w:t>
      </w:r>
      <w:r>
        <w:rPr>
          <w:noProof/>
        </w:rPr>
        <w:t>и</w:t>
      </w:r>
      <w:r>
        <w:rPr>
          <w:noProof/>
        </w:rPr>
        <w:t xml:space="preserve"> </w:t>
      </w:r>
      <w:r>
        <w:rPr>
          <w:noProof/>
        </w:rPr>
        <w:t>записването</w:t>
      </w:r>
      <w:r>
        <w:rPr>
          <w:noProof/>
        </w:rPr>
        <w:t xml:space="preserve"> </w:t>
      </w:r>
      <w:r>
        <w:rPr>
          <w:noProof/>
        </w:rPr>
        <w:t>на</w:t>
      </w:r>
      <w:r>
        <w:rPr>
          <w:noProof/>
        </w:rPr>
        <w:t xml:space="preserve"> </w:t>
      </w:r>
      <w:r>
        <w:rPr>
          <w:noProof/>
        </w:rPr>
        <w:t>комуникационни</w:t>
      </w:r>
      <w:r>
        <w:rPr>
          <w:noProof/>
        </w:rPr>
        <w:t xml:space="preserve"> </w:t>
      </w:r>
      <w:r>
        <w:rPr>
          <w:noProof/>
        </w:rPr>
        <w:t>съобщения</w:t>
      </w:r>
      <w:r>
        <w:rPr>
          <w:noProof/>
        </w:rPr>
        <w:t xml:space="preserve"> </w:t>
      </w:r>
      <w:r>
        <w:rPr>
          <w:noProof/>
        </w:rPr>
        <w:t>по</w:t>
      </w:r>
      <w:r>
        <w:rPr>
          <w:noProof/>
        </w:rPr>
        <w:t xml:space="preserve"> </w:t>
      </w:r>
      <w:r>
        <w:rPr>
          <w:noProof/>
        </w:rPr>
        <w:t>линия</w:t>
      </w:r>
      <w:r>
        <w:rPr>
          <w:noProof/>
        </w:rPr>
        <w:t xml:space="preserve"> </w:t>
      </w:r>
      <w:r>
        <w:rPr>
          <w:noProof/>
        </w:rPr>
        <w:t>за</w:t>
      </w:r>
      <w:r>
        <w:rPr>
          <w:noProof/>
        </w:rPr>
        <w:t xml:space="preserve"> </w:t>
      </w:r>
      <w:r>
        <w:rPr>
          <w:noProof/>
        </w:rPr>
        <w:t>предаване</w:t>
      </w:r>
      <w:r>
        <w:rPr>
          <w:noProof/>
        </w:rPr>
        <w:t xml:space="preserve"> </w:t>
      </w:r>
      <w:r>
        <w:rPr>
          <w:noProof/>
        </w:rPr>
        <w:t>на</w:t>
      </w:r>
      <w:r>
        <w:rPr>
          <w:noProof/>
        </w:rPr>
        <w:t xml:space="preserve"> </w:t>
      </w:r>
      <w:r>
        <w:rPr>
          <w:noProof/>
        </w:rPr>
        <w:t>данни</w:t>
      </w:r>
      <w:r>
        <w:rPr>
          <w:noProof/>
        </w:rPr>
        <w:t xml:space="preserve">. </w:t>
      </w:r>
    </w:p>
    <w:p>
      <w:pPr>
        <w:pStyle w:val="Text1"/>
        <w:ind w:left="0"/>
        <w:rPr>
          <w:noProof/>
        </w:rPr>
      </w:pPr>
      <w:r>
        <w:rPr>
          <w:noProof/>
        </w:rPr>
        <w:t>Изменение</w:t>
      </w:r>
      <w:r>
        <w:rPr>
          <w:noProof/>
        </w:rPr>
        <w:t xml:space="preserve"> 23 </w:t>
      </w:r>
      <w:r>
        <w:rPr>
          <w:noProof/>
        </w:rPr>
        <w:t>на</w:t>
      </w:r>
      <w:r>
        <w:rPr>
          <w:noProof/>
        </w:rPr>
        <w:t xml:space="preserve"> </w:t>
      </w:r>
      <w:r>
        <w:rPr>
          <w:noProof/>
        </w:rPr>
        <w:t>приложение</w:t>
      </w:r>
      <w:r>
        <w:rPr>
          <w:noProof/>
        </w:rPr>
        <w:t xml:space="preserve"> 6, </w:t>
      </w:r>
      <w:r>
        <w:rPr>
          <w:noProof/>
        </w:rPr>
        <w:t>част</w:t>
      </w:r>
      <w:r>
        <w:rPr>
          <w:noProof/>
        </w:rPr>
        <w:t xml:space="preserve"> III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експлоатацията</w:t>
      </w:r>
      <w:r>
        <w:rPr>
          <w:noProof/>
        </w:rPr>
        <w:t xml:space="preserve"> </w:t>
      </w:r>
      <w:r>
        <w:rPr>
          <w:noProof/>
        </w:rPr>
        <w:t>при</w:t>
      </w:r>
      <w:r>
        <w:rPr>
          <w:noProof/>
        </w:rPr>
        <w:t xml:space="preserve"> </w:t>
      </w:r>
      <w:r>
        <w:rPr>
          <w:noProof/>
        </w:rPr>
        <w:t>всякакви</w:t>
      </w:r>
      <w:r>
        <w:rPr>
          <w:noProof/>
        </w:rPr>
        <w:t xml:space="preserve"> </w:t>
      </w:r>
      <w:r>
        <w:rPr>
          <w:noProof/>
        </w:rPr>
        <w:t>метеорологични</w:t>
      </w:r>
      <w:r>
        <w:rPr>
          <w:noProof/>
        </w:rPr>
        <w:t xml:space="preserve"> </w:t>
      </w:r>
      <w:r>
        <w:rPr>
          <w:noProof/>
        </w:rPr>
        <w:t>условия</w:t>
      </w:r>
      <w:r>
        <w:rPr>
          <w:noProof/>
        </w:rPr>
        <w:t xml:space="preserve">, </w:t>
      </w:r>
      <w:r>
        <w:rPr>
          <w:noProof/>
        </w:rPr>
        <w:t>хармонизирането</w:t>
      </w:r>
      <w:r>
        <w:rPr>
          <w:noProof/>
        </w:rPr>
        <w:t xml:space="preserve"> </w:t>
      </w:r>
      <w:r>
        <w:rPr>
          <w:noProof/>
        </w:rPr>
        <w:t>на</w:t>
      </w:r>
      <w:r>
        <w:rPr>
          <w:noProof/>
        </w:rPr>
        <w:t xml:space="preserve"> </w:t>
      </w:r>
      <w:r>
        <w:rPr>
          <w:noProof/>
        </w:rPr>
        <w:t>условията</w:t>
      </w:r>
      <w:r>
        <w:rPr>
          <w:noProof/>
        </w:rPr>
        <w:t xml:space="preserve"> </w:t>
      </w:r>
      <w:r>
        <w:rPr>
          <w:noProof/>
        </w:rPr>
        <w:t>за</w:t>
      </w:r>
      <w:r>
        <w:rPr>
          <w:noProof/>
        </w:rPr>
        <w:t xml:space="preserve"> </w:t>
      </w:r>
      <w:r>
        <w:rPr>
          <w:noProof/>
        </w:rPr>
        <w:t>разрешения</w:t>
      </w:r>
      <w:r>
        <w:rPr>
          <w:noProof/>
        </w:rPr>
        <w:t xml:space="preserve">, </w:t>
      </w:r>
      <w:r>
        <w:rPr>
          <w:noProof/>
        </w:rPr>
        <w:t>приемане</w:t>
      </w:r>
      <w:r>
        <w:rPr>
          <w:noProof/>
        </w:rPr>
        <w:t xml:space="preserve"> </w:t>
      </w:r>
      <w:r>
        <w:rPr>
          <w:noProof/>
        </w:rPr>
        <w:t>и</w:t>
      </w:r>
      <w:r>
        <w:rPr>
          <w:noProof/>
        </w:rPr>
        <w:t xml:space="preserve"> </w:t>
      </w:r>
      <w:r>
        <w:rPr>
          <w:noProof/>
        </w:rPr>
        <w:t>одобрения</w:t>
      </w:r>
      <w:r>
        <w:rPr>
          <w:noProof/>
        </w:rPr>
        <w:t xml:space="preserve"> (AAA), </w:t>
      </w:r>
      <w:r>
        <w:rPr>
          <w:noProof/>
        </w:rPr>
        <w:t>член</w:t>
      </w:r>
      <w:r>
        <w:rPr>
          <w:noProof/>
        </w:rPr>
        <w:t xml:space="preserve"> 83</w:t>
      </w:r>
      <w:r>
        <w:rPr>
          <w:noProof/>
        </w:rPr>
        <w:t>а</w:t>
      </w:r>
      <w:r>
        <w:rPr>
          <w:noProof/>
        </w:rPr>
        <w:t xml:space="preserve">, </w:t>
      </w:r>
      <w:r>
        <w:rPr>
          <w:noProof/>
        </w:rPr>
        <w:t>разработването</w:t>
      </w:r>
      <w:r>
        <w:rPr>
          <w:noProof/>
        </w:rPr>
        <w:t xml:space="preserve"> </w:t>
      </w:r>
      <w:r>
        <w:rPr>
          <w:noProof/>
        </w:rPr>
        <w:t>на</w:t>
      </w:r>
      <w:r>
        <w:rPr>
          <w:noProof/>
        </w:rPr>
        <w:t xml:space="preserve"> </w:t>
      </w:r>
      <w:r>
        <w:rPr>
          <w:noProof/>
        </w:rPr>
        <w:t>кодекс</w:t>
      </w:r>
      <w:r>
        <w:rPr>
          <w:noProof/>
        </w:rPr>
        <w:t xml:space="preserve"> </w:t>
      </w:r>
      <w:r>
        <w:rPr>
          <w:noProof/>
        </w:rPr>
        <w:t>за</w:t>
      </w:r>
      <w:r>
        <w:rPr>
          <w:noProof/>
        </w:rPr>
        <w:t xml:space="preserve"> </w:t>
      </w:r>
      <w:r>
        <w:rPr>
          <w:noProof/>
        </w:rPr>
        <w:t>летателните</w:t>
      </w:r>
      <w:r>
        <w:rPr>
          <w:noProof/>
        </w:rPr>
        <w:t xml:space="preserve"> </w:t>
      </w:r>
      <w:r>
        <w:rPr>
          <w:noProof/>
        </w:rPr>
        <w:t>характеристики</w:t>
      </w:r>
      <w:r>
        <w:rPr>
          <w:noProof/>
        </w:rPr>
        <w:t xml:space="preserve"> </w:t>
      </w:r>
      <w:r>
        <w:rPr>
          <w:noProof/>
        </w:rPr>
        <w:t>на</w:t>
      </w:r>
      <w:r>
        <w:rPr>
          <w:noProof/>
        </w:rPr>
        <w:t xml:space="preserve"> </w:t>
      </w:r>
      <w:r>
        <w:rPr>
          <w:noProof/>
        </w:rPr>
        <w:t>вертолети</w:t>
      </w:r>
      <w:r>
        <w:rPr>
          <w:noProof/>
        </w:rPr>
        <w:t xml:space="preserve"> </w:t>
      </w:r>
      <w:r>
        <w:rPr>
          <w:noProof/>
        </w:rPr>
        <w:t>при</w:t>
      </w:r>
      <w:r>
        <w:rPr>
          <w:noProof/>
        </w:rPr>
        <w:t xml:space="preserve"> </w:t>
      </w:r>
      <w:r>
        <w:rPr>
          <w:noProof/>
        </w:rPr>
        <w:t>експозиция</w:t>
      </w:r>
      <w:r>
        <w:rPr>
          <w:noProof/>
        </w:rPr>
        <w:t xml:space="preserve"> </w:t>
      </w:r>
      <w:r>
        <w:rPr>
          <w:noProof/>
        </w:rPr>
        <w:t>на</w:t>
      </w:r>
      <w:r>
        <w:rPr>
          <w:noProof/>
        </w:rPr>
        <w:t xml:space="preserve"> </w:t>
      </w:r>
      <w:r>
        <w:rPr>
          <w:noProof/>
        </w:rPr>
        <w:t>риск</w:t>
      </w:r>
      <w:r>
        <w:rPr>
          <w:noProof/>
        </w:rPr>
        <w:t xml:space="preserve">, </w:t>
      </w:r>
      <w:r>
        <w:rPr>
          <w:noProof/>
        </w:rPr>
        <w:t>полетните</w:t>
      </w:r>
      <w:r>
        <w:rPr>
          <w:noProof/>
        </w:rPr>
        <w:t xml:space="preserve"> </w:t>
      </w:r>
      <w:r>
        <w:rPr>
          <w:noProof/>
        </w:rPr>
        <w:t>записващи</w:t>
      </w:r>
      <w:r>
        <w:rPr>
          <w:noProof/>
        </w:rPr>
        <w:t xml:space="preserve"> </w:t>
      </w:r>
      <w:r>
        <w:rPr>
          <w:noProof/>
        </w:rPr>
        <w:t>устройства</w:t>
      </w:r>
      <w:r>
        <w:rPr>
          <w:noProof/>
        </w:rPr>
        <w:t xml:space="preserve"> </w:t>
      </w:r>
      <w:r>
        <w:rPr>
          <w:noProof/>
        </w:rPr>
        <w:t>и</w:t>
      </w:r>
      <w:r>
        <w:rPr>
          <w:noProof/>
        </w:rPr>
        <w:t xml:space="preserve"> </w:t>
      </w:r>
      <w:r>
        <w:rPr>
          <w:noProof/>
        </w:rPr>
        <w:t>записването</w:t>
      </w:r>
      <w:r>
        <w:rPr>
          <w:noProof/>
        </w:rPr>
        <w:t xml:space="preserve"> </w:t>
      </w:r>
      <w:r>
        <w:rPr>
          <w:noProof/>
        </w:rPr>
        <w:t>на</w:t>
      </w:r>
      <w:r>
        <w:rPr>
          <w:noProof/>
        </w:rPr>
        <w:t xml:space="preserve"> </w:t>
      </w:r>
      <w:r>
        <w:rPr>
          <w:noProof/>
        </w:rPr>
        <w:t>комуникационни</w:t>
      </w:r>
      <w:r>
        <w:rPr>
          <w:noProof/>
        </w:rPr>
        <w:t xml:space="preserve"> </w:t>
      </w:r>
      <w:r>
        <w:rPr>
          <w:noProof/>
        </w:rPr>
        <w:t>съобщения</w:t>
      </w:r>
      <w:r>
        <w:rPr>
          <w:noProof/>
        </w:rPr>
        <w:t xml:space="preserve"> </w:t>
      </w:r>
      <w:r>
        <w:rPr>
          <w:noProof/>
        </w:rPr>
        <w:t>по</w:t>
      </w:r>
      <w:r>
        <w:rPr>
          <w:noProof/>
        </w:rPr>
        <w:t xml:space="preserve"> </w:t>
      </w:r>
      <w:r>
        <w:rPr>
          <w:noProof/>
        </w:rPr>
        <w:t>линия</w:t>
      </w:r>
      <w:r>
        <w:rPr>
          <w:noProof/>
        </w:rPr>
        <w:t xml:space="preserve"> </w:t>
      </w:r>
      <w:r>
        <w:rPr>
          <w:noProof/>
        </w:rPr>
        <w:t>за</w:t>
      </w:r>
      <w:r>
        <w:rPr>
          <w:noProof/>
        </w:rPr>
        <w:t xml:space="preserve"> </w:t>
      </w:r>
      <w:r>
        <w:rPr>
          <w:noProof/>
        </w:rPr>
        <w:t>предаване</w:t>
      </w:r>
      <w:r>
        <w:rPr>
          <w:noProof/>
        </w:rPr>
        <w:t xml:space="preserve"> </w:t>
      </w:r>
      <w:r>
        <w:rPr>
          <w:noProof/>
        </w:rPr>
        <w:t>на</w:t>
      </w:r>
      <w:r>
        <w:rPr>
          <w:noProof/>
        </w:rPr>
        <w:t xml:space="preserve"> </w:t>
      </w:r>
      <w:r>
        <w:rPr>
          <w:noProof/>
        </w:rPr>
        <w:t>данни</w:t>
      </w:r>
      <w:r>
        <w:rPr>
          <w:noProof/>
        </w:rPr>
        <w:t>.</w:t>
      </w:r>
    </w:p>
    <w:p>
      <w:pPr>
        <w:pStyle w:val="Heading3"/>
        <w:numPr>
          <w:ilvl w:val="2"/>
          <w:numId w:val="8"/>
        </w:numPr>
        <w:ind w:left="850" w:hanging="850"/>
        <w:rPr>
          <w:rFonts w:eastAsia="Arial Unicode MS"/>
          <w:noProof/>
        </w:rPr>
      </w:pPr>
      <w:r>
        <w:rPr>
          <w:noProof/>
        </w:rPr>
        <w:t>Приложимо</w:t>
      </w:r>
      <w:r>
        <w:rPr>
          <w:noProof/>
        </w:rPr>
        <w:t xml:space="preserve"> </w:t>
      </w:r>
      <w:r>
        <w:rPr>
          <w:noProof/>
        </w:rPr>
        <w:t>законодателство</w:t>
      </w:r>
      <w:r>
        <w:rPr>
          <w:noProof/>
        </w:rPr>
        <w:t xml:space="preserve"> </w:t>
      </w:r>
      <w:r>
        <w:rPr>
          <w:noProof/>
        </w:rPr>
        <w:t>на</w:t>
      </w:r>
      <w:r>
        <w:rPr>
          <w:noProof/>
        </w:rPr>
        <w:t xml:space="preserve"> </w:t>
      </w:r>
      <w:r>
        <w:rPr>
          <w:noProof/>
        </w:rPr>
        <w:t>Съюза</w:t>
      </w:r>
    </w:p>
    <w:p>
      <w:pPr>
        <w:pStyle w:val="Text1"/>
        <w:ind w:left="0"/>
        <w:rPr>
          <w:noProof/>
        </w:rPr>
      </w:pPr>
      <w:r>
        <w:rPr>
          <w:noProof/>
        </w:rPr>
        <w:t>Регламент</w:t>
      </w:r>
      <w:r>
        <w:rPr>
          <w:noProof/>
        </w:rPr>
        <w:t xml:space="preserve"> (</w:t>
      </w:r>
      <w:r>
        <w:rPr>
          <w:noProof/>
        </w:rPr>
        <w:t>ЕС</w:t>
      </w:r>
      <w:r>
        <w:rPr>
          <w:noProof/>
        </w:rPr>
        <w:t xml:space="preserve">) </w:t>
      </w:r>
      <w:r>
        <w:rPr>
          <w:noProof/>
        </w:rPr>
        <w:t>№ </w:t>
      </w:r>
      <w:r>
        <w:rPr>
          <w:noProof/>
        </w:rPr>
        <w:t xml:space="preserve">965/2012 </w:t>
      </w:r>
      <w:r>
        <w:rPr>
          <w:noProof/>
        </w:rPr>
        <w:t>на</w:t>
      </w:r>
      <w:r>
        <w:rPr>
          <w:noProof/>
        </w:rPr>
        <w:t xml:space="preserve"> </w:t>
      </w:r>
      <w:r>
        <w:rPr>
          <w:noProof/>
        </w:rPr>
        <w:t>Комисията</w:t>
      </w:r>
      <w:r>
        <w:rPr>
          <w:noProof/>
          <w:vertAlign w:val="superscript"/>
        </w:rPr>
        <w:footnoteReference w:id="5"/>
      </w:r>
    </w:p>
    <w:p>
      <w:pPr>
        <w:pStyle w:val="Heading3"/>
        <w:widowControl w:val="0"/>
        <w:numPr>
          <w:ilvl w:val="2"/>
          <w:numId w:val="8"/>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44 </w:t>
      </w:r>
      <w:r>
        <w:rPr>
          <w:noProof/>
        </w:rPr>
        <w:t>на</w:t>
      </w:r>
      <w:r>
        <w:rPr>
          <w:noProof/>
        </w:rPr>
        <w:t xml:space="preserve"> </w:t>
      </w:r>
      <w:r>
        <w:rPr>
          <w:noProof/>
        </w:rPr>
        <w:t>част</w:t>
      </w:r>
      <w:r>
        <w:rPr>
          <w:noProof/>
        </w:rPr>
        <w:t xml:space="preserve"> I </w:t>
      </w:r>
      <w:r>
        <w:rPr>
          <w:noProof/>
        </w:rPr>
        <w:t>от</w:t>
      </w:r>
      <w:r>
        <w:rPr>
          <w:noProof/>
        </w:rPr>
        <w:t xml:space="preserve"> </w:t>
      </w:r>
      <w:r>
        <w:rPr>
          <w:noProof/>
        </w:rPr>
        <w:t>приложение</w:t>
      </w:r>
      <w:r>
        <w:rPr>
          <w:noProof/>
        </w:rPr>
        <w:t xml:space="preserve"> 6</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Забележки</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4.2.8.1.1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Частично изпълнена. </w:t>
            </w:r>
          </w:p>
          <w:p>
            <w:pPr>
              <w:pStyle w:val="Body"/>
              <w:spacing w:after="0" w:line="240" w:lineRule="auto"/>
              <w:jc w:val="both"/>
              <w:rPr>
                <w:noProof/>
              </w:rPr>
            </w:pPr>
            <w:r>
              <w:rPr>
                <w:noProof/>
              </w:rPr>
              <w:t>За CVS (комбинирана визуална система) не се получават експлоатационни кредити.</w:t>
            </w:r>
          </w:p>
          <w:p>
            <w:pPr>
              <w:pStyle w:val="Body"/>
              <w:spacing w:line="240" w:lineRule="auto"/>
              <w:jc w:val="both"/>
              <w:rPr>
                <w:noProof/>
              </w:rPr>
            </w:pPr>
            <w:r>
              <w:rPr>
                <w:noProof/>
              </w:rPr>
              <w:t>Понастоящем Регламент (ЕС) № 965/2012 позволява експлоатационни кредити единствено за проекционни дисплеи (HUD) и усъвършенствани визуални системи (EVS).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4.2.8.2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Частично изпълнена. </w:t>
            </w:r>
          </w:p>
          <w:p>
            <w:pPr>
              <w:pStyle w:val="Body"/>
              <w:spacing w:after="0" w:line="240" w:lineRule="auto"/>
              <w:jc w:val="both"/>
              <w:rPr>
                <w:noProof/>
              </w:rPr>
            </w:pPr>
            <w:r>
              <w:rPr>
                <w:noProof/>
              </w:rPr>
              <w:t>Нововъведените елементи на стандарта все още не са транспонирани в правилата на ЕС.</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4.3.4.1.2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Частично изпълнена. В правилата на ЕС се използва понятието ETOPS (полет с увеличена продължителност) вместо EDTO (полет с удължено време за отклонение).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стандартите за EDTO да бъдат транспонирани в Регламент (ЕС) № 965/2012 посредством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p>
            <w:pPr>
              <w:pStyle w:val="Body"/>
              <w:spacing w:after="0" w:line="240" w:lineRule="auto"/>
              <w:jc w:val="both"/>
              <w:rPr>
                <w:noProof/>
              </w:rPr>
            </w:pPr>
            <w:r>
              <w:rPr>
                <w:noProof/>
              </w:rPr>
              <w:t xml:space="preserve">В Регламент (ЕС) № 965/2012 не се използва понятието EDTO. Вместо това се използва понятието ETOPS.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стандартите за EDTO да бъдат транспонирани в Регламент (ЕС) № 965/2012 посредством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Не е изпълнена. </w:t>
            </w:r>
          </w:p>
          <w:p>
            <w:pPr>
              <w:pStyle w:val="Body"/>
              <w:spacing w:after="0" w:line="240" w:lineRule="auto"/>
              <w:jc w:val="both"/>
              <w:rPr>
                <w:noProof/>
              </w:rPr>
            </w:pPr>
            <w:r>
              <w:rPr>
                <w:noProof/>
              </w:rPr>
              <w:t>В Регламент (ЕС) № 965/2012 не се използва понятието EDTO. Вместо това се използва понятието ETOPS.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стандартите за EDTO да бъдат транспонирани в Регламент (ЕС) № 965/2012 посредством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Не е изпълнена. </w:t>
            </w:r>
          </w:p>
          <w:p>
            <w:pPr>
              <w:pStyle w:val="Body"/>
              <w:spacing w:after="0" w:line="240" w:lineRule="auto"/>
              <w:jc w:val="both"/>
              <w:rPr>
                <w:noProof/>
              </w:rPr>
            </w:pPr>
            <w:r>
              <w:rPr>
                <w:noProof/>
              </w:rPr>
              <w:t>В Регламент (ЕС) № 965/2012 не се използва понятието EDTO. Вместо това се използва понятието ETOPS.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стандартите за EDTO да бъдат транспонирани в Регламент (ЕС) № 965/2012 посредством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4.7.2.4</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Не е изпълнена. </w:t>
            </w:r>
          </w:p>
          <w:p>
            <w:pPr>
              <w:pStyle w:val="Body"/>
              <w:spacing w:after="0" w:line="240" w:lineRule="auto"/>
              <w:jc w:val="both"/>
              <w:rPr>
                <w:noProof/>
              </w:rPr>
            </w:pPr>
            <w:r>
              <w:rPr>
                <w:noProof/>
              </w:rPr>
              <w:t>В Регламент (ЕС) № 965/2012 не се използва понятието EDTO. Вместо това се използва понятието ETOPS.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стандартите за EDTO да бъдат транспонирани в Регламент (ЕС) № 965/2012 посредством RMT.0392.</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4.7.2.6</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Не е изпълнена. </w:t>
            </w:r>
          </w:p>
          <w:p>
            <w:pPr>
              <w:pStyle w:val="Body"/>
              <w:spacing w:after="0" w:line="240" w:lineRule="auto"/>
              <w:jc w:val="both"/>
              <w:rPr>
                <w:noProof/>
              </w:rPr>
            </w:pPr>
            <w:r>
              <w:rPr>
                <w:noProof/>
              </w:rPr>
              <w:t>В Регламент (ЕС) № 965/2012 не се използва понятието EDTO. Вместо това се използва понятието ETOPS.</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стандартите за EDTO да бъдат транспонирани в Регламент (ЕС) № 965/2012 посредством RMT.0392.</w:t>
            </w: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 </w:t>
            </w: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6.1.5.4 Препоръка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6.3.3.1.1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A </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По-строги мерки или надвишаване на изискванията. CAT.IDE.A.195, буква а) от Регламент (ЕС) № 965/2012 изисква записване на комуникационни съобщения по линия за предаване на данни за самолети, на които е издаден индивидуален сертификат за летателна годност (CofA) на или след 8 април 2014 г.</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6.3.3.1.2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 CAT.IDE.A.195, буква а) от Регламент (ЕС) № 965/2012 се прилага само към самолети, на които за първи път е издаден индивидуален CofA на или след 8 април 2014 г. Не се изисква преоборудване с устройства за записване на съобщения по линия за предаване на данни.</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6.3.3.1.3 Препоръка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36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6.18.1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Частично изпълнена.</w:t>
            </w:r>
          </w:p>
          <w:p>
            <w:pPr>
              <w:pStyle w:val="Body"/>
              <w:spacing w:after="0" w:line="240" w:lineRule="auto"/>
              <w:jc w:val="both"/>
              <w:rPr>
                <w:noProof/>
              </w:rPr>
            </w:pPr>
            <w:r>
              <w:rPr>
                <w:noProof/>
              </w:rPr>
              <w:t>CAT.GEN.MPA.210 от Регламент (ЕС) № 965/2012 не се прилага към самолети с максимална сертифицирана излетна маса (MCTOM) под 45 500 kg и максимална оперативна конфигурация на пътническите места (MOPSC) под 19 пътнически места.</w:t>
            </w:r>
          </w:p>
          <w:p>
            <w:pPr>
              <w:pStyle w:val="Body"/>
              <w:spacing w:after="0" w:line="240" w:lineRule="auto"/>
              <w:jc w:val="both"/>
              <w:rPr>
                <w:noProof/>
              </w:rPr>
            </w:pPr>
            <w:r>
              <w:rPr>
                <w:noProof/>
              </w:rPr>
              <w:t>Освен това CAT.GEN.MPA.210 се прилага само към самолети, на които е издаден индивидуален CofA на или след 1 януари 2023 г.</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6.18.2</w:t>
            </w:r>
            <w:r>
              <w:rPr>
                <w:noProof/>
              </w:rPr>
              <w:br/>
              <w:t>Препоръка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Допълнение 8</w:t>
            </w:r>
          </w:p>
          <w:p>
            <w:pPr>
              <w:pStyle w:val="Body"/>
              <w:spacing w:line="240" w:lineRule="auto"/>
              <w:jc w:val="both"/>
              <w:rPr>
                <w:noProof/>
              </w:rPr>
            </w:pPr>
            <w:r>
              <w:rPr>
                <w:noProof/>
              </w:rPr>
              <w:t>1.6</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p>
            <w:pPr>
              <w:pStyle w:val="Body"/>
              <w:spacing w:after="0" w:line="240" w:lineRule="auto"/>
              <w:jc w:val="both"/>
              <w:rPr>
                <w:noProof/>
              </w:rPr>
            </w:pPr>
            <w:r>
              <w:rPr>
                <w:noProof/>
              </w:rPr>
              <w:t>Понастоящем няма изискване на ЕС, свързано с надеждността на източника на захранване на ADRS (система за записване на данни от въздухоплавателното средство), ако се използва такава система.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Ще бъде отправено уведомление за различията спрямо стандарт 6.3.1.1.1</w:t>
            </w:r>
          </w:p>
        </w:tc>
      </w:tr>
      <w:tr>
        <w:trPr>
          <w:trHeight w:val="2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Допълнение 10</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3"/>
        <w:widowControl w:val="0"/>
        <w:numPr>
          <w:ilvl w:val="2"/>
          <w:numId w:val="10"/>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37 </w:t>
      </w:r>
      <w:r>
        <w:rPr>
          <w:noProof/>
        </w:rPr>
        <w:t>на</w:t>
      </w:r>
      <w:r>
        <w:rPr>
          <w:noProof/>
        </w:rPr>
        <w:t xml:space="preserve"> </w:t>
      </w:r>
      <w:r>
        <w:rPr>
          <w:noProof/>
        </w:rPr>
        <w:t>част</w:t>
      </w:r>
      <w:r>
        <w:rPr>
          <w:noProof/>
        </w:rPr>
        <w:t xml:space="preserve"> II </w:t>
      </w:r>
      <w:r>
        <w:rPr>
          <w:noProof/>
        </w:rPr>
        <w:t>от</w:t>
      </w:r>
      <w:r>
        <w:rPr>
          <w:noProof/>
        </w:rPr>
        <w:t xml:space="preserve"> </w:t>
      </w:r>
      <w:r>
        <w:rPr>
          <w:noProof/>
        </w:rPr>
        <w:t>приложение</w:t>
      </w:r>
      <w:r>
        <w:rPr>
          <w:noProof/>
        </w:rPr>
        <w:t xml:space="preserve"> 6</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1"/>
        <w:gridCol w:w="2268"/>
        <w:gridCol w:w="2409"/>
        <w:gridCol w:w="3515"/>
      </w:tblGrid>
      <w:tr>
        <w:trPr>
          <w:trHeight w:val="526"/>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Разпоредба от приложението</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Категория на различието</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Подробности за различието</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Забележки</w:t>
            </w:r>
          </w:p>
        </w:tc>
      </w:tr>
      <w:tr>
        <w:trPr>
          <w:trHeight w:val="241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2.2.2.2.1.1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Частично изпълнена. За CVS не се получават експлоатационни кредити.</w:t>
            </w:r>
          </w:p>
          <w:p>
            <w:pPr>
              <w:pStyle w:val="Body"/>
              <w:spacing w:after="0" w:line="240" w:lineRule="auto"/>
              <w:jc w:val="both"/>
              <w:rPr>
                <w:noProof/>
              </w:rPr>
            </w:pPr>
            <w:r>
              <w:rPr>
                <w:noProof/>
              </w:rPr>
              <w:t>Понастоящем Регламент (ЕС) № 965/2012 позволява експлоатационни кредити единствено за HUD и EVS.</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73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2.4.16.2.1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C</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Частично изпълнена. </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В част NCO няма изискване за монтиране на полетно записващо устройство.</w:t>
            </w: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Не е изпълнена.</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C</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Не е изпълнена.</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2.4.18.3</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Не е изпълнена.</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2.4.18.4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Не е изпълнена.</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noProof/>
              </w:rPr>
              <w:t>Допълнение 2.5</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 xml:space="preserve">C </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Не е изпълнена.</w:t>
            </w:r>
          </w:p>
        </w:tc>
        <w:tc>
          <w:tcPr>
            <w:tcW w:w="3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3"/>
        <w:widowControl w:val="0"/>
        <w:numPr>
          <w:ilvl w:val="2"/>
          <w:numId w:val="12"/>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23 </w:t>
      </w:r>
      <w:r>
        <w:rPr>
          <w:noProof/>
        </w:rPr>
        <w:t>на</w:t>
      </w:r>
      <w:r>
        <w:rPr>
          <w:noProof/>
        </w:rPr>
        <w:t xml:space="preserve"> </w:t>
      </w:r>
      <w:r>
        <w:rPr>
          <w:noProof/>
        </w:rPr>
        <w:t>част</w:t>
      </w:r>
      <w:r>
        <w:rPr>
          <w:noProof/>
        </w:rPr>
        <w:t xml:space="preserve"> III </w:t>
      </w:r>
      <w:r>
        <w:rPr>
          <w:noProof/>
        </w:rPr>
        <w:t>от</w:t>
      </w:r>
      <w:r>
        <w:rPr>
          <w:noProof/>
        </w:rPr>
        <w:t xml:space="preserve"> </w:t>
      </w:r>
      <w:r>
        <w:rPr>
          <w:noProof/>
        </w:rPr>
        <w:t>приложение</w:t>
      </w:r>
      <w:r>
        <w:rPr>
          <w:noProof/>
        </w:rPr>
        <w:t xml:space="preserve"> 6</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1"/>
        <w:gridCol w:w="2268"/>
        <w:gridCol w:w="3544"/>
        <w:gridCol w:w="2380"/>
      </w:tblGrid>
      <w:tr>
        <w:trPr>
          <w:trHeight w:val="49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Разпоредба от приложението</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Категория на различието</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Подробности за различието</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rPr>
                <w:noProof/>
              </w:rPr>
            </w:pPr>
            <w:r>
              <w:rPr>
                <w:b/>
                <w:bCs/>
                <w:noProof/>
              </w:rPr>
              <w:t>Забележки</w:t>
            </w:r>
          </w:p>
        </w:tc>
      </w:tr>
      <w:tr>
        <w:trPr>
          <w:trHeight w:val="169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2.2.8.1.1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Частично изпълнена. За CVS не се получават експлоатационни кредити.</w:t>
            </w:r>
          </w:p>
          <w:p>
            <w:pPr>
              <w:pStyle w:val="Body"/>
              <w:spacing w:after="0" w:line="240" w:lineRule="auto"/>
              <w:jc w:val="both"/>
              <w:rPr>
                <w:noProof/>
              </w:rPr>
            </w:pPr>
            <w:r>
              <w:rPr>
                <w:noProof/>
              </w:rPr>
              <w:t>Понастоящем Регламент (ЕС) № 965/2012 позволява експлоатационни кредити единствено за HUD и EVS.</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21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2.2.8.2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Частично изпълнена. </w:t>
            </w:r>
          </w:p>
          <w:p>
            <w:pPr>
              <w:pStyle w:val="Body"/>
              <w:spacing w:after="0" w:line="240" w:lineRule="auto"/>
              <w:jc w:val="both"/>
              <w:rPr>
                <w:noProof/>
              </w:rPr>
            </w:pPr>
            <w:r>
              <w:rPr>
                <w:noProof/>
              </w:rPr>
              <w:t>Нововъведените елементи на стандарта все още не са транспонирани в правилата на ЕС.</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4.1.5.3</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4.1.5.4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4.3.3.1.2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4.3.3.1.2.4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4.7.3.1.1.1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4.13.1</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4.13.2</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4.13.3</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4.13.4</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r>
        <w:trPr>
          <w:trHeight w:val="1078"/>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 xml:space="preserve">Допълнение 4 </w:t>
            </w:r>
            <w:r>
              <w:rPr>
                <w:noProof/>
              </w:rPr>
              <w:br/>
              <w:t>1.6</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C</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Не е изпълнена. Понастоящем няма изискване на ЕС, свързано с надеждността на източника на захранване на ADRS (система за записване на данни от въздухоплавателното средство), ако се използва такава система.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Ще бъде отправено уведомление за различията спрямо стандарт 4.3.1.1.4</w:t>
            </w:r>
          </w:p>
        </w:tc>
      </w:tr>
      <w:tr>
        <w:trPr>
          <w:trHeight w:val="250"/>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jc w:val="both"/>
              <w:rPr>
                <w:noProof/>
              </w:rPr>
            </w:pPr>
            <w:r>
              <w:rPr>
                <w:noProof/>
              </w:rPr>
              <w:t>Допълнение 6</w:t>
            </w: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 xml:space="preserve">C </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jc w:val="both"/>
              <w:rPr>
                <w:noProof/>
              </w:rPr>
            </w:pPr>
            <w:r>
              <w:rPr>
                <w:noProof/>
              </w:rPr>
              <w:t>Не е изпълнена.</w:t>
            </w:r>
          </w:p>
        </w:tc>
        <w:tc>
          <w:tcPr>
            <w:tcW w:w="2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rPr>
                <w:noProof/>
              </w:rPr>
            </w:pPr>
          </w:p>
        </w:tc>
      </w:tr>
    </w:tbl>
    <w:p>
      <w:pPr>
        <w:pStyle w:val="Heading2"/>
        <w:numPr>
          <w:ilvl w:val="1"/>
          <w:numId w:val="14"/>
        </w:numPr>
        <w:ind w:left="850" w:hanging="850"/>
        <w:rPr>
          <w:rFonts w:eastAsia="Arial Unicode MS"/>
          <w:noProof/>
        </w:rPr>
      </w:pPr>
      <w:r>
        <w:rPr>
          <w:noProof/>
        </w:rPr>
        <w:t>Изменение</w:t>
      </w:r>
      <w:r>
        <w:rPr>
          <w:noProof/>
        </w:rPr>
        <w:t xml:space="preserve"> 92 </w:t>
      </w:r>
      <w:r>
        <w:rPr>
          <w:noProof/>
        </w:rPr>
        <w:t>на</w:t>
      </w:r>
      <w:r>
        <w:rPr>
          <w:noProof/>
        </w:rPr>
        <w:t xml:space="preserve"> </w:t>
      </w:r>
      <w:r>
        <w:rPr>
          <w:noProof/>
        </w:rPr>
        <w:t>приложение</w:t>
      </w:r>
      <w:r>
        <w:rPr>
          <w:noProof/>
        </w:rPr>
        <w:t xml:space="preserve"> 10 </w:t>
      </w:r>
      <w:r>
        <w:rPr>
          <w:noProof/>
        </w:rPr>
        <w:t>относно</w:t>
      </w:r>
      <w:r>
        <w:rPr>
          <w:noProof/>
        </w:rPr>
        <w:t xml:space="preserve"> </w:t>
      </w:r>
      <w:r>
        <w:rPr>
          <w:noProof/>
        </w:rPr>
        <w:t>аеронавигационните</w:t>
      </w:r>
      <w:r>
        <w:rPr>
          <w:noProof/>
        </w:rPr>
        <w:t xml:space="preserve"> </w:t>
      </w:r>
      <w:r>
        <w:rPr>
          <w:noProof/>
        </w:rPr>
        <w:t>телекомуникации</w:t>
      </w:r>
      <w:r>
        <w:rPr>
          <w:noProof/>
        </w:rPr>
        <w:t xml:space="preserve">, </w:t>
      </w:r>
      <w:r>
        <w:rPr>
          <w:noProof/>
        </w:rPr>
        <w:t>томове</w:t>
      </w:r>
      <w:r>
        <w:rPr>
          <w:noProof/>
        </w:rPr>
        <w:t xml:space="preserve"> I </w:t>
      </w:r>
      <w:r>
        <w:rPr>
          <w:noProof/>
        </w:rPr>
        <w:t>и</w:t>
      </w:r>
      <w:r>
        <w:rPr>
          <w:noProof/>
        </w:rPr>
        <w:t xml:space="preserve"> II </w:t>
      </w:r>
    </w:p>
    <w:p>
      <w:pPr>
        <w:pStyle w:val="Heading3"/>
        <w:numPr>
          <w:ilvl w:val="2"/>
          <w:numId w:val="14"/>
        </w:numPr>
        <w:ind w:left="850" w:hanging="850"/>
        <w:rPr>
          <w:rFonts w:eastAsia="Arial Unicode MS"/>
          <w:noProof/>
        </w:rPr>
      </w:pPr>
      <w:r>
        <w:rPr>
          <w:noProof/>
        </w:rPr>
        <w:t>Описание</w:t>
      </w:r>
    </w:p>
    <w:p>
      <w:pPr>
        <w:pStyle w:val="NumPar1"/>
        <w:ind w:left="0" w:firstLine="0"/>
        <w:rPr>
          <w:noProof/>
        </w:rPr>
      </w:pPr>
      <w:r>
        <w:rPr>
          <w:noProof/>
        </w:rPr>
        <w:t>Том</w:t>
      </w:r>
      <w:r>
        <w:rPr>
          <w:noProof/>
        </w:rPr>
        <w:t xml:space="preserve"> </w:t>
      </w:r>
      <w:r>
        <w:rPr>
          <w:noProof/>
        </w:rPr>
        <w:t>І</w:t>
      </w:r>
      <w:r>
        <w:rPr>
          <w:noProof/>
        </w:rPr>
        <w:t xml:space="preserve">: </w:t>
      </w:r>
      <w:r>
        <w:rPr>
          <w:noProof/>
        </w:rPr>
        <w:t>Изменението</w:t>
      </w:r>
      <w:r>
        <w:rPr>
          <w:noProof/>
        </w:rPr>
        <w:t xml:space="preserve"> </w:t>
      </w:r>
      <w:r>
        <w:rPr>
          <w:noProof/>
        </w:rPr>
        <w:t>се</w:t>
      </w:r>
      <w:r>
        <w:rPr>
          <w:noProof/>
        </w:rPr>
        <w:t xml:space="preserve"> </w:t>
      </w:r>
      <w:r>
        <w:rPr>
          <w:noProof/>
        </w:rPr>
        <w:t>отнася</w:t>
      </w:r>
      <w:r>
        <w:rPr>
          <w:noProof/>
        </w:rPr>
        <w:t xml:space="preserve"> </w:t>
      </w:r>
      <w:r>
        <w:rPr>
          <w:noProof/>
        </w:rPr>
        <w:t>за</w:t>
      </w:r>
      <w:r>
        <w:rPr>
          <w:noProof/>
        </w:rPr>
        <w:t xml:space="preserve"> </w:t>
      </w:r>
      <w:r>
        <w:rPr>
          <w:noProof/>
        </w:rPr>
        <w:t>глобалната</w:t>
      </w:r>
      <w:r>
        <w:rPr>
          <w:noProof/>
        </w:rPr>
        <w:t xml:space="preserve"> </w:t>
      </w:r>
      <w:r>
        <w:rPr>
          <w:noProof/>
        </w:rPr>
        <w:t>навигационна</w:t>
      </w:r>
      <w:r>
        <w:rPr>
          <w:noProof/>
        </w:rPr>
        <w:t xml:space="preserve"> </w:t>
      </w:r>
      <w:r>
        <w:rPr>
          <w:noProof/>
        </w:rPr>
        <w:t>спътникова</w:t>
      </w:r>
      <w:r>
        <w:rPr>
          <w:noProof/>
        </w:rPr>
        <w:t xml:space="preserve"> </w:t>
      </w:r>
      <w:r>
        <w:rPr>
          <w:noProof/>
        </w:rPr>
        <w:t>система</w:t>
      </w:r>
      <w:r>
        <w:rPr>
          <w:noProof/>
        </w:rPr>
        <w:t xml:space="preserve"> (</w:t>
      </w:r>
      <w:r>
        <w:rPr>
          <w:noProof/>
        </w:rPr>
        <w:t>ГНСС</w:t>
      </w:r>
      <w:r>
        <w:rPr>
          <w:noProof/>
        </w:rPr>
        <w:t xml:space="preserve">) </w:t>
      </w:r>
      <w:r>
        <w:rPr>
          <w:noProof/>
        </w:rPr>
        <w:t>и</w:t>
      </w:r>
      <w:r>
        <w:rPr>
          <w:noProof/>
        </w:rPr>
        <w:t xml:space="preserve"> </w:t>
      </w:r>
      <w:r>
        <w:rPr>
          <w:noProof/>
        </w:rPr>
        <w:t>за</w:t>
      </w:r>
      <w:r>
        <w:rPr>
          <w:noProof/>
        </w:rPr>
        <w:t xml:space="preserve"> </w:t>
      </w:r>
      <w:r>
        <w:rPr>
          <w:noProof/>
        </w:rPr>
        <w:t>конвенционалните</w:t>
      </w:r>
      <w:r>
        <w:rPr>
          <w:noProof/>
        </w:rPr>
        <w:t xml:space="preserve"> </w:t>
      </w:r>
      <w:r>
        <w:rPr>
          <w:noProof/>
        </w:rPr>
        <w:t>навигационни</w:t>
      </w:r>
      <w:r>
        <w:rPr>
          <w:noProof/>
        </w:rPr>
        <w:t xml:space="preserve"> </w:t>
      </w:r>
      <w:r>
        <w:rPr>
          <w:noProof/>
        </w:rPr>
        <w:t>средства</w:t>
      </w:r>
      <w:r>
        <w:rPr>
          <w:noProof/>
        </w:rPr>
        <w:t xml:space="preserve"> </w:t>
      </w:r>
      <w:r>
        <w:rPr>
          <w:noProof/>
        </w:rPr>
        <w:t>и</w:t>
      </w:r>
      <w:r>
        <w:rPr>
          <w:noProof/>
        </w:rPr>
        <w:t xml:space="preserve"> </w:t>
      </w:r>
      <w:r>
        <w:rPr>
          <w:noProof/>
        </w:rPr>
        <w:t>е</w:t>
      </w:r>
      <w:r>
        <w:rPr>
          <w:noProof/>
        </w:rPr>
        <w:t xml:space="preserve"> </w:t>
      </w:r>
      <w:r>
        <w:rPr>
          <w:noProof/>
        </w:rPr>
        <w:t>формулирано</w:t>
      </w:r>
      <w:r>
        <w:rPr>
          <w:noProof/>
        </w:rPr>
        <w:t xml:space="preserve"> </w:t>
      </w:r>
      <w:r>
        <w:rPr>
          <w:noProof/>
        </w:rPr>
        <w:t>на</w:t>
      </w:r>
      <w:r>
        <w:rPr>
          <w:noProof/>
        </w:rPr>
        <w:t xml:space="preserve"> </w:t>
      </w:r>
      <w:r>
        <w:rPr>
          <w:noProof/>
        </w:rPr>
        <w:t>четвъртото</w:t>
      </w:r>
      <w:r>
        <w:rPr>
          <w:noProof/>
        </w:rPr>
        <w:t xml:space="preserve"> </w:t>
      </w:r>
      <w:r>
        <w:rPr>
          <w:noProof/>
        </w:rPr>
        <w:t>и</w:t>
      </w:r>
      <w:r>
        <w:rPr>
          <w:noProof/>
        </w:rPr>
        <w:t xml:space="preserve"> </w:t>
      </w:r>
      <w:r>
        <w:rPr>
          <w:noProof/>
        </w:rPr>
        <w:t>петото</w:t>
      </w:r>
      <w:r>
        <w:rPr>
          <w:noProof/>
        </w:rPr>
        <w:t xml:space="preserve"> </w:t>
      </w:r>
      <w:r>
        <w:rPr>
          <w:noProof/>
        </w:rPr>
        <w:t>заседание</w:t>
      </w:r>
      <w:r>
        <w:rPr>
          <w:noProof/>
        </w:rPr>
        <w:t xml:space="preserve"> </w:t>
      </w:r>
      <w:r>
        <w:rPr>
          <w:noProof/>
        </w:rPr>
        <w:t>на</w:t>
      </w:r>
      <w:r>
        <w:rPr>
          <w:noProof/>
        </w:rPr>
        <w:t xml:space="preserve"> </w:t>
      </w:r>
      <w:r>
        <w:rPr>
          <w:noProof/>
        </w:rPr>
        <w:t>групата</w:t>
      </w:r>
      <w:r>
        <w:rPr>
          <w:noProof/>
        </w:rPr>
        <w:t xml:space="preserve"> </w:t>
      </w:r>
      <w:r>
        <w:rPr>
          <w:noProof/>
        </w:rPr>
        <w:t>за</w:t>
      </w:r>
      <w:r>
        <w:rPr>
          <w:noProof/>
        </w:rPr>
        <w:t xml:space="preserve"> </w:t>
      </w:r>
      <w:r>
        <w:rPr>
          <w:noProof/>
        </w:rPr>
        <w:t>навигационни</w:t>
      </w:r>
      <w:r>
        <w:rPr>
          <w:noProof/>
        </w:rPr>
        <w:t xml:space="preserve"> </w:t>
      </w:r>
      <w:r>
        <w:rPr>
          <w:noProof/>
        </w:rPr>
        <w:t>системи</w:t>
      </w:r>
      <w:r>
        <w:rPr>
          <w:noProof/>
        </w:rPr>
        <w:t xml:space="preserve"> (NSP/4 </w:t>
      </w:r>
      <w:r>
        <w:rPr>
          <w:noProof/>
        </w:rPr>
        <w:t>и</w:t>
      </w:r>
      <w:r>
        <w:rPr>
          <w:noProof/>
        </w:rPr>
        <w:t xml:space="preserve"> 5). </w:t>
      </w:r>
      <w:r>
        <w:rPr>
          <w:noProof/>
        </w:rPr>
        <w:t>Изменението</w:t>
      </w:r>
      <w:r>
        <w:rPr>
          <w:noProof/>
        </w:rPr>
        <w:t xml:space="preserve">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следното</w:t>
      </w:r>
      <w:r>
        <w:rPr>
          <w:noProof/>
        </w:rPr>
        <w:t xml:space="preserve">: </w:t>
      </w:r>
      <w:r>
        <w:rPr>
          <w:noProof/>
        </w:rPr>
        <w:t>а</w:t>
      </w:r>
      <w:r>
        <w:rPr>
          <w:noProof/>
        </w:rPr>
        <w:t xml:space="preserve">) </w:t>
      </w:r>
      <w:r>
        <w:rPr>
          <w:noProof/>
        </w:rPr>
        <w:t>категории</w:t>
      </w:r>
      <w:r>
        <w:rPr>
          <w:noProof/>
        </w:rPr>
        <w:t xml:space="preserve"> </w:t>
      </w:r>
      <w:r>
        <w:rPr>
          <w:noProof/>
        </w:rPr>
        <w:t>характеристики</w:t>
      </w:r>
      <w:r>
        <w:rPr>
          <w:noProof/>
        </w:rPr>
        <w:t xml:space="preserve"> </w:t>
      </w:r>
      <w:r>
        <w:rPr>
          <w:noProof/>
        </w:rPr>
        <w:t>на</w:t>
      </w:r>
      <w:r>
        <w:rPr>
          <w:noProof/>
        </w:rPr>
        <w:t xml:space="preserve"> </w:t>
      </w:r>
      <w:r>
        <w:rPr>
          <w:noProof/>
        </w:rPr>
        <w:t>съоръжението</w:t>
      </w:r>
      <w:r>
        <w:rPr>
          <w:noProof/>
        </w:rPr>
        <w:t xml:space="preserve"> </w:t>
      </w:r>
      <w:r>
        <w:rPr>
          <w:noProof/>
        </w:rPr>
        <w:t>по</w:t>
      </w:r>
      <w:r>
        <w:rPr>
          <w:noProof/>
        </w:rPr>
        <w:t xml:space="preserve"> </w:t>
      </w:r>
      <w:r>
        <w:rPr>
          <w:noProof/>
        </w:rPr>
        <w:t>системата</w:t>
      </w:r>
      <w:r>
        <w:rPr>
          <w:noProof/>
        </w:rPr>
        <w:t xml:space="preserve"> </w:t>
      </w:r>
      <w:r>
        <w:rPr>
          <w:noProof/>
        </w:rPr>
        <w:t>за</w:t>
      </w:r>
      <w:r>
        <w:rPr>
          <w:noProof/>
        </w:rPr>
        <w:t xml:space="preserve"> </w:t>
      </w:r>
      <w:r>
        <w:rPr>
          <w:noProof/>
        </w:rPr>
        <w:t>кацане</w:t>
      </w:r>
      <w:r>
        <w:rPr>
          <w:noProof/>
        </w:rPr>
        <w:t xml:space="preserve"> </w:t>
      </w:r>
      <w:r>
        <w:rPr>
          <w:noProof/>
        </w:rPr>
        <w:t>по</w:t>
      </w:r>
      <w:r>
        <w:rPr>
          <w:noProof/>
        </w:rPr>
        <w:t xml:space="preserve"> </w:t>
      </w:r>
      <w:r>
        <w:rPr>
          <w:noProof/>
        </w:rPr>
        <w:t>прибори</w:t>
      </w:r>
      <w:r>
        <w:rPr>
          <w:noProof/>
        </w:rPr>
        <w:t xml:space="preserve"> (ILS); </w:t>
      </w:r>
      <w:r>
        <w:rPr>
          <w:noProof/>
        </w:rPr>
        <w:t>б</w:t>
      </w:r>
      <w:r>
        <w:rPr>
          <w:noProof/>
        </w:rPr>
        <w:t xml:space="preserve">) </w:t>
      </w:r>
      <w:r>
        <w:rPr>
          <w:noProof/>
        </w:rPr>
        <w:t>предоставяне</w:t>
      </w:r>
      <w:r>
        <w:rPr>
          <w:noProof/>
        </w:rPr>
        <w:t xml:space="preserve"> </w:t>
      </w:r>
      <w:r>
        <w:rPr>
          <w:noProof/>
        </w:rPr>
        <w:t>на</w:t>
      </w:r>
      <w:r>
        <w:rPr>
          <w:noProof/>
        </w:rPr>
        <w:t xml:space="preserve"> </w:t>
      </w:r>
      <w:r>
        <w:rPr>
          <w:noProof/>
        </w:rPr>
        <w:t>информация</w:t>
      </w:r>
      <w:r>
        <w:rPr>
          <w:noProof/>
        </w:rPr>
        <w:t xml:space="preserve"> </w:t>
      </w:r>
      <w:r>
        <w:rPr>
          <w:noProof/>
        </w:rPr>
        <w:t>за</w:t>
      </w:r>
      <w:r>
        <w:rPr>
          <w:noProof/>
        </w:rPr>
        <w:t xml:space="preserve"> </w:t>
      </w:r>
      <w:r>
        <w:rPr>
          <w:noProof/>
        </w:rPr>
        <w:t>експлоатационното</w:t>
      </w:r>
      <w:r>
        <w:rPr>
          <w:noProof/>
        </w:rPr>
        <w:t xml:space="preserve"> </w:t>
      </w:r>
      <w:r>
        <w:rPr>
          <w:noProof/>
        </w:rPr>
        <w:t>състояние</w:t>
      </w:r>
      <w:r>
        <w:rPr>
          <w:noProof/>
        </w:rPr>
        <w:t xml:space="preserve"> </w:t>
      </w:r>
      <w:r>
        <w:rPr>
          <w:noProof/>
        </w:rPr>
        <w:t>на</w:t>
      </w:r>
      <w:r>
        <w:rPr>
          <w:noProof/>
        </w:rPr>
        <w:t xml:space="preserve"> </w:t>
      </w:r>
      <w:r>
        <w:rPr>
          <w:noProof/>
        </w:rPr>
        <w:t>радионавигационното</w:t>
      </w:r>
      <w:r>
        <w:rPr>
          <w:noProof/>
        </w:rPr>
        <w:t xml:space="preserve"> </w:t>
      </w:r>
      <w:r>
        <w:rPr>
          <w:noProof/>
        </w:rPr>
        <w:t>обслужване</w:t>
      </w:r>
      <w:r>
        <w:rPr>
          <w:noProof/>
        </w:rPr>
        <w:t xml:space="preserve">; </w:t>
      </w:r>
      <w:r>
        <w:rPr>
          <w:noProof/>
        </w:rPr>
        <w:t>в</w:t>
      </w:r>
      <w:r>
        <w:rPr>
          <w:noProof/>
        </w:rPr>
        <w:t xml:space="preserve">) </w:t>
      </w:r>
      <w:r>
        <w:rPr>
          <w:noProof/>
        </w:rPr>
        <w:t>актуализиране</w:t>
      </w:r>
      <w:r>
        <w:rPr>
          <w:noProof/>
        </w:rPr>
        <w:t xml:space="preserve"> </w:t>
      </w:r>
      <w:r>
        <w:rPr>
          <w:noProof/>
        </w:rPr>
        <w:t>на</w:t>
      </w:r>
      <w:r>
        <w:rPr>
          <w:noProof/>
        </w:rPr>
        <w:t xml:space="preserve"> </w:t>
      </w:r>
      <w:r>
        <w:rPr>
          <w:noProof/>
        </w:rPr>
        <w:t>разпоредбите</w:t>
      </w:r>
      <w:r>
        <w:rPr>
          <w:noProof/>
        </w:rPr>
        <w:t xml:space="preserve"> </w:t>
      </w:r>
      <w:r>
        <w:rPr>
          <w:noProof/>
        </w:rPr>
        <w:t>относно</w:t>
      </w:r>
      <w:r>
        <w:rPr>
          <w:noProof/>
        </w:rPr>
        <w:t xml:space="preserve"> </w:t>
      </w:r>
      <w:r>
        <w:rPr>
          <w:noProof/>
        </w:rPr>
        <w:t>спътниковата</w:t>
      </w:r>
      <w:r>
        <w:rPr>
          <w:noProof/>
        </w:rPr>
        <w:t xml:space="preserve"> </w:t>
      </w:r>
      <w:r>
        <w:rPr>
          <w:noProof/>
        </w:rPr>
        <w:t>система</w:t>
      </w:r>
      <w:r>
        <w:rPr>
          <w:noProof/>
        </w:rPr>
        <w:t xml:space="preserve"> </w:t>
      </w:r>
      <w:r>
        <w:rPr>
          <w:noProof/>
        </w:rPr>
        <w:t>за</w:t>
      </w:r>
      <w:r>
        <w:rPr>
          <w:noProof/>
        </w:rPr>
        <w:t xml:space="preserve"> </w:t>
      </w:r>
      <w:r>
        <w:rPr>
          <w:noProof/>
        </w:rPr>
        <w:t>повишаване</w:t>
      </w:r>
      <w:r>
        <w:rPr>
          <w:noProof/>
        </w:rPr>
        <w:t xml:space="preserve"> </w:t>
      </w:r>
      <w:r>
        <w:rPr>
          <w:noProof/>
        </w:rPr>
        <w:t>на</w:t>
      </w:r>
      <w:r>
        <w:rPr>
          <w:noProof/>
        </w:rPr>
        <w:t xml:space="preserve"> </w:t>
      </w:r>
      <w:r>
        <w:rPr>
          <w:noProof/>
        </w:rPr>
        <w:t>точността</w:t>
      </w:r>
      <w:r>
        <w:rPr>
          <w:noProof/>
        </w:rPr>
        <w:t xml:space="preserve"> (SBAS) </w:t>
      </w:r>
      <w:r>
        <w:rPr>
          <w:noProof/>
        </w:rPr>
        <w:t>за</w:t>
      </w:r>
      <w:r>
        <w:rPr>
          <w:noProof/>
        </w:rPr>
        <w:t xml:space="preserve"> </w:t>
      </w:r>
      <w:r>
        <w:rPr>
          <w:noProof/>
        </w:rPr>
        <w:t>въвеждане</w:t>
      </w:r>
      <w:r>
        <w:rPr>
          <w:noProof/>
        </w:rPr>
        <w:t xml:space="preserve"> </w:t>
      </w:r>
      <w:r>
        <w:rPr>
          <w:noProof/>
        </w:rPr>
        <w:t>на</w:t>
      </w:r>
      <w:r>
        <w:rPr>
          <w:noProof/>
        </w:rPr>
        <w:t xml:space="preserve"> </w:t>
      </w:r>
      <w:r>
        <w:rPr>
          <w:noProof/>
        </w:rPr>
        <w:t>нови</w:t>
      </w:r>
      <w:r>
        <w:rPr>
          <w:noProof/>
        </w:rPr>
        <w:t xml:space="preserve"> </w:t>
      </w:r>
      <w:r>
        <w:rPr>
          <w:noProof/>
        </w:rPr>
        <w:t>доставчици</w:t>
      </w:r>
      <w:r>
        <w:rPr>
          <w:noProof/>
        </w:rPr>
        <w:t xml:space="preserve"> </w:t>
      </w:r>
      <w:r>
        <w:rPr>
          <w:noProof/>
        </w:rPr>
        <w:t>на</w:t>
      </w:r>
      <w:r>
        <w:rPr>
          <w:noProof/>
        </w:rPr>
        <w:t xml:space="preserve"> SBAS, </w:t>
      </w:r>
      <w:r>
        <w:rPr>
          <w:noProof/>
        </w:rPr>
        <w:t>за</w:t>
      </w:r>
      <w:r>
        <w:rPr>
          <w:noProof/>
        </w:rPr>
        <w:t xml:space="preserve"> </w:t>
      </w:r>
      <w:r>
        <w:rPr>
          <w:noProof/>
        </w:rPr>
        <w:t>нов</w:t>
      </w:r>
      <w:r>
        <w:rPr>
          <w:noProof/>
        </w:rPr>
        <w:t xml:space="preserve"> </w:t>
      </w:r>
      <w:r>
        <w:rPr>
          <w:noProof/>
        </w:rPr>
        <w:t>стандартен</w:t>
      </w:r>
      <w:r>
        <w:rPr>
          <w:noProof/>
        </w:rPr>
        <w:t xml:space="preserve"> </w:t>
      </w:r>
      <w:r>
        <w:rPr>
          <w:noProof/>
        </w:rPr>
        <w:t>идентификатор</w:t>
      </w:r>
      <w:r>
        <w:rPr>
          <w:noProof/>
        </w:rPr>
        <w:t xml:space="preserve"> </w:t>
      </w:r>
      <w:r>
        <w:rPr>
          <w:noProof/>
        </w:rPr>
        <w:t>на</w:t>
      </w:r>
      <w:r>
        <w:rPr>
          <w:noProof/>
        </w:rPr>
        <w:t xml:space="preserve"> </w:t>
      </w:r>
      <w:r>
        <w:rPr>
          <w:noProof/>
        </w:rPr>
        <w:t>координирано</w:t>
      </w:r>
      <w:r>
        <w:rPr>
          <w:noProof/>
        </w:rPr>
        <w:t xml:space="preserve"> </w:t>
      </w:r>
      <w:r>
        <w:rPr>
          <w:noProof/>
        </w:rPr>
        <w:t>универсално</w:t>
      </w:r>
      <w:r>
        <w:rPr>
          <w:noProof/>
        </w:rPr>
        <w:t xml:space="preserve"> </w:t>
      </w:r>
      <w:r>
        <w:rPr>
          <w:noProof/>
        </w:rPr>
        <w:t>време</w:t>
      </w:r>
      <w:r>
        <w:rPr>
          <w:noProof/>
        </w:rPr>
        <w:t xml:space="preserve"> (UTC) </w:t>
      </w:r>
      <w:r>
        <w:rPr>
          <w:noProof/>
        </w:rPr>
        <w:t>и</w:t>
      </w:r>
      <w:r>
        <w:rPr>
          <w:noProof/>
        </w:rPr>
        <w:t xml:space="preserve"> </w:t>
      </w:r>
      <w:r>
        <w:rPr>
          <w:noProof/>
        </w:rPr>
        <w:t>изисквания</w:t>
      </w:r>
      <w:r>
        <w:rPr>
          <w:noProof/>
        </w:rPr>
        <w:t xml:space="preserve"> </w:t>
      </w:r>
      <w:r>
        <w:rPr>
          <w:noProof/>
        </w:rPr>
        <w:t>относно</w:t>
      </w:r>
      <w:r>
        <w:rPr>
          <w:noProof/>
        </w:rPr>
        <w:t xml:space="preserve"> </w:t>
      </w:r>
      <w:r>
        <w:rPr>
          <w:noProof/>
        </w:rPr>
        <w:t>мониторинга</w:t>
      </w:r>
      <w:r>
        <w:rPr>
          <w:noProof/>
        </w:rPr>
        <w:t xml:space="preserve"> </w:t>
      </w:r>
      <w:r>
        <w:rPr>
          <w:noProof/>
        </w:rPr>
        <w:t>на</w:t>
      </w:r>
      <w:r>
        <w:rPr>
          <w:noProof/>
        </w:rPr>
        <w:t xml:space="preserve"> </w:t>
      </w:r>
      <w:r>
        <w:rPr>
          <w:noProof/>
        </w:rPr>
        <w:t>издаването</w:t>
      </w:r>
      <w:r>
        <w:rPr>
          <w:noProof/>
        </w:rPr>
        <w:t xml:space="preserve"> </w:t>
      </w:r>
      <w:r>
        <w:rPr>
          <w:noProof/>
        </w:rPr>
        <w:t>на</w:t>
      </w:r>
      <w:r>
        <w:rPr>
          <w:noProof/>
        </w:rPr>
        <w:t xml:space="preserve"> </w:t>
      </w:r>
      <w:r>
        <w:rPr>
          <w:noProof/>
        </w:rPr>
        <w:t>данни</w:t>
      </w:r>
      <w:r>
        <w:rPr>
          <w:noProof/>
        </w:rPr>
        <w:t xml:space="preserve"> (IOD) </w:t>
      </w:r>
      <w:r>
        <w:rPr>
          <w:noProof/>
        </w:rPr>
        <w:t>от</w:t>
      </w:r>
      <w:r>
        <w:rPr>
          <w:noProof/>
        </w:rPr>
        <w:t xml:space="preserve"> </w:t>
      </w:r>
      <w:r>
        <w:rPr>
          <w:noProof/>
        </w:rPr>
        <w:t>глобалната</w:t>
      </w:r>
      <w:r>
        <w:rPr>
          <w:noProof/>
        </w:rPr>
        <w:t xml:space="preserve"> </w:t>
      </w:r>
      <w:r>
        <w:rPr>
          <w:noProof/>
        </w:rPr>
        <w:t>система</w:t>
      </w:r>
      <w:r>
        <w:rPr>
          <w:noProof/>
        </w:rPr>
        <w:t xml:space="preserve"> </w:t>
      </w:r>
      <w:r>
        <w:rPr>
          <w:noProof/>
        </w:rPr>
        <w:t>за</w:t>
      </w:r>
      <w:r>
        <w:rPr>
          <w:noProof/>
        </w:rPr>
        <w:t xml:space="preserve"> </w:t>
      </w:r>
      <w:r>
        <w:rPr>
          <w:noProof/>
        </w:rPr>
        <w:t>определяне</w:t>
      </w:r>
      <w:r>
        <w:rPr>
          <w:noProof/>
        </w:rPr>
        <w:t xml:space="preserve"> </w:t>
      </w:r>
      <w:r>
        <w:rPr>
          <w:noProof/>
        </w:rPr>
        <w:t>на</w:t>
      </w:r>
      <w:r>
        <w:rPr>
          <w:noProof/>
        </w:rPr>
        <w:t xml:space="preserve"> </w:t>
      </w:r>
      <w:r>
        <w:rPr>
          <w:noProof/>
        </w:rPr>
        <w:t>местоположението</w:t>
      </w:r>
      <w:r>
        <w:rPr>
          <w:noProof/>
        </w:rPr>
        <w:t xml:space="preserve"> (GPS); </w:t>
      </w:r>
      <w:r>
        <w:rPr>
          <w:noProof/>
        </w:rPr>
        <w:t>г</w:t>
      </w:r>
      <w:r>
        <w:rPr>
          <w:noProof/>
        </w:rPr>
        <w:t xml:space="preserve">) </w:t>
      </w:r>
      <w:r>
        <w:rPr>
          <w:noProof/>
        </w:rPr>
        <w:t>разпоредби</w:t>
      </w:r>
      <w:r>
        <w:rPr>
          <w:noProof/>
        </w:rPr>
        <w:t xml:space="preserve"> </w:t>
      </w:r>
      <w:r>
        <w:rPr>
          <w:noProof/>
        </w:rPr>
        <w:t>за</w:t>
      </w:r>
      <w:r>
        <w:rPr>
          <w:noProof/>
        </w:rPr>
        <w:t xml:space="preserve"> </w:t>
      </w:r>
      <w:r>
        <w:rPr>
          <w:noProof/>
        </w:rPr>
        <w:t>гарантиране</w:t>
      </w:r>
      <w:r>
        <w:rPr>
          <w:noProof/>
        </w:rPr>
        <w:t xml:space="preserve"> </w:t>
      </w:r>
      <w:r>
        <w:rPr>
          <w:noProof/>
        </w:rPr>
        <w:t>на</w:t>
      </w:r>
      <w:r>
        <w:rPr>
          <w:noProof/>
        </w:rPr>
        <w:t xml:space="preserve"> </w:t>
      </w:r>
      <w:r>
        <w:rPr>
          <w:noProof/>
        </w:rPr>
        <w:t>съвместимостта</w:t>
      </w:r>
      <w:r>
        <w:rPr>
          <w:noProof/>
        </w:rPr>
        <w:t xml:space="preserve"> </w:t>
      </w:r>
      <w:r>
        <w:rPr>
          <w:noProof/>
        </w:rPr>
        <w:t>на</w:t>
      </w:r>
      <w:r>
        <w:rPr>
          <w:noProof/>
        </w:rPr>
        <w:t xml:space="preserve"> </w:t>
      </w:r>
      <w:r>
        <w:rPr>
          <w:noProof/>
        </w:rPr>
        <w:t>наземната</w:t>
      </w:r>
      <w:r>
        <w:rPr>
          <w:noProof/>
        </w:rPr>
        <w:t xml:space="preserve"> </w:t>
      </w:r>
      <w:r>
        <w:rPr>
          <w:noProof/>
        </w:rPr>
        <w:t>допълваща</w:t>
      </w:r>
      <w:r>
        <w:rPr>
          <w:noProof/>
        </w:rPr>
        <w:t xml:space="preserve"> </w:t>
      </w:r>
      <w:r>
        <w:rPr>
          <w:noProof/>
        </w:rPr>
        <w:t>система</w:t>
      </w:r>
      <w:r>
        <w:rPr>
          <w:noProof/>
        </w:rPr>
        <w:t xml:space="preserve"> </w:t>
      </w:r>
      <w:r>
        <w:rPr>
          <w:noProof/>
        </w:rPr>
        <w:t>на</w:t>
      </w:r>
      <w:r>
        <w:rPr>
          <w:noProof/>
        </w:rPr>
        <w:t xml:space="preserve"> </w:t>
      </w:r>
      <w:r>
        <w:rPr>
          <w:noProof/>
        </w:rPr>
        <w:t>ГНСС</w:t>
      </w:r>
      <w:r>
        <w:rPr>
          <w:noProof/>
        </w:rPr>
        <w:t xml:space="preserve"> (GBAS) </w:t>
      </w:r>
      <w:r>
        <w:rPr>
          <w:noProof/>
        </w:rPr>
        <w:t>с</w:t>
      </w:r>
      <w:r>
        <w:rPr>
          <w:noProof/>
        </w:rPr>
        <w:t xml:space="preserve"> </w:t>
      </w:r>
      <w:r>
        <w:rPr>
          <w:noProof/>
        </w:rPr>
        <w:t>излъчване</w:t>
      </w:r>
      <w:r>
        <w:rPr>
          <w:noProof/>
        </w:rPr>
        <w:t xml:space="preserve"> </w:t>
      </w:r>
      <w:r>
        <w:rPr>
          <w:noProof/>
        </w:rPr>
        <w:t>на</w:t>
      </w:r>
      <w:r>
        <w:rPr>
          <w:noProof/>
        </w:rPr>
        <w:t xml:space="preserve"> </w:t>
      </w:r>
      <w:r>
        <w:rPr>
          <w:noProof/>
        </w:rPr>
        <w:t>данни</w:t>
      </w:r>
      <w:r>
        <w:rPr>
          <w:noProof/>
        </w:rPr>
        <w:t xml:space="preserve"> </w:t>
      </w:r>
      <w:r>
        <w:rPr>
          <w:noProof/>
        </w:rPr>
        <w:t>в</w:t>
      </w:r>
      <w:r>
        <w:rPr>
          <w:noProof/>
        </w:rPr>
        <w:t xml:space="preserve"> </w:t>
      </w:r>
      <w:r>
        <w:rPr>
          <w:noProof/>
        </w:rPr>
        <w:t>метровия</w:t>
      </w:r>
      <w:r>
        <w:rPr>
          <w:noProof/>
        </w:rPr>
        <w:t xml:space="preserve"> </w:t>
      </w:r>
      <w:r>
        <w:rPr>
          <w:noProof/>
        </w:rPr>
        <w:t>обхват</w:t>
      </w:r>
      <w:r>
        <w:rPr>
          <w:noProof/>
        </w:rPr>
        <w:t xml:space="preserve"> (VDB) </w:t>
      </w:r>
      <w:r>
        <w:rPr>
          <w:noProof/>
        </w:rPr>
        <w:t>с</w:t>
      </w:r>
      <w:r>
        <w:rPr>
          <w:noProof/>
        </w:rPr>
        <w:t xml:space="preserve"> ILS </w:t>
      </w:r>
      <w:r>
        <w:rPr>
          <w:noProof/>
        </w:rPr>
        <w:t>и</w:t>
      </w:r>
      <w:r>
        <w:rPr>
          <w:noProof/>
        </w:rPr>
        <w:t xml:space="preserve"> </w:t>
      </w:r>
      <w:r>
        <w:rPr>
          <w:noProof/>
        </w:rPr>
        <w:t>всенасочен</w:t>
      </w:r>
      <w:r>
        <w:rPr>
          <w:noProof/>
        </w:rPr>
        <w:t xml:space="preserve"> </w:t>
      </w:r>
      <w:r>
        <w:rPr>
          <w:noProof/>
        </w:rPr>
        <w:t>радиофар</w:t>
      </w:r>
      <w:r>
        <w:rPr>
          <w:noProof/>
        </w:rPr>
        <w:t xml:space="preserve"> </w:t>
      </w:r>
      <w:r>
        <w:rPr>
          <w:noProof/>
        </w:rPr>
        <w:t>в</w:t>
      </w:r>
      <w:r>
        <w:rPr>
          <w:noProof/>
        </w:rPr>
        <w:t xml:space="preserve"> </w:t>
      </w:r>
      <w:r>
        <w:rPr>
          <w:noProof/>
        </w:rPr>
        <w:t>метровия</w:t>
      </w:r>
      <w:r>
        <w:rPr>
          <w:noProof/>
        </w:rPr>
        <w:t xml:space="preserve"> </w:t>
      </w:r>
      <w:r>
        <w:rPr>
          <w:noProof/>
        </w:rPr>
        <w:t>обхват</w:t>
      </w:r>
      <w:r>
        <w:rPr>
          <w:noProof/>
        </w:rPr>
        <w:t xml:space="preserve"> (VOR); </w:t>
      </w:r>
      <w:r>
        <w:rPr>
          <w:noProof/>
        </w:rPr>
        <w:t>д</w:t>
      </w:r>
      <w:r>
        <w:rPr>
          <w:noProof/>
        </w:rPr>
        <w:t xml:space="preserve">) </w:t>
      </w:r>
      <w:r>
        <w:rPr>
          <w:noProof/>
        </w:rPr>
        <w:t>пояснения</w:t>
      </w:r>
      <w:r>
        <w:rPr>
          <w:noProof/>
        </w:rPr>
        <w:t xml:space="preserve"> </w:t>
      </w:r>
      <w:r>
        <w:rPr>
          <w:noProof/>
        </w:rPr>
        <w:t>и</w:t>
      </w:r>
      <w:r>
        <w:rPr>
          <w:noProof/>
        </w:rPr>
        <w:t xml:space="preserve"> </w:t>
      </w:r>
      <w:r>
        <w:rPr>
          <w:noProof/>
        </w:rPr>
        <w:t>поправки</w:t>
      </w:r>
      <w:r>
        <w:rPr>
          <w:noProof/>
        </w:rPr>
        <w:t xml:space="preserve"> </w:t>
      </w:r>
      <w:r>
        <w:rPr>
          <w:noProof/>
        </w:rPr>
        <w:t>на</w:t>
      </w:r>
      <w:r>
        <w:rPr>
          <w:noProof/>
        </w:rPr>
        <w:t xml:space="preserve"> </w:t>
      </w:r>
      <w:r>
        <w:rPr>
          <w:noProof/>
        </w:rPr>
        <w:t>разпоредбите</w:t>
      </w:r>
      <w:r>
        <w:rPr>
          <w:noProof/>
        </w:rPr>
        <w:t xml:space="preserve"> </w:t>
      </w:r>
      <w:r>
        <w:rPr>
          <w:noProof/>
        </w:rPr>
        <w:t>за</w:t>
      </w:r>
      <w:r>
        <w:rPr>
          <w:noProof/>
        </w:rPr>
        <w:t xml:space="preserve"> GBAS; </w:t>
      </w:r>
      <w:r>
        <w:rPr>
          <w:noProof/>
        </w:rPr>
        <w:t>и</w:t>
      </w:r>
      <w:r>
        <w:rPr>
          <w:noProof/>
        </w:rPr>
        <w:t xml:space="preserve"> </w:t>
      </w:r>
      <w:r>
        <w:rPr>
          <w:noProof/>
        </w:rPr>
        <w:t>е</w:t>
      </w:r>
      <w:r>
        <w:rPr>
          <w:noProof/>
        </w:rPr>
        <w:t xml:space="preserve">) </w:t>
      </w:r>
      <w:r>
        <w:rPr>
          <w:noProof/>
        </w:rPr>
        <w:t>допълнителни</w:t>
      </w:r>
      <w:r>
        <w:rPr>
          <w:noProof/>
        </w:rPr>
        <w:t xml:space="preserve"> </w:t>
      </w:r>
      <w:r>
        <w:rPr>
          <w:noProof/>
        </w:rPr>
        <w:t>насоки</w:t>
      </w:r>
      <w:r>
        <w:rPr>
          <w:noProof/>
        </w:rPr>
        <w:t xml:space="preserve"> </w:t>
      </w:r>
      <w:r>
        <w:rPr>
          <w:noProof/>
        </w:rPr>
        <w:t>относно</w:t>
      </w:r>
      <w:r>
        <w:rPr>
          <w:noProof/>
        </w:rPr>
        <w:t xml:space="preserve"> </w:t>
      </w:r>
      <w:r>
        <w:rPr>
          <w:noProof/>
        </w:rPr>
        <w:t>границите</w:t>
      </w:r>
      <w:r>
        <w:rPr>
          <w:noProof/>
        </w:rPr>
        <w:t xml:space="preserve"> </w:t>
      </w:r>
      <w:r>
        <w:rPr>
          <w:noProof/>
        </w:rPr>
        <w:t>на</w:t>
      </w:r>
      <w:r>
        <w:rPr>
          <w:noProof/>
        </w:rPr>
        <w:t xml:space="preserve"> </w:t>
      </w:r>
      <w:r>
        <w:rPr>
          <w:noProof/>
        </w:rPr>
        <w:t>опасност</w:t>
      </w:r>
      <w:r>
        <w:rPr>
          <w:noProof/>
        </w:rPr>
        <w:t xml:space="preserve"> </w:t>
      </w:r>
      <w:r>
        <w:rPr>
          <w:noProof/>
        </w:rPr>
        <w:t>за</w:t>
      </w:r>
      <w:r>
        <w:rPr>
          <w:noProof/>
        </w:rPr>
        <w:t xml:space="preserve"> </w:t>
      </w:r>
      <w:r>
        <w:rPr>
          <w:noProof/>
        </w:rPr>
        <w:t>работоспособността</w:t>
      </w:r>
      <w:r>
        <w:rPr>
          <w:noProof/>
        </w:rPr>
        <w:t xml:space="preserve"> </w:t>
      </w:r>
      <w:r>
        <w:rPr>
          <w:noProof/>
        </w:rPr>
        <w:t>на</w:t>
      </w:r>
      <w:r>
        <w:rPr>
          <w:noProof/>
        </w:rPr>
        <w:t xml:space="preserve"> </w:t>
      </w:r>
      <w:r>
        <w:rPr>
          <w:noProof/>
        </w:rPr>
        <w:t>ГНСС</w:t>
      </w:r>
      <w:r>
        <w:rPr>
          <w:noProof/>
        </w:rPr>
        <w:t>.</w:t>
      </w:r>
    </w:p>
    <w:p>
      <w:pPr>
        <w:pStyle w:val="Body"/>
        <w:jc w:val="both"/>
        <w:rPr>
          <w:rFonts w:ascii="Times New Roman" w:eastAsia="Times New Roman" w:hAnsi="Times New Roman" w:cs="Times New Roman"/>
          <w:noProof/>
          <w:sz w:val="24"/>
          <w:szCs w:val="24"/>
        </w:rPr>
      </w:pPr>
      <w:r>
        <w:rPr>
          <w:rFonts w:ascii="Times New Roman"/>
          <w:noProof/>
          <w:sz w:val="24"/>
          <w:szCs w:val="24"/>
        </w:rPr>
        <w:t>Том</w:t>
      </w:r>
      <w:r>
        <w:rPr>
          <w:rFonts w:ascii="Times New Roman"/>
          <w:noProof/>
          <w:sz w:val="24"/>
          <w:szCs w:val="24"/>
        </w:rPr>
        <w:t xml:space="preserve"> I</w:t>
      </w:r>
      <w:r>
        <w:rPr>
          <w:rFonts w:ascii="Times New Roman"/>
          <w:noProof/>
          <w:sz w:val="24"/>
          <w:szCs w:val="24"/>
        </w:rPr>
        <w:t>І</w:t>
      </w:r>
      <w:r>
        <w:rPr>
          <w:rFonts w:ascii="Times New Roman"/>
          <w:noProof/>
          <w:sz w:val="24"/>
          <w:szCs w:val="24"/>
        </w:rPr>
        <w:t xml:space="preserve">: </w:t>
      </w:r>
      <w:r>
        <w:rPr>
          <w:rFonts w:ascii="Times New Roman"/>
          <w:noProof/>
          <w:sz w:val="24"/>
          <w:szCs w:val="24"/>
        </w:rPr>
        <w:t>Изменението</w:t>
      </w:r>
      <w:r>
        <w:rPr>
          <w:rFonts w:ascii="Times New Roman"/>
          <w:noProof/>
          <w:sz w:val="24"/>
          <w:szCs w:val="24"/>
        </w:rPr>
        <w:t xml:space="preserve"> </w:t>
      </w:r>
      <w:r>
        <w:rPr>
          <w:rFonts w:ascii="Times New Roman"/>
          <w:noProof/>
          <w:sz w:val="24"/>
          <w:szCs w:val="24"/>
        </w:rPr>
        <w:t>е</w:t>
      </w:r>
      <w:r>
        <w:rPr>
          <w:rFonts w:ascii="Times New Roman"/>
          <w:noProof/>
          <w:sz w:val="24"/>
          <w:szCs w:val="24"/>
        </w:rPr>
        <w:t xml:space="preserve"> </w:t>
      </w:r>
      <w:r>
        <w:rPr>
          <w:rFonts w:ascii="Times New Roman"/>
          <w:noProof/>
          <w:sz w:val="24"/>
          <w:szCs w:val="24"/>
        </w:rPr>
        <w:t>свързано</w:t>
      </w:r>
      <w:r>
        <w:rPr>
          <w:rFonts w:ascii="Times New Roman"/>
          <w:noProof/>
          <w:sz w:val="24"/>
          <w:szCs w:val="24"/>
        </w:rPr>
        <w:t xml:space="preserve"> </w:t>
      </w:r>
      <w:r>
        <w:rPr>
          <w:rFonts w:ascii="Times New Roman"/>
          <w:noProof/>
          <w:sz w:val="24"/>
          <w:szCs w:val="24"/>
        </w:rPr>
        <w:t>с</w:t>
      </w:r>
      <w:r>
        <w:rPr>
          <w:rFonts w:ascii="Times New Roman"/>
          <w:noProof/>
          <w:sz w:val="24"/>
          <w:szCs w:val="24"/>
        </w:rPr>
        <w:t xml:space="preserve"> </w:t>
      </w:r>
      <w:r>
        <w:rPr>
          <w:rFonts w:ascii="Times New Roman"/>
          <w:noProof/>
          <w:sz w:val="24"/>
          <w:szCs w:val="24"/>
        </w:rPr>
        <w:t>модела</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ИКАО</w:t>
      </w:r>
      <w:r>
        <w:rPr>
          <w:rFonts w:ascii="Times New Roman"/>
          <w:noProof/>
          <w:sz w:val="24"/>
          <w:szCs w:val="24"/>
        </w:rPr>
        <w:t xml:space="preserve"> </w:t>
      </w:r>
      <w:r>
        <w:rPr>
          <w:rFonts w:ascii="Times New Roman"/>
          <w:noProof/>
          <w:sz w:val="24"/>
          <w:szCs w:val="24"/>
        </w:rPr>
        <w:t>за</w:t>
      </w:r>
      <w:r>
        <w:rPr>
          <w:rFonts w:ascii="Times New Roman"/>
          <w:noProof/>
          <w:sz w:val="24"/>
          <w:szCs w:val="24"/>
        </w:rPr>
        <w:t xml:space="preserve"> </w:t>
      </w:r>
      <w:r>
        <w:rPr>
          <w:rFonts w:ascii="Times New Roman"/>
          <w:noProof/>
          <w:sz w:val="24"/>
          <w:szCs w:val="24"/>
        </w:rPr>
        <w:t>обмен</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метеорологична</w:t>
      </w:r>
      <w:r>
        <w:rPr>
          <w:rFonts w:ascii="Times New Roman"/>
          <w:noProof/>
          <w:sz w:val="24"/>
          <w:szCs w:val="24"/>
        </w:rPr>
        <w:t xml:space="preserve"> </w:t>
      </w:r>
      <w:r>
        <w:rPr>
          <w:rFonts w:ascii="Times New Roman"/>
          <w:noProof/>
          <w:sz w:val="24"/>
          <w:szCs w:val="24"/>
        </w:rPr>
        <w:t>информация</w:t>
      </w:r>
      <w:r>
        <w:rPr>
          <w:rFonts w:ascii="Times New Roman"/>
          <w:noProof/>
          <w:sz w:val="24"/>
          <w:szCs w:val="24"/>
        </w:rPr>
        <w:t xml:space="preserve"> (IWXXM), </w:t>
      </w:r>
      <w:r>
        <w:rPr>
          <w:rFonts w:ascii="Times New Roman"/>
          <w:noProof/>
          <w:sz w:val="24"/>
          <w:szCs w:val="24"/>
        </w:rPr>
        <w:t>аеронавигационна</w:t>
      </w:r>
      <w:r>
        <w:rPr>
          <w:rFonts w:ascii="Times New Roman"/>
          <w:noProof/>
          <w:sz w:val="24"/>
          <w:szCs w:val="24"/>
        </w:rPr>
        <w:t xml:space="preserve"> </w:t>
      </w:r>
      <w:r>
        <w:rPr>
          <w:rFonts w:ascii="Times New Roman"/>
          <w:noProof/>
          <w:sz w:val="24"/>
          <w:szCs w:val="24"/>
        </w:rPr>
        <w:t>неподвижна</w:t>
      </w:r>
      <w:r>
        <w:rPr>
          <w:rFonts w:ascii="Times New Roman"/>
          <w:noProof/>
          <w:sz w:val="24"/>
          <w:szCs w:val="24"/>
        </w:rPr>
        <w:t xml:space="preserve"> </w:t>
      </w:r>
      <w:r>
        <w:rPr>
          <w:rFonts w:ascii="Times New Roman"/>
          <w:noProof/>
          <w:sz w:val="24"/>
          <w:szCs w:val="24"/>
        </w:rPr>
        <w:t>телекомуникационна</w:t>
      </w:r>
      <w:r>
        <w:rPr>
          <w:rFonts w:ascii="Times New Roman"/>
          <w:noProof/>
          <w:sz w:val="24"/>
          <w:szCs w:val="24"/>
        </w:rPr>
        <w:t xml:space="preserve"> </w:t>
      </w:r>
      <w:r>
        <w:rPr>
          <w:rFonts w:ascii="Times New Roman"/>
          <w:noProof/>
          <w:sz w:val="24"/>
          <w:szCs w:val="24"/>
        </w:rPr>
        <w:t>мрежа</w:t>
      </w:r>
      <w:r>
        <w:rPr>
          <w:rFonts w:ascii="Times New Roman"/>
          <w:noProof/>
          <w:sz w:val="24"/>
          <w:szCs w:val="24"/>
        </w:rPr>
        <w:t xml:space="preserve"> (AFTN) </w:t>
      </w:r>
      <w:r>
        <w:rPr>
          <w:rFonts w:ascii="Times New Roman"/>
          <w:noProof/>
          <w:sz w:val="24"/>
          <w:szCs w:val="24"/>
        </w:rPr>
        <w:t>и</w:t>
      </w:r>
      <w:r>
        <w:rPr>
          <w:rFonts w:ascii="Times New Roman"/>
          <w:noProof/>
          <w:sz w:val="24"/>
          <w:szCs w:val="24"/>
        </w:rPr>
        <w:t xml:space="preserve"> </w:t>
      </w:r>
      <w:r>
        <w:rPr>
          <w:rFonts w:ascii="Times New Roman"/>
          <w:noProof/>
          <w:sz w:val="24"/>
          <w:szCs w:val="24"/>
        </w:rPr>
        <w:t>аеронавигационно</w:t>
      </w:r>
      <w:r>
        <w:rPr>
          <w:rFonts w:ascii="Times New Roman"/>
          <w:noProof/>
          <w:sz w:val="24"/>
          <w:szCs w:val="24"/>
        </w:rPr>
        <w:t xml:space="preserve"> </w:t>
      </w:r>
      <w:r>
        <w:rPr>
          <w:rFonts w:ascii="Times New Roman"/>
          <w:noProof/>
          <w:sz w:val="24"/>
          <w:szCs w:val="24"/>
        </w:rPr>
        <w:t>неподвижно</w:t>
      </w:r>
      <w:r>
        <w:rPr>
          <w:rFonts w:ascii="Times New Roman"/>
          <w:noProof/>
          <w:sz w:val="24"/>
          <w:szCs w:val="24"/>
        </w:rPr>
        <w:t xml:space="preserve"> </w:t>
      </w:r>
      <w:r>
        <w:rPr>
          <w:rFonts w:ascii="Times New Roman"/>
          <w:noProof/>
          <w:sz w:val="24"/>
          <w:szCs w:val="24"/>
        </w:rPr>
        <w:t>обслужване</w:t>
      </w:r>
      <w:r>
        <w:rPr>
          <w:rFonts w:ascii="Times New Roman"/>
          <w:noProof/>
          <w:sz w:val="24"/>
          <w:szCs w:val="24"/>
        </w:rPr>
        <w:t xml:space="preserve"> (AFS).</w:t>
      </w:r>
    </w:p>
    <w:p>
      <w:pPr>
        <w:pStyle w:val="Heading3"/>
        <w:numPr>
          <w:ilvl w:val="2"/>
          <w:numId w:val="14"/>
        </w:numPr>
        <w:ind w:left="850" w:hanging="850"/>
        <w:rPr>
          <w:rFonts w:eastAsia="Arial Unicode MS"/>
          <w:noProof/>
        </w:rPr>
      </w:pPr>
      <w:r>
        <w:rPr>
          <w:noProof/>
        </w:rPr>
        <w:t>Приложимо</w:t>
      </w:r>
      <w:r>
        <w:rPr>
          <w:noProof/>
        </w:rPr>
        <w:t xml:space="preserve"> </w:t>
      </w:r>
      <w:r>
        <w:rPr>
          <w:noProof/>
        </w:rPr>
        <w:t>законодателство</w:t>
      </w:r>
      <w:r>
        <w:rPr>
          <w:noProof/>
        </w:rPr>
        <w:t xml:space="preserve"> </w:t>
      </w:r>
      <w:r>
        <w:rPr>
          <w:noProof/>
        </w:rPr>
        <w:t>на</w:t>
      </w:r>
      <w:r>
        <w:rPr>
          <w:noProof/>
        </w:rPr>
        <w:t xml:space="preserve"> </w:t>
      </w:r>
      <w:r>
        <w:rPr>
          <w:noProof/>
        </w:rPr>
        <w:t>Съюза</w:t>
      </w:r>
      <w:r>
        <w:rPr>
          <w:noProof/>
        </w:rPr>
        <w:t xml:space="preserve"> </w:t>
      </w:r>
    </w:p>
    <w:p>
      <w:pPr>
        <w:pStyle w:val="NumPar3"/>
        <w:ind w:left="0" w:firstLine="0"/>
        <w:rPr>
          <w:noProof/>
        </w:rPr>
      </w:pPr>
      <w:r>
        <w:rPr>
          <w:noProof/>
        </w:rPr>
        <w:t>Регламент</w:t>
      </w:r>
      <w:r>
        <w:rPr>
          <w:noProof/>
        </w:rPr>
        <w:t xml:space="preserve"> </w:t>
      </w:r>
      <w:r>
        <w:rPr>
          <w:noProof/>
        </w:rPr>
        <w:t>за</w:t>
      </w:r>
      <w:r>
        <w:rPr>
          <w:noProof/>
        </w:rPr>
        <w:t xml:space="preserve"> </w:t>
      </w:r>
      <w:r>
        <w:rPr>
          <w:noProof/>
        </w:rPr>
        <w:t>изпълнение</w:t>
      </w:r>
      <w:r>
        <w:rPr>
          <w:noProof/>
        </w:rPr>
        <w:t xml:space="preserve"> (</w:t>
      </w:r>
      <w:r>
        <w:rPr>
          <w:noProof/>
        </w:rPr>
        <w:t>ЕС</w:t>
      </w:r>
      <w:r>
        <w:rPr>
          <w:noProof/>
        </w:rPr>
        <w:t xml:space="preserve">) 2017/373 </w:t>
      </w:r>
      <w:r>
        <w:rPr>
          <w:noProof/>
        </w:rPr>
        <w:t>на</w:t>
      </w:r>
      <w:r>
        <w:rPr>
          <w:noProof/>
        </w:rPr>
        <w:t xml:space="preserve"> </w:t>
      </w:r>
      <w:r>
        <w:rPr>
          <w:noProof/>
        </w:rPr>
        <w:t>Комисията</w:t>
      </w:r>
      <w:r>
        <w:rPr>
          <w:noProof/>
          <w:vertAlign w:val="superscript"/>
        </w:rPr>
        <w:footnoteReference w:id="6"/>
      </w:r>
      <w:r>
        <w:rPr>
          <w:noProof/>
        </w:rPr>
        <w:t xml:space="preserve"> </w:t>
      </w:r>
    </w:p>
    <w:p>
      <w:pPr>
        <w:pStyle w:val="Heading3"/>
        <w:widowControl w:val="0"/>
        <w:numPr>
          <w:ilvl w:val="2"/>
          <w:numId w:val="14"/>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92 </w:t>
      </w:r>
      <w:r>
        <w:rPr>
          <w:noProof/>
        </w:rPr>
        <w:t>на</w:t>
      </w:r>
      <w:r>
        <w:rPr>
          <w:noProof/>
        </w:rPr>
        <w:t xml:space="preserve"> </w:t>
      </w:r>
      <w:r>
        <w:rPr>
          <w:noProof/>
        </w:rPr>
        <w:t>приложение</w:t>
      </w:r>
      <w:r>
        <w:rPr>
          <w:noProof/>
        </w:rPr>
        <w:t xml:space="preserve"> 10, </w:t>
      </w:r>
      <w:r>
        <w:rPr>
          <w:noProof/>
        </w:rPr>
        <w:t>том</w:t>
      </w:r>
      <w:r>
        <w:rPr>
          <w:noProof/>
        </w:rPr>
        <w:t xml:space="preserve"> 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Забележки</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10, том I, изменение 92</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Регламент (ЕС) 2017/373 се позовава на приложение 10, том I на ИКАО само до изменение 89 включително.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Ще бъде постигнато съответствие при изменението на точка CNS.TR.100 от Регламент (ЕС) 2017/373 в рамките на RMT.0719 „Редовна актуализация на правилата за управление на въздушното движение (ATM)/аеронавигационно обслужване (ANS) (IR/AMC/GM)“ в съответствие с графика, посочен в самия европейски план за авиационна безопасност (EPAS).</w:t>
            </w:r>
          </w:p>
        </w:tc>
      </w:tr>
    </w:tbl>
    <w:p>
      <w:pPr>
        <w:pStyle w:val="Heading3"/>
        <w:widowControl w:val="0"/>
        <w:numPr>
          <w:ilvl w:val="2"/>
          <w:numId w:val="16"/>
        </w:numPr>
        <w:ind w:left="850" w:hanging="850"/>
        <w:rPr>
          <w:rFonts w:eastAsia="Arial Unicode MS"/>
          <w:noProof/>
        </w:rPr>
      </w:pPr>
    </w:p>
    <w:p>
      <w:pPr>
        <w:pStyle w:val="Heading3"/>
        <w:widowControl w:val="0"/>
        <w:numPr>
          <w:ilvl w:val="2"/>
          <w:numId w:val="18"/>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92 </w:t>
      </w:r>
      <w:r>
        <w:rPr>
          <w:noProof/>
        </w:rPr>
        <w:t>на</w:t>
      </w:r>
      <w:r>
        <w:rPr>
          <w:noProof/>
        </w:rPr>
        <w:t xml:space="preserve"> </w:t>
      </w:r>
      <w:r>
        <w:rPr>
          <w:noProof/>
        </w:rPr>
        <w:t>приложение</w:t>
      </w:r>
      <w:r>
        <w:rPr>
          <w:noProof/>
        </w:rPr>
        <w:t xml:space="preserve"> 10, </w:t>
      </w:r>
      <w:r>
        <w:rPr>
          <w:noProof/>
        </w:rPr>
        <w:t>том</w:t>
      </w:r>
      <w:r>
        <w:rPr>
          <w:noProof/>
        </w:rPr>
        <w:t xml:space="preserve"> 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Забележки</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10, том II, изменение 92, глава 4, 4.3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Регламент (ЕС) 2017/373 се позовава на приложение 10, том I на ИКАО само до изменение 89 включително.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Ще бъде постигнато съответствие при изменението на точка CNS.TR.100 от Регламент (ЕС) 2017/373 в рамките на RMT.0719 „Редовна актуализация на правилата за ATM/ANS (IR/AMC/GM)“ в съответствие с графика, посочен в самия европейски план за авиационна безопасност (EPAS).</w:t>
            </w:r>
          </w:p>
        </w:tc>
      </w:tr>
    </w:tbl>
    <w:p>
      <w:pPr>
        <w:pStyle w:val="Heading2"/>
        <w:numPr>
          <w:ilvl w:val="1"/>
          <w:numId w:val="20"/>
        </w:numPr>
        <w:ind w:left="850" w:hanging="850"/>
        <w:rPr>
          <w:rFonts w:eastAsia="Arial Unicode MS"/>
          <w:noProof/>
        </w:rPr>
      </w:pPr>
      <w:r>
        <w:rPr>
          <w:noProof/>
        </w:rPr>
        <w:t>Изменение</w:t>
      </w:r>
      <w:r>
        <w:rPr>
          <w:noProof/>
        </w:rPr>
        <w:t xml:space="preserve"> 52 </w:t>
      </w:r>
      <w:r>
        <w:rPr>
          <w:noProof/>
        </w:rPr>
        <w:t>на</w:t>
      </w:r>
      <w:r>
        <w:rPr>
          <w:noProof/>
        </w:rPr>
        <w:t xml:space="preserve"> </w:t>
      </w:r>
      <w:r>
        <w:rPr>
          <w:noProof/>
        </w:rPr>
        <w:t>приложение</w:t>
      </w:r>
      <w:r>
        <w:rPr>
          <w:noProof/>
        </w:rPr>
        <w:t xml:space="preserve"> 11 </w:t>
      </w:r>
      <w:r>
        <w:rPr>
          <w:noProof/>
        </w:rPr>
        <w:t>относно</w:t>
      </w:r>
      <w:r>
        <w:rPr>
          <w:noProof/>
        </w:rPr>
        <w:t xml:space="preserve"> </w:t>
      </w:r>
      <w:r>
        <w:rPr>
          <w:noProof/>
        </w:rPr>
        <w:t>обслужването</w:t>
      </w:r>
      <w:r>
        <w:rPr>
          <w:noProof/>
        </w:rPr>
        <w:t xml:space="preserve"> </w:t>
      </w:r>
      <w:r>
        <w:rPr>
          <w:noProof/>
        </w:rPr>
        <w:t>на</w:t>
      </w:r>
      <w:r>
        <w:rPr>
          <w:noProof/>
        </w:rPr>
        <w:t xml:space="preserve"> </w:t>
      </w:r>
      <w:r>
        <w:rPr>
          <w:noProof/>
        </w:rPr>
        <w:t>въздушното</w:t>
      </w:r>
      <w:r>
        <w:rPr>
          <w:noProof/>
        </w:rPr>
        <w:t xml:space="preserve"> </w:t>
      </w:r>
      <w:r>
        <w:rPr>
          <w:noProof/>
        </w:rPr>
        <w:t>движение</w:t>
      </w:r>
      <w:r>
        <w:rPr>
          <w:noProof/>
        </w:rPr>
        <w:t xml:space="preserve"> </w:t>
      </w:r>
    </w:p>
    <w:p>
      <w:pPr>
        <w:pStyle w:val="Heading3"/>
        <w:numPr>
          <w:ilvl w:val="2"/>
          <w:numId w:val="20"/>
        </w:numPr>
        <w:ind w:left="850" w:hanging="850"/>
        <w:rPr>
          <w:rFonts w:eastAsia="Arial Unicode MS"/>
          <w:noProof/>
        </w:rPr>
      </w:pPr>
      <w:r>
        <w:rPr>
          <w:noProof/>
        </w:rPr>
        <w:t>Описание</w:t>
      </w:r>
    </w:p>
    <w:p>
      <w:pPr>
        <w:pStyle w:val="Body"/>
        <w:jc w:val="both"/>
        <w:rPr>
          <w:rFonts w:ascii="Times New Roman" w:eastAsia="Times New Roman" w:hAnsi="Times New Roman" w:cs="Times New Roman"/>
          <w:noProof/>
          <w:sz w:val="24"/>
          <w:szCs w:val="24"/>
        </w:rPr>
      </w:pPr>
      <w:r>
        <w:rPr>
          <w:rFonts w:ascii="Times New Roman"/>
          <w:noProof/>
          <w:sz w:val="24"/>
          <w:szCs w:val="24"/>
        </w:rPr>
        <w:t>Измененията</w:t>
      </w:r>
      <w:r>
        <w:rPr>
          <w:rFonts w:ascii="Times New Roman"/>
          <w:noProof/>
          <w:sz w:val="24"/>
          <w:szCs w:val="24"/>
        </w:rPr>
        <w:t xml:space="preserve"> </w:t>
      </w:r>
      <w:r>
        <w:rPr>
          <w:rFonts w:ascii="Times New Roman"/>
          <w:noProof/>
          <w:sz w:val="24"/>
          <w:szCs w:val="24"/>
        </w:rPr>
        <w:t>се</w:t>
      </w:r>
      <w:r>
        <w:rPr>
          <w:rFonts w:ascii="Times New Roman"/>
          <w:noProof/>
          <w:sz w:val="24"/>
          <w:szCs w:val="24"/>
        </w:rPr>
        <w:t xml:space="preserve"> </w:t>
      </w:r>
      <w:r>
        <w:rPr>
          <w:rFonts w:ascii="Times New Roman"/>
          <w:noProof/>
          <w:sz w:val="24"/>
          <w:szCs w:val="24"/>
        </w:rPr>
        <w:t>отнасят</w:t>
      </w:r>
      <w:r>
        <w:rPr>
          <w:rFonts w:ascii="Times New Roman"/>
          <w:noProof/>
          <w:sz w:val="24"/>
          <w:szCs w:val="24"/>
        </w:rPr>
        <w:t xml:space="preserve"> </w:t>
      </w:r>
      <w:r>
        <w:rPr>
          <w:rFonts w:ascii="Times New Roman"/>
          <w:noProof/>
          <w:sz w:val="24"/>
          <w:szCs w:val="24"/>
        </w:rPr>
        <w:t>до</w:t>
      </w:r>
      <w:r>
        <w:rPr>
          <w:rFonts w:ascii="Times New Roman"/>
          <w:noProof/>
          <w:sz w:val="24"/>
          <w:szCs w:val="24"/>
        </w:rPr>
        <w:t xml:space="preserve"> </w:t>
      </w:r>
      <w:r>
        <w:rPr>
          <w:rFonts w:ascii="Times New Roman"/>
          <w:noProof/>
          <w:sz w:val="24"/>
          <w:szCs w:val="24"/>
        </w:rPr>
        <w:t>планирането</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действия</w:t>
      </w:r>
      <w:r>
        <w:rPr>
          <w:rFonts w:ascii="Times New Roman"/>
          <w:noProof/>
          <w:sz w:val="24"/>
          <w:szCs w:val="24"/>
        </w:rPr>
        <w:t xml:space="preserve"> </w:t>
      </w:r>
      <w:r>
        <w:rPr>
          <w:rFonts w:ascii="Times New Roman"/>
          <w:noProof/>
          <w:sz w:val="24"/>
          <w:szCs w:val="24"/>
        </w:rPr>
        <w:t>при</w:t>
      </w:r>
      <w:r>
        <w:rPr>
          <w:rFonts w:ascii="Times New Roman"/>
          <w:noProof/>
          <w:sz w:val="24"/>
          <w:szCs w:val="24"/>
        </w:rPr>
        <w:t xml:space="preserve"> </w:t>
      </w:r>
      <w:r>
        <w:rPr>
          <w:rFonts w:ascii="Times New Roman"/>
          <w:noProof/>
          <w:sz w:val="24"/>
          <w:szCs w:val="24"/>
        </w:rPr>
        <w:t>извънредни</w:t>
      </w:r>
      <w:r>
        <w:rPr>
          <w:rFonts w:ascii="Times New Roman"/>
          <w:noProof/>
          <w:sz w:val="24"/>
          <w:szCs w:val="24"/>
        </w:rPr>
        <w:t xml:space="preserve"> </w:t>
      </w:r>
      <w:r>
        <w:rPr>
          <w:rFonts w:ascii="Times New Roman"/>
          <w:noProof/>
          <w:sz w:val="24"/>
          <w:szCs w:val="24"/>
        </w:rPr>
        <w:t>ситуации</w:t>
      </w:r>
      <w:r>
        <w:rPr>
          <w:rFonts w:ascii="Times New Roman"/>
          <w:noProof/>
          <w:sz w:val="24"/>
          <w:szCs w:val="24"/>
        </w:rPr>
        <w:t xml:space="preserve"> </w:t>
      </w:r>
      <w:r>
        <w:rPr>
          <w:rFonts w:ascii="Times New Roman"/>
          <w:noProof/>
          <w:sz w:val="24"/>
          <w:szCs w:val="24"/>
        </w:rPr>
        <w:t>по</w:t>
      </w:r>
      <w:r>
        <w:rPr>
          <w:rFonts w:ascii="Times New Roman"/>
          <w:noProof/>
          <w:sz w:val="24"/>
          <w:szCs w:val="24"/>
        </w:rPr>
        <w:t xml:space="preserve"> </w:t>
      </w:r>
      <w:r>
        <w:rPr>
          <w:rFonts w:ascii="Times New Roman"/>
          <w:noProof/>
          <w:sz w:val="24"/>
          <w:szCs w:val="24"/>
        </w:rPr>
        <w:t>отношение</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зоните</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конфликти</w:t>
      </w:r>
      <w:r>
        <w:rPr>
          <w:rFonts w:ascii="Times New Roman"/>
          <w:noProof/>
          <w:sz w:val="24"/>
          <w:szCs w:val="24"/>
        </w:rPr>
        <w:t xml:space="preserve">. </w:t>
      </w:r>
      <w:r>
        <w:rPr>
          <w:rFonts w:ascii="Times New Roman"/>
          <w:noProof/>
          <w:sz w:val="24"/>
          <w:szCs w:val="24"/>
        </w:rPr>
        <w:t>Те</w:t>
      </w:r>
      <w:r>
        <w:rPr>
          <w:rFonts w:ascii="Times New Roman"/>
          <w:noProof/>
          <w:sz w:val="24"/>
          <w:szCs w:val="24"/>
        </w:rPr>
        <w:t xml:space="preserve"> </w:t>
      </w:r>
      <w:r>
        <w:rPr>
          <w:rFonts w:ascii="Times New Roman"/>
          <w:noProof/>
          <w:sz w:val="24"/>
          <w:szCs w:val="24"/>
        </w:rPr>
        <w:t>са</w:t>
      </w:r>
      <w:r>
        <w:rPr>
          <w:rFonts w:ascii="Times New Roman"/>
          <w:noProof/>
          <w:sz w:val="24"/>
          <w:szCs w:val="24"/>
        </w:rPr>
        <w:t xml:space="preserve"> </w:t>
      </w:r>
      <w:r>
        <w:rPr>
          <w:rFonts w:ascii="Times New Roman"/>
          <w:noProof/>
          <w:sz w:val="24"/>
          <w:szCs w:val="24"/>
        </w:rPr>
        <w:t>мотивирани</w:t>
      </w:r>
      <w:r>
        <w:rPr>
          <w:rFonts w:ascii="Times New Roman"/>
          <w:noProof/>
          <w:sz w:val="24"/>
          <w:szCs w:val="24"/>
        </w:rPr>
        <w:t xml:space="preserve"> </w:t>
      </w:r>
      <w:r>
        <w:rPr>
          <w:rFonts w:ascii="Times New Roman"/>
          <w:noProof/>
          <w:sz w:val="24"/>
          <w:szCs w:val="24"/>
        </w:rPr>
        <w:t>от</w:t>
      </w:r>
      <w:r>
        <w:rPr>
          <w:rFonts w:ascii="Times New Roman"/>
          <w:noProof/>
          <w:sz w:val="24"/>
          <w:szCs w:val="24"/>
        </w:rPr>
        <w:t xml:space="preserve"> </w:t>
      </w:r>
      <w:r>
        <w:rPr>
          <w:rFonts w:ascii="Times New Roman"/>
          <w:noProof/>
          <w:sz w:val="24"/>
          <w:szCs w:val="24"/>
        </w:rPr>
        <w:t>препоръките</w:t>
      </w:r>
      <w:r>
        <w:rPr>
          <w:rFonts w:ascii="Times New Roman"/>
          <w:noProof/>
          <w:sz w:val="24"/>
          <w:szCs w:val="24"/>
        </w:rPr>
        <w:t xml:space="preserve"> </w:t>
      </w:r>
      <w:r>
        <w:rPr>
          <w:rFonts w:ascii="Times New Roman"/>
          <w:noProof/>
          <w:sz w:val="24"/>
          <w:szCs w:val="24"/>
        </w:rPr>
        <w:t>за</w:t>
      </w:r>
      <w:r>
        <w:rPr>
          <w:rFonts w:ascii="Times New Roman"/>
          <w:noProof/>
          <w:sz w:val="24"/>
          <w:szCs w:val="24"/>
        </w:rPr>
        <w:t xml:space="preserve"> </w:t>
      </w:r>
      <w:r>
        <w:rPr>
          <w:rFonts w:ascii="Times New Roman"/>
          <w:noProof/>
          <w:sz w:val="24"/>
          <w:szCs w:val="24"/>
        </w:rPr>
        <w:t>безопасност</w:t>
      </w:r>
      <w:r>
        <w:rPr>
          <w:rFonts w:ascii="Times New Roman"/>
          <w:noProof/>
          <w:sz w:val="24"/>
          <w:szCs w:val="24"/>
        </w:rPr>
        <w:t xml:space="preserve">, </w:t>
      </w:r>
      <w:r>
        <w:rPr>
          <w:rFonts w:ascii="Times New Roman"/>
          <w:noProof/>
          <w:sz w:val="24"/>
          <w:szCs w:val="24"/>
        </w:rPr>
        <w:t>отправени</w:t>
      </w:r>
      <w:r>
        <w:rPr>
          <w:rFonts w:ascii="Times New Roman"/>
          <w:noProof/>
          <w:sz w:val="24"/>
          <w:szCs w:val="24"/>
        </w:rPr>
        <w:t xml:space="preserve"> </w:t>
      </w:r>
      <w:r>
        <w:rPr>
          <w:rFonts w:ascii="Times New Roman"/>
          <w:noProof/>
          <w:sz w:val="24"/>
          <w:szCs w:val="24"/>
        </w:rPr>
        <w:t>от</w:t>
      </w:r>
      <w:r>
        <w:rPr>
          <w:rFonts w:ascii="Times New Roman"/>
          <w:noProof/>
          <w:sz w:val="24"/>
          <w:szCs w:val="24"/>
        </w:rPr>
        <w:t xml:space="preserve"> </w:t>
      </w:r>
      <w:r>
        <w:rPr>
          <w:rFonts w:ascii="Times New Roman"/>
          <w:noProof/>
          <w:sz w:val="24"/>
          <w:szCs w:val="24"/>
        </w:rPr>
        <w:t>Нидерландския</w:t>
      </w:r>
      <w:r>
        <w:rPr>
          <w:rFonts w:ascii="Times New Roman"/>
          <w:noProof/>
          <w:sz w:val="24"/>
          <w:szCs w:val="24"/>
        </w:rPr>
        <w:t xml:space="preserve"> </w:t>
      </w:r>
      <w:r>
        <w:rPr>
          <w:rFonts w:ascii="Times New Roman"/>
          <w:noProof/>
          <w:sz w:val="24"/>
          <w:szCs w:val="24"/>
        </w:rPr>
        <w:t>съвет</w:t>
      </w:r>
      <w:r>
        <w:rPr>
          <w:rFonts w:ascii="Times New Roman"/>
          <w:noProof/>
          <w:sz w:val="24"/>
          <w:szCs w:val="24"/>
        </w:rPr>
        <w:t xml:space="preserve"> </w:t>
      </w:r>
      <w:r>
        <w:rPr>
          <w:rFonts w:ascii="Times New Roman"/>
          <w:noProof/>
          <w:sz w:val="24"/>
          <w:szCs w:val="24"/>
        </w:rPr>
        <w:t>за</w:t>
      </w:r>
      <w:r>
        <w:rPr>
          <w:rFonts w:ascii="Times New Roman"/>
          <w:noProof/>
          <w:sz w:val="24"/>
          <w:szCs w:val="24"/>
        </w:rPr>
        <w:t xml:space="preserve"> </w:t>
      </w:r>
      <w:r>
        <w:rPr>
          <w:rFonts w:ascii="Times New Roman"/>
          <w:noProof/>
          <w:sz w:val="24"/>
          <w:szCs w:val="24"/>
        </w:rPr>
        <w:t>безопасност</w:t>
      </w:r>
      <w:r>
        <w:rPr>
          <w:rFonts w:ascii="Times New Roman"/>
          <w:noProof/>
          <w:sz w:val="24"/>
          <w:szCs w:val="24"/>
        </w:rPr>
        <w:t xml:space="preserve"> (DSB) </w:t>
      </w:r>
      <w:r>
        <w:rPr>
          <w:rFonts w:ascii="Times New Roman"/>
          <w:noProof/>
          <w:sz w:val="24"/>
          <w:szCs w:val="24"/>
        </w:rPr>
        <w:t>след</w:t>
      </w:r>
      <w:r>
        <w:rPr>
          <w:rFonts w:ascii="Times New Roman"/>
          <w:noProof/>
          <w:sz w:val="24"/>
          <w:szCs w:val="24"/>
        </w:rPr>
        <w:t xml:space="preserve"> </w:t>
      </w:r>
      <w:r>
        <w:rPr>
          <w:rFonts w:ascii="Times New Roman"/>
          <w:noProof/>
          <w:sz w:val="24"/>
          <w:szCs w:val="24"/>
        </w:rPr>
        <w:t>полет</w:t>
      </w:r>
      <w:r>
        <w:rPr>
          <w:rFonts w:ascii="Times New Roman"/>
          <w:noProof/>
          <w:sz w:val="24"/>
          <w:szCs w:val="24"/>
        </w:rPr>
        <w:t xml:space="preserve"> 17 </w:t>
      </w:r>
      <w:r>
        <w:rPr>
          <w:rFonts w:ascii="Times New Roman"/>
          <w:noProof/>
          <w:sz w:val="24"/>
          <w:szCs w:val="24"/>
        </w:rPr>
        <w:t>на</w:t>
      </w:r>
      <w:r>
        <w:rPr>
          <w:rFonts w:ascii="Times New Roman"/>
          <w:noProof/>
          <w:sz w:val="24"/>
          <w:szCs w:val="24"/>
        </w:rPr>
        <w:t xml:space="preserve"> Malaysian Airlines (MH17), </w:t>
      </w:r>
      <w:r>
        <w:rPr>
          <w:rFonts w:ascii="Times New Roman"/>
          <w:noProof/>
          <w:sz w:val="24"/>
          <w:szCs w:val="24"/>
        </w:rPr>
        <w:t>и</w:t>
      </w:r>
      <w:r>
        <w:rPr>
          <w:rFonts w:ascii="Times New Roman"/>
          <w:noProof/>
          <w:sz w:val="24"/>
          <w:szCs w:val="24"/>
        </w:rPr>
        <w:t xml:space="preserve"> </w:t>
      </w:r>
      <w:r>
        <w:rPr>
          <w:rFonts w:ascii="Times New Roman"/>
          <w:noProof/>
          <w:sz w:val="24"/>
          <w:szCs w:val="24"/>
        </w:rPr>
        <w:t>от</w:t>
      </w:r>
      <w:r>
        <w:rPr>
          <w:rFonts w:ascii="Times New Roman"/>
          <w:noProof/>
          <w:sz w:val="24"/>
          <w:szCs w:val="24"/>
        </w:rPr>
        <w:t xml:space="preserve"> </w:t>
      </w:r>
      <w:r>
        <w:rPr>
          <w:rFonts w:ascii="Times New Roman"/>
          <w:noProof/>
          <w:sz w:val="24"/>
          <w:szCs w:val="24"/>
        </w:rPr>
        <w:t>препоръките</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Работната</w:t>
      </w:r>
      <w:r>
        <w:rPr>
          <w:rFonts w:ascii="Times New Roman"/>
          <w:noProof/>
          <w:sz w:val="24"/>
          <w:szCs w:val="24"/>
        </w:rPr>
        <w:t xml:space="preserve"> </w:t>
      </w:r>
      <w:r>
        <w:rPr>
          <w:rFonts w:ascii="Times New Roman"/>
          <w:noProof/>
          <w:sz w:val="24"/>
          <w:szCs w:val="24"/>
        </w:rPr>
        <w:t>група</w:t>
      </w:r>
      <w:r>
        <w:rPr>
          <w:rFonts w:ascii="Times New Roman"/>
          <w:noProof/>
          <w:sz w:val="24"/>
          <w:szCs w:val="24"/>
        </w:rPr>
        <w:t xml:space="preserve"> </w:t>
      </w:r>
      <w:r>
        <w:rPr>
          <w:rFonts w:ascii="Times New Roman"/>
          <w:noProof/>
          <w:sz w:val="24"/>
          <w:szCs w:val="24"/>
        </w:rPr>
        <w:t>по</w:t>
      </w:r>
      <w:r>
        <w:rPr>
          <w:rFonts w:ascii="Times New Roman"/>
          <w:noProof/>
          <w:sz w:val="24"/>
          <w:szCs w:val="24"/>
        </w:rPr>
        <w:t xml:space="preserve"> </w:t>
      </w:r>
      <w:r>
        <w:rPr>
          <w:rFonts w:ascii="Times New Roman"/>
          <w:noProof/>
          <w:sz w:val="24"/>
          <w:szCs w:val="24"/>
        </w:rPr>
        <w:t>рисковете</w:t>
      </w:r>
      <w:r>
        <w:rPr>
          <w:rFonts w:ascii="Times New Roman"/>
          <w:noProof/>
          <w:sz w:val="24"/>
          <w:szCs w:val="24"/>
        </w:rPr>
        <w:t xml:space="preserve"> </w:t>
      </w:r>
      <w:r>
        <w:rPr>
          <w:rFonts w:ascii="Times New Roman"/>
          <w:noProof/>
          <w:sz w:val="24"/>
          <w:szCs w:val="24"/>
        </w:rPr>
        <w:t>за</w:t>
      </w:r>
      <w:r>
        <w:rPr>
          <w:rFonts w:ascii="Times New Roman"/>
          <w:noProof/>
          <w:sz w:val="24"/>
          <w:szCs w:val="24"/>
        </w:rPr>
        <w:t xml:space="preserve"> </w:t>
      </w:r>
      <w:r>
        <w:rPr>
          <w:rFonts w:ascii="Times New Roman"/>
          <w:noProof/>
          <w:sz w:val="24"/>
          <w:szCs w:val="24"/>
        </w:rPr>
        <w:t>гражданското</w:t>
      </w:r>
      <w:r>
        <w:rPr>
          <w:rFonts w:ascii="Times New Roman"/>
          <w:noProof/>
          <w:sz w:val="24"/>
          <w:szCs w:val="24"/>
        </w:rPr>
        <w:t xml:space="preserve"> </w:t>
      </w:r>
      <w:r>
        <w:rPr>
          <w:rFonts w:ascii="Times New Roman"/>
          <w:noProof/>
          <w:sz w:val="24"/>
          <w:szCs w:val="24"/>
        </w:rPr>
        <w:t>въздухоплаване</w:t>
      </w:r>
      <w:r>
        <w:rPr>
          <w:rFonts w:ascii="Times New Roman"/>
          <w:noProof/>
          <w:sz w:val="24"/>
          <w:szCs w:val="24"/>
        </w:rPr>
        <w:t xml:space="preserve">, </w:t>
      </w:r>
      <w:r>
        <w:rPr>
          <w:rFonts w:ascii="Times New Roman"/>
          <w:noProof/>
          <w:sz w:val="24"/>
          <w:szCs w:val="24"/>
        </w:rPr>
        <w:t>произтичащи</w:t>
      </w:r>
      <w:r>
        <w:rPr>
          <w:rFonts w:ascii="Times New Roman"/>
          <w:noProof/>
          <w:sz w:val="24"/>
          <w:szCs w:val="24"/>
        </w:rPr>
        <w:t xml:space="preserve"> </w:t>
      </w:r>
      <w:r>
        <w:rPr>
          <w:rFonts w:ascii="Times New Roman"/>
          <w:noProof/>
          <w:sz w:val="24"/>
          <w:szCs w:val="24"/>
        </w:rPr>
        <w:t>от</w:t>
      </w:r>
      <w:r>
        <w:rPr>
          <w:rFonts w:ascii="Times New Roman"/>
          <w:noProof/>
          <w:sz w:val="24"/>
          <w:szCs w:val="24"/>
        </w:rPr>
        <w:t xml:space="preserve"> </w:t>
      </w:r>
      <w:r>
        <w:rPr>
          <w:rFonts w:ascii="Times New Roman"/>
          <w:noProof/>
          <w:sz w:val="24"/>
          <w:szCs w:val="24"/>
        </w:rPr>
        <w:t>зони</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конфликти</w:t>
      </w:r>
      <w:r>
        <w:rPr>
          <w:rFonts w:ascii="Times New Roman"/>
          <w:noProof/>
          <w:sz w:val="24"/>
          <w:szCs w:val="24"/>
        </w:rPr>
        <w:t xml:space="preserve"> (TF RCZ) (C-DEC 203/1). </w:t>
      </w:r>
      <w:r>
        <w:rPr>
          <w:rFonts w:ascii="Times New Roman"/>
          <w:noProof/>
          <w:sz w:val="24"/>
          <w:szCs w:val="24"/>
        </w:rPr>
        <w:t>Изменението</w:t>
      </w:r>
      <w:r>
        <w:rPr>
          <w:rFonts w:ascii="Times New Roman"/>
          <w:noProof/>
          <w:sz w:val="24"/>
          <w:szCs w:val="24"/>
        </w:rPr>
        <w:t xml:space="preserve"> </w:t>
      </w:r>
      <w:r>
        <w:rPr>
          <w:rFonts w:ascii="Times New Roman"/>
          <w:noProof/>
          <w:sz w:val="24"/>
          <w:szCs w:val="24"/>
        </w:rPr>
        <w:t>се</w:t>
      </w:r>
      <w:r>
        <w:rPr>
          <w:rFonts w:ascii="Times New Roman"/>
          <w:noProof/>
          <w:sz w:val="24"/>
          <w:szCs w:val="24"/>
        </w:rPr>
        <w:t xml:space="preserve"> </w:t>
      </w:r>
      <w:r>
        <w:rPr>
          <w:rFonts w:ascii="Times New Roman"/>
          <w:noProof/>
          <w:sz w:val="24"/>
          <w:szCs w:val="24"/>
        </w:rPr>
        <w:t>отнася</w:t>
      </w:r>
      <w:r>
        <w:rPr>
          <w:rFonts w:ascii="Times New Roman"/>
          <w:noProof/>
          <w:sz w:val="24"/>
          <w:szCs w:val="24"/>
        </w:rPr>
        <w:t xml:space="preserve"> </w:t>
      </w:r>
      <w:r>
        <w:rPr>
          <w:rFonts w:ascii="Times New Roman"/>
          <w:noProof/>
          <w:sz w:val="24"/>
          <w:szCs w:val="24"/>
        </w:rPr>
        <w:t>и</w:t>
      </w:r>
      <w:r>
        <w:rPr>
          <w:rFonts w:ascii="Times New Roman"/>
          <w:noProof/>
          <w:sz w:val="24"/>
          <w:szCs w:val="24"/>
        </w:rPr>
        <w:t xml:space="preserve"> </w:t>
      </w:r>
      <w:r>
        <w:rPr>
          <w:rFonts w:ascii="Times New Roman"/>
          <w:noProof/>
          <w:sz w:val="24"/>
          <w:szCs w:val="24"/>
        </w:rPr>
        <w:t>до</w:t>
      </w:r>
      <w:r>
        <w:rPr>
          <w:rFonts w:ascii="Times New Roman"/>
          <w:noProof/>
          <w:sz w:val="24"/>
          <w:szCs w:val="24"/>
        </w:rPr>
        <w:t xml:space="preserve"> </w:t>
      </w:r>
      <w:r>
        <w:rPr>
          <w:rFonts w:ascii="Times New Roman"/>
          <w:noProof/>
          <w:sz w:val="24"/>
          <w:szCs w:val="24"/>
        </w:rPr>
        <w:t>изменения</w:t>
      </w:r>
      <w:r>
        <w:rPr>
          <w:rFonts w:ascii="Times New Roman"/>
          <w:noProof/>
          <w:sz w:val="24"/>
          <w:szCs w:val="24"/>
        </w:rPr>
        <w:t xml:space="preserve"> </w:t>
      </w:r>
      <w:r>
        <w:rPr>
          <w:rFonts w:ascii="Times New Roman"/>
          <w:noProof/>
          <w:sz w:val="24"/>
          <w:szCs w:val="24"/>
        </w:rPr>
        <w:t>под</w:t>
      </w:r>
      <w:r>
        <w:rPr>
          <w:rFonts w:ascii="Times New Roman"/>
          <w:noProof/>
          <w:sz w:val="24"/>
          <w:szCs w:val="24"/>
        </w:rPr>
        <w:t xml:space="preserve"> </w:t>
      </w:r>
      <w:r>
        <w:rPr>
          <w:rFonts w:ascii="Times New Roman"/>
          <w:noProof/>
          <w:sz w:val="24"/>
          <w:szCs w:val="24"/>
        </w:rPr>
        <w:t>формата</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нова</w:t>
      </w:r>
      <w:r>
        <w:rPr>
          <w:rFonts w:ascii="Times New Roman"/>
          <w:noProof/>
          <w:sz w:val="24"/>
          <w:szCs w:val="24"/>
        </w:rPr>
        <w:t xml:space="preserve"> </w:t>
      </w:r>
      <w:r>
        <w:rPr>
          <w:rFonts w:ascii="Times New Roman"/>
          <w:noProof/>
          <w:sz w:val="24"/>
          <w:szCs w:val="24"/>
        </w:rPr>
        <w:t>разпоредба</w:t>
      </w:r>
      <w:r>
        <w:rPr>
          <w:rFonts w:ascii="Times New Roman"/>
          <w:noProof/>
          <w:sz w:val="24"/>
          <w:szCs w:val="24"/>
        </w:rPr>
        <w:t xml:space="preserve"> </w:t>
      </w:r>
      <w:r>
        <w:rPr>
          <w:rFonts w:ascii="Times New Roman"/>
          <w:noProof/>
          <w:sz w:val="24"/>
          <w:szCs w:val="24"/>
        </w:rPr>
        <w:t>относно</w:t>
      </w:r>
      <w:r>
        <w:rPr>
          <w:rFonts w:ascii="Times New Roman"/>
          <w:noProof/>
          <w:sz w:val="24"/>
          <w:szCs w:val="24"/>
        </w:rPr>
        <w:t xml:space="preserve"> </w:t>
      </w:r>
      <w:r>
        <w:rPr>
          <w:rFonts w:ascii="Times New Roman"/>
          <w:noProof/>
          <w:sz w:val="24"/>
          <w:szCs w:val="24"/>
        </w:rPr>
        <w:t>повтарянето</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инструкции</w:t>
      </w:r>
      <w:r>
        <w:rPr>
          <w:rFonts w:ascii="Times New Roman"/>
          <w:noProof/>
          <w:sz w:val="24"/>
          <w:szCs w:val="24"/>
        </w:rPr>
        <w:t xml:space="preserve">, </w:t>
      </w:r>
      <w:r>
        <w:rPr>
          <w:rFonts w:ascii="Times New Roman"/>
          <w:noProof/>
          <w:sz w:val="24"/>
          <w:szCs w:val="24"/>
        </w:rPr>
        <w:t>получени</w:t>
      </w:r>
      <w:r>
        <w:rPr>
          <w:rFonts w:ascii="Times New Roman"/>
          <w:noProof/>
          <w:sz w:val="24"/>
          <w:szCs w:val="24"/>
        </w:rPr>
        <w:t xml:space="preserve"> </w:t>
      </w:r>
      <w:r>
        <w:rPr>
          <w:rFonts w:ascii="Times New Roman"/>
          <w:noProof/>
          <w:sz w:val="24"/>
          <w:szCs w:val="24"/>
        </w:rPr>
        <w:t>от</w:t>
      </w:r>
      <w:r>
        <w:rPr>
          <w:rFonts w:ascii="Times New Roman"/>
          <w:noProof/>
          <w:sz w:val="24"/>
          <w:szCs w:val="24"/>
        </w:rPr>
        <w:t xml:space="preserve"> </w:t>
      </w:r>
      <w:r>
        <w:rPr>
          <w:rFonts w:ascii="Times New Roman"/>
          <w:noProof/>
          <w:sz w:val="24"/>
          <w:szCs w:val="24"/>
        </w:rPr>
        <w:t>водачи</w:t>
      </w:r>
      <w:r>
        <w:rPr>
          <w:rFonts w:ascii="Times New Roman"/>
          <w:noProof/>
          <w:sz w:val="24"/>
          <w:szCs w:val="24"/>
        </w:rPr>
        <w:t xml:space="preserve"> </w:t>
      </w:r>
      <w:r>
        <w:rPr>
          <w:rFonts w:ascii="Times New Roman"/>
          <w:noProof/>
          <w:sz w:val="24"/>
          <w:szCs w:val="24"/>
        </w:rPr>
        <w:t>на</w:t>
      </w:r>
      <w:r>
        <w:rPr>
          <w:rFonts w:ascii="Times New Roman"/>
          <w:noProof/>
          <w:sz w:val="24"/>
          <w:szCs w:val="24"/>
        </w:rPr>
        <w:t xml:space="preserve"> </w:t>
      </w:r>
      <w:r>
        <w:rPr>
          <w:rFonts w:ascii="Times New Roman"/>
          <w:noProof/>
          <w:sz w:val="24"/>
          <w:szCs w:val="24"/>
        </w:rPr>
        <w:t>оперативни</w:t>
      </w:r>
      <w:r>
        <w:rPr>
          <w:rFonts w:ascii="Times New Roman"/>
          <w:noProof/>
          <w:sz w:val="24"/>
          <w:szCs w:val="24"/>
        </w:rPr>
        <w:t xml:space="preserve"> </w:t>
      </w:r>
      <w:r>
        <w:rPr>
          <w:rFonts w:ascii="Times New Roman"/>
          <w:noProof/>
          <w:sz w:val="24"/>
          <w:szCs w:val="24"/>
        </w:rPr>
        <w:t>превозни</w:t>
      </w:r>
      <w:r>
        <w:rPr>
          <w:rFonts w:ascii="Times New Roman"/>
          <w:noProof/>
          <w:sz w:val="24"/>
          <w:szCs w:val="24"/>
        </w:rPr>
        <w:t xml:space="preserve"> </w:t>
      </w:r>
      <w:r>
        <w:rPr>
          <w:rFonts w:ascii="Times New Roman"/>
          <w:noProof/>
          <w:sz w:val="24"/>
          <w:szCs w:val="24"/>
        </w:rPr>
        <w:t>средства</w:t>
      </w:r>
      <w:r>
        <w:rPr>
          <w:rFonts w:ascii="Times New Roman"/>
          <w:noProof/>
          <w:sz w:val="24"/>
          <w:szCs w:val="24"/>
        </w:rPr>
        <w:t xml:space="preserve">. </w:t>
      </w:r>
    </w:p>
    <w:p>
      <w:pPr>
        <w:pStyle w:val="Heading3"/>
        <w:numPr>
          <w:ilvl w:val="2"/>
          <w:numId w:val="20"/>
        </w:numPr>
        <w:ind w:left="850" w:hanging="850"/>
        <w:rPr>
          <w:rFonts w:eastAsia="Arial Unicode MS"/>
          <w:noProof/>
        </w:rPr>
      </w:pPr>
      <w:r>
        <w:rPr>
          <w:noProof/>
        </w:rPr>
        <w:t>Приложимо</w:t>
      </w:r>
      <w:r>
        <w:rPr>
          <w:noProof/>
        </w:rPr>
        <w:t xml:space="preserve"> </w:t>
      </w:r>
      <w:r>
        <w:rPr>
          <w:noProof/>
        </w:rPr>
        <w:t>законодателство</w:t>
      </w:r>
      <w:r>
        <w:rPr>
          <w:noProof/>
        </w:rPr>
        <w:t xml:space="preserve"> </w:t>
      </w:r>
      <w:r>
        <w:rPr>
          <w:noProof/>
        </w:rPr>
        <w:t>на</w:t>
      </w:r>
      <w:r>
        <w:rPr>
          <w:noProof/>
        </w:rPr>
        <w:t xml:space="preserve"> </w:t>
      </w:r>
      <w:r>
        <w:rPr>
          <w:noProof/>
        </w:rPr>
        <w:t>Съюза</w:t>
      </w:r>
    </w:p>
    <w:p>
      <w:pPr>
        <w:pStyle w:val="Text1"/>
        <w:ind w:left="0"/>
        <w:rPr>
          <w:noProof/>
        </w:rPr>
      </w:pPr>
      <w:r>
        <w:rPr>
          <w:noProof/>
        </w:rPr>
        <w:t>Регламент</w:t>
      </w:r>
      <w:r>
        <w:rPr>
          <w:noProof/>
        </w:rPr>
        <w:t xml:space="preserve"> </w:t>
      </w:r>
      <w:r>
        <w:rPr>
          <w:noProof/>
        </w:rPr>
        <w:t>за</w:t>
      </w:r>
      <w:r>
        <w:rPr>
          <w:noProof/>
        </w:rPr>
        <w:t xml:space="preserve"> </w:t>
      </w:r>
      <w:r>
        <w:rPr>
          <w:noProof/>
        </w:rPr>
        <w:t>изпълнение</w:t>
      </w:r>
      <w:r>
        <w:rPr>
          <w:noProof/>
        </w:rPr>
        <w:t xml:space="preserve"> (</w:t>
      </w:r>
      <w:r>
        <w:rPr>
          <w:noProof/>
        </w:rPr>
        <w:t>ЕС</w:t>
      </w:r>
      <w:r>
        <w:rPr>
          <w:noProof/>
        </w:rPr>
        <w:t xml:space="preserve">) 2017/373 </w:t>
      </w:r>
      <w:r>
        <w:rPr>
          <w:noProof/>
        </w:rPr>
        <w:t>на</w:t>
      </w:r>
      <w:r>
        <w:rPr>
          <w:noProof/>
        </w:rPr>
        <w:t xml:space="preserve"> </w:t>
      </w:r>
      <w:r>
        <w:rPr>
          <w:noProof/>
        </w:rPr>
        <w:t>Комисията</w:t>
      </w:r>
      <w:r>
        <w:rPr>
          <w:noProof/>
          <w:vertAlign w:val="superscript"/>
        </w:rPr>
        <w:footnoteReference w:id="7"/>
      </w:r>
    </w:p>
    <w:p>
      <w:pPr>
        <w:pStyle w:val="Text1"/>
        <w:ind w:left="0"/>
        <w:rPr>
          <w:noProof/>
        </w:rPr>
      </w:pPr>
      <w:r>
        <w:rPr>
          <w:noProof/>
        </w:rPr>
        <w:t>Регламент</w:t>
      </w:r>
      <w:r>
        <w:rPr>
          <w:noProof/>
        </w:rPr>
        <w:t xml:space="preserve"> </w:t>
      </w:r>
      <w:r>
        <w:rPr>
          <w:noProof/>
        </w:rPr>
        <w:t>за</w:t>
      </w:r>
      <w:r>
        <w:rPr>
          <w:noProof/>
        </w:rPr>
        <w:t xml:space="preserve"> </w:t>
      </w:r>
      <w:r>
        <w:rPr>
          <w:noProof/>
        </w:rPr>
        <w:t>изпълнение</w:t>
      </w:r>
      <w:r>
        <w:rPr>
          <w:noProof/>
        </w:rPr>
        <w:t xml:space="preserve"> (</w:t>
      </w:r>
      <w:r>
        <w:rPr>
          <w:noProof/>
        </w:rPr>
        <w:t>ЕС</w:t>
      </w:r>
      <w:r>
        <w:rPr>
          <w:noProof/>
        </w:rPr>
        <w:t xml:space="preserve">) 2020/469 </w:t>
      </w:r>
      <w:r>
        <w:rPr>
          <w:noProof/>
        </w:rPr>
        <w:t>на</w:t>
      </w:r>
      <w:r>
        <w:rPr>
          <w:noProof/>
        </w:rPr>
        <w:t xml:space="preserve"> </w:t>
      </w:r>
      <w:r>
        <w:rPr>
          <w:noProof/>
        </w:rPr>
        <w:t>Комисията</w:t>
      </w:r>
      <w:r>
        <w:rPr>
          <w:noProof/>
          <w:vertAlign w:val="superscript"/>
        </w:rPr>
        <w:footnoteReference w:id="8"/>
      </w:r>
    </w:p>
    <w:p>
      <w:pPr>
        <w:pStyle w:val="Text1"/>
        <w:ind w:left="0"/>
        <w:rPr>
          <w:noProof/>
        </w:rPr>
      </w:pPr>
      <w:r>
        <w:rPr>
          <w:noProof/>
        </w:rPr>
        <w:t>Регламент</w:t>
      </w:r>
      <w:r>
        <w:rPr>
          <w:noProof/>
        </w:rPr>
        <w:t xml:space="preserve"> (</w:t>
      </w:r>
      <w:r>
        <w:rPr>
          <w:noProof/>
        </w:rPr>
        <w:t>ЕС</w:t>
      </w:r>
      <w:r>
        <w:rPr>
          <w:noProof/>
        </w:rPr>
        <w:t xml:space="preserve">) </w:t>
      </w:r>
      <w:r>
        <w:rPr>
          <w:noProof/>
        </w:rPr>
        <w:t>№ </w:t>
      </w:r>
      <w:r>
        <w:rPr>
          <w:noProof/>
        </w:rPr>
        <w:t xml:space="preserve">139/2014 </w:t>
      </w:r>
      <w:r>
        <w:rPr>
          <w:noProof/>
        </w:rPr>
        <w:t>на</w:t>
      </w:r>
      <w:r>
        <w:rPr>
          <w:noProof/>
        </w:rPr>
        <w:t xml:space="preserve"> </w:t>
      </w:r>
      <w:r>
        <w:rPr>
          <w:noProof/>
        </w:rPr>
        <w:t>Комисията</w:t>
      </w:r>
      <w:r>
        <w:rPr>
          <w:noProof/>
          <w:vertAlign w:val="superscript"/>
        </w:rPr>
        <w:footnoteReference w:id="9"/>
      </w:r>
      <w:r>
        <w:rPr>
          <w:noProof/>
        </w:rPr>
        <w:t xml:space="preserve"> </w:t>
      </w:r>
    </w:p>
    <w:p>
      <w:pPr>
        <w:pStyle w:val="Text1"/>
        <w:ind w:left="0"/>
        <w:rPr>
          <w:noProof/>
        </w:rPr>
      </w:pPr>
      <w:r>
        <w:rPr>
          <w:noProof/>
        </w:rPr>
        <w:t>Регламент</w:t>
      </w:r>
      <w:r>
        <w:rPr>
          <w:noProof/>
        </w:rPr>
        <w:t xml:space="preserve"> </w:t>
      </w:r>
      <w:r>
        <w:rPr>
          <w:noProof/>
        </w:rPr>
        <w:t>за</w:t>
      </w:r>
      <w:r>
        <w:rPr>
          <w:noProof/>
        </w:rPr>
        <w:t xml:space="preserve"> </w:t>
      </w:r>
      <w:r>
        <w:rPr>
          <w:noProof/>
        </w:rPr>
        <w:t>изпълнение</w:t>
      </w:r>
      <w:r>
        <w:rPr>
          <w:noProof/>
        </w:rPr>
        <w:t xml:space="preserve"> (</w:t>
      </w:r>
      <w:r>
        <w:rPr>
          <w:noProof/>
        </w:rPr>
        <w:t>ЕС</w:t>
      </w:r>
      <w:r>
        <w:rPr>
          <w:noProof/>
        </w:rPr>
        <w:t xml:space="preserve">) </w:t>
      </w:r>
      <w:r>
        <w:rPr>
          <w:noProof/>
        </w:rPr>
        <w:t>№ </w:t>
      </w:r>
      <w:r>
        <w:rPr>
          <w:noProof/>
        </w:rPr>
        <w:t xml:space="preserve">923/2012 </w:t>
      </w:r>
      <w:r>
        <w:rPr>
          <w:noProof/>
        </w:rPr>
        <w:t>на</w:t>
      </w:r>
      <w:r>
        <w:rPr>
          <w:noProof/>
        </w:rPr>
        <w:t xml:space="preserve"> </w:t>
      </w:r>
      <w:r>
        <w:rPr>
          <w:noProof/>
        </w:rPr>
        <w:t>Комисията</w:t>
      </w:r>
      <w:r>
        <w:rPr>
          <w:noProof/>
          <w:vertAlign w:val="superscript"/>
        </w:rPr>
        <w:footnoteReference w:id="10"/>
      </w:r>
    </w:p>
    <w:p>
      <w:pPr>
        <w:pStyle w:val="Heading3"/>
        <w:widowControl w:val="0"/>
        <w:numPr>
          <w:ilvl w:val="2"/>
          <w:numId w:val="20"/>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52 </w:t>
      </w:r>
      <w:r>
        <w:rPr>
          <w:noProof/>
        </w:rPr>
        <w:t>на</w:t>
      </w:r>
      <w:r>
        <w:rPr>
          <w:noProof/>
        </w:rPr>
        <w:t xml:space="preserve"> </w:t>
      </w:r>
      <w:r>
        <w:rPr>
          <w:noProof/>
        </w:rPr>
        <w:t>приложение</w:t>
      </w:r>
      <w:r>
        <w:rPr>
          <w:noProof/>
        </w:rPr>
        <w:t xml:space="preserve"> 11</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Забележки</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11, изменение 52, глава 2.19, точка 2.19.3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не е включено изискването подходящият орган за обслужване на въздушното движение (ОВД) да гарантира провеждането на оценка на риска за безопасността и за предприемането на подходящи мерки за намаляване на риска.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Планирано е изменение на Регламент (ЕС) 2017/373 посредством RMT.0719 „Редовна актуализация на правилата за управление на въздушното движение/аеронавигационно обслужване“ и графикът може да бъде проследен в EPAS.</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11, изменение 52, глава 2.19, точка 2.19.3.1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tabs>
                <w:tab w:val="center" w:pos="897"/>
              </w:tabs>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не е включено изискването държавите членки да установят процедури, с които се улеснява отчитането на всички съответни фактори от значение за безопасността в оценката на риска за безопасността.</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Планирано е изменение на Регламент (ЕС) 2017/373 посредством RMT.0719 „Редовна актуализация на правилата за управление на въздушното движение/аеронавигационно обслужване“ и графикът може да бъде проследен в EPAS.</w:t>
            </w:r>
          </w:p>
        </w:tc>
      </w:tr>
      <w:tr>
        <w:trPr>
          <w:trHeight w:val="117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11, изменение 52, глава 3, точка 3.7.3.3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Предложението за изменение на Регламент (ЕС) № 139/2014, което се очаква да бъде публикувано до края на 2020 г., съдържа следните разпоредби: </w:t>
            </w:r>
          </w:p>
          <w:p>
            <w:pPr>
              <w:pStyle w:val="Body"/>
              <w:spacing w:after="0" w:line="240" w:lineRule="auto"/>
              <w:jc w:val="both"/>
              <w:rPr>
                <w:i/>
                <w:iCs/>
                <w:noProof/>
              </w:rPr>
            </w:pPr>
            <w:r>
              <w:rPr>
                <w:noProof/>
              </w:rPr>
              <w:t>„3) Водачите на превозно средство, оборудвано с радио, които извършват или възнамеряват да извършват дейност в зоната за маневри, повтарят пред персонала за обслужване на въздушното движение свързаните с безопасността части от инструкциите, които се предават гласово.</w:t>
            </w:r>
            <w:r>
              <w:rPr>
                <w:i/>
                <w:iCs/>
                <w:noProof/>
              </w:rPr>
              <w:t xml:space="preserve"> </w:t>
            </w:r>
            <w:r>
              <w:rPr>
                <w:noProof/>
              </w:rPr>
              <w:t>Инструкциите за навлизане, изчакване на безопасно разстояние, пресичане и работа на писта за излитане и кацане (ПИК), път за рулиране или летателна писта винаги се повтарят;</w:t>
            </w:r>
          </w:p>
          <w:p>
            <w:pPr>
              <w:pStyle w:val="Body"/>
              <w:spacing w:after="0" w:line="240" w:lineRule="auto"/>
              <w:jc w:val="both"/>
              <w:rPr>
                <w:i/>
                <w:iCs/>
                <w:noProof/>
              </w:rPr>
            </w:pPr>
            <w:r>
              <w:rPr>
                <w:noProof/>
              </w:rPr>
              <w:t>4) повтарят пред персонала за обслужване на въздушното движение или потвърждават инструкции, различни от тези по точка 3, по начин, който ясно показва, че те са били разбрани и ще бъдат спазени“.</w:t>
            </w:r>
          </w:p>
          <w:p>
            <w:pPr>
              <w:pStyle w:val="Body"/>
              <w:spacing w:after="0" w:line="240" w:lineRule="auto"/>
              <w:jc w:val="both"/>
              <w:rPr>
                <w:noProof/>
              </w:rPr>
            </w:pPr>
            <w:r>
              <w:rPr>
                <w:noProof/>
                <w:u w:val="single"/>
              </w:rPr>
              <w:t>Текстът на ИКАО</w:t>
            </w:r>
            <w:r>
              <w:rPr>
                <w:noProof/>
              </w:rPr>
              <w:t xml:space="preserve">: </w:t>
            </w:r>
          </w:p>
          <w:p>
            <w:pPr>
              <w:pStyle w:val="Body"/>
              <w:spacing w:after="0" w:line="240" w:lineRule="auto"/>
              <w:jc w:val="both"/>
              <w:rPr>
                <w:noProof/>
              </w:rPr>
            </w:pPr>
            <w:r>
              <w:rPr>
                <w:noProof/>
              </w:rPr>
              <w:t xml:space="preserve">Превозното средство, оборудвано с радио, което извършва или възнамерява да извършва дейност в зоната за маневри, повтаря пред ръководителя на полети свързаните с безопасността части от инструкциите, които се предават гласово, например инструкции за навлизане, изчакване на безопасно разстояние, пресичане и работа на действаща писта за излитане и кацане или път за рулиране.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Очаква се законодателството на ЕС да бъде по-строго, тъй като се счита, че изискванията за водачите на превозни средства следва да бъдат не по-малко прецизни от тези за летателния екипаж.</w:t>
            </w:r>
          </w:p>
          <w:p>
            <w:pPr>
              <w:pStyle w:val="Body"/>
              <w:spacing w:after="0" w:line="240" w:lineRule="auto"/>
              <w:jc w:val="both"/>
              <w:rPr>
                <w:noProof/>
              </w:rPr>
            </w:pPr>
            <w:r>
              <w:rPr>
                <w:noProof/>
              </w:rPr>
              <w:t>Съответните изисквания на Регламент (ЕС) № 139/2014 могат да бъдат възпроизведени в Регламент (ЕС) № 923/2012 в точка SERA.8015, буква д) посредством RMT.0476 „Редовна актуализация на правилото за SERA (IR/AMC/GM)“ и се планира да станат приложими в четвъртото тримесечие на 2023 г.</w:t>
            </w:r>
          </w:p>
        </w:tc>
      </w:tr>
      <w:tr>
        <w:trPr>
          <w:trHeight w:val="31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11, изменение 52, глава 3, точка 3.7.3.4</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правилата на ЕС не е включено изискването ръководителят на полети да изслушва повтарянето на инструкциите от водача на превозното средство.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Обмисля се изменение на Регламент (ЕС) № 923/2012 посредством RMT.0476 „Редовна актуализация на правилото за SERA (IR/AMC/GM)“, което се планира да стане приложимо през четвъртото тримесечие на 2023 г., когато изискването ръководителят на полети да изслушва повтарянето на инструкциите от водача на превозното средство ще бъде в съответствие с изменение 52.</w:t>
            </w:r>
          </w:p>
        </w:tc>
      </w:tr>
    </w:tbl>
    <w:p>
      <w:pPr>
        <w:pStyle w:val="Heading2"/>
        <w:numPr>
          <w:ilvl w:val="1"/>
          <w:numId w:val="22"/>
        </w:numPr>
        <w:ind w:left="850" w:hanging="850"/>
        <w:rPr>
          <w:rFonts w:eastAsia="Arial Unicode MS"/>
          <w:noProof/>
        </w:rPr>
      </w:pPr>
      <w:r>
        <w:rPr>
          <w:noProof/>
        </w:rPr>
        <w:t>Изменения</w:t>
      </w:r>
      <w:r>
        <w:rPr>
          <w:noProof/>
        </w:rPr>
        <w:t xml:space="preserve"> 15 </w:t>
      </w:r>
      <w:r>
        <w:rPr>
          <w:noProof/>
        </w:rPr>
        <w:t>и</w:t>
      </w:r>
      <w:r>
        <w:rPr>
          <w:noProof/>
        </w:rPr>
        <w:t xml:space="preserve"> 9 </w:t>
      </w:r>
      <w:r>
        <w:rPr>
          <w:noProof/>
        </w:rPr>
        <w:t>на</w:t>
      </w:r>
      <w:r>
        <w:rPr>
          <w:noProof/>
        </w:rPr>
        <w:t xml:space="preserve"> </w:t>
      </w:r>
      <w:r>
        <w:rPr>
          <w:noProof/>
        </w:rPr>
        <w:t>приложение</w:t>
      </w:r>
      <w:r>
        <w:rPr>
          <w:noProof/>
        </w:rPr>
        <w:t xml:space="preserve"> 14 </w:t>
      </w:r>
      <w:r>
        <w:rPr>
          <w:noProof/>
        </w:rPr>
        <w:t>относно</w:t>
      </w:r>
      <w:r>
        <w:rPr>
          <w:noProof/>
        </w:rPr>
        <w:t xml:space="preserve"> </w:t>
      </w:r>
      <w:r>
        <w:rPr>
          <w:noProof/>
        </w:rPr>
        <w:t>летищата</w:t>
      </w:r>
      <w:r>
        <w:rPr>
          <w:noProof/>
        </w:rPr>
        <w:t xml:space="preserve">, </w:t>
      </w:r>
      <w:r>
        <w:rPr>
          <w:noProof/>
        </w:rPr>
        <w:t>томове</w:t>
      </w:r>
      <w:r>
        <w:rPr>
          <w:noProof/>
        </w:rPr>
        <w:t xml:space="preserve"> I </w:t>
      </w:r>
      <w:r>
        <w:rPr>
          <w:noProof/>
        </w:rPr>
        <w:t>и</w:t>
      </w:r>
      <w:r>
        <w:rPr>
          <w:noProof/>
        </w:rPr>
        <w:t xml:space="preserve"> II </w:t>
      </w:r>
    </w:p>
    <w:p>
      <w:pPr>
        <w:pStyle w:val="Heading3"/>
        <w:numPr>
          <w:ilvl w:val="2"/>
          <w:numId w:val="22"/>
        </w:numPr>
        <w:ind w:left="850" w:hanging="850"/>
        <w:rPr>
          <w:rFonts w:eastAsia="Arial Unicode MS"/>
          <w:noProof/>
        </w:rPr>
      </w:pPr>
      <w:r>
        <w:rPr>
          <w:noProof/>
        </w:rPr>
        <w:t>Описание</w:t>
      </w:r>
    </w:p>
    <w:p>
      <w:pPr>
        <w:pStyle w:val="NumPar1"/>
        <w:ind w:left="0" w:firstLine="0"/>
        <w:rPr>
          <w:noProof/>
        </w:rPr>
      </w:pPr>
      <w:r>
        <w:rPr>
          <w:noProof/>
        </w:rPr>
        <w:t>Том</w:t>
      </w:r>
      <w:r>
        <w:rPr>
          <w:noProof/>
        </w:rPr>
        <w:t xml:space="preserve"> </w:t>
      </w:r>
      <w:r>
        <w:rPr>
          <w:noProof/>
        </w:rPr>
        <w:t>І</w:t>
      </w:r>
      <w:r>
        <w:rPr>
          <w:noProof/>
        </w:rPr>
        <w:t xml:space="preserve">: </w:t>
      </w:r>
      <w:r>
        <w:rPr>
          <w:noProof/>
        </w:rPr>
        <w:t>Изменението</w:t>
      </w:r>
      <w:r>
        <w:rPr>
          <w:noProof/>
        </w:rPr>
        <w:t xml:space="preserve">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проектирането</w:t>
      </w:r>
      <w:r>
        <w:rPr>
          <w:noProof/>
        </w:rPr>
        <w:t xml:space="preserve"> </w:t>
      </w:r>
      <w:r>
        <w:rPr>
          <w:noProof/>
        </w:rPr>
        <w:t>и</w:t>
      </w:r>
      <w:r>
        <w:rPr>
          <w:noProof/>
        </w:rPr>
        <w:t xml:space="preserve"> </w:t>
      </w:r>
      <w:r>
        <w:rPr>
          <w:noProof/>
        </w:rPr>
        <w:t>експлоатацията</w:t>
      </w:r>
      <w:r>
        <w:rPr>
          <w:noProof/>
        </w:rPr>
        <w:t xml:space="preserve"> </w:t>
      </w:r>
      <w:r>
        <w:rPr>
          <w:noProof/>
        </w:rPr>
        <w:t>на</w:t>
      </w:r>
      <w:r>
        <w:rPr>
          <w:noProof/>
        </w:rPr>
        <w:t xml:space="preserve"> </w:t>
      </w:r>
      <w:r>
        <w:rPr>
          <w:noProof/>
        </w:rPr>
        <w:t>летищата</w:t>
      </w:r>
      <w:r>
        <w:rPr>
          <w:noProof/>
        </w:rPr>
        <w:t xml:space="preserve"> </w:t>
      </w:r>
      <w:r>
        <w:rPr>
          <w:noProof/>
        </w:rPr>
        <w:t>и</w:t>
      </w:r>
      <w:r>
        <w:rPr>
          <w:noProof/>
        </w:rPr>
        <w:t xml:space="preserve"> </w:t>
      </w:r>
      <w:r>
        <w:rPr>
          <w:noProof/>
        </w:rPr>
        <w:t>визуалните</w:t>
      </w:r>
      <w:r>
        <w:rPr>
          <w:noProof/>
        </w:rPr>
        <w:t xml:space="preserve"> </w:t>
      </w:r>
      <w:r>
        <w:rPr>
          <w:noProof/>
        </w:rPr>
        <w:t>навигационни</w:t>
      </w:r>
      <w:r>
        <w:rPr>
          <w:noProof/>
        </w:rPr>
        <w:t xml:space="preserve"> </w:t>
      </w:r>
      <w:r>
        <w:rPr>
          <w:noProof/>
        </w:rPr>
        <w:t>средства</w:t>
      </w:r>
      <w:r>
        <w:rPr>
          <w:noProof/>
        </w:rPr>
        <w:t xml:space="preserve">. </w:t>
      </w:r>
    </w:p>
    <w:p>
      <w:pPr>
        <w:pStyle w:val="Default"/>
        <w:jc w:val="both"/>
        <w:rPr>
          <w:noProof/>
        </w:rPr>
      </w:pPr>
      <w:r>
        <w:rPr>
          <w:noProof/>
        </w:rPr>
        <w:t>Том IІ:  Изменението се отнася до промени в спецификациите за проектиране и експлоатация на летищата, произтичащи от третото заседание на групата за проектиране и експлоатация на летищата (ADOP/3) и осмото заседание на групата за проучване на летищата PANS-AS (PASG/8).</w:t>
      </w:r>
    </w:p>
    <w:p>
      <w:pPr>
        <w:pStyle w:val="Heading3"/>
        <w:numPr>
          <w:ilvl w:val="2"/>
          <w:numId w:val="22"/>
        </w:numPr>
        <w:ind w:left="850" w:hanging="850"/>
        <w:rPr>
          <w:rFonts w:eastAsia="Arial Unicode MS"/>
          <w:noProof/>
        </w:rPr>
      </w:pPr>
      <w:r>
        <w:rPr>
          <w:noProof/>
        </w:rPr>
        <w:t>Приложимо</w:t>
      </w:r>
      <w:r>
        <w:rPr>
          <w:noProof/>
        </w:rPr>
        <w:t xml:space="preserve"> </w:t>
      </w:r>
      <w:r>
        <w:rPr>
          <w:noProof/>
        </w:rPr>
        <w:t>законодателство</w:t>
      </w:r>
      <w:r>
        <w:rPr>
          <w:noProof/>
        </w:rPr>
        <w:t xml:space="preserve"> </w:t>
      </w:r>
      <w:r>
        <w:rPr>
          <w:noProof/>
        </w:rPr>
        <w:t>на</w:t>
      </w:r>
      <w:r>
        <w:rPr>
          <w:noProof/>
        </w:rPr>
        <w:t xml:space="preserve"> </w:t>
      </w:r>
      <w:r>
        <w:rPr>
          <w:noProof/>
        </w:rPr>
        <w:t>Съюза</w:t>
      </w:r>
    </w:p>
    <w:p>
      <w:pPr>
        <w:pStyle w:val="Body"/>
        <w:rPr>
          <w:rFonts w:ascii="Times New Roman" w:eastAsia="Times New Roman" w:hAnsi="Times New Roman" w:cs="Times New Roman"/>
          <w:noProof/>
          <w:sz w:val="24"/>
          <w:szCs w:val="24"/>
        </w:rPr>
      </w:pPr>
      <w:r>
        <w:rPr>
          <w:rFonts w:ascii="Times New Roman"/>
          <w:noProof/>
          <w:sz w:val="24"/>
          <w:szCs w:val="24"/>
        </w:rPr>
        <w:t>Том</w:t>
      </w:r>
      <w:r>
        <w:rPr>
          <w:rFonts w:ascii="Times New Roman"/>
          <w:noProof/>
          <w:sz w:val="24"/>
          <w:szCs w:val="24"/>
        </w:rPr>
        <w:t xml:space="preserve"> </w:t>
      </w:r>
      <w:r>
        <w:rPr>
          <w:rFonts w:ascii="Times New Roman"/>
          <w:noProof/>
          <w:sz w:val="24"/>
          <w:szCs w:val="24"/>
        </w:rPr>
        <w:t>І</w:t>
      </w:r>
      <w:r>
        <w:rPr>
          <w:rFonts w:ascii="Times New Roman"/>
          <w:noProof/>
          <w:sz w:val="24"/>
          <w:szCs w:val="24"/>
        </w:rPr>
        <w:t xml:space="preserve">: </w:t>
      </w:r>
      <w:r>
        <w:rPr>
          <w:rFonts w:ascii="Times New Roman"/>
          <w:noProof/>
          <w:sz w:val="24"/>
          <w:szCs w:val="24"/>
        </w:rPr>
        <w:t>Регламент</w:t>
      </w:r>
      <w:r>
        <w:rPr>
          <w:rFonts w:ascii="Times New Roman"/>
          <w:noProof/>
          <w:sz w:val="24"/>
          <w:szCs w:val="24"/>
        </w:rPr>
        <w:t xml:space="preserve"> (</w:t>
      </w:r>
      <w:r>
        <w:rPr>
          <w:rFonts w:ascii="Times New Roman"/>
          <w:noProof/>
          <w:sz w:val="24"/>
          <w:szCs w:val="24"/>
        </w:rPr>
        <w:t>ЕС</w:t>
      </w:r>
      <w:r>
        <w:rPr>
          <w:rFonts w:ascii="Times New Roman"/>
          <w:noProof/>
          <w:sz w:val="24"/>
          <w:szCs w:val="24"/>
        </w:rPr>
        <w:t xml:space="preserve">) </w:t>
      </w:r>
      <w:r>
        <w:rPr>
          <w:rFonts w:ascii="Times New Roman"/>
          <w:noProof/>
          <w:sz w:val="24"/>
          <w:szCs w:val="24"/>
        </w:rPr>
        <w:t>№ </w:t>
      </w:r>
      <w:r>
        <w:rPr>
          <w:rFonts w:ascii="Times New Roman"/>
          <w:noProof/>
          <w:sz w:val="24"/>
          <w:szCs w:val="24"/>
        </w:rPr>
        <w:t xml:space="preserve">139/2014 </w:t>
      </w:r>
      <w:r>
        <w:rPr>
          <w:rFonts w:ascii="Times New Roman"/>
          <w:noProof/>
          <w:sz w:val="24"/>
          <w:szCs w:val="24"/>
        </w:rPr>
        <w:t>на</w:t>
      </w:r>
      <w:r>
        <w:rPr>
          <w:rFonts w:ascii="Times New Roman"/>
          <w:noProof/>
          <w:sz w:val="24"/>
          <w:szCs w:val="24"/>
        </w:rPr>
        <w:t xml:space="preserve"> </w:t>
      </w:r>
      <w:r>
        <w:rPr>
          <w:rFonts w:ascii="Times New Roman"/>
          <w:noProof/>
          <w:sz w:val="24"/>
          <w:szCs w:val="24"/>
        </w:rPr>
        <w:t>Комисията</w:t>
      </w:r>
      <w:r>
        <w:rPr>
          <w:noProof/>
          <w:vertAlign w:val="superscript"/>
        </w:rPr>
        <w:footnoteReference w:id="11"/>
      </w:r>
      <w:r>
        <w:rPr>
          <w:rFonts w:ascii="Times New Roman"/>
          <w:noProof/>
          <w:sz w:val="24"/>
          <w:szCs w:val="24"/>
        </w:rPr>
        <w:t xml:space="preserve"> </w:t>
      </w:r>
      <w:r>
        <w:rPr>
          <w:rFonts w:ascii="Times New Roman"/>
          <w:noProof/>
          <w:sz w:val="24"/>
          <w:szCs w:val="24"/>
        </w:rPr>
        <w:t>и</w:t>
      </w:r>
      <w:r>
        <w:rPr>
          <w:rFonts w:ascii="Times New Roman"/>
          <w:noProof/>
          <w:sz w:val="24"/>
          <w:szCs w:val="24"/>
        </w:rPr>
        <w:t xml:space="preserve"> </w:t>
      </w:r>
      <w:r>
        <w:rPr>
          <w:rFonts w:ascii="Times New Roman"/>
          <w:noProof/>
          <w:sz w:val="24"/>
          <w:szCs w:val="24"/>
        </w:rPr>
        <w:t>Регламент</w:t>
      </w:r>
      <w:r>
        <w:rPr>
          <w:rFonts w:ascii="Times New Roman"/>
          <w:noProof/>
          <w:sz w:val="24"/>
          <w:szCs w:val="24"/>
        </w:rPr>
        <w:t xml:space="preserve"> </w:t>
      </w:r>
      <w:r>
        <w:rPr>
          <w:rFonts w:ascii="Times New Roman"/>
          <w:noProof/>
          <w:sz w:val="24"/>
          <w:szCs w:val="24"/>
        </w:rPr>
        <w:t>за</w:t>
      </w:r>
      <w:r>
        <w:rPr>
          <w:rFonts w:ascii="Times New Roman"/>
          <w:noProof/>
          <w:sz w:val="24"/>
          <w:szCs w:val="24"/>
        </w:rPr>
        <w:t xml:space="preserve"> </w:t>
      </w:r>
      <w:r>
        <w:rPr>
          <w:rFonts w:ascii="Times New Roman"/>
          <w:noProof/>
          <w:sz w:val="24"/>
          <w:szCs w:val="24"/>
        </w:rPr>
        <w:t>изпълнение</w:t>
      </w:r>
      <w:r>
        <w:rPr>
          <w:rFonts w:ascii="Times New Roman"/>
          <w:noProof/>
          <w:sz w:val="24"/>
          <w:szCs w:val="24"/>
        </w:rPr>
        <w:t xml:space="preserve"> (</w:t>
      </w:r>
      <w:r>
        <w:rPr>
          <w:rFonts w:ascii="Times New Roman"/>
          <w:noProof/>
          <w:sz w:val="24"/>
          <w:szCs w:val="24"/>
        </w:rPr>
        <w:t>ЕС</w:t>
      </w:r>
      <w:r>
        <w:rPr>
          <w:rFonts w:ascii="Times New Roman"/>
          <w:noProof/>
          <w:sz w:val="24"/>
          <w:szCs w:val="24"/>
        </w:rPr>
        <w:t>) 2017/373</w:t>
      </w:r>
      <w:r>
        <w:rPr>
          <w:noProof/>
          <w:vertAlign w:val="superscript"/>
        </w:rPr>
        <w:footnoteReference w:id="12"/>
      </w:r>
    </w:p>
    <w:p>
      <w:pPr>
        <w:pStyle w:val="Body"/>
        <w:rPr>
          <w:rFonts w:ascii="Times New Roman" w:eastAsia="Times New Roman" w:hAnsi="Times New Roman" w:cs="Times New Roman"/>
          <w:noProof/>
          <w:sz w:val="24"/>
          <w:szCs w:val="24"/>
        </w:rPr>
      </w:pPr>
      <w:r>
        <w:rPr>
          <w:rFonts w:ascii="Times New Roman"/>
          <w:noProof/>
          <w:sz w:val="24"/>
          <w:szCs w:val="24"/>
        </w:rPr>
        <w:t>Том</w:t>
      </w:r>
      <w:r>
        <w:rPr>
          <w:rFonts w:ascii="Times New Roman"/>
          <w:noProof/>
          <w:sz w:val="24"/>
          <w:szCs w:val="24"/>
        </w:rPr>
        <w:t xml:space="preserve"> I</w:t>
      </w:r>
      <w:r>
        <w:rPr>
          <w:rFonts w:ascii="Times New Roman"/>
          <w:noProof/>
          <w:sz w:val="24"/>
          <w:szCs w:val="24"/>
        </w:rPr>
        <w:t>І</w:t>
      </w:r>
      <w:r>
        <w:rPr>
          <w:rFonts w:ascii="Times New Roman"/>
          <w:noProof/>
          <w:sz w:val="24"/>
          <w:szCs w:val="24"/>
        </w:rPr>
        <w:t xml:space="preserve">: </w:t>
      </w:r>
      <w:r>
        <w:rPr>
          <w:rFonts w:ascii="Times New Roman"/>
          <w:noProof/>
          <w:sz w:val="24"/>
          <w:szCs w:val="24"/>
        </w:rPr>
        <w:t>Регламент</w:t>
      </w:r>
      <w:r>
        <w:rPr>
          <w:rFonts w:ascii="Times New Roman"/>
          <w:noProof/>
          <w:sz w:val="24"/>
          <w:szCs w:val="24"/>
        </w:rPr>
        <w:t xml:space="preserve"> (</w:t>
      </w:r>
      <w:r>
        <w:rPr>
          <w:rFonts w:ascii="Times New Roman"/>
          <w:noProof/>
          <w:sz w:val="24"/>
          <w:szCs w:val="24"/>
        </w:rPr>
        <w:t>ЕС</w:t>
      </w:r>
      <w:r>
        <w:rPr>
          <w:rFonts w:ascii="Times New Roman"/>
          <w:noProof/>
          <w:sz w:val="24"/>
          <w:szCs w:val="24"/>
        </w:rPr>
        <w:t xml:space="preserve">) </w:t>
      </w:r>
      <w:r>
        <w:rPr>
          <w:rFonts w:ascii="Times New Roman"/>
          <w:noProof/>
          <w:sz w:val="24"/>
          <w:szCs w:val="24"/>
        </w:rPr>
        <w:t>№ </w:t>
      </w:r>
      <w:r>
        <w:rPr>
          <w:rFonts w:ascii="Times New Roman"/>
          <w:noProof/>
          <w:sz w:val="24"/>
          <w:szCs w:val="24"/>
        </w:rPr>
        <w:t xml:space="preserve">139/2014 </w:t>
      </w:r>
      <w:r>
        <w:rPr>
          <w:rFonts w:ascii="Times New Roman"/>
          <w:noProof/>
          <w:sz w:val="24"/>
          <w:szCs w:val="24"/>
        </w:rPr>
        <w:t>на</w:t>
      </w:r>
      <w:r>
        <w:rPr>
          <w:rFonts w:ascii="Times New Roman"/>
          <w:noProof/>
          <w:sz w:val="24"/>
          <w:szCs w:val="24"/>
        </w:rPr>
        <w:t xml:space="preserve"> </w:t>
      </w:r>
      <w:r>
        <w:rPr>
          <w:rFonts w:ascii="Times New Roman"/>
          <w:noProof/>
          <w:sz w:val="24"/>
          <w:szCs w:val="24"/>
        </w:rPr>
        <w:t>Комисията</w:t>
      </w:r>
      <w:r>
        <w:rPr>
          <w:noProof/>
          <w:vertAlign w:val="superscript"/>
        </w:rPr>
        <w:footnoteReference w:id="13"/>
      </w:r>
    </w:p>
    <w:p>
      <w:pPr>
        <w:pStyle w:val="Heading3"/>
        <w:widowControl w:val="0"/>
        <w:numPr>
          <w:ilvl w:val="2"/>
          <w:numId w:val="22"/>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15 </w:t>
      </w:r>
      <w:r>
        <w:rPr>
          <w:noProof/>
        </w:rPr>
        <w:t>на</w:t>
      </w:r>
      <w:r>
        <w:rPr>
          <w:noProof/>
        </w:rPr>
        <w:t xml:space="preserve"> </w:t>
      </w:r>
      <w:r>
        <w:rPr>
          <w:noProof/>
        </w:rPr>
        <w:t>приложение</w:t>
      </w:r>
      <w:r>
        <w:rPr>
          <w:noProof/>
        </w:rPr>
        <w:t xml:space="preserve"> 14, </w:t>
      </w:r>
      <w:r>
        <w:rPr>
          <w:noProof/>
        </w:rPr>
        <w:t>том</w:t>
      </w:r>
      <w:r>
        <w:rPr>
          <w:noProof/>
        </w:rPr>
        <w:t xml:space="preserve"> 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Забележки</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ListParagraph"/>
              <w:numPr>
                <w:ilvl w:val="2"/>
                <w:numId w:val="24"/>
              </w:numPr>
              <w:tabs>
                <w:tab w:val="clear" w:pos="720"/>
                <w:tab w:val="num" w:pos="785"/>
              </w:tabs>
              <w:spacing w:before="0" w:after="240"/>
              <w:ind w:left="785" w:hanging="785"/>
              <w:rPr>
                <w:rFonts w:ascii="Trebuchet MS" w:eastAsia="Trebuchet MS" w:hAnsi="Trebuchet MS" w:cs="Trebuchet MS"/>
                <w:noProof/>
              </w:rPr>
            </w:pPr>
            <w:r>
              <w:rPr>
                <w:rFonts w:ascii="Calibri" w:hAnsi="Calibri"/>
                <w:noProof/>
                <w:sz w:val="22"/>
                <w:szCs w:val="22"/>
              </w:rPr>
              <w:t xml:space="preserve">Инсталиране на обекти по летателните писти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noProof/>
              </w:rPr>
            </w:pPr>
            <w:r>
              <w:rPr>
                <w:noProof/>
              </w:rPr>
              <w:t>A</w:t>
            </w:r>
          </w:p>
          <w:p>
            <w:pPr>
              <w:pStyle w:val="Body"/>
              <w:spacing w:after="0" w:line="240" w:lineRule="auto"/>
              <w:jc w:val="both"/>
              <w:rPr>
                <w:noProof/>
              </w:rPr>
            </w:pP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Спецификациите за сертифициране съдържат по-високи стойности за определени видове писти за излитане и кацане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Планира се разпоредбата да бъде приета до третото тримесечие на 2021 г.</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3.6.3 Широчина на участъците, свободни от препятствия</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Настоящата спецификация за сертифициране съдържа по-висока стойност за определени видове писти за излитане и кацане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ЕААБ ще проучи допълнително необходимостта от изменение на спецификацията за сертифициране</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rFonts w:ascii="Calibri" w:eastAsia="Calibri" w:hAnsi="Calibri" w:cs="Calibri"/>
                <w:noProof/>
                <w:sz w:val="22"/>
                <w:szCs w:val="22"/>
              </w:rPr>
            </w:pPr>
            <w:r>
              <w:rPr>
                <w:rFonts w:ascii="Calibri" w:hAnsi="Calibri"/>
                <w:noProof/>
                <w:sz w:val="22"/>
                <w:szCs w:val="22"/>
              </w:rPr>
              <w:t xml:space="preserve">3.12.6 Площадки за изчакване, места за изчакване при пистата за излитане и кацане, </w:t>
            </w:r>
          </w:p>
          <w:p>
            <w:pPr>
              <w:pStyle w:val="Body"/>
              <w:spacing w:line="240" w:lineRule="auto"/>
              <w:jc w:val="both"/>
              <w:rPr>
                <w:noProof/>
              </w:rPr>
            </w:pPr>
            <w:r>
              <w:rPr>
                <w:noProof/>
              </w:rPr>
              <w:t>междинни места за изчакване и места за изчакване на пътя за въпросната писта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В настоящата спецификация за сертифициране не се пояснява целта на спецификацията по отношение на вътрешната транзитна повърхност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rFonts w:ascii="Calibri" w:eastAsia="Calibri" w:hAnsi="Calibri" w:cs="Calibri"/>
                <w:noProof/>
                <w:sz w:val="22"/>
                <w:szCs w:val="22"/>
              </w:rPr>
            </w:pPr>
            <w:r>
              <w:rPr>
                <w:rFonts w:ascii="Calibri" w:hAnsi="Calibri"/>
                <w:noProof/>
                <w:sz w:val="22"/>
                <w:szCs w:val="22"/>
              </w:rPr>
              <w:t xml:space="preserve">3.12.8 Площадки за изчакване, места за изчакване при пистата за излитане и кацане, </w:t>
            </w:r>
          </w:p>
          <w:p>
            <w:pPr>
              <w:pStyle w:val="Default"/>
              <w:jc w:val="both"/>
              <w:rPr>
                <w:noProof/>
              </w:rPr>
            </w:pPr>
            <w:r>
              <w:rPr>
                <w:rFonts w:ascii="Calibri" w:hAnsi="Calibri"/>
                <w:noProof/>
                <w:sz w:val="22"/>
                <w:szCs w:val="22"/>
              </w:rPr>
              <w:t>междинни места за изчакване и места за изчакване на пътя за въпросната писта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Разпоредбата е транспонирана като документ с насоки (GM)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Разпоредбата може да бъде приета до третото тримесечие на 2021 г.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5.3.23.4 Предпазни светлини на ПИК</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Тази разпоредба не е включена в настоящата спецификация за сертифициране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5.3.23.5 Местоположение на предпазните светлини на ПИК</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разпоредба не е включена в настоящата спецификация за сертифициране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5.3.23.6 Местоположение на предпазните светлини на ПИК</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разпоредба не е включена в настоящата спецификация за сертифициране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5.3.23.10 Характеристики на предпазните светлини на ПИК</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разпоредба се третира по различен начин в настоящата спецификация за сертифициране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5.3.29.3 Местоположение на линиите, забраняващи влизането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разпоредба не е включена в настоящата спецификация за сертифициране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5.3.29.8 Характеристики на линиите, забраняващи влизането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B</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разпоредба се третира по различен начин в настоящите спецификации за сертифициране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Default"/>
              <w:jc w:val="both"/>
              <w:rPr>
                <w:rFonts w:ascii="Calibri" w:eastAsia="Calibri" w:hAnsi="Calibri" w:cs="Calibri"/>
                <w:noProof/>
                <w:sz w:val="22"/>
                <w:szCs w:val="22"/>
              </w:rPr>
            </w:pPr>
            <w:r>
              <w:rPr>
                <w:rFonts w:ascii="Calibri" w:hAnsi="Calibri"/>
                <w:noProof/>
                <w:sz w:val="22"/>
                <w:szCs w:val="22"/>
              </w:rPr>
              <w:t>5.4.1 Таблица 5-5</w:t>
            </w:r>
          </w:p>
          <w:p>
            <w:pPr>
              <w:pStyle w:val="Default"/>
              <w:jc w:val="both"/>
              <w:rPr>
                <w:noProof/>
              </w:rPr>
            </w:pP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настоящата спецификация се предвижда по-голяма височина на лицето на знаците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noProof/>
              </w:rPr>
            </w:pPr>
          </w:p>
          <w:p>
            <w:pPr>
              <w:pStyle w:val="Body"/>
              <w:spacing w:after="0" w:line="240" w:lineRule="auto"/>
              <w:jc w:val="both"/>
              <w:rPr>
                <w:noProof/>
              </w:rPr>
            </w:pPr>
            <w:r>
              <w:rPr>
                <w:noProof/>
              </w:rPr>
              <w:t>Планира се запазване на тази разпоредба</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5.4.3.35 Информационни знаци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разпоредба не е включена напълно в настоящата спецификация за сертифициране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5.4.3.37 Информационни знаци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разпоредба не е включена напълно в настоящата спецификация за сертифициране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12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jc w:val="both"/>
              <w:rPr>
                <w:noProof/>
              </w:rPr>
            </w:pPr>
            <w:r>
              <w:rPr>
                <w:rFonts w:ascii="Calibri" w:hAnsi="Calibri"/>
                <w:noProof/>
                <w:sz w:val="22"/>
                <w:szCs w:val="22"/>
              </w:rPr>
              <w:t xml:space="preserve">5.4.3.39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разпоредба не е включена напълно в настоящата спецификация за сертифициране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r>
        <w:trPr>
          <w:trHeight w:val="16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Default"/>
              <w:rPr>
                <w:noProof/>
              </w:rPr>
            </w:pPr>
            <w:r>
              <w:rPr>
                <w:rFonts w:ascii="Calibri" w:hAnsi="Calibri"/>
                <w:noProof/>
                <w:sz w:val="22"/>
                <w:szCs w:val="22"/>
              </w:rPr>
              <w:t>9.9.5</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Настоящата спецификация за сертифициране е по-строга по отношение на инсталирането на обекти на определени видове писти за излитане и кацане</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Планира се разпоредбата да бъде приета до третото тримесечие на 2021 г. </w:t>
            </w:r>
          </w:p>
        </w:tc>
      </w:tr>
    </w:tbl>
    <w:p>
      <w:pPr>
        <w:pStyle w:val="Heading3"/>
        <w:widowControl w:val="0"/>
        <w:numPr>
          <w:ilvl w:val="2"/>
          <w:numId w:val="26"/>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9 </w:t>
      </w:r>
      <w:r>
        <w:rPr>
          <w:noProof/>
        </w:rPr>
        <w:t>на</w:t>
      </w:r>
      <w:r>
        <w:rPr>
          <w:noProof/>
        </w:rPr>
        <w:t xml:space="preserve"> </w:t>
      </w:r>
      <w:r>
        <w:rPr>
          <w:noProof/>
        </w:rPr>
        <w:t>приложение</w:t>
      </w:r>
      <w:r>
        <w:rPr>
          <w:noProof/>
        </w:rPr>
        <w:t xml:space="preserve"> 14, </w:t>
      </w:r>
      <w:r>
        <w:rPr>
          <w:noProof/>
        </w:rPr>
        <w:t>том</w:t>
      </w:r>
      <w:r>
        <w:rPr>
          <w:noProof/>
        </w:rPr>
        <w:t xml:space="preserve"> 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Забележки</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Определение на дизайн 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Определението не е обхванато от настоящите разпоредби. Освен това то се прилага само за вертолетни летища по правилата за визуални полети (ПВП), разположени на летища, които попадат в обхвата на Регламент (ЕС) №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Определение на стойност 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Определението не е обхванато от настоящите разпоредби. Освен това то се прилага само за вертолетни летища по ПВП, разположени на летища, които попадат в обхвата на Регламент (ЕС) №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1.1 Определение на повърхност, издържаща на динамично натоварване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Настоящото определение е свързано с аварийно приземяване, а не с движението на хеликоптери. Освен това то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Определение на „удължен“</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Определението не е обхванато от настоящите разпоредби. Освен това то се прилага само за вертолетни летища по ПВП, разположени на летища, които попадат в обхвата на Регламент (ЕС) №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Определение на местостоянка за вертолет</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Настоящото определение не обхваща всички функции, включени в новото определение на местостоянка за вертолет. Освен това то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Определение на пътека за рулиране на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Новото съдържание на определението не е обхванато от настоящите разпоредби. Освен това то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Определение на маршрут на рулиране на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Определението не е обхванато от настоящите разпоредби. Освен това то се прилага само за вертолетни летища по ПВП, разположени на летища, които попадат в обхвата на Регламент (ЕС) №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Определение на предпазна зона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Настоящото определение обхваща и маршрута на рулиране. Освен това то се прилага само за вертолетни летища по ПВП, разположени на летища, които попадат в обхвата на Регламент (ЕС) №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Определение на кръг за позициониране при приземяване (TDPC)</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Определението не е обхванато от настоящите разпоредби. Освен това то се прилага само за вертолетни летища по ПВП, разположени на летища, които попадат в обхвата на Регламент (ЕС) № 139/2014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19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1.1 Определение на маркировка за позициониране при приземяване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Определението не е обхванато от настоящите разпоредби. Освен това то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2.4.1 Размери на вертолетното летище и свързана с това информация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Спецификацията не е транспонирана.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бъдеще в рамките на RMT.0722 до четвъртото тримесечие на 2023 г.</w:t>
            </w:r>
          </w:p>
        </w:tc>
      </w:tr>
      <w:tr>
        <w:trPr>
          <w:trHeight w:val="9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2.4.3 Размери на вертолетното летище и свързана с това информация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Спецификацията не е транспонирана.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бъдеще в рамките на RMT.0722 до четвъртото тримесечие на 2023 г.</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2.7.1 Аварийно-спасително и противопожарно осигуряване (информация относно нивото на защита)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Съответните спецификации, които се прилагат и за летищата, са транспонирани като документ с насоки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бъдеще в рамките на RMT.0722 до четвъртото тримесечие на 2023 г.</w:t>
            </w:r>
          </w:p>
        </w:tc>
      </w:tr>
      <w:tr>
        <w:trPr>
          <w:trHeight w:val="16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2.7.2 Аварийно-спасително и противопожарно осигуряване (категория)</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Съответните спецификации, които се прилагат и за летищата, са транспонирани като документ с насоки.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бъдеще в рамките на RMT.0722 до четвъртото тримесечие на 2023 г.</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2.7.3 Аварийно-спасително и противопожарно осигуряване (обнародване на промени по нивото на защита)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Съответните спецификации, които се прилагат и за летищата, са транспонирани като документ с насоки.</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бъдеще в рамките на RMT.0722 до четвъртото тримесечие на 2023 г.</w:t>
            </w:r>
          </w:p>
        </w:tc>
      </w:tr>
      <w:tr>
        <w:trPr>
          <w:trHeight w:val="14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2.7.4 Аварийно-спасително и противопожарно осигуряване (нова категория)</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 xml:space="preserve">Съответните спецификации, които се прилагат и за летищата, са транспонирани като документ с насоки </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бъдеще в рамките на RMT.0722 до четвъртото тримесечие на 2023 г.</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 Зони за краен етап на подхода за кацане и за излитане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FATO се третират по различен начин в настоящите разпоредби. Освен това настоящата разпоредба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 Осигуряване на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не се предвижда, че не е необходимо FATO да е твърда. Освен това настоящата разпоредба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 Размери на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Размерите на FATO са определени по различен начин в настоящите разпоредби. Освен това настоящата разпоредба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3.1.5 Наклон на твърда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Наклоните са определени по различен начин в настоящите разпоредби. Освен това настоящата разпоредба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3.1.8 Участъци за безопасност на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Характеристиките на участъците за безопасност се третират по различен начин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3.1.9 Размери на участъците за безопасност на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Размерите на участъците за безопасност се третират по различен начин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3.1.11 Обекти в участъците за безопасност на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Наличието на обекти в участъците за безопасност се третират по различен начин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3.1.13 Осигуряване на защитен страничен наклон</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Наличието на обекти в участъците за безопасност се третират по различен начин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3.1.14 Осигуряване на защитен страничен наклон</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Наличието на обекти в участъците за безопасност се третират по различен начин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3.1.15 Препятствия по повърхността на защитен страничен наклон</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Настоящата спецификация предвижда възможността за пробождане на повърхността при определени условия. Освен това настоящата разпоредба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3.1.16 Участък, свободен от препятствия на вертолетно летище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3.1.19 Широчина на участъците, свободни от препятствия на вертолетно летище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Настоящата разпоредба предвижда единичен наклон. Освен това настоящата разпоредба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3.1.21 Зони за приземяване и излитане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3.1.24 Размери на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3.1.26 Наклони на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A</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Настоящата спецификация предвижда по-строги характеристики на наклона. Освен това настоящата разпоредба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3.1.27 TLOF в рамките на FATO</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3.1.28 TLOF върху местостоянка за вертолет</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3.1.29 Маркировки за 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3.1.30 TDPM във FATO/TLOF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3.1.31 Алтернативни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3.1.33 Пътеки за рулиране на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3.1.34 Широчина на пътеките за рулиране на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3.1.35 Напречен наклон на пътеките за рулиране на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3.1.36 Маршрути на рулиране на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3.1.38 Наклон на маршрутите на рулиране на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3.1.42 Маршрути на рулиране на вертолети по въздуха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3.1.44 Местостоянки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Характеристиките на местостоянките се третират по различен начин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3.1.45 Размери на местостоянките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Характеристиките на местостоянките се третират по различен начин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3.1.46 Наклон на местостоянките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Характеристиките на местостоянките се третират по различен начин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3.1.47 Маркировки на местостоянките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Настоящите спецификации позволяват да не се предвиждат маркировки на местостоянките.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3.1.52 Предпазна зона за неедновременно използване на местостоянки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3.1.55 Наклон на твърда предпазна зона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4.2.7 Повърхност на подход за кацане и за набиране на височина при излитане за вертолетни летища на нивото на повърхността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не обхваща наличието на поне един защитен страничен наклон.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5.2.2 Идентификационна маркировка за вертолетни летища (забележка, но е въведена нова фигура 5-1A)</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33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5.2.7.4 Характеристики на маркировката на прицелната точка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приложимият цвят е посочен като бял и не се изисква цветът на маркировката да е в контраст с фона.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5.2.9.1 Осигуряване на TDPM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настоящата разпоредба осигуряването на TDPM се определя по по-стриктен и обвързан с условия начин. Освен това настоящата разпоредба се прилага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5.2.9.2 Характеристики на TDPM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Тези спецификации не са включени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5.2.9.3 Местоположение на TDPC</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5.2.9.5 Маркировка на сектор за забранено кацане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Тези спецификации не са включени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5.2.9.8 Дължина на раменната линия</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5.2.9.9 Характеристики на маркировката на сектор за забранено кацане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5.2.9.10 Предимство на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5.2.13.2 Маркировка на осевата линия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5.2.13.3 Местоположение на маркировките на ПР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7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5.2.13.4 Местоположение на маркерите на ПР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5.2.13.5 Отстояние между маркерите на ПР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5.2.13.6 Маркировка на осевата линия върху ПР с настилка, предназначени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5.2.13.7 Маркировка на осевата линия върху ПР без настилка, предназначени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5.2.13.8 Характеристики на маркировките за очертаване на границите на ПР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5.2.13.9 Маркер за очертаване на границите на ПР за вертолети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5.2.13.10 Височина на маркера за очертаване на границите на ПР за вертолети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5.2.13.11 Цвят на маркера за очертаване на границите на ПР за вертолети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5.2.13.12 Осветяване на маркера за очертаване на границите на ПР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„наземна ПР за вертолети“.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33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5.2.14.1 Маркировки и маркери за маршрут на рулиране на вертолети по въздуха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съответствие с настоящите изисквания осигуряването на съответните маркировки и маркери се изисква само при определени условия.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5.2.14.2 Местоположение на маркировки и маркери за маршрут на рулиране на вертолети по въздуха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„ПР за вертолети по въздуха“.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5.2.14.3 Маркировка на осевата линия за маршрут на рулиране на вертолети по въздуха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„ПР за вертолети по въздуха“.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5.2.14.4 Маркировка на осевата линия за маршрут без настилка, предназначен за рулиране на вертолети по въздуха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„ПР за вертолети по въздуха“.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5.2.14.5 Маркери за маршрут на рулиране на вертолети по въздуха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настоящите разпоредби се посочва понятието „ПР за вертолети по въздуха“.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31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5.2.15.1 Осигуряване на маркировки по периметъра на местостоянките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В съответствие с настоящите изисквания осигуряването на маркировки по периметъра на местостоянките за вертолети се изисква само при определени условия .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5.2.15.2 Осигуряване на TDPM на местостоянките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5.2.15.4 Местоположение на TDPM, линии за изравняване и линии за влизане/излизане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5.2.15.6 Характеристики на маркировката по периметъра на местостоянките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Новите характеристики на маркировката не са включени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5.2.15.7 Характеристики на TDPM</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pPr>
              <w:pStyle w:val="Body"/>
              <w:spacing w:after="0" w:line="240" w:lineRule="auto"/>
              <w:jc w:val="both"/>
              <w:rPr>
                <w:noProof/>
              </w:rPr>
            </w:pPr>
          </w:p>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Характеристиките на TDPM са определени по различен начин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 xml:space="preserve">5.3.1 Общи разпоредби за светлините — </w:t>
            </w:r>
          </w:p>
          <w:p>
            <w:pPr>
              <w:pStyle w:val="Body"/>
              <w:spacing w:line="240" w:lineRule="auto"/>
              <w:jc w:val="both"/>
              <w:rPr>
                <w:noProof/>
              </w:rPr>
            </w:pPr>
            <w:r>
              <w:rPr>
                <w:noProof/>
              </w:rPr>
              <w:t>отпадане на илюстрацията на индикацията на траекторията на подхода за кацане на вертолета (HAPI) от фигура 5-11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Настоящите разпоредби съдържат илюстрацията на HAPI.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Настоящите спецификации се считат за необходими и се планира да бъдат запазени.</w:t>
            </w:r>
          </w:p>
        </w:tc>
      </w:tr>
      <w:tr>
        <w:trPr>
          <w:trHeight w:val="40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5.3.5 Система за визуално насочване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Настоящите разпоредби съдържат спецификации за местоположението, формата на сигнала, разпределянето на светлината, пистата за подход и определянето на азимута, както и характеристиките на системата за визуално насочване.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Настоящите спецификации се считат за необходими и се планира да бъдат запазени.</w:t>
            </w:r>
          </w:p>
        </w:tc>
      </w:tr>
      <w:tr>
        <w:trPr>
          <w:trHeight w:val="38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5.3.6 Визуален индикатор на глисадата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Настоящите разпоредби съдържат спецификации за местоположението, формата на сигнала, разпределянето на светлината, наклона на глисадата и установяването на ъглите на издигане, характеристиките на светлината, повърхността за защита от препятствия.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Настоящите спецификации се считат за необходими и се планира да бъдат запазени.</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5.3.9.17 Светлини по периметъра на TLOF, разположени в рамките на FATO на нивото на повърхността на повдигнати вертолетни летища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Настоящата спецификация позволява светлините по периметъра на TLOF да са по-високи от 5 cm.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5.3.10.1 Осигуряване на прожекторно осветление на местостоянките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5.3.10.2 Местоположение на прожекторите за осветяване на местостоянките за вертолети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5.3.10.3 Спектрално разпределение на прожекторите за осветяване на местостоянките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5.3.10.4 Хоризонтално и вертикално осветяване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5.3.13.1 Препятствия в зони извън и под границите на повърхностите за ограничаване на препятствията (OLS)</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5.3.13.2 Въздушни електрически линии или кабели, пресичащи река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Тази спецификация не е включена в настоящите разпоредби.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6.2.1.3 Оборудване и услуги за аварийно-спасително и противопожарно осигуряване (RFF) на вертолетни летища нивото на повърхността и на повдигнати вертолетни летища, разположени над незаети конструкции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Настоящите разпоредби предвиждат услуги за аварийно-спасително и противопожарно осигуряване (RFFS), без да е необходимо да се извърши оценка на риска.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28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6.2.2.2 Практическо изчисляване на критичната зона, когато основният пожарогасителен материал се прилага като непрекъснат поток</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Нивото на защита се определя в съответствие с разпоредбите, приложими за летищата.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6.2.2.3 Практическо изчисляване на критичната зона, когато основният пожарогасителен материал се разпръсква (с изключение на вертолетни палуби)</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Прилагат се спецификациите за RFFS на летищата.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313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6.2.3.1 Количество на основния пожарогасителен материал и на допълнителните вещества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Количеството на основния пожарогасителен материал и на веществата се определя в съответствие с разпоредбите, приложими за летищата.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6.2.3.5 Допълнителен пожарогасителен материал</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Прилагат се спецификациите за RFFS на летищата.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6.2.3.8 Допълнителен пожарогасителен материал</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Прилагат се спецификациите за RFFS на летищата.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2161"/>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6.2.4.1 Време за реакция за вертолетни летища на нивото на повърхността</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TableParagraph"/>
              <w:jc w:val="both"/>
              <w:rPr>
                <w:noProof/>
              </w:rPr>
            </w:pPr>
            <w:r>
              <w:rPr>
                <w:noProof/>
              </w:rPr>
              <w:t>Приложимите</w:t>
            </w:r>
            <w:r>
              <w:rPr>
                <w:noProof/>
              </w:rPr>
              <w:t xml:space="preserve"> </w:t>
            </w:r>
            <w:r>
              <w:rPr>
                <w:noProof/>
              </w:rPr>
              <w:t>правила</w:t>
            </w:r>
            <w:r>
              <w:rPr>
                <w:noProof/>
              </w:rPr>
              <w:t xml:space="preserve"> </w:t>
            </w:r>
            <w:r>
              <w:rPr>
                <w:noProof/>
              </w:rPr>
              <w:t>не</w:t>
            </w:r>
            <w:r>
              <w:rPr>
                <w:noProof/>
              </w:rPr>
              <w:t xml:space="preserve"> </w:t>
            </w:r>
            <w:r>
              <w:rPr>
                <w:noProof/>
              </w:rPr>
              <w:t>съдържат</w:t>
            </w:r>
            <w:r>
              <w:rPr>
                <w:noProof/>
              </w:rPr>
              <w:t xml:space="preserve"> </w:t>
            </w:r>
            <w:r>
              <w:rPr>
                <w:noProof/>
              </w:rPr>
              <w:t>определено</w:t>
            </w:r>
            <w:r>
              <w:rPr>
                <w:noProof/>
              </w:rPr>
              <w:t xml:space="preserve"> </w:t>
            </w:r>
            <w:r>
              <w:rPr>
                <w:noProof/>
              </w:rPr>
              <w:t>време</w:t>
            </w:r>
            <w:r>
              <w:rPr>
                <w:noProof/>
              </w:rPr>
              <w:t xml:space="preserve"> </w:t>
            </w:r>
            <w:r>
              <w:rPr>
                <w:noProof/>
              </w:rPr>
              <w:t>за</w:t>
            </w:r>
            <w:r>
              <w:rPr>
                <w:noProof/>
              </w:rPr>
              <w:t xml:space="preserve"> </w:t>
            </w:r>
            <w:r>
              <w:rPr>
                <w:noProof/>
              </w:rPr>
              <w:t>реакция</w:t>
            </w:r>
            <w:r>
              <w:rPr>
                <w:noProof/>
              </w:rPr>
              <w:t xml:space="preserve">, </w:t>
            </w:r>
            <w:r>
              <w:rPr>
                <w:noProof/>
              </w:rPr>
              <w:t>което</w:t>
            </w:r>
            <w:r>
              <w:rPr>
                <w:noProof/>
              </w:rPr>
              <w:t xml:space="preserve"> </w:t>
            </w:r>
            <w:r>
              <w:rPr>
                <w:noProof/>
              </w:rPr>
              <w:t>трябва</w:t>
            </w:r>
            <w:r>
              <w:rPr>
                <w:noProof/>
              </w:rPr>
              <w:t xml:space="preserve"> </w:t>
            </w:r>
            <w:r>
              <w:rPr>
                <w:noProof/>
              </w:rPr>
              <w:t>да</w:t>
            </w:r>
            <w:r>
              <w:rPr>
                <w:noProof/>
              </w:rPr>
              <w:t xml:space="preserve"> </w:t>
            </w:r>
            <w:r>
              <w:rPr>
                <w:noProof/>
              </w:rPr>
              <w:t>се</w:t>
            </w:r>
            <w:r>
              <w:rPr>
                <w:noProof/>
              </w:rPr>
              <w:t xml:space="preserve"> </w:t>
            </w:r>
            <w:r>
              <w:rPr>
                <w:noProof/>
              </w:rPr>
              <w:t>постигне</w:t>
            </w:r>
            <w:r>
              <w:rPr>
                <w:noProof/>
              </w:rPr>
              <w:t xml:space="preserve">. </w:t>
            </w:r>
            <w:r>
              <w:rPr>
                <w:noProof/>
              </w:rPr>
              <w:t>Освен</w:t>
            </w:r>
            <w:r>
              <w:rPr>
                <w:noProof/>
              </w:rPr>
              <w:t xml:space="preserve"> </w:t>
            </w:r>
            <w:r>
              <w:rPr>
                <w:noProof/>
              </w:rPr>
              <w:t>това</w:t>
            </w:r>
            <w:r>
              <w:rPr>
                <w:noProof/>
              </w:rPr>
              <w:t xml:space="preserve"> </w:t>
            </w:r>
            <w:r>
              <w:rPr>
                <w:noProof/>
              </w:rPr>
              <w:t>настоящите</w:t>
            </w:r>
            <w:r>
              <w:rPr>
                <w:noProof/>
              </w:rPr>
              <w:t xml:space="preserve"> </w:t>
            </w:r>
            <w:r>
              <w:rPr>
                <w:noProof/>
              </w:rPr>
              <w:t>разпоредби</w:t>
            </w:r>
            <w:r>
              <w:rPr>
                <w:noProof/>
              </w:rPr>
              <w:t xml:space="preserve"> </w:t>
            </w:r>
            <w:r>
              <w:rPr>
                <w:noProof/>
              </w:rPr>
              <w:t>се</w:t>
            </w:r>
            <w:r>
              <w:rPr>
                <w:noProof/>
              </w:rPr>
              <w:t xml:space="preserve"> </w:t>
            </w:r>
            <w:r>
              <w:rPr>
                <w:noProof/>
              </w:rPr>
              <w:t>прилагат</w:t>
            </w:r>
            <w:r>
              <w:rPr>
                <w:noProof/>
              </w:rPr>
              <w:t xml:space="preserve"> </w:t>
            </w:r>
            <w:r>
              <w:rPr>
                <w:noProof/>
              </w:rPr>
              <w:t>само</w:t>
            </w:r>
            <w:r>
              <w:rPr>
                <w:noProof/>
              </w:rPr>
              <w:t xml:space="preserve"> </w:t>
            </w:r>
            <w:r>
              <w:rPr>
                <w:noProof/>
              </w:rPr>
              <w:t>за</w:t>
            </w:r>
            <w:r>
              <w:rPr>
                <w:noProof/>
              </w:rPr>
              <w:t xml:space="preserve"> </w:t>
            </w:r>
            <w:r>
              <w:rPr>
                <w:noProof/>
              </w:rPr>
              <w:t>вертолетни</w:t>
            </w:r>
            <w:r>
              <w:rPr>
                <w:noProof/>
              </w:rPr>
              <w:t xml:space="preserve"> </w:t>
            </w:r>
            <w:r>
              <w:rPr>
                <w:noProof/>
              </w:rPr>
              <w:t>летища</w:t>
            </w:r>
            <w:r>
              <w:rPr>
                <w:noProof/>
              </w:rPr>
              <w:t xml:space="preserve"> </w:t>
            </w:r>
            <w:r>
              <w:rPr>
                <w:noProof/>
              </w:rPr>
              <w:t>по</w:t>
            </w:r>
            <w:r>
              <w:rPr>
                <w:noProof/>
              </w:rPr>
              <w:t xml:space="preserve"> </w:t>
            </w:r>
            <w:r>
              <w:rPr>
                <w:noProof/>
              </w:rPr>
              <w:t>ПВП</w:t>
            </w:r>
            <w:r>
              <w:rPr>
                <w:noProof/>
              </w:rPr>
              <w:t xml:space="preserve">, </w:t>
            </w:r>
            <w:r>
              <w:rPr>
                <w:noProof/>
              </w:rPr>
              <w:t>разположени</w:t>
            </w:r>
            <w:r>
              <w:rPr>
                <w:noProof/>
              </w:rPr>
              <w:t xml:space="preserve"> </w:t>
            </w:r>
            <w:r>
              <w:rPr>
                <w:noProof/>
              </w:rPr>
              <w:t>на</w:t>
            </w:r>
            <w:r>
              <w:rPr>
                <w:noProof/>
              </w:rPr>
              <w:t xml:space="preserve"> </w:t>
            </w:r>
            <w:r>
              <w:rPr>
                <w:noProof/>
              </w:rPr>
              <w:t>летища</w:t>
            </w:r>
            <w:r>
              <w:rPr>
                <w:noProof/>
              </w:rPr>
              <w:t xml:space="preserve">, </w:t>
            </w:r>
            <w:r>
              <w:rPr>
                <w:noProof/>
              </w:rPr>
              <w:t>които</w:t>
            </w:r>
            <w:r>
              <w:rPr>
                <w:noProof/>
              </w:rPr>
              <w:t xml:space="preserve"> </w:t>
            </w:r>
            <w:r>
              <w:rPr>
                <w:noProof/>
              </w:rPr>
              <w:t>попадат</w:t>
            </w:r>
            <w:r>
              <w:rPr>
                <w:noProof/>
              </w:rPr>
              <w:t xml:space="preserve"> </w:t>
            </w:r>
            <w:r>
              <w:rPr>
                <w:noProof/>
              </w:rPr>
              <w:t>в</w:t>
            </w:r>
            <w:r>
              <w:rPr>
                <w:noProof/>
              </w:rPr>
              <w:t xml:space="preserve"> </w:t>
            </w:r>
            <w:r>
              <w:rPr>
                <w:noProof/>
              </w:rPr>
              <w:t>обхвата</w:t>
            </w:r>
            <w:r>
              <w:rPr>
                <w:noProof/>
              </w:rPr>
              <w:t xml:space="preserve"> </w:t>
            </w:r>
            <w:r>
              <w:rPr>
                <w:noProof/>
              </w:rPr>
              <w:t>на</w:t>
            </w:r>
            <w:r>
              <w:rPr>
                <w:noProof/>
              </w:rPr>
              <w:t xml:space="preserve"> </w:t>
            </w:r>
            <w:r>
              <w:rPr>
                <w:noProof/>
              </w:rPr>
              <w:t>Регламент</w:t>
            </w:r>
            <w:r>
              <w:rPr>
                <w:noProof/>
              </w:rPr>
              <w:t xml:space="preserve"> (</w:t>
            </w:r>
            <w:r>
              <w:rPr>
                <w:noProof/>
              </w:rPr>
              <w:t>ЕС</w:t>
            </w:r>
            <w:r>
              <w:rPr>
                <w:noProof/>
              </w:rPr>
              <w:t xml:space="preserve">) </w:t>
            </w:r>
            <w:r>
              <w:rPr>
                <w:noProof/>
              </w:rPr>
              <w:t>№ </w:t>
            </w:r>
            <w:r>
              <w:rPr>
                <w:noProof/>
              </w:rPr>
              <w:t>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6.2.5.1 Мерки за спасяване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Прилагат се спецификациите за RFFS на летищата.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217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6.2.6 Система за комуникации и известяване</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Прилагат се спецификациите за RFFS на летищата.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6.2.7.1 Брой на персонала за RFF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Прилагат се спецификациите за RFFS на летищата и винаги се осигурява персонал за RFFS.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r>
        <w:trPr>
          <w:trHeight w:val="265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6.2.7.2 Обучение на персонала за RFF</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Прилагат се спецификациите за RFFS на летищата и винаги се осигурява и обучава персонал за RFFS. Освен това настоящите разпоредби се прилагат само за вертолетни летища по ПВП, разположени на летища, които попадат в обхвата на Регламент (ЕС) № 139/2014</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Спецификацията за самостоятелни вертолетни летища ще бъде разгледана в бъдещи дейности за разработване на правила.</w:t>
            </w:r>
          </w:p>
        </w:tc>
      </w:tr>
    </w:tbl>
    <w:p>
      <w:pPr>
        <w:pStyle w:val="Heading2"/>
        <w:numPr>
          <w:ilvl w:val="1"/>
          <w:numId w:val="28"/>
        </w:numPr>
        <w:ind w:left="850" w:hanging="850"/>
        <w:rPr>
          <w:rFonts w:eastAsia="Arial Unicode MS"/>
          <w:noProof/>
        </w:rPr>
      </w:pPr>
      <w:r>
        <w:rPr>
          <w:noProof/>
        </w:rPr>
        <w:t>Изменение</w:t>
      </w:r>
      <w:r>
        <w:rPr>
          <w:noProof/>
        </w:rPr>
        <w:t xml:space="preserve"> 41 </w:t>
      </w:r>
      <w:r>
        <w:rPr>
          <w:noProof/>
        </w:rPr>
        <w:t>на</w:t>
      </w:r>
      <w:r>
        <w:rPr>
          <w:noProof/>
        </w:rPr>
        <w:t xml:space="preserve"> </w:t>
      </w:r>
      <w:r>
        <w:rPr>
          <w:noProof/>
        </w:rPr>
        <w:t>приложение</w:t>
      </w:r>
      <w:r>
        <w:rPr>
          <w:noProof/>
        </w:rPr>
        <w:t xml:space="preserve"> 15 </w:t>
      </w:r>
      <w:r>
        <w:rPr>
          <w:noProof/>
        </w:rPr>
        <w:t>относно</w:t>
      </w:r>
      <w:r>
        <w:rPr>
          <w:noProof/>
        </w:rPr>
        <w:t xml:space="preserve"> </w:t>
      </w:r>
      <w:r>
        <w:rPr>
          <w:noProof/>
        </w:rPr>
        <w:t>аеронавигационното</w:t>
      </w:r>
      <w:r>
        <w:rPr>
          <w:noProof/>
        </w:rPr>
        <w:t xml:space="preserve"> </w:t>
      </w:r>
      <w:r>
        <w:rPr>
          <w:noProof/>
        </w:rPr>
        <w:t>информационно</w:t>
      </w:r>
      <w:r>
        <w:rPr>
          <w:noProof/>
        </w:rPr>
        <w:t xml:space="preserve"> </w:t>
      </w:r>
      <w:r>
        <w:rPr>
          <w:noProof/>
        </w:rPr>
        <w:t>обслужване</w:t>
      </w:r>
      <w:r>
        <w:rPr>
          <w:noProof/>
        </w:rPr>
        <w:t xml:space="preserve"> </w:t>
      </w:r>
    </w:p>
    <w:p>
      <w:pPr>
        <w:pStyle w:val="Heading3"/>
        <w:numPr>
          <w:ilvl w:val="2"/>
          <w:numId w:val="28"/>
        </w:numPr>
        <w:ind w:left="850" w:hanging="850"/>
        <w:rPr>
          <w:rFonts w:eastAsia="Arial Unicode MS"/>
          <w:noProof/>
        </w:rPr>
      </w:pPr>
      <w:r>
        <w:rPr>
          <w:noProof/>
        </w:rPr>
        <w:t>Описание</w:t>
      </w:r>
    </w:p>
    <w:p>
      <w:pPr>
        <w:pStyle w:val="NumPar3"/>
        <w:ind w:left="0" w:firstLine="0"/>
        <w:rPr>
          <w:noProof/>
          <w:u w:val="single"/>
        </w:rPr>
      </w:pPr>
      <w:r>
        <w:rPr>
          <w:noProof/>
        </w:rPr>
        <w:t>Предложеното</w:t>
      </w:r>
      <w:r>
        <w:rPr>
          <w:noProof/>
        </w:rPr>
        <w:t xml:space="preserve"> </w:t>
      </w:r>
      <w:r>
        <w:rPr>
          <w:noProof/>
        </w:rPr>
        <w:t>изменение</w:t>
      </w:r>
      <w:r>
        <w:rPr>
          <w:noProof/>
        </w:rPr>
        <w:t xml:space="preserve">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планирането</w:t>
      </w:r>
      <w:r>
        <w:rPr>
          <w:noProof/>
        </w:rPr>
        <w:t xml:space="preserve"> </w:t>
      </w:r>
      <w:r>
        <w:rPr>
          <w:noProof/>
        </w:rPr>
        <w:t>на</w:t>
      </w:r>
      <w:r>
        <w:rPr>
          <w:noProof/>
        </w:rPr>
        <w:t xml:space="preserve"> </w:t>
      </w:r>
      <w:r>
        <w:rPr>
          <w:noProof/>
        </w:rPr>
        <w:t>действия</w:t>
      </w:r>
      <w:r>
        <w:rPr>
          <w:noProof/>
        </w:rPr>
        <w:t xml:space="preserve"> </w:t>
      </w:r>
      <w:r>
        <w:rPr>
          <w:noProof/>
        </w:rPr>
        <w:t>при</w:t>
      </w:r>
      <w:r>
        <w:rPr>
          <w:noProof/>
        </w:rPr>
        <w:t xml:space="preserve"> </w:t>
      </w:r>
      <w:r>
        <w:rPr>
          <w:noProof/>
        </w:rPr>
        <w:t>извънредни</w:t>
      </w:r>
      <w:r>
        <w:rPr>
          <w:noProof/>
        </w:rPr>
        <w:t xml:space="preserve"> </w:t>
      </w:r>
      <w:r>
        <w:rPr>
          <w:noProof/>
        </w:rPr>
        <w:t>ситуации</w:t>
      </w:r>
      <w:r>
        <w:rPr>
          <w:noProof/>
        </w:rPr>
        <w:t xml:space="preserve"> </w:t>
      </w:r>
      <w:r>
        <w:rPr>
          <w:noProof/>
        </w:rPr>
        <w:t>по</w:t>
      </w:r>
      <w:r>
        <w:rPr>
          <w:noProof/>
        </w:rPr>
        <w:t xml:space="preserve"> </w:t>
      </w:r>
      <w:r>
        <w:rPr>
          <w:noProof/>
        </w:rPr>
        <w:t>отношение</w:t>
      </w:r>
      <w:r>
        <w:rPr>
          <w:noProof/>
        </w:rPr>
        <w:t xml:space="preserve"> </w:t>
      </w:r>
      <w:r>
        <w:rPr>
          <w:noProof/>
        </w:rPr>
        <w:t>на</w:t>
      </w:r>
      <w:r>
        <w:rPr>
          <w:noProof/>
        </w:rPr>
        <w:t xml:space="preserve"> </w:t>
      </w:r>
      <w:r>
        <w:rPr>
          <w:noProof/>
        </w:rPr>
        <w:t>зоните</w:t>
      </w:r>
      <w:r>
        <w:rPr>
          <w:noProof/>
        </w:rPr>
        <w:t xml:space="preserve"> </w:t>
      </w:r>
      <w:r>
        <w:rPr>
          <w:noProof/>
        </w:rPr>
        <w:t>на</w:t>
      </w:r>
      <w:r>
        <w:rPr>
          <w:noProof/>
        </w:rPr>
        <w:t xml:space="preserve"> </w:t>
      </w:r>
      <w:r>
        <w:rPr>
          <w:noProof/>
        </w:rPr>
        <w:t>конфликти</w:t>
      </w:r>
      <w:r>
        <w:rPr>
          <w:noProof/>
        </w:rPr>
        <w:t>.</w:t>
      </w:r>
    </w:p>
    <w:p>
      <w:pPr>
        <w:pStyle w:val="Heading3"/>
        <w:numPr>
          <w:ilvl w:val="2"/>
          <w:numId w:val="28"/>
        </w:numPr>
        <w:ind w:left="850" w:hanging="850"/>
        <w:rPr>
          <w:rFonts w:eastAsia="Arial Unicode MS"/>
          <w:noProof/>
        </w:rPr>
      </w:pPr>
      <w:r>
        <w:rPr>
          <w:noProof/>
        </w:rPr>
        <w:t>Приложимо</w:t>
      </w:r>
      <w:r>
        <w:rPr>
          <w:noProof/>
        </w:rPr>
        <w:t xml:space="preserve"> </w:t>
      </w:r>
      <w:r>
        <w:rPr>
          <w:noProof/>
        </w:rPr>
        <w:t>законодателство</w:t>
      </w:r>
      <w:r>
        <w:rPr>
          <w:noProof/>
        </w:rPr>
        <w:t xml:space="preserve"> </w:t>
      </w:r>
      <w:r>
        <w:rPr>
          <w:noProof/>
        </w:rPr>
        <w:t>на</w:t>
      </w:r>
      <w:r>
        <w:rPr>
          <w:noProof/>
        </w:rPr>
        <w:t xml:space="preserve"> </w:t>
      </w:r>
      <w:r>
        <w:rPr>
          <w:noProof/>
        </w:rPr>
        <w:t>Съюза</w:t>
      </w:r>
    </w:p>
    <w:p>
      <w:pPr>
        <w:pStyle w:val="Text1"/>
        <w:ind w:left="0"/>
        <w:rPr>
          <w:noProof/>
        </w:rPr>
      </w:pPr>
      <w:r>
        <w:rPr>
          <w:noProof/>
        </w:rPr>
        <w:t>Регламент</w:t>
      </w:r>
      <w:r>
        <w:rPr>
          <w:noProof/>
        </w:rPr>
        <w:t xml:space="preserve"> </w:t>
      </w:r>
      <w:r>
        <w:rPr>
          <w:noProof/>
        </w:rPr>
        <w:t>за</w:t>
      </w:r>
      <w:r>
        <w:rPr>
          <w:noProof/>
        </w:rPr>
        <w:t xml:space="preserve"> </w:t>
      </w:r>
      <w:r>
        <w:rPr>
          <w:noProof/>
        </w:rPr>
        <w:t>изпълнение</w:t>
      </w:r>
      <w:r>
        <w:rPr>
          <w:noProof/>
        </w:rPr>
        <w:t xml:space="preserve"> (</w:t>
      </w:r>
      <w:r>
        <w:rPr>
          <w:noProof/>
        </w:rPr>
        <w:t>ЕС</w:t>
      </w:r>
      <w:r>
        <w:rPr>
          <w:noProof/>
        </w:rPr>
        <w:t xml:space="preserve">) 2017/373 </w:t>
      </w:r>
      <w:r>
        <w:rPr>
          <w:noProof/>
        </w:rPr>
        <w:t>на</w:t>
      </w:r>
      <w:r>
        <w:rPr>
          <w:noProof/>
        </w:rPr>
        <w:t xml:space="preserve"> </w:t>
      </w:r>
      <w:r>
        <w:rPr>
          <w:noProof/>
        </w:rPr>
        <w:t>Комисията</w:t>
      </w:r>
      <w:r>
        <w:rPr>
          <w:noProof/>
          <w:vertAlign w:val="superscript"/>
        </w:rPr>
        <w:footnoteReference w:id="14"/>
      </w:r>
    </w:p>
    <w:p>
      <w:pPr>
        <w:pStyle w:val="Heading3"/>
        <w:widowControl w:val="0"/>
        <w:numPr>
          <w:ilvl w:val="2"/>
          <w:numId w:val="28"/>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41 </w:t>
      </w:r>
      <w:r>
        <w:rPr>
          <w:noProof/>
        </w:rPr>
        <w:t>на</w:t>
      </w:r>
      <w:r>
        <w:rPr>
          <w:noProof/>
        </w:rPr>
        <w:t xml:space="preserve"> </w:t>
      </w:r>
      <w:r>
        <w:rPr>
          <w:noProof/>
        </w:rPr>
        <w:t>приложение</w:t>
      </w:r>
      <w:r>
        <w:rPr>
          <w:noProof/>
        </w:rPr>
        <w:t xml:space="preserve"> 15</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b/>
                <w:bCs/>
                <w:noProof/>
              </w:rPr>
              <w:t>Забележки</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6.3.2.3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Не е изпълнена.</w:t>
            </w:r>
          </w:p>
          <w:p>
            <w:pPr>
              <w:pStyle w:val="Body"/>
              <w:spacing w:after="0" w:line="240" w:lineRule="auto"/>
              <w:jc w:val="both"/>
              <w:rPr>
                <w:noProof/>
              </w:rPr>
            </w:pPr>
            <w:r>
              <w:rPr>
                <w:noProof/>
              </w:rPr>
              <w:t>Понастоящем законодателството на ЕС не изисква публикуването на информация чрез известия за пилотите (NOTAM) относно опасните дейности за гражданското въздухоплаване и разглеждането на специфичния случай на зоните на конфликти.</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Това изменение ще бъде транспонирано при актуализирането на изискванията в приложение VI към Регламент (ЕС) 2017/373.</w:t>
            </w:r>
          </w:p>
        </w:tc>
      </w:tr>
    </w:tbl>
    <w:p>
      <w:pPr>
        <w:pStyle w:val="Heading3"/>
        <w:widowControl w:val="0"/>
        <w:numPr>
          <w:ilvl w:val="2"/>
          <w:numId w:val="30"/>
        </w:numPr>
        <w:ind w:left="850" w:hanging="850"/>
        <w:rPr>
          <w:rFonts w:eastAsia="Arial Unicode MS"/>
          <w:noProof/>
        </w:rPr>
      </w:pPr>
    </w:p>
    <w:p>
      <w:pPr>
        <w:pStyle w:val="Heading2"/>
        <w:numPr>
          <w:ilvl w:val="1"/>
          <w:numId w:val="32"/>
        </w:numPr>
        <w:ind w:left="850" w:hanging="850"/>
        <w:rPr>
          <w:rFonts w:eastAsia="Arial Unicode MS"/>
          <w:noProof/>
        </w:rPr>
      </w:pPr>
      <w:r>
        <w:rPr>
          <w:noProof/>
        </w:rPr>
        <w:t>Изменения</w:t>
      </w:r>
      <w:r>
        <w:rPr>
          <w:noProof/>
        </w:rPr>
        <w:t xml:space="preserve"> 13, 10 </w:t>
      </w:r>
      <w:r>
        <w:rPr>
          <w:noProof/>
        </w:rPr>
        <w:t>и</w:t>
      </w:r>
      <w:r>
        <w:rPr>
          <w:noProof/>
        </w:rPr>
        <w:t xml:space="preserve"> 1 </w:t>
      </w:r>
      <w:r>
        <w:rPr>
          <w:noProof/>
        </w:rPr>
        <w:t>на</w:t>
      </w:r>
      <w:r>
        <w:rPr>
          <w:noProof/>
        </w:rPr>
        <w:t xml:space="preserve"> </w:t>
      </w:r>
      <w:r>
        <w:rPr>
          <w:noProof/>
        </w:rPr>
        <w:t>приложение</w:t>
      </w:r>
      <w:r>
        <w:rPr>
          <w:noProof/>
        </w:rPr>
        <w:t xml:space="preserve"> 16 </w:t>
      </w:r>
      <w:r>
        <w:rPr>
          <w:noProof/>
        </w:rPr>
        <w:t>относно</w:t>
      </w:r>
      <w:r>
        <w:rPr>
          <w:noProof/>
        </w:rPr>
        <w:t xml:space="preserve"> </w:t>
      </w:r>
      <w:r>
        <w:rPr>
          <w:noProof/>
        </w:rPr>
        <w:t>опазването</w:t>
      </w:r>
      <w:r>
        <w:rPr>
          <w:noProof/>
        </w:rPr>
        <w:t xml:space="preserve"> </w:t>
      </w:r>
      <w:r>
        <w:rPr>
          <w:noProof/>
        </w:rPr>
        <w:t>на</w:t>
      </w:r>
      <w:r>
        <w:rPr>
          <w:noProof/>
        </w:rPr>
        <w:t xml:space="preserve"> </w:t>
      </w:r>
      <w:r>
        <w:rPr>
          <w:noProof/>
        </w:rPr>
        <w:t>околната</w:t>
      </w:r>
      <w:r>
        <w:rPr>
          <w:noProof/>
        </w:rPr>
        <w:t xml:space="preserve"> </w:t>
      </w:r>
      <w:r>
        <w:rPr>
          <w:noProof/>
        </w:rPr>
        <w:t>среда</w:t>
      </w:r>
      <w:r>
        <w:rPr>
          <w:noProof/>
        </w:rPr>
        <w:t xml:space="preserve">, </w:t>
      </w:r>
      <w:r>
        <w:rPr>
          <w:noProof/>
        </w:rPr>
        <w:t>томове</w:t>
      </w:r>
      <w:r>
        <w:rPr>
          <w:noProof/>
        </w:rPr>
        <w:t xml:space="preserve"> I, II </w:t>
      </w:r>
      <w:r>
        <w:rPr>
          <w:noProof/>
        </w:rPr>
        <w:t>и</w:t>
      </w:r>
      <w:r>
        <w:rPr>
          <w:noProof/>
        </w:rPr>
        <w:t xml:space="preserve"> III  </w:t>
      </w:r>
    </w:p>
    <w:p>
      <w:pPr>
        <w:pStyle w:val="Heading3"/>
        <w:numPr>
          <w:ilvl w:val="2"/>
          <w:numId w:val="32"/>
        </w:numPr>
        <w:ind w:left="850" w:hanging="850"/>
        <w:rPr>
          <w:rFonts w:eastAsia="Arial Unicode MS"/>
          <w:noProof/>
        </w:rPr>
      </w:pPr>
      <w:r>
        <w:rPr>
          <w:noProof/>
        </w:rPr>
        <w:t>Описание</w:t>
      </w:r>
    </w:p>
    <w:p>
      <w:pPr>
        <w:pStyle w:val="NumPar3"/>
        <w:ind w:left="0" w:firstLine="0"/>
        <w:rPr>
          <w:noProof/>
        </w:rPr>
      </w:pPr>
      <w:r>
        <w:rPr>
          <w:noProof/>
        </w:rPr>
        <w:t>Том</w:t>
      </w:r>
      <w:r>
        <w:rPr>
          <w:noProof/>
        </w:rPr>
        <w:t xml:space="preserve"> </w:t>
      </w:r>
      <w:r>
        <w:rPr>
          <w:noProof/>
        </w:rPr>
        <w:t>І</w:t>
      </w:r>
      <w:r>
        <w:rPr>
          <w:noProof/>
        </w:rPr>
        <w:t xml:space="preserve">: </w:t>
      </w:r>
      <w:r>
        <w:rPr>
          <w:noProof/>
        </w:rPr>
        <w:t>изменението</w:t>
      </w:r>
      <w:r>
        <w:rPr>
          <w:noProof/>
        </w:rPr>
        <w:t xml:space="preserve">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изискванията</w:t>
      </w:r>
      <w:r>
        <w:rPr>
          <w:noProof/>
        </w:rPr>
        <w:t xml:space="preserve"> </w:t>
      </w:r>
      <w:r>
        <w:rPr>
          <w:noProof/>
        </w:rPr>
        <w:t>за</w:t>
      </w:r>
      <w:r>
        <w:rPr>
          <w:noProof/>
        </w:rPr>
        <w:t xml:space="preserve"> </w:t>
      </w:r>
      <w:r>
        <w:rPr>
          <w:noProof/>
        </w:rPr>
        <w:t>сертифициране</w:t>
      </w:r>
      <w:r>
        <w:rPr>
          <w:noProof/>
        </w:rPr>
        <w:t xml:space="preserve"> </w:t>
      </w:r>
      <w:r>
        <w:rPr>
          <w:noProof/>
        </w:rPr>
        <w:t>по</w:t>
      </w:r>
      <w:r>
        <w:rPr>
          <w:noProof/>
        </w:rPr>
        <w:t xml:space="preserve"> </w:t>
      </w:r>
      <w:r>
        <w:rPr>
          <w:noProof/>
        </w:rPr>
        <w:t>отношение</w:t>
      </w:r>
      <w:r>
        <w:rPr>
          <w:noProof/>
        </w:rPr>
        <w:t xml:space="preserve"> </w:t>
      </w:r>
      <w:r>
        <w:rPr>
          <w:noProof/>
        </w:rPr>
        <w:t>на</w:t>
      </w:r>
      <w:r>
        <w:rPr>
          <w:noProof/>
        </w:rPr>
        <w:t xml:space="preserve"> </w:t>
      </w:r>
      <w:r>
        <w:rPr>
          <w:noProof/>
        </w:rPr>
        <w:t>шума</w:t>
      </w:r>
      <w:r>
        <w:rPr>
          <w:noProof/>
        </w:rPr>
        <w:t xml:space="preserve"> </w:t>
      </w:r>
      <w:r>
        <w:rPr>
          <w:noProof/>
        </w:rPr>
        <w:t>от</w:t>
      </w:r>
      <w:r>
        <w:rPr>
          <w:noProof/>
        </w:rPr>
        <w:t xml:space="preserve"> </w:t>
      </w:r>
      <w:r>
        <w:rPr>
          <w:noProof/>
        </w:rPr>
        <w:t>въздухоплавателните</w:t>
      </w:r>
      <w:r>
        <w:rPr>
          <w:noProof/>
        </w:rPr>
        <w:t xml:space="preserve"> </w:t>
      </w:r>
      <w:r>
        <w:rPr>
          <w:noProof/>
        </w:rPr>
        <w:t>средства</w:t>
      </w:r>
      <w:r>
        <w:rPr>
          <w:noProof/>
        </w:rPr>
        <w:t xml:space="preserve"> </w:t>
      </w:r>
    </w:p>
    <w:p>
      <w:pPr>
        <w:pStyle w:val="NumPar3"/>
        <w:ind w:left="0" w:firstLine="0"/>
        <w:rPr>
          <w:noProof/>
        </w:rPr>
      </w:pPr>
      <w:r>
        <w:rPr>
          <w:noProof/>
        </w:rPr>
        <w:t>Том</w:t>
      </w:r>
      <w:r>
        <w:rPr>
          <w:noProof/>
        </w:rPr>
        <w:t xml:space="preserve"> I</w:t>
      </w:r>
      <w:r>
        <w:rPr>
          <w:noProof/>
        </w:rPr>
        <w:t>І</w:t>
      </w:r>
      <w:r>
        <w:rPr>
          <w:noProof/>
        </w:rPr>
        <w:t xml:space="preserve">: </w:t>
      </w:r>
      <w:r>
        <w:rPr>
          <w:noProof/>
        </w:rPr>
        <w:t>изменението</w:t>
      </w:r>
      <w:r>
        <w:rPr>
          <w:noProof/>
        </w:rPr>
        <w:t xml:space="preserve">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изискванията</w:t>
      </w:r>
      <w:r>
        <w:rPr>
          <w:noProof/>
        </w:rPr>
        <w:t xml:space="preserve"> </w:t>
      </w:r>
      <w:r>
        <w:rPr>
          <w:noProof/>
        </w:rPr>
        <w:t>за</w:t>
      </w:r>
      <w:r>
        <w:rPr>
          <w:noProof/>
        </w:rPr>
        <w:t xml:space="preserve"> </w:t>
      </w:r>
      <w:r>
        <w:rPr>
          <w:noProof/>
        </w:rPr>
        <w:t>сертифициране</w:t>
      </w:r>
      <w:r>
        <w:rPr>
          <w:noProof/>
        </w:rPr>
        <w:t xml:space="preserve"> </w:t>
      </w:r>
      <w:r>
        <w:rPr>
          <w:noProof/>
        </w:rPr>
        <w:t>по</w:t>
      </w:r>
      <w:r>
        <w:rPr>
          <w:noProof/>
        </w:rPr>
        <w:t xml:space="preserve"> </w:t>
      </w:r>
      <w:r>
        <w:rPr>
          <w:noProof/>
        </w:rPr>
        <w:t>отношение</w:t>
      </w:r>
      <w:r>
        <w:rPr>
          <w:noProof/>
        </w:rPr>
        <w:t xml:space="preserve"> </w:t>
      </w:r>
      <w:r>
        <w:rPr>
          <w:noProof/>
        </w:rPr>
        <w:t>на</w:t>
      </w:r>
      <w:r>
        <w:rPr>
          <w:noProof/>
        </w:rPr>
        <w:t xml:space="preserve"> </w:t>
      </w:r>
      <w:r>
        <w:rPr>
          <w:noProof/>
        </w:rPr>
        <w:t>емисиите</w:t>
      </w:r>
      <w:r>
        <w:rPr>
          <w:noProof/>
        </w:rPr>
        <w:t xml:space="preserve"> </w:t>
      </w:r>
      <w:r>
        <w:rPr>
          <w:noProof/>
        </w:rPr>
        <w:t>от</w:t>
      </w:r>
      <w:r>
        <w:rPr>
          <w:noProof/>
        </w:rPr>
        <w:t xml:space="preserve"> </w:t>
      </w:r>
      <w:r>
        <w:rPr>
          <w:noProof/>
        </w:rPr>
        <w:t>двигателите</w:t>
      </w:r>
      <w:r>
        <w:rPr>
          <w:noProof/>
        </w:rPr>
        <w:t xml:space="preserve"> </w:t>
      </w:r>
      <w:r>
        <w:rPr>
          <w:noProof/>
        </w:rPr>
        <w:t>на</w:t>
      </w:r>
      <w:r>
        <w:rPr>
          <w:noProof/>
        </w:rPr>
        <w:t xml:space="preserve"> </w:t>
      </w:r>
      <w:r>
        <w:rPr>
          <w:noProof/>
        </w:rPr>
        <w:t>въздухоплавателните</w:t>
      </w:r>
      <w:r>
        <w:rPr>
          <w:noProof/>
        </w:rPr>
        <w:t xml:space="preserve"> </w:t>
      </w:r>
      <w:r>
        <w:rPr>
          <w:noProof/>
        </w:rPr>
        <w:t>средства</w:t>
      </w:r>
    </w:p>
    <w:p>
      <w:pPr>
        <w:pStyle w:val="NumPar3"/>
        <w:ind w:left="0" w:firstLine="0"/>
        <w:rPr>
          <w:noProof/>
        </w:rPr>
      </w:pPr>
      <w:r>
        <w:rPr>
          <w:noProof/>
        </w:rPr>
        <w:t>Том</w:t>
      </w:r>
      <w:r>
        <w:rPr>
          <w:noProof/>
        </w:rPr>
        <w:t xml:space="preserve"> III: </w:t>
      </w:r>
      <w:r>
        <w:rPr>
          <w:noProof/>
        </w:rPr>
        <w:t>изменението</w:t>
      </w:r>
      <w:r>
        <w:rPr>
          <w:noProof/>
        </w:rPr>
        <w:t xml:space="preserve"> </w:t>
      </w:r>
      <w:r>
        <w:rPr>
          <w:noProof/>
        </w:rPr>
        <w:t>се</w:t>
      </w:r>
      <w:r>
        <w:rPr>
          <w:noProof/>
        </w:rPr>
        <w:t xml:space="preserve"> </w:t>
      </w:r>
      <w:r>
        <w:rPr>
          <w:noProof/>
        </w:rPr>
        <w:t>отнася</w:t>
      </w:r>
      <w:r>
        <w:rPr>
          <w:noProof/>
        </w:rPr>
        <w:t xml:space="preserve"> </w:t>
      </w:r>
      <w:r>
        <w:rPr>
          <w:noProof/>
        </w:rPr>
        <w:t>до</w:t>
      </w:r>
      <w:r>
        <w:rPr>
          <w:noProof/>
        </w:rPr>
        <w:t xml:space="preserve"> </w:t>
      </w:r>
      <w:r>
        <w:rPr>
          <w:noProof/>
        </w:rPr>
        <w:t>изискванията</w:t>
      </w:r>
      <w:r>
        <w:rPr>
          <w:noProof/>
        </w:rPr>
        <w:t xml:space="preserve"> </w:t>
      </w:r>
      <w:r>
        <w:rPr>
          <w:noProof/>
        </w:rPr>
        <w:t>за</w:t>
      </w:r>
      <w:r>
        <w:rPr>
          <w:noProof/>
        </w:rPr>
        <w:t xml:space="preserve"> </w:t>
      </w:r>
      <w:r>
        <w:rPr>
          <w:noProof/>
        </w:rPr>
        <w:t>сертифициране</w:t>
      </w:r>
      <w:r>
        <w:rPr>
          <w:noProof/>
        </w:rPr>
        <w:t xml:space="preserve"> </w:t>
      </w:r>
      <w:r>
        <w:rPr>
          <w:noProof/>
        </w:rPr>
        <w:t>по</w:t>
      </w:r>
      <w:r>
        <w:rPr>
          <w:noProof/>
        </w:rPr>
        <w:t xml:space="preserve"> </w:t>
      </w:r>
      <w:r>
        <w:rPr>
          <w:noProof/>
        </w:rPr>
        <w:t>отношение</w:t>
      </w:r>
      <w:r>
        <w:rPr>
          <w:noProof/>
        </w:rPr>
        <w:t xml:space="preserve"> </w:t>
      </w:r>
      <w:r>
        <w:rPr>
          <w:noProof/>
        </w:rPr>
        <w:t>на</w:t>
      </w:r>
      <w:r>
        <w:rPr>
          <w:noProof/>
        </w:rPr>
        <w:t xml:space="preserve"> </w:t>
      </w:r>
      <w:r>
        <w:rPr>
          <w:noProof/>
        </w:rPr>
        <w:t>емисиите</w:t>
      </w:r>
      <w:r>
        <w:rPr>
          <w:noProof/>
        </w:rPr>
        <w:t xml:space="preserve"> </w:t>
      </w:r>
      <w:r>
        <w:rPr>
          <w:noProof/>
        </w:rPr>
        <w:t>на</w:t>
      </w:r>
      <w:r>
        <w:rPr>
          <w:noProof/>
        </w:rPr>
        <w:t xml:space="preserve"> CO</w:t>
      </w:r>
      <w:r>
        <w:rPr>
          <w:noProof/>
          <w:vertAlign w:val="subscript"/>
        </w:rPr>
        <w:t>2</w:t>
      </w:r>
      <w:r>
        <w:rPr>
          <w:noProof/>
        </w:rPr>
        <w:t xml:space="preserve"> </w:t>
      </w:r>
      <w:r>
        <w:rPr>
          <w:noProof/>
        </w:rPr>
        <w:t>на</w:t>
      </w:r>
      <w:r>
        <w:rPr>
          <w:noProof/>
        </w:rPr>
        <w:t xml:space="preserve"> </w:t>
      </w:r>
      <w:r>
        <w:rPr>
          <w:noProof/>
        </w:rPr>
        <w:t>въздухоплавателните</w:t>
      </w:r>
      <w:r>
        <w:rPr>
          <w:noProof/>
        </w:rPr>
        <w:t xml:space="preserve"> </w:t>
      </w:r>
      <w:r>
        <w:rPr>
          <w:noProof/>
        </w:rPr>
        <w:t>средства</w:t>
      </w:r>
    </w:p>
    <w:p>
      <w:pPr>
        <w:pStyle w:val="Heading3"/>
        <w:numPr>
          <w:ilvl w:val="2"/>
          <w:numId w:val="32"/>
        </w:numPr>
        <w:ind w:left="850" w:hanging="850"/>
        <w:rPr>
          <w:rFonts w:eastAsia="Arial Unicode MS"/>
          <w:noProof/>
        </w:rPr>
      </w:pPr>
      <w:r>
        <w:rPr>
          <w:noProof/>
        </w:rPr>
        <w:t>Приложимо</w:t>
      </w:r>
      <w:r>
        <w:rPr>
          <w:noProof/>
        </w:rPr>
        <w:t xml:space="preserve"> </w:t>
      </w:r>
      <w:r>
        <w:rPr>
          <w:noProof/>
        </w:rPr>
        <w:t>законодателство</w:t>
      </w:r>
      <w:r>
        <w:rPr>
          <w:noProof/>
        </w:rPr>
        <w:t xml:space="preserve"> </w:t>
      </w:r>
      <w:r>
        <w:rPr>
          <w:noProof/>
        </w:rPr>
        <w:t>на</w:t>
      </w:r>
      <w:r>
        <w:rPr>
          <w:noProof/>
        </w:rPr>
        <w:t xml:space="preserve"> </w:t>
      </w:r>
      <w:r>
        <w:rPr>
          <w:noProof/>
        </w:rPr>
        <w:t>Съюза</w:t>
      </w:r>
    </w:p>
    <w:p>
      <w:pPr>
        <w:pStyle w:val="Text1"/>
        <w:ind w:left="0"/>
        <w:rPr>
          <w:noProof/>
        </w:rPr>
      </w:pPr>
      <w:r>
        <w:rPr>
          <w:noProof/>
        </w:rPr>
        <w:t>Регламент</w:t>
      </w:r>
      <w:r>
        <w:rPr>
          <w:noProof/>
        </w:rPr>
        <w:t xml:space="preserve"> (</w:t>
      </w:r>
      <w:r>
        <w:rPr>
          <w:noProof/>
        </w:rPr>
        <w:t>ЕС</w:t>
      </w:r>
      <w:r>
        <w:rPr>
          <w:noProof/>
        </w:rPr>
        <w:t>) 2018/1139</w:t>
      </w:r>
      <w:r>
        <w:rPr>
          <w:noProof/>
          <w:vertAlign w:val="superscript"/>
        </w:rPr>
        <w:footnoteReference w:id="15"/>
      </w:r>
    </w:p>
    <w:p>
      <w:pPr>
        <w:pStyle w:val="Heading3"/>
        <w:widowControl w:val="0"/>
        <w:numPr>
          <w:ilvl w:val="2"/>
          <w:numId w:val="32"/>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13 </w:t>
      </w:r>
      <w:r>
        <w:rPr>
          <w:noProof/>
        </w:rPr>
        <w:t>на</w:t>
      </w:r>
      <w:r>
        <w:rPr>
          <w:noProof/>
        </w:rPr>
        <w:t xml:space="preserve"> </w:t>
      </w:r>
      <w:r>
        <w:rPr>
          <w:noProof/>
        </w:rPr>
        <w:t>приложение</w:t>
      </w:r>
      <w:r>
        <w:rPr>
          <w:noProof/>
        </w:rPr>
        <w:t xml:space="preserve"> 16, </w:t>
      </w:r>
      <w:r>
        <w:rPr>
          <w:noProof/>
        </w:rPr>
        <w:t>том</w:t>
      </w:r>
      <w:r>
        <w:rPr>
          <w:noProof/>
        </w:rPr>
        <w:t xml:space="preserve"> 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Забележки</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16, том I, изменение 13</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Регламент (ЕС) 2018/1139 се позовава на приложение 16, том I, изменение 12 на ИКАО.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CommentText"/>
              <w:jc w:val="both"/>
              <w:rPr>
                <w:noProof/>
              </w:rPr>
            </w:pPr>
            <w:r>
              <w:rPr>
                <w:noProof/>
                <w:sz w:val="22"/>
                <w:szCs w:val="22"/>
              </w:rPr>
              <w:t>До 31 март 2022 г. ще е налице различие между националните разпоредби и/или практики [на държавите членки] и разпоредбите на приложение 16, том I, включително всички изменения до изменение 13 включително</w:t>
            </w:r>
          </w:p>
        </w:tc>
      </w:tr>
    </w:tbl>
    <w:p>
      <w:pPr>
        <w:pStyle w:val="Heading3"/>
        <w:widowControl w:val="0"/>
        <w:numPr>
          <w:ilvl w:val="2"/>
          <w:numId w:val="34"/>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10 </w:t>
      </w:r>
      <w:r>
        <w:rPr>
          <w:noProof/>
        </w:rPr>
        <w:t>на</w:t>
      </w:r>
      <w:r>
        <w:rPr>
          <w:noProof/>
        </w:rPr>
        <w:t xml:space="preserve"> </w:t>
      </w:r>
      <w:r>
        <w:rPr>
          <w:noProof/>
        </w:rPr>
        <w:t>приложение</w:t>
      </w:r>
      <w:r>
        <w:rPr>
          <w:noProof/>
        </w:rPr>
        <w:t xml:space="preserve"> 16, </w:t>
      </w:r>
      <w:r>
        <w:rPr>
          <w:noProof/>
        </w:rPr>
        <w:t>том</w:t>
      </w:r>
      <w:r>
        <w:rPr>
          <w:noProof/>
        </w:rPr>
        <w:t xml:space="preserve"> 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Забележки</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16, том II, приложение 10 за стандартите, които стават приложими през януари 2021 г.</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Регламент (ЕС) 2018/1139 се позовава на приложение 16, том II, приложение 9 на ИКАО.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CommentText"/>
              <w:jc w:val="both"/>
              <w:rPr>
                <w:noProof/>
              </w:rPr>
            </w:pPr>
            <w:r>
              <w:rPr>
                <w:noProof/>
                <w:sz w:val="22"/>
                <w:szCs w:val="22"/>
              </w:rPr>
              <w:t>До 31 март 2022 г. ще е налице разлика между националните разпоредби и/или практики [на държавите членки] и разпоредбите на приложение 16, том II, включително всички изменения до изменение 10 включително</w:t>
            </w:r>
          </w:p>
        </w:tc>
      </w:tr>
    </w:tbl>
    <w:p>
      <w:pPr>
        <w:pStyle w:val="Heading3"/>
        <w:widowControl w:val="0"/>
        <w:numPr>
          <w:ilvl w:val="2"/>
          <w:numId w:val="36"/>
        </w:numPr>
        <w:ind w:left="850" w:hanging="850"/>
        <w:rPr>
          <w:rFonts w:eastAsia="Arial Unicode MS"/>
          <w:noProof/>
        </w:rPr>
      </w:pPr>
      <w:r>
        <w:rPr>
          <w:noProof/>
        </w:rPr>
        <w:t>Таблица</w:t>
      </w:r>
      <w:r>
        <w:rPr>
          <w:noProof/>
        </w:rPr>
        <w:t xml:space="preserve"> </w:t>
      </w:r>
      <w:r>
        <w:rPr>
          <w:noProof/>
        </w:rPr>
        <w:t>с</w:t>
      </w:r>
      <w:r>
        <w:rPr>
          <w:noProof/>
        </w:rPr>
        <w:t xml:space="preserve"> </w:t>
      </w:r>
      <w:r>
        <w:rPr>
          <w:noProof/>
        </w:rPr>
        <w:t>различията</w:t>
      </w:r>
      <w:r>
        <w:rPr>
          <w:noProof/>
        </w:rPr>
        <w:t xml:space="preserve">, </w:t>
      </w:r>
      <w:r>
        <w:rPr>
          <w:noProof/>
        </w:rPr>
        <w:t>за</w:t>
      </w:r>
      <w:r>
        <w:rPr>
          <w:noProof/>
        </w:rPr>
        <w:t xml:space="preserve"> </w:t>
      </w:r>
      <w:r>
        <w:rPr>
          <w:noProof/>
        </w:rPr>
        <w:t>които</w:t>
      </w:r>
      <w:r>
        <w:rPr>
          <w:noProof/>
        </w:rPr>
        <w:t xml:space="preserve"> </w:t>
      </w:r>
      <w:r>
        <w:rPr>
          <w:noProof/>
        </w:rPr>
        <w:t>ще</w:t>
      </w:r>
      <w:r>
        <w:rPr>
          <w:noProof/>
        </w:rPr>
        <w:t xml:space="preserve"> </w:t>
      </w:r>
      <w:r>
        <w:rPr>
          <w:noProof/>
        </w:rPr>
        <w:t>бъде</w:t>
      </w:r>
      <w:r>
        <w:rPr>
          <w:noProof/>
        </w:rPr>
        <w:t xml:space="preserve"> </w:t>
      </w:r>
      <w:r>
        <w:rPr>
          <w:noProof/>
        </w:rPr>
        <w:t>отправено</w:t>
      </w:r>
      <w:r>
        <w:rPr>
          <w:noProof/>
        </w:rPr>
        <w:t xml:space="preserve"> </w:t>
      </w:r>
      <w:r>
        <w:rPr>
          <w:noProof/>
        </w:rPr>
        <w:t>уведомление</w:t>
      </w:r>
      <w:r>
        <w:rPr>
          <w:noProof/>
        </w:rPr>
        <w:t xml:space="preserve"> </w:t>
      </w:r>
      <w:r>
        <w:rPr>
          <w:noProof/>
        </w:rPr>
        <w:t>във</w:t>
      </w:r>
      <w:r>
        <w:rPr>
          <w:noProof/>
        </w:rPr>
        <w:t xml:space="preserve"> </w:t>
      </w:r>
      <w:r>
        <w:rPr>
          <w:noProof/>
        </w:rPr>
        <w:t>връзка</w:t>
      </w:r>
      <w:r>
        <w:rPr>
          <w:noProof/>
        </w:rPr>
        <w:t xml:space="preserve"> </w:t>
      </w:r>
      <w:r>
        <w:rPr>
          <w:noProof/>
        </w:rPr>
        <w:t>с</w:t>
      </w:r>
      <w:r>
        <w:rPr>
          <w:noProof/>
        </w:rPr>
        <w:t xml:space="preserve"> </w:t>
      </w:r>
      <w:r>
        <w:rPr>
          <w:noProof/>
        </w:rPr>
        <w:t>изменение</w:t>
      </w:r>
      <w:r>
        <w:rPr>
          <w:noProof/>
        </w:rPr>
        <w:t xml:space="preserve"> 1 </w:t>
      </w:r>
      <w:r>
        <w:rPr>
          <w:noProof/>
        </w:rPr>
        <w:t>на</w:t>
      </w:r>
      <w:r>
        <w:rPr>
          <w:noProof/>
        </w:rPr>
        <w:t xml:space="preserve"> </w:t>
      </w:r>
      <w:r>
        <w:rPr>
          <w:noProof/>
        </w:rPr>
        <w:t>приложение</w:t>
      </w:r>
      <w:r>
        <w:rPr>
          <w:noProof/>
        </w:rPr>
        <w:t xml:space="preserve"> 16, </w:t>
      </w:r>
      <w:r>
        <w:rPr>
          <w:noProof/>
        </w:rPr>
        <w:t>том</w:t>
      </w:r>
      <w:r>
        <w:rPr>
          <w:noProof/>
        </w:rPr>
        <w:t xml:space="preserve"> III</w:t>
      </w:r>
    </w:p>
    <w:tbl>
      <w:tblPr>
        <w:tblW w:w="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8"/>
        <w:gridCol w:w="2010"/>
        <w:gridCol w:w="2805"/>
        <w:gridCol w:w="3001"/>
      </w:tblGrid>
      <w:tr>
        <w:trPr>
          <w:trHeight w:val="49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Разпоредба от приложението</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Категория на различието</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Подробности за различието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rPr>
                <w:noProof/>
              </w:rPr>
            </w:pPr>
            <w:r>
              <w:rPr>
                <w:b/>
                <w:bCs/>
                <w:noProof/>
              </w:rPr>
              <w:t>Забележки</w:t>
            </w:r>
          </w:p>
        </w:tc>
      </w:tr>
      <w:tr>
        <w:trPr>
          <w:trHeight w:val="2410"/>
        </w:trPr>
        <w:tc>
          <w:tcPr>
            <w:tcW w:w="20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Приложение 16, том III, изменение 1</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line="240" w:lineRule="auto"/>
              <w:jc w:val="both"/>
              <w:rPr>
                <w:noProof/>
              </w:rPr>
            </w:pPr>
            <w:r>
              <w:rPr>
                <w:noProof/>
              </w:rPr>
              <w:t>C</w:t>
            </w:r>
          </w:p>
        </w:tc>
        <w:tc>
          <w:tcPr>
            <w:tcW w:w="28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Body"/>
              <w:spacing w:after="0" w:line="240" w:lineRule="auto"/>
              <w:jc w:val="both"/>
              <w:rPr>
                <w:noProof/>
              </w:rPr>
            </w:pPr>
            <w:r>
              <w:rPr>
                <w:noProof/>
              </w:rPr>
              <w:t>Регламент (ЕС) 2018/1139 се позовава на приложение 16, том III на ИКАО.</w:t>
            </w:r>
          </w:p>
        </w:tc>
        <w:tc>
          <w:tcPr>
            <w:tcW w:w="30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pPr>
              <w:pStyle w:val="CommentText"/>
              <w:jc w:val="both"/>
              <w:rPr>
                <w:noProof/>
              </w:rPr>
            </w:pPr>
            <w:r>
              <w:rPr>
                <w:noProof/>
                <w:sz w:val="22"/>
                <w:szCs w:val="22"/>
              </w:rPr>
              <w:t>До 31 март 2022 г. ще е налице разлика между националните разпоредби и/или практики [на държавите членки] и разпоредбите на приложение 16, том III, включително всички изменения до изменение 1 включително</w:t>
            </w:r>
          </w:p>
        </w:tc>
      </w:tr>
    </w:tbl>
    <w:p>
      <w:pPr>
        <w:pStyle w:val="Heading3"/>
        <w:widowControl w:val="0"/>
        <w:ind w:firstLine="0"/>
        <w:rPr>
          <w:rFonts w:eastAsia="Arial Unicode MS"/>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0096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vertAlign w:val="superscript"/>
        </w:rPr>
        <w:footnoteRef/>
      </w:r>
      <w:r>
        <w:t xml:space="preserve"> ОВ L 311, 25.11.2011 г., стр. 1.</w:t>
      </w:r>
    </w:p>
  </w:footnote>
  <w:footnote w:id="2">
    <w:p>
      <w:pPr>
        <w:pStyle w:val="FootnoteText"/>
      </w:pPr>
      <w:r>
        <w:rPr>
          <w:vertAlign w:val="superscript"/>
        </w:rPr>
        <w:footnoteRef/>
      </w:r>
      <w:r>
        <w:t xml:space="preserve"> ОВ L 63, 6.3.2015 г., стр. 1.</w:t>
      </w:r>
    </w:p>
  </w:footnote>
  <w:footnote w:id="3">
    <w:p>
      <w:pPr>
        <w:pStyle w:val="Body"/>
        <w:spacing w:before="100" w:after="100" w:line="240" w:lineRule="auto"/>
        <w:jc w:val="both"/>
        <w:rPr>
          <w:rFonts w:ascii="Times New Roman" w:eastAsia="Times New Roman" w:hAnsi="Times New Roman" w:cs="Times New Roman"/>
          <w:sz w:val="20"/>
          <w:szCs w:val="20"/>
        </w:rPr>
      </w:pPr>
      <w:r>
        <w:rPr>
          <w:vertAlign w:val="superscript"/>
        </w:rPr>
        <w:footnoteRef/>
      </w:r>
      <w:r>
        <w:rPr>
          <w:rFonts w:ascii="Times New Roman"/>
          <w:sz w:val="20"/>
          <w:szCs w:val="20"/>
        </w:rPr>
        <w:t xml:space="preserve"> AIRMET </w:t>
      </w:r>
      <w:r>
        <w:rPr>
          <w:rFonts w:ascii="Times New Roman"/>
          <w:sz w:val="20"/>
          <w:szCs w:val="20"/>
        </w:rPr>
        <w:t>и</w:t>
      </w:r>
      <w:r>
        <w:rPr>
          <w:rFonts w:ascii="Times New Roman"/>
          <w:sz w:val="20"/>
          <w:szCs w:val="20"/>
        </w:rPr>
        <w:t xml:space="preserve"> SIGMET </w:t>
      </w:r>
      <w:r>
        <w:rPr>
          <w:rFonts w:ascii="Times New Roman"/>
          <w:sz w:val="20"/>
          <w:szCs w:val="20"/>
        </w:rPr>
        <w:t>са</w:t>
      </w:r>
      <w:r>
        <w:rPr>
          <w:rFonts w:ascii="Times New Roman"/>
          <w:sz w:val="20"/>
          <w:szCs w:val="20"/>
        </w:rPr>
        <w:t xml:space="preserve"> </w:t>
      </w:r>
      <w:r>
        <w:rPr>
          <w:rFonts w:ascii="Times New Roman"/>
          <w:sz w:val="20"/>
          <w:szCs w:val="20"/>
        </w:rPr>
        <w:t>посочени</w:t>
      </w:r>
      <w:r>
        <w:rPr>
          <w:rFonts w:ascii="Times New Roman"/>
          <w:sz w:val="20"/>
          <w:szCs w:val="20"/>
        </w:rPr>
        <w:t xml:space="preserve"> </w:t>
      </w:r>
      <w:r>
        <w:rPr>
          <w:rFonts w:ascii="Times New Roman"/>
          <w:sz w:val="20"/>
          <w:szCs w:val="20"/>
        </w:rPr>
        <w:t>в</w:t>
      </w:r>
      <w:r>
        <w:rPr>
          <w:rFonts w:ascii="Times New Roman"/>
          <w:sz w:val="20"/>
          <w:szCs w:val="20"/>
        </w:rPr>
        <w:t xml:space="preserve"> </w:t>
      </w:r>
      <w:r>
        <w:rPr>
          <w:rFonts w:ascii="Times New Roman"/>
          <w:sz w:val="20"/>
          <w:szCs w:val="20"/>
        </w:rPr>
        <w:t>Регламент</w:t>
      </w:r>
      <w:r>
        <w:rPr>
          <w:rFonts w:ascii="Times New Roman"/>
          <w:sz w:val="20"/>
          <w:szCs w:val="20"/>
        </w:rPr>
        <w:t xml:space="preserve"> (</w:t>
      </w:r>
      <w:r>
        <w:rPr>
          <w:rFonts w:ascii="Times New Roman"/>
          <w:sz w:val="20"/>
          <w:szCs w:val="20"/>
        </w:rPr>
        <w:t>ЕС</w:t>
      </w:r>
      <w:r>
        <w:rPr>
          <w:rFonts w:ascii="Times New Roman"/>
          <w:sz w:val="20"/>
          <w:szCs w:val="20"/>
        </w:rPr>
        <w:t xml:space="preserve">) 2017/373. </w:t>
      </w:r>
      <w:r>
        <w:rPr>
          <w:rFonts w:ascii="Times New Roman"/>
          <w:sz w:val="20"/>
          <w:szCs w:val="20"/>
        </w:rPr>
        <w:t>Те</w:t>
      </w:r>
      <w:r>
        <w:rPr>
          <w:rFonts w:ascii="Times New Roman"/>
          <w:sz w:val="20"/>
          <w:szCs w:val="20"/>
        </w:rPr>
        <w:t xml:space="preserve"> </w:t>
      </w:r>
      <w:r>
        <w:rPr>
          <w:rFonts w:ascii="Times New Roman"/>
          <w:sz w:val="20"/>
          <w:szCs w:val="20"/>
        </w:rPr>
        <w:t>предоставят</w:t>
      </w:r>
      <w:r>
        <w:rPr>
          <w:rFonts w:ascii="Times New Roman"/>
          <w:sz w:val="20"/>
          <w:szCs w:val="20"/>
        </w:rPr>
        <w:t xml:space="preserve"> </w:t>
      </w:r>
      <w:r>
        <w:rPr>
          <w:rFonts w:ascii="Times New Roman"/>
          <w:sz w:val="20"/>
          <w:szCs w:val="20"/>
        </w:rPr>
        <w:t>информация</w:t>
      </w:r>
      <w:r>
        <w:rPr>
          <w:rFonts w:ascii="Times New Roman"/>
          <w:sz w:val="20"/>
          <w:szCs w:val="20"/>
        </w:rPr>
        <w:t xml:space="preserve"> </w:t>
      </w:r>
      <w:r>
        <w:rPr>
          <w:rFonts w:ascii="Times New Roman"/>
          <w:sz w:val="20"/>
          <w:szCs w:val="20"/>
        </w:rPr>
        <w:t>на</w:t>
      </w:r>
      <w:r>
        <w:rPr>
          <w:rFonts w:ascii="Times New Roman"/>
          <w:sz w:val="20"/>
          <w:szCs w:val="20"/>
        </w:rPr>
        <w:t xml:space="preserve"> </w:t>
      </w:r>
      <w:r>
        <w:rPr>
          <w:rFonts w:ascii="Times New Roman"/>
          <w:sz w:val="20"/>
          <w:szCs w:val="20"/>
        </w:rPr>
        <w:t>ползвателите</w:t>
      </w:r>
      <w:r>
        <w:rPr>
          <w:rFonts w:ascii="Times New Roman"/>
          <w:sz w:val="20"/>
          <w:szCs w:val="20"/>
        </w:rPr>
        <w:t xml:space="preserve"> </w:t>
      </w:r>
      <w:r>
        <w:rPr>
          <w:rFonts w:ascii="Times New Roman"/>
          <w:sz w:val="20"/>
          <w:szCs w:val="20"/>
        </w:rPr>
        <w:t>на</w:t>
      </w:r>
      <w:r>
        <w:rPr>
          <w:rFonts w:ascii="Times New Roman"/>
          <w:sz w:val="20"/>
          <w:szCs w:val="20"/>
        </w:rPr>
        <w:t xml:space="preserve"> </w:t>
      </w:r>
      <w:r>
        <w:rPr>
          <w:rFonts w:ascii="Times New Roman"/>
          <w:sz w:val="20"/>
          <w:szCs w:val="20"/>
        </w:rPr>
        <w:t>въздушното</w:t>
      </w:r>
      <w:r>
        <w:rPr>
          <w:rFonts w:ascii="Times New Roman"/>
          <w:sz w:val="20"/>
          <w:szCs w:val="20"/>
        </w:rPr>
        <w:t xml:space="preserve"> </w:t>
      </w:r>
      <w:r>
        <w:rPr>
          <w:rFonts w:ascii="Times New Roman"/>
          <w:sz w:val="20"/>
          <w:szCs w:val="20"/>
        </w:rPr>
        <w:t>пространство</w:t>
      </w:r>
      <w:r>
        <w:rPr>
          <w:rFonts w:ascii="Times New Roman"/>
          <w:sz w:val="20"/>
          <w:szCs w:val="20"/>
        </w:rPr>
        <w:t xml:space="preserve"> </w:t>
      </w:r>
      <w:r>
        <w:rPr>
          <w:rFonts w:ascii="Times New Roman"/>
          <w:sz w:val="20"/>
          <w:szCs w:val="20"/>
        </w:rPr>
        <w:t>по</w:t>
      </w:r>
      <w:r>
        <w:rPr>
          <w:rFonts w:ascii="Times New Roman"/>
          <w:sz w:val="20"/>
          <w:szCs w:val="20"/>
        </w:rPr>
        <w:t xml:space="preserve"> </w:t>
      </w:r>
      <w:r>
        <w:rPr>
          <w:rFonts w:ascii="Times New Roman"/>
          <w:sz w:val="20"/>
          <w:szCs w:val="20"/>
        </w:rPr>
        <w:t>отношение</w:t>
      </w:r>
      <w:r>
        <w:rPr>
          <w:rFonts w:ascii="Times New Roman"/>
          <w:sz w:val="20"/>
          <w:szCs w:val="20"/>
        </w:rPr>
        <w:t xml:space="preserve"> </w:t>
      </w:r>
      <w:r>
        <w:rPr>
          <w:rFonts w:ascii="Times New Roman"/>
          <w:sz w:val="20"/>
          <w:szCs w:val="20"/>
        </w:rPr>
        <w:t>на</w:t>
      </w:r>
      <w:r>
        <w:rPr>
          <w:rFonts w:ascii="Times New Roman"/>
          <w:sz w:val="20"/>
          <w:szCs w:val="20"/>
        </w:rPr>
        <w:t xml:space="preserve"> </w:t>
      </w:r>
      <w:r>
        <w:rPr>
          <w:rFonts w:ascii="Times New Roman"/>
          <w:sz w:val="20"/>
          <w:szCs w:val="20"/>
        </w:rPr>
        <w:t>определени</w:t>
      </w:r>
      <w:r>
        <w:rPr>
          <w:rFonts w:ascii="Times New Roman"/>
          <w:sz w:val="20"/>
          <w:szCs w:val="20"/>
        </w:rPr>
        <w:t xml:space="preserve"> </w:t>
      </w:r>
      <w:r>
        <w:rPr>
          <w:rFonts w:ascii="Times New Roman"/>
          <w:sz w:val="20"/>
          <w:szCs w:val="20"/>
        </w:rPr>
        <w:t>метеорологични</w:t>
      </w:r>
      <w:r>
        <w:rPr>
          <w:rFonts w:ascii="Times New Roman"/>
          <w:sz w:val="20"/>
          <w:szCs w:val="20"/>
        </w:rPr>
        <w:t xml:space="preserve"> </w:t>
      </w:r>
      <w:r>
        <w:rPr>
          <w:rFonts w:ascii="Times New Roman"/>
          <w:sz w:val="20"/>
          <w:szCs w:val="20"/>
        </w:rPr>
        <w:t>условия</w:t>
      </w:r>
      <w:r>
        <w:rPr>
          <w:rFonts w:ascii="Times New Roman"/>
          <w:sz w:val="20"/>
          <w:szCs w:val="20"/>
        </w:rPr>
        <w:t xml:space="preserve">.  </w:t>
      </w:r>
    </w:p>
    <w:p>
      <w:pPr>
        <w:pStyle w:val="Body"/>
        <w:spacing w:before="100" w:after="100" w:line="240" w:lineRule="auto"/>
        <w:jc w:val="both"/>
      </w:pPr>
      <w:r>
        <w:rPr>
          <w:rFonts w:ascii="Times New Roman"/>
          <w:sz w:val="20"/>
          <w:szCs w:val="20"/>
        </w:rPr>
        <w:t>В</w:t>
      </w:r>
      <w:r>
        <w:rPr>
          <w:rFonts w:ascii="Times New Roman"/>
          <w:sz w:val="20"/>
          <w:szCs w:val="20"/>
        </w:rPr>
        <w:t xml:space="preserve"> </w:t>
      </w:r>
      <w:r>
        <w:rPr>
          <w:rFonts w:ascii="Times New Roman"/>
          <w:sz w:val="20"/>
          <w:szCs w:val="20"/>
        </w:rPr>
        <w:t>правилата</w:t>
      </w:r>
      <w:r>
        <w:rPr>
          <w:rFonts w:ascii="Times New Roman"/>
          <w:sz w:val="20"/>
          <w:szCs w:val="20"/>
        </w:rPr>
        <w:t xml:space="preserve"> </w:t>
      </w:r>
      <w:r>
        <w:rPr>
          <w:rFonts w:ascii="Times New Roman"/>
          <w:sz w:val="20"/>
          <w:szCs w:val="20"/>
        </w:rPr>
        <w:t>на</w:t>
      </w:r>
      <w:r>
        <w:rPr>
          <w:rFonts w:ascii="Times New Roman"/>
          <w:sz w:val="20"/>
          <w:szCs w:val="20"/>
        </w:rPr>
        <w:t xml:space="preserve"> </w:t>
      </w:r>
      <w:r>
        <w:rPr>
          <w:rFonts w:ascii="Times New Roman"/>
          <w:sz w:val="20"/>
          <w:szCs w:val="20"/>
        </w:rPr>
        <w:t>ИКАО</w:t>
      </w:r>
      <w:r>
        <w:rPr>
          <w:rFonts w:ascii="Times New Roman"/>
          <w:sz w:val="20"/>
          <w:szCs w:val="20"/>
        </w:rPr>
        <w:t xml:space="preserve"> </w:t>
      </w:r>
      <w:r>
        <w:rPr>
          <w:rFonts w:ascii="Times New Roman"/>
          <w:sz w:val="20"/>
          <w:szCs w:val="20"/>
        </w:rPr>
        <w:t>има</w:t>
      </w:r>
      <w:r>
        <w:rPr>
          <w:rFonts w:ascii="Times New Roman"/>
          <w:sz w:val="20"/>
          <w:szCs w:val="20"/>
        </w:rPr>
        <w:t xml:space="preserve"> </w:t>
      </w:r>
      <w:r>
        <w:rPr>
          <w:rFonts w:ascii="Times New Roman"/>
          <w:sz w:val="20"/>
          <w:szCs w:val="20"/>
        </w:rPr>
        <w:t>определение</w:t>
      </w:r>
      <w:r>
        <w:rPr>
          <w:rFonts w:ascii="Times New Roman"/>
          <w:sz w:val="20"/>
          <w:szCs w:val="20"/>
        </w:rPr>
        <w:t xml:space="preserve"> </w:t>
      </w:r>
      <w:r>
        <w:rPr>
          <w:rFonts w:ascii="Times New Roman"/>
          <w:sz w:val="20"/>
          <w:szCs w:val="20"/>
        </w:rPr>
        <w:t>за</w:t>
      </w:r>
      <w:r>
        <w:rPr>
          <w:rFonts w:ascii="Times New Roman"/>
          <w:sz w:val="20"/>
          <w:szCs w:val="20"/>
        </w:rPr>
        <w:t xml:space="preserve"> GAMET. </w:t>
      </w:r>
      <w:r>
        <w:rPr>
          <w:rFonts w:ascii="Times New Roman"/>
          <w:sz w:val="20"/>
          <w:szCs w:val="20"/>
        </w:rPr>
        <w:t>То</w:t>
      </w:r>
      <w:r>
        <w:rPr>
          <w:rFonts w:ascii="Times New Roman"/>
          <w:sz w:val="20"/>
          <w:szCs w:val="20"/>
        </w:rPr>
        <w:t xml:space="preserve"> </w:t>
      </w:r>
      <w:r>
        <w:rPr>
          <w:rFonts w:ascii="Times New Roman"/>
          <w:sz w:val="20"/>
          <w:szCs w:val="20"/>
        </w:rPr>
        <w:t>представлява</w:t>
      </w:r>
      <w:r>
        <w:rPr>
          <w:rFonts w:ascii="Times New Roman"/>
          <w:sz w:val="20"/>
          <w:szCs w:val="20"/>
        </w:rPr>
        <w:t xml:space="preserve"> </w:t>
      </w:r>
      <w:r>
        <w:rPr>
          <w:rFonts w:ascii="Times New Roman"/>
          <w:sz w:val="20"/>
          <w:szCs w:val="20"/>
        </w:rPr>
        <w:t>зонална</w:t>
      </w:r>
      <w:r>
        <w:rPr>
          <w:rFonts w:ascii="Times New Roman"/>
          <w:sz w:val="20"/>
          <w:szCs w:val="20"/>
        </w:rPr>
        <w:t xml:space="preserve"> </w:t>
      </w:r>
      <w:r>
        <w:rPr>
          <w:rFonts w:ascii="Times New Roman"/>
          <w:sz w:val="20"/>
          <w:szCs w:val="20"/>
        </w:rPr>
        <w:t>прогноза</w:t>
      </w:r>
      <w:r>
        <w:rPr>
          <w:rFonts w:ascii="Times New Roman"/>
          <w:sz w:val="20"/>
          <w:szCs w:val="20"/>
        </w:rPr>
        <w:t xml:space="preserve"> </w:t>
      </w:r>
      <w:r>
        <w:rPr>
          <w:rFonts w:ascii="Times New Roman"/>
          <w:sz w:val="20"/>
          <w:szCs w:val="20"/>
        </w:rPr>
        <w:t>на</w:t>
      </w:r>
      <w:r>
        <w:rPr>
          <w:rFonts w:ascii="Times New Roman"/>
          <w:sz w:val="20"/>
          <w:szCs w:val="20"/>
        </w:rPr>
        <w:t xml:space="preserve"> </w:t>
      </w:r>
      <w:r>
        <w:rPr>
          <w:rFonts w:ascii="Times New Roman"/>
          <w:sz w:val="20"/>
          <w:szCs w:val="20"/>
        </w:rPr>
        <w:t>разбираем</w:t>
      </w:r>
      <w:r>
        <w:rPr>
          <w:rFonts w:ascii="Times New Roman"/>
          <w:sz w:val="20"/>
          <w:szCs w:val="20"/>
        </w:rPr>
        <w:t xml:space="preserve"> </w:t>
      </w:r>
      <w:r>
        <w:rPr>
          <w:rFonts w:ascii="Times New Roman"/>
          <w:sz w:val="20"/>
          <w:szCs w:val="20"/>
        </w:rPr>
        <w:t>език</w:t>
      </w:r>
      <w:r>
        <w:rPr>
          <w:rFonts w:ascii="Times New Roman"/>
          <w:sz w:val="20"/>
          <w:szCs w:val="20"/>
        </w:rPr>
        <w:t xml:space="preserve"> </w:t>
      </w:r>
      <w:r>
        <w:rPr>
          <w:rFonts w:ascii="Times New Roman"/>
          <w:sz w:val="20"/>
          <w:szCs w:val="20"/>
        </w:rPr>
        <w:t>в</w:t>
      </w:r>
      <w:r>
        <w:rPr>
          <w:rFonts w:ascii="Times New Roman"/>
          <w:sz w:val="20"/>
          <w:szCs w:val="20"/>
        </w:rPr>
        <w:t xml:space="preserve"> </w:t>
      </w:r>
      <w:r>
        <w:rPr>
          <w:rFonts w:ascii="Times New Roman"/>
          <w:sz w:val="20"/>
          <w:szCs w:val="20"/>
        </w:rPr>
        <w:t>съкратена</w:t>
      </w:r>
      <w:r>
        <w:rPr>
          <w:rFonts w:ascii="Times New Roman"/>
          <w:sz w:val="20"/>
          <w:szCs w:val="20"/>
        </w:rPr>
        <w:t xml:space="preserve"> </w:t>
      </w:r>
      <w:r>
        <w:rPr>
          <w:rFonts w:ascii="Times New Roman"/>
          <w:sz w:val="20"/>
          <w:szCs w:val="20"/>
        </w:rPr>
        <w:t>форма</w:t>
      </w:r>
      <w:r>
        <w:rPr>
          <w:rFonts w:ascii="Times New Roman"/>
          <w:sz w:val="20"/>
          <w:szCs w:val="20"/>
        </w:rPr>
        <w:t xml:space="preserve"> </w:t>
      </w:r>
      <w:r>
        <w:rPr>
          <w:rFonts w:ascii="Times New Roman"/>
          <w:sz w:val="20"/>
          <w:szCs w:val="20"/>
        </w:rPr>
        <w:t>за</w:t>
      </w:r>
      <w:r>
        <w:rPr>
          <w:rFonts w:ascii="Times New Roman"/>
          <w:sz w:val="20"/>
          <w:szCs w:val="20"/>
        </w:rPr>
        <w:t xml:space="preserve"> </w:t>
      </w:r>
      <w:r>
        <w:rPr>
          <w:rFonts w:ascii="Times New Roman"/>
          <w:sz w:val="20"/>
          <w:szCs w:val="20"/>
        </w:rPr>
        <w:t>полети</w:t>
      </w:r>
      <w:r>
        <w:rPr>
          <w:rFonts w:ascii="Times New Roman"/>
          <w:sz w:val="20"/>
          <w:szCs w:val="20"/>
        </w:rPr>
        <w:t xml:space="preserve"> </w:t>
      </w:r>
      <w:r>
        <w:rPr>
          <w:rFonts w:ascii="Times New Roman"/>
          <w:sz w:val="20"/>
          <w:szCs w:val="20"/>
        </w:rPr>
        <w:t>на</w:t>
      </w:r>
      <w:r>
        <w:rPr>
          <w:rFonts w:ascii="Times New Roman"/>
          <w:sz w:val="20"/>
          <w:szCs w:val="20"/>
        </w:rPr>
        <w:t xml:space="preserve"> </w:t>
      </w:r>
      <w:r>
        <w:rPr>
          <w:rFonts w:ascii="Times New Roman"/>
          <w:sz w:val="20"/>
          <w:szCs w:val="20"/>
        </w:rPr>
        <w:t>малки</w:t>
      </w:r>
      <w:r>
        <w:rPr>
          <w:rFonts w:ascii="Times New Roman"/>
          <w:sz w:val="20"/>
          <w:szCs w:val="20"/>
        </w:rPr>
        <w:t xml:space="preserve"> </w:t>
      </w:r>
      <w:r>
        <w:rPr>
          <w:rFonts w:ascii="Times New Roman"/>
          <w:sz w:val="20"/>
          <w:szCs w:val="20"/>
        </w:rPr>
        <w:t>височини</w:t>
      </w:r>
      <w:r>
        <w:rPr>
          <w:rFonts w:ascii="Times New Roman"/>
          <w:sz w:val="20"/>
          <w:szCs w:val="20"/>
        </w:rPr>
        <w:t xml:space="preserve">, </w:t>
      </w:r>
      <w:r>
        <w:rPr>
          <w:rFonts w:ascii="Times New Roman"/>
          <w:sz w:val="20"/>
          <w:szCs w:val="20"/>
        </w:rPr>
        <w:t>за</w:t>
      </w:r>
      <w:r>
        <w:rPr>
          <w:rFonts w:ascii="Times New Roman"/>
          <w:sz w:val="20"/>
          <w:szCs w:val="20"/>
        </w:rPr>
        <w:t xml:space="preserve"> </w:t>
      </w:r>
      <w:r>
        <w:rPr>
          <w:rFonts w:ascii="Times New Roman"/>
          <w:sz w:val="20"/>
          <w:szCs w:val="20"/>
        </w:rPr>
        <w:t>район</w:t>
      </w:r>
      <w:r>
        <w:rPr>
          <w:rFonts w:ascii="Times New Roman"/>
          <w:sz w:val="20"/>
          <w:szCs w:val="20"/>
        </w:rPr>
        <w:t xml:space="preserve"> </w:t>
      </w:r>
      <w:r>
        <w:rPr>
          <w:rFonts w:ascii="Times New Roman"/>
          <w:sz w:val="20"/>
          <w:szCs w:val="20"/>
        </w:rPr>
        <w:t>за</w:t>
      </w:r>
      <w:r>
        <w:rPr>
          <w:rFonts w:ascii="Times New Roman"/>
          <w:sz w:val="20"/>
          <w:szCs w:val="20"/>
        </w:rPr>
        <w:t xml:space="preserve"> </w:t>
      </w:r>
      <w:r>
        <w:rPr>
          <w:rFonts w:ascii="Times New Roman"/>
          <w:sz w:val="20"/>
          <w:szCs w:val="20"/>
        </w:rPr>
        <w:t>полетна</w:t>
      </w:r>
      <w:r>
        <w:rPr>
          <w:rFonts w:ascii="Times New Roman"/>
          <w:sz w:val="20"/>
          <w:szCs w:val="20"/>
        </w:rPr>
        <w:t xml:space="preserve"> </w:t>
      </w:r>
      <w:r>
        <w:rPr>
          <w:rFonts w:ascii="Times New Roman"/>
          <w:sz w:val="20"/>
          <w:szCs w:val="20"/>
        </w:rPr>
        <w:t>информация</w:t>
      </w:r>
      <w:r>
        <w:rPr>
          <w:rFonts w:ascii="Times New Roman"/>
          <w:sz w:val="20"/>
          <w:szCs w:val="20"/>
        </w:rPr>
        <w:t xml:space="preserve"> </w:t>
      </w:r>
      <w:r>
        <w:rPr>
          <w:rFonts w:ascii="Times New Roman"/>
          <w:sz w:val="20"/>
          <w:szCs w:val="20"/>
        </w:rPr>
        <w:t>или</w:t>
      </w:r>
      <w:r>
        <w:rPr>
          <w:rFonts w:ascii="Times New Roman"/>
          <w:sz w:val="20"/>
          <w:szCs w:val="20"/>
        </w:rPr>
        <w:t xml:space="preserve"> </w:t>
      </w:r>
      <w:r>
        <w:rPr>
          <w:rFonts w:ascii="Times New Roman"/>
          <w:sz w:val="20"/>
          <w:szCs w:val="20"/>
        </w:rPr>
        <w:t>подрайон</w:t>
      </w:r>
      <w:r>
        <w:rPr>
          <w:rFonts w:ascii="Times New Roman"/>
          <w:sz w:val="20"/>
          <w:szCs w:val="20"/>
        </w:rPr>
        <w:t xml:space="preserve"> </w:t>
      </w:r>
      <w:r>
        <w:rPr>
          <w:rFonts w:ascii="Times New Roman"/>
          <w:sz w:val="20"/>
          <w:szCs w:val="20"/>
        </w:rPr>
        <w:t>от</w:t>
      </w:r>
      <w:r>
        <w:rPr>
          <w:rFonts w:ascii="Times New Roman"/>
          <w:sz w:val="20"/>
          <w:szCs w:val="20"/>
        </w:rPr>
        <w:t xml:space="preserve"> </w:t>
      </w:r>
      <w:r>
        <w:rPr>
          <w:rFonts w:ascii="Times New Roman"/>
          <w:sz w:val="20"/>
          <w:szCs w:val="20"/>
        </w:rPr>
        <w:t>него</w:t>
      </w:r>
      <w:r>
        <w:rPr>
          <w:rFonts w:ascii="Times New Roman"/>
          <w:sz w:val="20"/>
          <w:szCs w:val="20"/>
        </w:rPr>
        <w:t xml:space="preserve">, </w:t>
      </w:r>
      <w:r>
        <w:rPr>
          <w:rFonts w:ascii="Times New Roman"/>
          <w:sz w:val="20"/>
          <w:szCs w:val="20"/>
        </w:rPr>
        <w:t>изготвена</w:t>
      </w:r>
      <w:r>
        <w:rPr>
          <w:rFonts w:ascii="Times New Roman"/>
          <w:sz w:val="20"/>
          <w:szCs w:val="20"/>
        </w:rPr>
        <w:t xml:space="preserve"> </w:t>
      </w:r>
      <w:r>
        <w:rPr>
          <w:rFonts w:ascii="Times New Roman"/>
          <w:sz w:val="20"/>
          <w:szCs w:val="20"/>
        </w:rPr>
        <w:t>от</w:t>
      </w:r>
      <w:r>
        <w:rPr>
          <w:rFonts w:ascii="Times New Roman"/>
          <w:sz w:val="20"/>
          <w:szCs w:val="20"/>
        </w:rPr>
        <w:t xml:space="preserve"> </w:t>
      </w:r>
      <w:r>
        <w:rPr>
          <w:rFonts w:ascii="Times New Roman"/>
          <w:sz w:val="20"/>
          <w:szCs w:val="20"/>
        </w:rPr>
        <w:t>метеорологичната</w:t>
      </w:r>
      <w:r>
        <w:rPr>
          <w:rFonts w:ascii="Times New Roman"/>
          <w:sz w:val="20"/>
          <w:szCs w:val="20"/>
        </w:rPr>
        <w:t xml:space="preserve"> </w:t>
      </w:r>
      <w:r>
        <w:rPr>
          <w:rFonts w:ascii="Times New Roman"/>
          <w:sz w:val="20"/>
          <w:szCs w:val="20"/>
        </w:rPr>
        <w:t>служба</w:t>
      </w:r>
      <w:r>
        <w:rPr>
          <w:rFonts w:ascii="Times New Roman"/>
          <w:sz w:val="20"/>
          <w:szCs w:val="20"/>
        </w:rPr>
        <w:t xml:space="preserve">, </w:t>
      </w:r>
      <w:r>
        <w:rPr>
          <w:rFonts w:ascii="Times New Roman"/>
          <w:sz w:val="20"/>
          <w:szCs w:val="20"/>
        </w:rPr>
        <w:t>определена</w:t>
      </w:r>
      <w:r>
        <w:rPr>
          <w:rFonts w:ascii="Times New Roman"/>
          <w:sz w:val="20"/>
          <w:szCs w:val="20"/>
        </w:rPr>
        <w:t xml:space="preserve"> </w:t>
      </w:r>
      <w:r>
        <w:rPr>
          <w:rFonts w:ascii="Times New Roman"/>
          <w:sz w:val="20"/>
          <w:szCs w:val="20"/>
        </w:rPr>
        <w:t>от</w:t>
      </w:r>
      <w:r>
        <w:rPr>
          <w:rFonts w:ascii="Times New Roman"/>
          <w:sz w:val="20"/>
          <w:szCs w:val="20"/>
        </w:rPr>
        <w:t xml:space="preserve"> </w:t>
      </w:r>
      <w:r>
        <w:rPr>
          <w:rFonts w:ascii="Times New Roman"/>
          <w:sz w:val="20"/>
          <w:szCs w:val="20"/>
        </w:rPr>
        <w:t>съответния</w:t>
      </w:r>
      <w:r>
        <w:rPr>
          <w:rFonts w:ascii="Times New Roman"/>
          <w:sz w:val="20"/>
          <w:szCs w:val="20"/>
        </w:rPr>
        <w:t xml:space="preserve"> </w:t>
      </w:r>
      <w:r>
        <w:rPr>
          <w:rFonts w:ascii="Times New Roman"/>
          <w:sz w:val="20"/>
          <w:szCs w:val="20"/>
        </w:rPr>
        <w:t>метеорологичен</w:t>
      </w:r>
      <w:r>
        <w:rPr>
          <w:rFonts w:ascii="Times New Roman"/>
          <w:sz w:val="20"/>
          <w:szCs w:val="20"/>
        </w:rPr>
        <w:t xml:space="preserve"> </w:t>
      </w:r>
      <w:r>
        <w:rPr>
          <w:rFonts w:ascii="Times New Roman"/>
          <w:sz w:val="20"/>
          <w:szCs w:val="20"/>
        </w:rPr>
        <w:t>орган</w:t>
      </w:r>
      <w:r>
        <w:rPr>
          <w:rFonts w:ascii="Times New Roman"/>
          <w:sz w:val="20"/>
          <w:szCs w:val="20"/>
        </w:rPr>
        <w:t xml:space="preserve">, </w:t>
      </w:r>
      <w:r>
        <w:rPr>
          <w:rFonts w:ascii="Times New Roman"/>
          <w:sz w:val="20"/>
          <w:szCs w:val="20"/>
        </w:rPr>
        <w:t>и</w:t>
      </w:r>
      <w:r>
        <w:rPr>
          <w:rFonts w:ascii="Times New Roman"/>
          <w:sz w:val="20"/>
          <w:szCs w:val="20"/>
        </w:rPr>
        <w:t xml:space="preserve"> </w:t>
      </w:r>
      <w:r>
        <w:rPr>
          <w:rFonts w:ascii="Times New Roman"/>
          <w:sz w:val="20"/>
          <w:szCs w:val="20"/>
        </w:rPr>
        <w:t>обменена</w:t>
      </w:r>
      <w:r>
        <w:rPr>
          <w:rFonts w:ascii="Times New Roman"/>
          <w:sz w:val="20"/>
          <w:szCs w:val="20"/>
        </w:rPr>
        <w:t xml:space="preserve"> </w:t>
      </w:r>
      <w:r>
        <w:rPr>
          <w:rFonts w:ascii="Times New Roman"/>
          <w:sz w:val="20"/>
          <w:szCs w:val="20"/>
        </w:rPr>
        <w:t>с</w:t>
      </w:r>
      <w:r>
        <w:rPr>
          <w:rFonts w:ascii="Times New Roman"/>
          <w:sz w:val="20"/>
          <w:szCs w:val="20"/>
        </w:rPr>
        <w:t xml:space="preserve"> </w:t>
      </w:r>
      <w:r>
        <w:rPr>
          <w:rFonts w:ascii="Times New Roman"/>
          <w:sz w:val="20"/>
          <w:szCs w:val="20"/>
        </w:rPr>
        <w:t>метеорологични</w:t>
      </w:r>
      <w:r>
        <w:rPr>
          <w:rFonts w:ascii="Times New Roman"/>
          <w:sz w:val="20"/>
          <w:szCs w:val="20"/>
        </w:rPr>
        <w:t xml:space="preserve"> </w:t>
      </w:r>
      <w:r>
        <w:rPr>
          <w:rFonts w:ascii="Times New Roman"/>
          <w:sz w:val="20"/>
          <w:szCs w:val="20"/>
        </w:rPr>
        <w:t>служби</w:t>
      </w:r>
      <w:r>
        <w:rPr>
          <w:rFonts w:ascii="Times New Roman"/>
          <w:sz w:val="20"/>
          <w:szCs w:val="20"/>
        </w:rPr>
        <w:t xml:space="preserve"> </w:t>
      </w:r>
      <w:r>
        <w:rPr>
          <w:rFonts w:ascii="Times New Roman"/>
          <w:sz w:val="20"/>
          <w:szCs w:val="20"/>
        </w:rPr>
        <w:t>в</w:t>
      </w:r>
      <w:r>
        <w:rPr>
          <w:rFonts w:ascii="Times New Roman"/>
          <w:sz w:val="20"/>
          <w:szCs w:val="20"/>
        </w:rPr>
        <w:t xml:space="preserve"> </w:t>
      </w:r>
      <w:r>
        <w:rPr>
          <w:rFonts w:ascii="Times New Roman"/>
          <w:sz w:val="20"/>
          <w:szCs w:val="20"/>
        </w:rPr>
        <w:t>съседните</w:t>
      </w:r>
      <w:r>
        <w:rPr>
          <w:rFonts w:ascii="Times New Roman"/>
          <w:sz w:val="20"/>
          <w:szCs w:val="20"/>
        </w:rPr>
        <w:t xml:space="preserve"> </w:t>
      </w:r>
      <w:r>
        <w:rPr>
          <w:rFonts w:ascii="Times New Roman"/>
          <w:sz w:val="20"/>
          <w:szCs w:val="20"/>
        </w:rPr>
        <w:t>райони</w:t>
      </w:r>
      <w:r>
        <w:rPr>
          <w:rFonts w:ascii="Times New Roman"/>
          <w:sz w:val="20"/>
          <w:szCs w:val="20"/>
        </w:rPr>
        <w:t xml:space="preserve"> </w:t>
      </w:r>
      <w:r>
        <w:rPr>
          <w:rFonts w:ascii="Times New Roman"/>
          <w:sz w:val="20"/>
          <w:szCs w:val="20"/>
        </w:rPr>
        <w:t>за</w:t>
      </w:r>
      <w:r>
        <w:rPr>
          <w:rFonts w:ascii="Times New Roman"/>
          <w:sz w:val="20"/>
          <w:szCs w:val="20"/>
        </w:rPr>
        <w:t xml:space="preserve"> </w:t>
      </w:r>
      <w:r>
        <w:rPr>
          <w:rFonts w:ascii="Times New Roman"/>
          <w:sz w:val="20"/>
          <w:szCs w:val="20"/>
        </w:rPr>
        <w:t>полетна</w:t>
      </w:r>
      <w:r>
        <w:rPr>
          <w:rFonts w:ascii="Times New Roman"/>
          <w:sz w:val="20"/>
          <w:szCs w:val="20"/>
        </w:rPr>
        <w:t xml:space="preserve"> </w:t>
      </w:r>
      <w:r>
        <w:rPr>
          <w:rFonts w:ascii="Times New Roman"/>
          <w:sz w:val="20"/>
          <w:szCs w:val="20"/>
        </w:rPr>
        <w:t>информация</w:t>
      </w:r>
      <w:r>
        <w:rPr>
          <w:rFonts w:ascii="Times New Roman"/>
          <w:sz w:val="20"/>
          <w:szCs w:val="20"/>
        </w:rPr>
        <w:t xml:space="preserve">, </w:t>
      </w:r>
      <w:r>
        <w:rPr>
          <w:rFonts w:ascii="Times New Roman"/>
          <w:sz w:val="20"/>
          <w:szCs w:val="20"/>
        </w:rPr>
        <w:t>както</w:t>
      </w:r>
      <w:r>
        <w:rPr>
          <w:rFonts w:ascii="Times New Roman"/>
          <w:sz w:val="20"/>
          <w:szCs w:val="20"/>
        </w:rPr>
        <w:t xml:space="preserve"> </w:t>
      </w:r>
      <w:r>
        <w:rPr>
          <w:rFonts w:ascii="Times New Roman"/>
          <w:sz w:val="20"/>
          <w:szCs w:val="20"/>
        </w:rPr>
        <w:t>е</w:t>
      </w:r>
      <w:r>
        <w:rPr>
          <w:rFonts w:ascii="Times New Roman"/>
          <w:sz w:val="20"/>
          <w:szCs w:val="20"/>
        </w:rPr>
        <w:t xml:space="preserve"> </w:t>
      </w:r>
      <w:r>
        <w:rPr>
          <w:rFonts w:ascii="Times New Roman"/>
          <w:sz w:val="20"/>
          <w:szCs w:val="20"/>
        </w:rPr>
        <w:t>договорено</w:t>
      </w:r>
      <w:r>
        <w:rPr>
          <w:rFonts w:ascii="Times New Roman"/>
          <w:sz w:val="20"/>
          <w:szCs w:val="20"/>
        </w:rPr>
        <w:t xml:space="preserve"> </w:t>
      </w:r>
      <w:r>
        <w:rPr>
          <w:rFonts w:ascii="Times New Roman"/>
          <w:sz w:val="20"/>
          <w:szCs w:val="20"/>
        </w:rPr>
        <w:t>между</w:t>
      </w:r>
      <w:r>
        <w:rPr>
          <w:rFonts w:ascii="Times New Roman"/>
          <w:sz w:val="20"/>
          <w:szCs w:val="20"/>
        </w:rPr>
        <w:t xml:space="preserve"> </w:t>
      </w:r>
      <w:r>
        <w:rPr>
          <w:rFonts w:ascii="Times New Roman"/>
          <w:sz w:val="20"/>
          <w:szCs w:val="20"/>
        </w:rPr>
        <w:t>съответните</w:t>
      </w:r>
      <w:r>
        <w:rPr>
          <w:rFonts w:ascii="Times New Roman"/>
          <w:sz w:val="20"/>
          <w:szCs w:val="20"/>
        </w:rPr>
        <w:t xml:space="preserve"> </w:t>
      </w:r>
      <w:r>
        <w:rPr>
          <w:rFonts w:ascii="Times New Roman"/>
          <w:sz w:val="20"/>
          <w:szCs w:val="20"/>
        </w:rPr>
        <w:t>метеорологични</w:t>
      </w:r>
      <w:r>
        <w:rPr>
          <w:rFonts w:ascii="Times New Roman"/>
          <w:sz w:val="20"/>
          <w:szCs w:val="20"/>
        </w:rPr>
        <w:t xml:space="preserve"> </w:t>
      </w:r>
      <w:r>
        <w:rPr>
          <w:rFonts w:ascii="Times New Roman"/>
          <w:sz w:val="20"/>
          <w:szCs w:val="20"/>
        </w:rPr>
        <w:t>органи</w:t>
      </w:r>
      <w:r>
        <w:rPr>
          <w:rFonts w:ascii="Times New Roman"/>
          <w:sz w:val="20"/>
          <w:szCs w:val="20"/>
        </w:rPr>
        <w:t xml:space="preserve">. </w:t>
      </w:r>
      <w:r>
        <w:rPr>
          <w:rFonts w:ascii="Times New Roman"/>
          <w:sz w:val="20"/>
          <w:szCs w:val="20"/>
        </w:rPr>
        <w:t>Що</w:t>
      </w:r>
      <w:r>
        <w:rPr>
          <w:rFonts w:ascii="Times New Roman"/>
          <w:sz w:val="20"/>
          <w:szCs w:val="20"/>
        </w:rPr>
        <w:t xml:space="preserve"> </w:t>
      </w:r>
      <w:r>
        <w:rPr>
          <w:rFonts w:ascii="Times New Roman"/>
          <w:sz w:val="20"/>
          <w:szCs w:val="20"/>
        </w:rPr>
        <w:t>се</w:t>
      </w:r>
      <w:r>
        <w:rPr>
          <w:rFonts w:ascii="Times New Roman"/>
          <w:sz w:val="20"/>
          <w:szCs w:val="20"/>
        </w:rPr>
        <w:t xml:space="preserve"> </w:t>
      </w:r>
      <w:r>
        <w:rPr>
          <w:rFonts w:ascii="Times New Roman"/>
          <w:sz w:val="20"/>
          <w:szCs w:val="20"/>
        </w:rPr>
        <w:t>отнася</w:t>
      </w:r>
      <w:r>
        <w:rPr>
          <w:rFonts w:ascii="Times New Roman"/>
          <w:sz w:val="20"/>
          <w:szCs w:val="20"/>
        </w:rPr>
        <w:t xml:space="preserve"> </w:t>
      </w:r>
      <w:r>
        <w:rPr>
          <w:rFonts w:ascii="Times New Roman"/>
          <w:sz w:val="20"/>
          <w:szCs w:val="20"/>
        </w:rPr>
        <w:t>до</w:t>
      </w:r>
      <w:r>
        <w:rPr>
          <w:rFonts w:ascii="Times New Roman"/>
          <w:sz w:val="20"/>
          <w:szCs w:val="20"/>
        </w:rPr>
        <w:t xml:space="preserve"> </w:t>
      </w:r>
      <w:r>
        <w:rPr>
          <w:rFonts w:ascii="Times New Roman"/>
          <w:sz w:val="20"/>
          <w:szCs w:val="20"/>
        </w:rPr>
        <w:t>законодателството</w:t>
      </w:r>
      <w:r>
        <w:rPr>
          <w:rFonts w:ascii="Times New Roman"/>
          <w:sz w:val="20"/>
          <w:szCs w:val="20"/>
        </w:rPr>
        <w:t xml:space="preserve"> </w:t>
      </w:r>
      <w:r>
        <w:rPr>
          <w:rFonts w:ascii="Times New Roman"/>
          <w:sz w:val="20"/>
          <w:szCs w:val="20"/>
        </w:rPr>
        <w:t>на</w:t>
      </w:r>
      <w:r>
        <w:rPr>
          <w:rFonts w:ascii="Times New Roman"/>
          <w:sz w:val="20"/>
          <w:szCs w:val="20"/>
        </w:rPr>
        <w:t xml:space="preserve"> </w:t>
      </w:r>
      <w:r>
        <w:rPr>
          <w:rFonts w:ascii="Times New Roman"/>
          <w:sz w:val="20"/>
          <w:szCs w:val="20"/>
        </w:rPr>
        <w:t>ЕС</w:t>
      </w:r>
      <w:r>
        <w:rPr>
          <w:rFonts w:ascii="Times New Roman"/>
          <w:sz w:val="20"/>
          <w:szCs w:val="20"/>
        </w:rPr>
        <w:t xml:space="preserve">, </w:t>
      </w:r>
      <w:r>
        <w:rPr>
          <w:rFonts w:ascii="Times New Roman"/>
          <w:sz w:val="20"/>
          <w:szCs w:val="20"/>
        </w:rPr>
        <w:t>прави</w:t>
      </w:r>
      <w:r>
        <w:rPr>
          <w:rFonts w:ascii="Times New Roman"/>
          <w:sz w:val="20"/>
          <w:szCs w:val="20"/>
        </w:rPr>
        <w:t xml:space="preserve"> </w:t>
      </w:r>
      <w:r>
        <w:rPr>
          <w:rFonts w:ascii="Times New Roman"/>
          <w:sz w:val="20"/>
          <w:szCs w:val="20"/>
        </w:rPr>
        <w:t>се</w:t>
      </w:r>
      <w:r>
        <w:rPr>
          <w:rFonts w:ascii="Times New Roman"/>
          <w:sz w:val="20"/>
          <w:szCs w:val="20"/>
        </w:rPr>
        <w:t xml:space="preserve"> </w:t>
      </w:r>
      <w:r>
        <w:rPr>
          <w:rFonts w:ascii="Times New Roman"/>
          <w:sz w:val="20"/>
          <w:szCs w:val="20"/>
        </w:rPr>
        <w:t>позоваване</w:t>
      </w:r>
      <w:r>
        <w:rPr>
          <w:rFonts w:ascii="Times New Roman"/>
          <w:sz w:val="20"/>
          <w:szCs w:val="20"/>
        </w:rPr>
        <w:t xml:space="preserve"> </w:t>
      </w:r>
      <w:r>
        <w:rPr>
          <w:rFonts w:ascii="Times New Roman"/>
          <w:sz w:val="20"/>
          <w:szCs w:val="20"/>
        </w:rPr>
        <w:t>на</w:t>
      </w:r>
      <w:r>
        <w:rPr>
          <w:rFonts w:ascii="Times New Roman"/>
          <w:sz w:val="20"/>
          <w:szCs w:val="20"/>
        </w:rPr>
        <w:t xml:space="preserve"> </w:t>
      </w:r>
      <w:r>
        <w:rPr>
          <w:rFonts w:ascii="Times New Roman"/>
          <w:sz w:val="20"/>
          <w:szCs w:val="20"/>
        </w:rPr>
        <w:t>„зоналната</w:t>
      </w:r>
      <w:r>
        <w:rPr>
          <w:rFonts w:ascii="Times New Roman"/>
          <w:sz w:val="20"/>
          <w:szCs w:val="20"/>
        </w:rPr>
        <w:t xml:space="preserve"> </w:t>
      </w:r>
      <w:r>
        <w:rPr>
          <w:rFonts w:ascii="Times New Roman"/>
          <w:sz w:val="20"/>
          <w:szCs w:val="20"/>
        </w:rPr>
        <w:t>прогноза</w:t>
      </w:r>
      <w:r>
        <w:rPr>
          <w:rFonts w:ascii="Times New Roman"/>
          <w:sz w:val="20"/>
          <w:szCs w:val="20"/>
        </w:rPr>
        <w:t xml:space="preserve"> </w:t>
      </w:r>
      <w:r>
        <w:rPr>
          <w:rFonts w:ascii="Times New Roman"/>
          <w:sz w:val="20"/>
          <w:szCs w:val="20"/>
        </w:rPr>
        <w:t>за</w:t>
      </w:r>
      <w:r>
        <w:rPr>
          <w:rFonts w:ascii="Times New Roman"/>
          <w:sz w:val="20"/>
          <w:szCs w:val="20"/>
        </w:rPr>
        <w:t xml:space="preserve"> </w:t>
      </w:r>
      <w:r>
        <w:rPr>
          <w:rFonts w:ascii="Times New Roman"/>
          <w:sz w:val="20"/>
          <w:szCs w:val="20"/>
        </w:rPr>
        <w:t>полети</w:t>
      </w:r>
      <w:r>
        <w:rPr>
          <w:rFonts w:ascii="Times New Roman"/>
          <w:sz w:val="20"/>
          <w:szCs w:val="20"/>
        </w:rPr>
        <w:t xml:space="preserve"> </w:t>
      </w:r>
      <w:r>
        <w:rPr>
          <w:rFonts w:ascii="Times New Roman"/>
          <w:sz w:val="20"/>
          <w:szCs w:val="20"/>
        </w:rPr>
        <w:t>на</w:t>
      </w:r>
      <w:r>
        <w:rPr>
          <w:rFonts w:ascii="Times New Roman"/>
          <w:sz w:val="20"/>
          <w:szCs w:val="20"/>
        </w:rPr>
        <w:t xml:space="preserve"> </w:t>
      </w:r>
      <w:r>
        <w:rPr>
          <w:rFonts w:ascii="Times New Roman"/>
          <w:sz w:val="20"/>
          <w:szCs w:val="20"/>
        </w:rPr>
        <w:t>малки</w:t>
      </w:r>
      <w:r>
        <w:rPr>
          <w:rFonts w:ascii="Times New Roman"/>
          <w:sz w:val="20"/>
          <w:szCs w:val="20"/>
        </w:rPr>
        <w:t xml:space="preserve"> </w:t>
      </w:r>
      <w:r>
        <w:rPr>
          <w:rFonts w:ascii="Times New Roman"/>
          <w:sz w:val="20"/>
          <w:szCs w:val="20"/>
        </w:rPr>
        <w:t>височини“</w:t>
      </w:r>
      <w:r>
        <w:rPr>
          <w:rFonts w:ascii="Times New Roman"/>
          <w:sz w:val="20"/>
          <w:szCs w:val="20"/>
        </w:rPr>
        <w:t xml:space="preserve">, </w:t>
      </w:r>
      <w:r>
        <w:rPr>
          <w:rFonts w:ascii="Times New Roman"/>
          <w:sz w:val="20"/>
          <w:szCs w:val="20"/>
        </w:rPr>
        <w:t>както</w:t>
      </w:r>
      <w:r>
        <w:rPr>
          <w:rFonts w:ascii="Times New Roman"/>
          <w:sz w:val="20"/>
          <w:szCs w:val="20"/>
        </w:rPr>
        <w:t xml:space="preserve"> </w:t>
      </w:r>
      <w:r>
        <w:rPr>
          <w:rFonts w:ascii="Times New Roman"/>
          <w:sz w:val="20"/>
          <w:szCs w:val="20"/>
        </w:rPr>
        <w:t>е</w:t>
      </w:r>
      <w:r>
        <w:rPr>
          <w:rFonts w:ascii="Times New Roman"/>
          <w:sz w:val="20"/>
          <w:szCs w:val="20"/>
        </w:rPr>
        <w:t xml:space="preserve"> </w:t>
      </w:r>
      <w:r>
        <w:rPr>
          <w:rFonts w:ascii="Times New Roman"/>
          <w:sz w:val="20"/>
          <w:szCs w:val="20"/>
        </w:rPr>
        <w:t>определено</w:t>
      </w:r>
      <w:r>
        <w:rPr>
          <w:rFonts w:ascii="Times New Roman"/>
          <w:sz w:val="20"/>
          <w:szCs w:val="20"/>
        </w:rPr>
        <w:t xml:space="preserve"> </w:t>
      </w:r>
      <w:r>
        <w:rPr>
          <w:rFonts w:ascii="Times New Roman"/>
          <w:sz w:val="20"/>
          <w:szCs w:val="20"/>
        </w:rPr>
        <w:t>в</w:t>
      </w:r>
      <w:r>
        <w:rPr>
          <w:rFonts w:ascii="Times New Roman"/>
          <w:sz w:val="20"/>
          <w:szCs w:val="20"/>
        </w:rPr>
        <w:t xml:space="preserve"> </w:t>
      </w:r>
      <w:r>
        <w:rPr>
          <w:rFonts w:ascii="Times New Roman"/>
          <w:sz w:val="20"/>
          <w:szCs w:val="20"/>
        </w:rPr>
        <w:t>приложение </w:t>
      </w:r>
      <w:r>
        <w:rPr>
          <w:rFonts w:ascii="Times New Roman"/>
          <w:sz w:val="20"/>
          <w:szCs w:val="20"/>
        </w:rPr>
        <w:t>I (</w:t>
      </w:r>
      <w:r>
        <w:rPr>
          <w:rFonts w:ascii="Times New Roman"/>
          <w:sz w:val="20"/>
          <w:szCs w:val="20"/>
        </w:rPr>
        <w:t>Определения</w:t>
      </w:r>
      <w:r>
        <w:rPr>
          <w:rFonts w:ascii="Times New Roman"/>
          <w:sz w:val="20"/>
          <w:szCs w:val="20"/>
        </w:rPr>
        <w:t xml:space="preserve">) </w:t>
      </w:r>
      <w:r>
        <w:rPr>
          <w:rFonts w:ascii="Times New Roman"/>
          <w:sz w:val="20"/>
          <w:szCs w:val="20"/>
        </w:rPr>
        <w:t>към</w:t>
      </w:r>
      <w:r>
        <w:rPr>
          <w:rFonts w:ascii="Times New Roman"/>
          <w:sz w:val="20"/>
          <w:szCs w:val="20"/>
        </w:rPr>
        <w:t xml:space="preserve"> </w:t>
      </w:r>
      <w:r>
        <w:rPr>
          <w:rFonts w:ascii="Times New Roman"/>
          <w:sz w:val="20"/>
          <w:szCs w:val="20"/>
        </w:rPr>
        <w:t>Регламент</w:t>
      </w:r>
      <w:r>
        <w:rPr>
          <w:rFonts w:ascii="Times New Roman"/>
          <w:sz w:val="20"/>
          <w:szCs w:val="20"/>
        </w:rPr>
        <w:t xml:space="preserve"> (</w:t>
      </w:r>
      <w:r>
        <w:rPr>
          <w:rFonts w:ascii="Times New Roman"/>
          <w:sz w:val="20"/>
          <w:szCs w:val="20"/>
        </w:rPr>
        <w:t>ЕС</w:t>
      </w:r>
      <w:r>
        <w:rPr>
          <w:rFonts w:ascii="Times New Roman"/>
          <w:sz w:val="20"/>
          <w:szCs w:val="20"/>
        </w:rPr>
        <w:t>) 2017/373.</w:t>
      </w:r>
    </w:p>
  </w:footnote>
  <w:footnote w:id="4">
    <w:p>
      <w:pPr>
        <w:pStyle w:val="FootnoteText"/>
        <w:spacing w:before="100" w:after="100"/>
      </w:pPr>
      <w:r>
        <w:rPr>
          <w:vertAlign w:val="superscript"/>
        </w:rPr>
        <w:footnoteRef/>
      </w:r>
      <w:r>
        <w:t xml:space="preserve"> ОВ L 62, 8.3.2017 г., стр. 1. </w:t>
      </w:r>
    </w:p>
  </w:footnote>
  <w:footnote w:id="5">
    <w:p>
      <w:pPr>
        <w:pStyle w:val="FootnoteText"/>
      </w:pPr>
      <w:r>
        <w:rPr>
          <w:vertAlign w:val="superscript"/>
        </w:rPr>
        <w:footnoteRef/>
      </w:r>
      <w:r>
        <w:t xml:space="preserve"> ОВ L 296, 25.10.2012 г., стр. 1. </w:t>
      </w:r>
    </w:p>
  </w:footnote>
  <w:footnote w:id="6">
    <w:p>
      <w:pPr>
        <w:pStyle w:val="FootnoteText"/>
      </w:pPr>
      <w:r>
        <w:rPr>
          <w:vertAlign w:val="superscript"/>
        </w:rPr>
        <w:footnoteRef/>
      </w:r>
      <w:r>
        <w:t xml:space="preserve"> ОВ L 62, 8.3.2017 г., стр. 1. </w:t>
      </w:r>
    </w:p>
  </w:footnote>
  <w:footnote w:id="7">
    <w:p>
      <w:pPr>
        <w:pStyle w:val="FootnoteText"/>
      </w:pPr>
      <w:r>
        <w:rPr>
          <w:vertAlign w:val="superscript"/>
        </w:rPr>
        <w:footnoteRef/>
      </w:r>
      <w:r>
        <w:t xml:space="preserve"> ОВ L 62, 8.3.2017 г., стр. 1. </w:t>
      </w:r>
    </w:p>
  </w:footnote>
  <w:footnote w:id="8">
    <w:p>
      <w:pPr>
        <w:pStyle w:val="FootnoteText"/>
      </w:pPr>
      <w:r>
        <w:rPr>
          <w:vertAlign w:val="superscript"/>
        </w:rPr>
        <w:footnoteRef/>
      </w:r>
      <w:r>
        <w:t xml:space="preserve"> ОВ L 104, 3.4.2020 г., стр. 1.</w:t>
      </w:r>
    </w:p>
  </w:footnote>
  <w:footnote w:id="9">
    <w:p>
      <w:pPr>
        <w:pStyle w:val="FootnoteText"/>
      </w:pPr>
      <w:r>
        <w:rPr>
          <w:vertAlign w:val="superscript"/>
        </w:rPr>
        <w:footnoteRef/>
      </w:r>
      <w:r>
        <w:t xml:space="preserve"> ОВ L 44, 14.2.2020 г., стр. 1. </w:t>
      </w:r>
    </w:p>
  </w:footnote>
  <w:footnote w:id="10">
    <w:p>
      <w:pPr>
        <w:pStyle w:val="FootnoteText"/>
      </w:pPr>
      <w:r>
        <w:rPr>
          <w:vertAlign w:val="superscript"/>
        </w:rPr>
        <w:footnoteRef/>
      </w:r>
      <w:r>
        <w:t xml:space="preserve"> ОВ L 281, 13.10.2012 г., стр. 1.</w:t>
      </w:r>
    </w:p>
  </w:footnote>
  <w:footnote w:id="11">
    <w:p>
      <w:pPr>
        <w:pStyle w:val="FootnoteText"/>
      </w:pPr>
      <w:r>
        <w:rPr>
          <w:vertAlign w:val="superscript"/>
        </w:rPr>
        <w:footnoteRef/>
      </w:r>
      <w:r>
        <w:t xml:space="preserve"> ОВ L 44, 14.2.2020 г., стр. 1. </w:t>
      </w:r>
    </w:p>
  </w:footnote>
  <w:footnote w:id="12">
    <w:p>
      <w:pPr>
        <w:pStyle w:val="FootnoteText"/>
      </w:pPr>
      <w:r>
        <w:rPr>
          <w:vertAlign w:val="superscript"/>
        </w:rPr>
        <w:footnoteRef/>
      </w:r>
      <w:r>
        <w:t xml:space="preserve"> ОВ L 62, 8.3.2017 г., стр. 1. </w:t>
      </w:r>
    </w:p>
  </w:footnote>
  <w:footnote w:id="13">
    <w:p>
      <w:pPr>
        <w:pStyle w:val="FootnoteText"/>
      </w:pPr>
      <w:r>
        <w:rPr>
          <w:vertAlign w:val="superscript"/>
        </w:rPr>
        <w:footnoteRef/>
      </w:r>
      <w:r>
        <w:t xml:space="preserve"> ОВ L 44, 14.2.2020 г., стр. 1. </w:t>
      </w:r>
    </w:p>
  </w:footnote>
  <w:footnote w:id="14">
    <w:p>
      <w:pPr>
        <w:pStyle w:val="FootnoteText"/>
      </w:pPr>
      <w:r>
        <w:rPr>
          <w:vertAlign w:val="superscript"/>
        </w:rPr>
        <w:footnoteRef/>
      </w:r>
      <w:r>
        <w:t xml:space="preserve"> ОВ L 62, 8.3.2017 г., стр. 1. </w:t>
      </w:r>
    </w:p>
  </w:footnote>
  <w:footnote w:id="15">
    <w:p>
      <w:pPr>
        <w:pStyle w:val="FootnoteText"/>
      </w:pPr>
      <w:r>
        <w:rPr>
          <w:vertAlign w:val="superscript"/>
        </w:rPr>
        <w:footnoteRef/>
      </w:r>
      <w:r>
        <w:t xml:space="preserve"> ОВ L 212, 22.8.2018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E12"/>
    <w:multiLevelType w:val="multilevel"/>
    <w:tmpl w:val="F85A3C00"/>
    <w:styleLink w:val="ImportedStyle1"/>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
    <w:nsid w:val="06D53748"/>
    <w:multiLevelType w:val="multilevel"/>
    <w:tmpl w:val="23525672"/>
    <w:lvl w:ilvl="0">
      <w:start w:val="1"/>
      <w:numFmt w:val="decimal"/>
      <w:lvlText w:val="%1."/>
      <w:lvlJc w:val="left"/>
      <w:pPr>
        <w:ind w:left="0" w:firstLine="0"/>
      </w:pPr>
      <w:rPr>
        <w:position w:val="0"/>
      </w:rPr>
    </w:lvl>
    <w:lvl w:ilvl="1">
      <w:start w:val="3"/>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2">
    <w:nsid w:val="07E50ACE"/>
    <w:multiLevelType w:val="multilevel"/>
    <w:tmpl w:val="88B4E4CC"/>
    <w:lvl w:ilvl="0">
      <w:start w:val="1"/>
      <w:numFmt w:val="decimal"/>
      <w:lvlText w:val="%1."/>
      <w:lvlJc w:val="left"/>
      <w:pPr>
        <w:ind w:left="0" w:firstLine="0"/>
      </w:pPr>
      <w:rPr>
        <w:position w:val="0"/>
      </w:rPr>
    </w:lvl>
    <w:lvl w:ilvl="1">
      <w:start w:val="2"/>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
    <w:nsid w:val="11866B4C"/>
    <w:multiLevelType w:val="multilevel"/>
    <w:tmpl w:val="FC80665C"/>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4">
    <w:nsid w:val="15575817"/>
    <w:multiLevelType w:val="multilevel"/>
    <w:tmpl w:val="4428038E"/>
    <w:lvl w:ilvl="0">
      <w:start w:val="1"/>
      <w:numFmt w:val="decimal"/>
      <w:lvlText w:val="%1."/>
      <w:lvlJc w:val="left"/>
      <w:pPr>
        <w:ind w:left="0" w:firstLine="0"/>
      </w:pPr>
      <w:rPr>
        <w:position w:val="0"/>
      </w:rPr>
    </w:lvl>
    <w:lvl w:ilvl="1">
      <w:start w:val="4"/>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5">
    <w:nsid w:val="2C8F19AB"/>
    <w:multiLevelType w:val="multilevel"/>
    <w:tmpl w:val="B0040DBC"/>
    <w:styleLink w:val="List0"/>
    <w:lvl w:ilvl="0">
      <w:start w:val="1"/>
      <w:numFmt w:val="decimal"/>
      <w:lvlText w:val="%1."/>
      <w:lvlJc w:val="left"/>
      <w:pPr>
        <w:tabs>
          <w:tab w:val="num" w:pos="399"/>
        </w:tabs>
        <w:ind w:left="399" w:hanging="399"/>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1">
      <w:start w:val="1"/>
      <w:numFmt w:val="decimal"/>
      <w:lvlText w:val="%1.%2."/>
      <w:lvlJc w:val="left"/>
      <w:pPr>
        <w:tabs>
          <w:tab w:val="num" w:pos="399"/>
        </w:tabs>
        <w:ind w:left="399" w:hanging="399"/>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2">
      <w:start w:val="7"/>
      <w:numFmt w:val="decimal"/>
      <w:lvlText w:val="%1.%2.%3."/>
      <w:lvlJc w:val="left"/>
      <w:pPr>
        <w:tabs>
          <w:tab w:val="num" w:pos="720"/>
        </w:tabs>
        <w:ind w:left="720" w:hanging="720"/>
      </w:pPr>
      <w:rPr>
        <w:rFonts w:ascii="Trebuchet MS" w:eastAsia="Trebuchet MS" w:hAnsi="Trebuchet MS" w:cs="Trebuchet MS"/>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3">
      <w:start w:val="1"/>
      <w:numFmt w:val="decimal"/>
      <w:lvlText w:val="%1.%2.%3.%4."/>
      <w:lvlJc w:val="left"/>
      <w:pPr>
        <w:tabs>
          <w:tab w:val="num" w:pos="660"/>
        </w:tabs>
        <w:ind w:left="660" w:hanging="66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4">
      <w:start w:val="1"/>
      <w:numFmt w:val="decimal"/>
      <w:lvlText w:val="%1.%2.%3.%4.%5."/>
      <w:lvlJc w:val="left"/>
      <w:pPr>
        <w:tabs>
          <w:tab w:val="num" w:pos="990"/>
        </w:tabs>
        <w:ind w:left="990" w:hanging="99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5">
      <w:start w:val="1"/>
      <w:numFmt w:val="decimal"/>
      <w:lvlText w:val="%1.%2.%3.%4.%5.%6."/>
      <w:lvlJc w:val="left"/>
      <w:pPr>
        <w:tabs>
          <w:tab w:val="num" w:pos="990"/>
        </w:tabs>
        <w:ind w:left="990" w:hanging="99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6">
      <w:start w:val="1"/>
      <w:numFmt w:val="decimal"/>
      <w:lvlText w:val="%1.%2.%3.%4.%5.%6.%7."/>
      <w:lvlJc w:val="left"/>
      <w:pPr>
        <w:tabs>
          <w:tab w:val="num" w:pos="1320"/>
        </w:tabs>
        <w:ind w:left="1320" w:hanging="132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7">
      <w:start w:val="1"/>
      <w:numFmt w:val="decimal"/>
      <w:lvlText w:val="%1.%2.%3.%4.%5.%6.%7.%8."/>
      <w:lvlJc w:val="left"/>
      <w:pPr>
        <w:tabs>
          <w:tab w:val="num" w:pos="1320"/>
        </w:tabs>
        <w:ind w:left="1320" w:hanging="132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lvl w:ilvl="8">
      <w:start w:val="1"/>
      <w:numFmt w:val="decimal"/>
      <w:lvlText w:val="%1.%2.%3.%4.%5.%6.%7.%8.%9."/>
      <w:lvlJc w:val="left"/>
      <w:pPr>
        <w:tabs>
          <w:tab w:val="num" w:pos="1320"/>
        </w:tabs>
        <w:ind w:left="1320" w:hanging="1320"/>
      </w:pPr>
      <w:rPr>
        <w:rFonts w:ascii="Calibri" w:eastAsia="Calibri" w:hAnsi="Calibri" w:cs="Calibri"/>
        <w:caps w:val="0"/>
        <w:smallCaps w:val="0"/>
        <w:strike w:val="0"/>
        <w:dstrike w:val="0"/>
        <w:outline w:val="0"/>
        <w:shadow w:val="0"/>
        <w:emboss w:val="0"/>
        <w:imprint w:val="0"/>
        <w:color w:val="000000"/>
        <w:spacing w:val="0"/>
        <w:kern w:val="0"/>
        <w:position w:val="0"/>
        <w:sz w:val="22"/>
        <w:szCs w:val="22"/>
        <w:u w:val="none" w:color="000000"/>
        <w:effect w:val="none"/>
        <w:vertAlign w:val="baseline"/>
        <w:lang w:val="en-US"/>
      </w:rPr>
    </w:lvl>
  </w:abstractNum>
  <w:abstractNum w:abstractNumId="6">
    <w:nsid w:val="2E5C4932"/>
    <w:multiLevelType w:val="multilevel"/>
    <w:tmpl w:val="9EF6C76E"/>
    <w:styleLink w:val="ImportedStyle2"/>
    <w:lvl w:ilvl="0">
      <w:start w:val="1"/>
      <w:numFmt w:val="decimal"/>
      <w:lvlText w:val="%1."/>
      <w:lvlJc w:val="left"/>
      <w:pPr>
        <w:ind w:left="0" w:firstLine="0"/>
      </w:pPr>
      <w:rPr>
        <w:position w:val="0"/>
        <w:lang w:val="en-US"/>
      </w:rPr>
    </w:lvl>
    <w:lvl w:ilvl="1">
      <w:start w:val="1"/>
      <w:numFmt w:val="decimal"/>
      <w:lvlText w:val="%1.%2."/>
      <w:lvlJc w:val="left"/>
      <w:pPr>
        <w:ind w:left="0" w:firstLine="0"/>
      </w:pPr>
      <w:rPr>
        <w:position w:val="0"/>
        <w:lang w:val="en-US"/>
      </w:rPr>
    </w:lvl>
    <w:lvl w:ilvl="2">
      <w:start w:val="1"/>
      <w:numFmt w:val="decimal"/>
      <w:lvlText w:val="%1.%2.%3."/>
      <w:lvlJc w:val="left"/>
      <w:pPr>
        <w:ind w:left="0" w:firstLine="0"/>
      </w:pPr>
      <w:rPr>
        <w:position w:val="0"/>
        <w:lang w:val="en-US"/>
      </w:rPr>
    </w:lvl>
    <w:lvl w:ilvl="3">
      <w:start w:val="1"/>
      <w:numFmt w:val="decimal"/>
      <w:lvlText w:val="%1.%2.%3.%4."/>
      <w:lvlJc w:val="left"/>
      <w:pPr>
        <w:ind w:left="0" w:firstLine="0"/>
      </w:pPr>
      <w:rPr>
        <w:position w:val="0"/>
        <w:lang w:val="en-US"/>
      </w:rPr>
    </w:lvl>
    <w:lvl w:ilvl="4">
      <w:start w:val="1"/>
      <w:numFmt w:val="lowerLetter"/>
      <w:lvlText w:val="(%5)"/>
      <w:lvlJc w:val="left"/>
      <w:pPr>
        <w:ind w:left="0" w:firstLine="0"/>
      </w:pPr>
      <w:rPr>
        <w:position w:val="0"/>
        <w:lang w:val="en-US"/>
      </w:rPr>
    </w:lvl>
    <w:lvl w:ilvl="5">
      <w:start w:val="1"/>
      <w:numFmt w:val="lowerRoman"/>
      <w:lvlText w:val="(%6)"/>
      <w:lvlJc w:val="left"/>
      <w:pPr>
        <w:ind w:left="0" w:firstLine="0"/>
      </w:pPr>
      <w:rPr>
        <w:position w:val="0"/>
        <w:lang w:val="en-US"/>
      </w:rPr>
    </w:lvl>
    <w:lvl w:ilvl="6">
      <w:start w:val="1"/>
      <w:numFmt w:val="decimal"/>
      <w:lvlText w:val="%7."/>
      <w:lvlJc w:val="left"/>
      <w:pPr>
        <w:ind w:left="0" w:firstLine="0"/>
      </w:pPr>
      <w:rPr>
        <w:position w:val="0"/>
        <w:lang w:val="en-US"/>
      </w:rPr>
    </w:lvl>
    <w:lvl w:ilvl="7">
      <w:start w:val="1"/>
      <w:numFmt w:val="lowerLetter"/>
      <w:lvlText w:val="%8."/>
      <w:lvlJc w:val="left"/>
      <w:pPr>
        <w:ind w:left="0" w:firstLine="0"/>
      </w:pPr>
      <w:rPr>
        <w:position w:val="0"/>
        <w:lang w:val="en-US"/>
      </w:rPr>
    </w:lvl>
    <w:lvl w:ilvl="8">
      <w:start w:val="1"/>
      <w:numFmt w:val="lowerRoman"/>
      <w:lvlText w:val="%9."/>
      <w:lvlJc w:val="left"/>
      <w:pPr>
        <w:ind w:left="0" w:firstLine="0"/>
      </w:pPr>
      <w:rPr>
        <w:position w:val="0"/>
        <w:lang w:val="en-US"/>
      </w:rPr>
    </w:lvl>
  </w:abstractNum>
  <w:abstractNum w:abstractNumId="7">
    <w:nsid w:val="2EB347B6"/>
    <w:multiLevelType w:val="multilevel"/>
    <w:tmpl w:val="B976688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8">
    <w:nsid w:val="31C22CF9"/>
    <w:multiLevelType w:val="multilevel"/>
    <w:tmpl w:val="121C0D2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5"/>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9">
    <w:nsid w:val="32F641C5"/>
    <w:multiLevelType w:val="multilevel"/>
    <w:tmpl w:val="EDDA560C"/>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0">
    <w:nsid w:val="364A63C3"/>
    <w:multiLevelType w:val="multilevel"/>
    <w:tmpl w:val="0B7CCEF6"/>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1">
    <w:nsid w:val="388040CC"/>
    <w:multiLevelType w:val="multilevel"/>
    <w:tmpl w:val="1B62F12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2">
    <w:nsid w:val="54DA7809"/>
    <w:multiLevelType w:val="multilevel"/>
    <w:tmpl w:val="888CD0D4"/>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5"/>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3">
    <w:nsid w:val="61D20F58"/>
    <w:multiLevelType w:val="multilevel"/>
    <w:tmpl w:val="9A24C558"/>
    <w:lvl w:ilvl="0">
      <w:start w:val="1"/>
      <w:numFmt w:val="decimal"/>
      <w:lvlText w:val="%1."/>
      <w:lvlJc w:val="left"/>
      <w:pPr>
        <w:ind w:left="0" w:firstLine="0"/>
      </w:pPr>
      <w:rPr>
        <w:position w:val="0"/>
      </w:rPr>
    </w:lvl>
    <w:lvl w:ilvl="1">
      <w:start w:val="7"/>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4">
    <w:nsid w:val="6A0C15C6"/>
    <w:multiLevelType w:val="multilevel"/>
    <w:tmpl w:val="0E66C880"/>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5">
    <w:nsid w:val="6CA37331"/>
    <w:multiLevelType w:val="multilevel"/>
    <w:tmpl w:val="D8409956"/>
    <w:lvl w:ilvl="0">
      <w:start w:val="1"/>
      <w:numFmt w:val="decimal"/>
      <w:lvlText w:val="%1."/>
      <w:lvlJc w:val="left"/>
      <w:pPr>
        <w:ind w:left="0" w:firstLine="0"/>
      </w:pPr>
      <w:rPr>
        <w:position w:val="0"/>
      </w:rPr>
    </w:lvl>
    <w:lvl w:ilvl="1">
      <w:start w:val="5"/>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6">
    <w:nsid w:val="6D430002"/>
    <w:multiLevelType w:val="multilevel"/>
    <w:tmpl w:val="F9782EE8"/>
    <w:lvl w:ilvl="0">
      <w:start w:val="1"/>
      <w:numFmt w:val="decimal"/>
      <w:lvlText w:val="%1."/>
      <w:lvlJc w:val="left"/>
      <w:pPr>
        <w:ind w:left="0" w:firstLine="0"/>
      </w:pPr>
      <w:rPr>
        <w:position w:val="0"/>
      </w:rPr>
    </w:lvl>
    <w:lvl w:ilvl="1">
      <w:start w:val="1"/>
      <w:numFmt w:val="decimal"/>
      <w:lvlText w:val="%1.%2."/>
      <w:lvlJc w:val="left"/>
      <w:pPr>
        <w:ind w:left="0" w:firstLine="0"/>
      </w:pPr>
      <w:rPr>
        <w:position w:val="0"/>
      </w:rPr>
    </w:lvl>
    <w:lvl w:ilvl="2">
      <w:start w:val="4"/>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7">
    <w:nsid w:val="740826E7"/>
    <w:multiLevelType w:val="multilevel"/>
    <w:tmpl w:val="6BE221F2"/>
    <w:lvl w:ilvl="0">
      <w:start w:val="1"/>
      <w:numFmt w:val="decimal"/>
      <w:lvlText w:val="%1."/>
      <w:lvlJc w:val="left"/>
      <w:pPr>
        <w:ind w:left="0" w:firstLine="0"/>
      </w:pPr>
      <w:rPr>
        <w:position w:val="0"/>
      </w:rPr>
    </w:lvl>
    <w:lvl w:ilvl="1">
      <w:start w:val="8"/>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8">
    <w:nsid w:val="76F74457"/>
    <w:multiLevelType w:val="multilevel"/>
    <w:tmpl w:val="FE1AD4D4"/>
    <w:lvl w:ilvl="0">
      <w:start w:val="1"/>
      <w:numFmt w:val="decimal"/>
      <w:lvlText w:val="%1."/>
      <w:lvlJc w:val="left"/>
      <w:pPr>
        <w:ind w:left="0" w:firstLine="0"/>
      </w:pPr>
      <w:rPr>
        <w:position w:val="0"/>
      </w:rPr>
    </w:lvl>
    <w:lvl w:ilvl="1">
      <w:start w:val="6"/>
      <w:numFmt w:val="decimal"/>
      <w:lvlText w:val="%1.%2."/>
      <w:lvlJc w:val="left"/>
      <w:pPr>
        <w:ind w:left="0" w:firstLine="0"/>
      </w:pPr>
      <w:rPr>
        <w:position w:val="0"/>
      </w:rPr>
    </w:lvl>
    <w:lvl w:ilvl="2">
      <w:start w:val="1"/>
      <w:numFmt w:val="decimal"/>
      <w:lvlText w:val="%1.%2.%3."/>
      <w:lvlJc w:val="left"/>
      <w:pPr>
        <w:ind w:left="0" w:firstLine="0"/>
      </w:pPr>
      <w:rPr>
        <w:position w:val="0"/>
      </w:rPr>
    </w:lvl>
    <w:lvl w:ilvl="3">
      <w:start w:val="1"/>
      <w:numFmt w:val="decimal"/>
      <w:lvlText w:val="%1.%2.%3.%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B6D9E5F-B5A3-4A2B-9C2C-FF0F2AC0975D"/>
    <w:docVar w:name="LW_COVERPAGE_TYPE" w:val="1"/>
    <w:docVar w:name="LW_CROSSREFERENCE" w:val="&lt;UNUSED&gt;"/>
    <w:docVar w:name="LW_DocType" w:val="NORMAL"/>
    <w:docVar w:name="LW_EMISSION" w:val="9.10.2020"/>
    <w:docVar w:name="LW_EMISSION_ISODATE" w:val="2020-10-09"/>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56?\u1045?\u1064?\u1045?\u1053?\u1048?\u1045? \u1053?\u1040? \u1057?\u1066?\u1042?\u1045?\u1058?\u1040?&lt;/FMT&gt;_x000d__x000b__x000b_\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79?\u1072? \u1075?\u1088?\u1072?\u1078?\u1076?\u1072?\u1085?\u1089?\u1082?\u1086? \u1074?\u1098?\u1079?\u1076?\u1091?\u1093?\u1086?\u1087?\u1083?\u1072?\u1074?\u1072?\u1085?\u1077? \u1087?\u1086? \u1086?\u1090?\u1085?\u1086?\u1096?\u1077?\u1085?\u1080?\u1077? \u1085?\u1072? \u1091?\u1074?\u1077?\u1076?\u1086?\u1084?\u1103?\u1074?\u1072?\u1085?\u1077?\u1090?\u1086? \u1079?\u1072? \u1088?\u1072?\u1079?\u1083?\u1080?\u1095?\u1080?\u1103?, \u1086?\u1090?\u1085?\u1072?\u1089?\u1103?\u1097?\u1080? \u1089?\u1077? \u1076?\u1086? \u1087?\u1088?\u1080?\u1083?\u1086?\u1078?\u1077?\u1085?\u1080?\u1103? 1, 3, 4, \u1087?\u1088?\u1080?\u1083?\u1086?\u1078?\u1077?\u1085?\u1080?\u1077? 6, \u1095?\u1072?\u1089?\u1090?\u1080? I, II \u1080? III, \u1087?\u1088?\u1080?\u1083?\u1086?\u1078?\u1077?\u1085?\u1080?\u1077? 10, \u1090?\u1086?\u1084?\u1086?\u1074?\u1077? I \u1080? II, \u1087?\u1088?\u1080?\u1083?\u1086?\u1078?\u1077?\u1085?\u1080?\u1077? 11, \u1087?\u1088?\u1080?\u1083?\u1086?\u1078?\u1077?\u1085?\u1080?\u1077? 14, \u1090?\u1086?\u1084?\u1086?\u1074?\u1077? I \u1080? II, \u1087?\u1088?\u1080?\u1083?\u1086?\u1078?\u1077?\u1085?\u1080?\u1077? 15 \u1080? \u1087?\u1088?\u1080?\u1083?\u1086?\u1078?\u1077?\u1085?\u1080?\u1077? 16, \u1090?\u1086?\u1084?\u1086?\u1074?\u1077? I, II \u1080? III \u1082?\u1098?\u1084? \u1050?\u1086?\u1085?\u1074?\u1077?\u1085?\u1094?\u1080?\u1103?\u1090?\u1072? \u1079?\u1072? \u1084?\u1077?\u1078?\u1076?\u1091?\u1085?\u1072?\u1088?\u1086?\u1076?\u1085?\u1086? \u1075?\u1088?\u1072?\u1078?\u1076?\u1072?\u1085?\u1089?\u1082?\u1086? \u1074?\u1098?\u1079?\u1076?\u1091?\u1093?\u1086?\u1087?\u1083?\u1072?\u1074?\u1072?\u1085?\u1077? \u1080? \u1074? \u1088?\u1072?\u1084?\u1082?\u1080?\u1090?\u1077? \u1085?\u1072? \u1057?\u1098?\u1074?\u1077?\u1090?\u1072? \u1085?\u1072? \u1052?\u1077?\u1078?\u1076?\u1091?\u1085?\u1072?\u1088?\u1086?\u1076?\u1085?\u1072?\u1090?\u1072? \u1086?\u1088?\u1075?\u1072?\u1085?\u1080?\u1079?\u1072?\u1094?\u1080?\u1103? \u1079?\u1072? \u1075?\u1088?\u1072?\u1078?\u1076?\u1072?\u1085?\u1089?\u1082?\u1086? \u1074?\u1098?\u1079?\u1076?\u1091?\u1093?\u1086?\u1087?\u1083?\u1072?\u1074?\u1072?\u1085?\u1077? \u1087?\u1086? \u1086?\u1090?\u1085?\u1086?\u1096?\u1077?\u1085?\u1080?\u1077? \u1085?\u1072? \u1087?\u1088?\u1080?\u1077?\u1084?\u1072?\u1085?\u1077?\u1090?\u1086? \u1085?\u1072? \u1080?\u1079?\u1084?\u1077?\u1085?\u1077?\u1085?\u1080?\u1103? 46 \u1080? 39 \u1085?\u1072? \u1087?\u1088?\u1080?\u1083?\u1086?\u1078?\u1077?\u1085?\u1080?\u1077? 6, \u1095?\u1072?\u1089?\u1090?\u1080? I \u1080? II \u1082?\u1098?\u1084? \u1050?\u1086?\u1085?\u1074?\u1077?\u1085?\u1094?\u1080?\u1103?\u1090?\u1072?, \u1089?\u1074?\u1098?\u1088?\u1079?\u1072?\u1085?\u1080? \u1089? \u1086?\u1090?\u1083?\u1072?\u1075?\u1072?\u1085?\u1077? \u1085?\u1072? \u1073?\u1098?\u1076?\u1077?\u1097?\u1086?\u1090?\u1086? \u1080?\u1079?\u1080?\u1089?\u1082?\u1074?\u1072?\u1085?\u1077? \u1079?\u1072? \u1086?\u1073?\u1086?\u1088?\u1091?\u1076?\u1074?\u1072?\u1085?\u1077? \u1074?\u1098?\u1074? \u1074?\u1088?\u1098?\u1079?\u1082?\u1072? \u1089? \u1091?\u1089?\u1090?\u1088?\u1086?\u1081?\u1089?\u1090?\u1074?\u1086? \u1079?\u1072? \u1079?\u1072?\u1087?\u1080?\u1089? \u1085?\u1072? \u1088?\u1072?\u1079?\u1075?\u1086?\u1074?\u1086?\u1088?\u1080?\u1090?\u1077? \u1074? \u1087?\u1080?\u1083?\u1086?\u1090?\u1089?\u1082?\u1072?\u1090?\u1072? \u1082?\u1072?\u1073?\u1080?\u1085?\u1072? (CVR) \u1089? \u1087?\u1088?\u1086?\u1076?\u1098?\u1083?\u1078?\u1080?\u1090?\u1077?\u1083?\u1085?\u1086?\u1089?\u1090? \u1085?\u1072? \u1079?\u1072?\u1087?\u1080?\u1089?\u1072? 25 \u1095?\u1072?\u1089?\u1072?, \u1089? \u1094?\u1077?\u1083? \u1080?\u1079?\u1073?\u1103?\u1075?\u1074?\u1072?\u1085?\u1077? \u1085?\u1072? \u1085?\u1077?\u1078?\u1077?\u1083?\u1072?\u1085?\u1080? \u1087?\u1086?\u1089?\u1083?\u1077?\u1076?\u1080?\u1094?\u1080? \u1086?\u1090? \u1080?\u1079?\u1074?\u1098?\u1085?\u1088?\u1077?\u1076?\u1085?\u1072?\u1090?\u1072? \u1089?\u1080?\u1090?\u1091?\u1072?\u1094?\u1080?\u1103?, \u1087?\u1086?\u1088?\u1086?\u1076?\u1077?\u1085?\u1072? \u1086?\u1090? COVID-19."/>
    <w:docVar w:name="LW_PART_NBR" w:val="1"/>
    <w:docVar w:name="LW_PART_NBR_TOTAL" w:val="1"/>
    <w:docVar w:name="LW_REF.INST.NEW" w:val="COM"/>
    <w:docVar w:name="LW_REF.INST.NEW_ADOPTED" w:val="final"/>
    <w:docVar w:name="LW_REF.INST.NEW_TEXT" w:val="(2020) 6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Arial Unicode MS" w:hAnsi="Times New Roman" w:cs="Times New Roman"/>
      <w:sz w:val="24"/>
      <w:szCs w:val="24"/>
    </w:rPr>
  </w:style>
  <w:style w:type="paragraph" w:styleId="Heading2">
    <w:name w:val="heading 2"/>
    <w:next w:val="Text1"/>
    <w:link w:val="Heading2Char"/>
    <w:semiHidden/>
    <w:unhideWhenUsed/>
    <w:qFormat/>
    <w:pPr>
      <w:keepNext/>
      <w:tabs>
        <w:tab w:val="left" w:pos="850"/>
      </w:tabs>
      <w:spacing w:before="120" w:after="120" w:line="240" w:lineRule="auto"/>
      <w:ind w:left="850" w:hanging="850"/>
      <w:jc w:val="both"/>
      <w:outlineLvl w:val="1"/>
    </w:pPr>
    <w:rPr>
      <w:rFonts w:ascii="Times New Roman" w:eastAsia="Times New Roman" w:hAnsi="Arial Unicode MS" w:cs="Arial Unicode MS"/>
      <w:b/>
      <w:bCs/>
      <w:color w:val="000000"/>
      <w:sz w:val="24"/>
      <w:szCs w:val="24"/>
      <w:u w:color="000000"/>
    </w:rPr>
  </w:style>
  <w:style w:type="paragraph" w:styleId="Heading3">
    <w:name w:val="heading 3"/>
    <w:next w:val="Text1"/>
    <w:link w:val="Heading3Char"/>
    <w:semiHidden/>
    <w:unhideWhenUsed/>
    <w:qFormat/>
    <w:pPr>
      <w:keepNext/>
      <w:tabs>
        <w:tab w:val="left" w:pos="850"/>
      </w:tabs>
      <w:spacing w:before="120" w:after="120" w:line="240" w:lineRule="auto"/>
      <w:ind w:left="850" w:hanging="850"/>
      <w:jc w:val="both"/>
      <w:outlineLvl w:val="2"/>
    </w:pPr>
    <w:rPr>
      <w:rFonts w:ascii="Times New Roman" w:eastAsia="Times New Roman" w:hAnsi="Arial Unicode MS" w:cs="Arial Unicode MS"/>
      <w:i/>
      <w:i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Times New Roman" w:eastAsia="Times New Roman" w:hAnsi="Arial Unicode MS" w:cs="Arial Unicode MS"/>
      <w:b/>
      <w:bCs/>
      <w:color w:val="000000"/>
      <w:sz w:val="24"/>
      <w:szCs w:val="24"/>
      <w:u w:color="000000"/>
      <w:lang w:val="bg-BG"/>
    </w:rPr>
  </w:style>
  <w:style w:type="character" w:customStyle="1" w:styleId="Heading3Char">
    <w:name w:val="Heading 3 Char"/>
    <w:basedOn w:val="DefaultParagraphFont"/>
    <w:link w:val="Heading3"/>
    <w:semiHidden/>
    <w:rPr>
      <w:rFonts w:ascii="Times New Roman" w:eastAsia="Times New Roman" w:hAnsi="Arial Unicode MS" w:cs="Arial Unicode MS"/>
      <w:i/>
      <w:iCs/>
      <w:color w:val="000000"/>
      <w:sz w:val="24"/>
      <w:szCs w:val="24"/>
      <w:u w:color="000000"/>
      <w:lang w:val="bg-BG"/>
    </w:rPr>
  </w:style>
  <w:style w:type="character" w:styleId="Hyperlink">
    <w:name w:val="Hyperlink"/>
    <w:semiHidden/>
    <w:unhideWhenUsed/>
    <w:rPr>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pPr>
      <w:spacing w:before="120" w:after="120" w:line="240" w:lineRule="auto"/>
      <w:ind w:left="850"/>
      <w:jc w:val="both"/>
    </w:pPr>
    <w:rPr>
      <w:rFonts w:ascii="Times New Roman" w:eastAsia="Arial Unicode MS" w:hAnsi="Arial Unicode MS" w:cs="Arial Unicode MS"/>
      <w:color w:val="000000"/>
      <w:sz w:val="24"/>
      <w:szCs w:val="24"/>
      <w:u w:color="000000"/>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link w:val="FootnoteTextChar"/>
    <w:semiHidden/>
    <w:unhideWhenUsed/>
    <w:pPr>
      <w:spacing w:after="0" w:line="240" w:lineRule="auto"/>
      <w:ind w:left="720" w:hanging="720"/>
      <w:jc w:val="both"/>
    </w:pPr>
    <w:rPr>
      <w:rFonts w:ascii="Times New Roman" w:eastAsia="Times New Roman" w:hAnsi="Times New Roman" w:cs="Times New Roman"/>
      <w:color w:val="000000"/>
      <w:sz w:val="20"/>
      <w:szCs w:val="20"/>
      <w:u w:color="000000"/>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u w:color="000000"/>
      <w:lang w:val="bg-BG"/>
    </w:rPr>
  </w:style>
  <w:style w:type="paragraph" w:styleId="CommentText">
    <w:name w:val="annotation text"/>
    <w:link w:val="CommentTextChar"/>
    <w:semiHidden/>
    <w:unhideWhenUsed/>
    <w:pPr>
      <w:spacing w:line="240" w:lineRule="auto"/>
    </w:pPr>
    <w:rPr>
      <w:rFonts w:ascii="Calibri" w:eastAsia="Calibri" w:hAnsi="Calibri" w:cs="Calibri"/>
      <w:color w:val="000000"/>
      <w:sz w:val="20"/>
      <w:szCs w:val="20"/>
      <w:u w:color="000000"/>
    </w:rPr>
  </w:style>
  <w:style w:type="character" w:customStyle="1" w:styleId="CommentTextChar">
    <w:name w:val="Comment Text Char"/>
    <w:basedOn w:val="DefaultParagraphFont"/>
    <w:link w:val="CommentText"/>
    <w:semiHidden/>
    <w:rPr>
      <w:rFonts w:ascii="Calibri" w:eastAsia="Calibri" w:hAnsi="Calibri" w:cs="Calibri"/>
      <w:color w:val="000000"/>
      <w:sz w:val="20"/>
      <w:szCs w:val="20"/>
      <w:u w:color="000000"/>
      <w:lang w:val="bg-BG"/>
    </w:rPr>
  </w:style>
  <w:style w:type="paragraph" w:styleId="Footer">
    <w:name w:val="footer"/>
    <w:link w:val="FooterChar"/>
    <w:uiPriority w:val="99"/>
    <w:unhideWhenUsed/>
    <w:pPr>
      <w:tabs>
        <w:tab w:val="center" w:pos="4513"/>
        <w:tab w:val="right" w:pos="9026"/>
      </w:tabs>
      <w:spacing w:after="0" w:line="240" w:lineRule="auto"/>
    </w:pPr>
    <w:rPr>
      <w:rFonts w:ascii="Calibri" w:eastAsia="Calibri" w:hAnsi="Calibri" w:cs="Calibri"/>
      <w:color w:val="000000"/>
      <w:u w:color="000000"/>
    </w:rPr>
  </w:style>
  <w:style w:type="character" w:customStyle="1" w:styleId="FooterChar">
    <w:name w:val="Footer Char"/>
    <w:basedOn w:val="DefaultParagraphFont"/>
    <w:link w:val="Footer"/>
    <w:uiPriority w:val="99"/>
    <w:rPr>
      <w:rFonts w:ascii="Calibri" w:eastAsia="Calibri" w:hAnsi="Calibri" w:cs="Calibri"/>
      <w:color w:val="000000"/>
      <w:u w:color="000000"/>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lang w:val="bg-BG"/>
    </w:rPr>
  </w:style>
  <w:style w:type="paragraph" w:styleId="ListParagraph">
    <w:name w:val="List Paragraph"/>
    <w:qFormat/>
    <w:pPr>
      <w:spacing w:before="120" w:after="120" w:line="240" w:lineRule="auto"/>
      <w:ind w:left="720"/>
      <w:jc w:val="both"/>
    </w:pPr>
    <w:rPr>
      <w:rFonts w:ascii="Times New Roman" w:eastAsia="Arial Unicode MS" w:hAnsi="Arial Unicode MS" w:cs="Arial Unicode MS"/>
      <w:color w:val="000000"/>
      <w:sz w:val="24"/>
      <w:szCs w:val="24"/>
      <w:u w:color="000000"/>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Body">
    <w:name w:val="Body"/>
    <w:rPr>
      <w:rFonts w:ascii="Calibri" w:eastAsia="Calibri" w:hAnsi="Calibri" w:cs="Calibri"/>
      <w:color w:val="000000"/>
      <w:u w:color="000000"/>
    </w:rPr>
  </w:style>
  <w:style w:type="paragraph" w:customStyle="1" w:styleId="Pagedecouverture">
    <w:name w:val="Page de couverture"/>
    <w:next w:val="Body"/>
    <w:pPr>
      <w:spacing w:after="0" w:line="240" w:lineRule="auto"/>
      <w:jc w:val="both"/>
    </w:pPr>
    <w:rPr>
      <w:rFonts w:ascii="Times New Roman" w:eastAsia="Times New Roman" w:hAnsi="Times New Roman" w:cs="Times New Roman"/>
      <w:color w:val="000000"/>
      <w:sz w:val="24"/>
      <w:szCs w:val="24"/>
      <w:u w:color="000000"/>
    </w:rPr>
  </w:style>
  <w:style w:type="paragraph" w:customStyle="1" w:styleId="Annexetitre">
    <w:name w:val="Annexe titre"/>
    <w:next w:val="Body"/>
    <w:link w:val="AnnexetitreChar"/>
    <w:pPr>
      <w:spacing w:before="120" w:after="120" w:line="240" w:lineRule="auto"/>
      <w:jc w:val="center"/>
    </w:pPr>
    <w:rPr>
      <w:rFonts w:ascii="Times New Roman" w:eastAsia="Times New Roman" w:hAnsi="Times New Roman" w:cs="Times New Roman"/>
      <w:b/>
      <w:bCs/>
      <w:color w:val="000000"/>
      <w:sz w:val="24"/>
      <w:szCs w:val="24"/>
      <w:u w:val="single" w:color="000000"/>
    </w:rPr>
  </w:style>
  <w:style w:type="paragraph" w:customStyle="1" w:styleId="Heading">
    <w:name w:val="Heading"/>
    <w:next w:val="Text1"/>
    <w:pPr>
      <w:keepNext/>
      <w:tabs>
        <w:tab w:val="left" w:pos="850"/>
      </w:tabs>
      <w:spacing w:before="360" w:after="120" w:line="240" w:lineRule="auto"/>
      <w:ind w:left="850" w:hanging="850"/>
      <w:jc w:val="both"/>
      <w:outlineLvl w:val="0"/>
    </w:pPr>
    <w:rPr>
      <w:rFonts w:ascii="Times New Roman" w:eastAsia="Arial Unicode MS" w:hAnsi="Arial Unicode MS" w:cs="Arial Unicode MS"/>
      <w:b/>
      <w:bCs/>
      <w:smallCaps/>
      <w:color w:val="000000"/>
      <w:sz w:val="24"/>
      <w:szCs w:val="24"/>
      <w:u w:color="000000"/>
    </w:rPr>
  </w:style>
  <w:style w:type="paragraph" w:customStyle="1" w:styleId="NumPar2">
    <w:name w:val="NumPar 2"/>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Default">
    <w:name w:val="Default"/>
    <w:pPr>
      <w:spacing w:after="0" w:line="240" w:lineRule="auto"/>
    </w:pPr>
    <w:rPr>
      <w:rFonts w:ascii="Times New Roman" w:eastAsia="Times New Roman" w:hAnsi="Times New Roman" w:cs="Times New Roman"/>
      <w:color w:val="000000"/>
      <w:sz w:val="24"/>
      <w:szCs w:val="24"/>
      <w:u w:color="000000"/>
    </w:rPr>
  </w:style>
  <w:style w:type="paragraph" w:customStyle="1" w:styleId="NumPar1">
    <w:name w:val="NumPar 1"/>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NumPar3">
    <w:name w:val="NumPar 3"/>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TableParagraph">
    <w:name w:val="Table Paragraph"/>
    <w:pPr>
      <w:widowControl w:val="0"/>
      <w:spacing w:after="0" w:line="240" w:lineRule="auto"/>
    </w:pPr>
    <w:rPr>
      <w:rFonts w:ascii="Times New Roman" w:eastAsia="Arial Unicode MS" w:hAnsi="Arial Unicode M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numbering" w:customStyle="1" w:styleId="ImportedStyle2">
    <w:name w:val="Imported Style 2"/>
    <w:pPr>
      <w:numPr>
        <w:numId w:val="3"/>
      </w:numPr>
    </w:pPr>
  </w:style>
  <w:style w:type="numbering" w:customStyle="1" w:styleId="List0">
    <w:name w:val="List 0"/>
    <w:pPr>
      <w:numPr>
        <w:numId w:val="23"/>
      </w:numPr>
    </w:pPr>
  </w:style>
  <w:style w:type="numbering" w:customStyle="1" w:styleId="ImportedStyle1">
    <w:name w:val="Imported Style 1"/>
    <w:pPr>
      <w:numPr>
        <w:numId w:val="37"/>
      </w:numPr>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lang w:val="bg-BG"/>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AnnexetitreChar">
    <w:name w:val="Annexe titre Char"/>
    <w:basedOn w:val="DefaultParagraphFont"/>
    <w:link w:val="Annexetitre"/>
    <w:rPr>
      <w:rFonts w:ascii="Times New Roman" w:eastAsia="Times New Roman" w:hAnsi="Times New Roman" w:cs="Times New Roman"/>
      <w:b/>
      <w:bCs/>
      <w:color w:val="000000"/>
      <w:sz w:val="24"/>
      <w:szCs w:val="24"/>
      <w:u w:val="single" w:color="000000"/>
      <w:lang w:val="bg-BG"/>
    </w:rPr>
  </w:style>
  <w:style w:type="character" w:customStyle="1" w:styleId="FooterSensitivityChar">
    <w:name w:val="Footer Sensitivity Char"/>
    <w:basedOn w:val="AnnexetitreChar"/>
    <w:link w:val="FooterSensitivity"/>
    <w:rPr>
      <w:rFonts w:ascii="Times New Roman" w:eastAsia="Arial Unicode MS" w:hAnsi="Times New Roman" w:cs="Times New Roman"/>
      <w:b/>
      <w:bCs w:val="0"/>
      <w:color w:val="000000"/>
      <w:sz w:val="32"/>
      <w:szCs w:val="24"/>
      <w:u w:val="single" w:color="000000"/>
      <w:lang w:val="bg-BG"/>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ascii="Times New Roman" w:eastAsia="Arial Unicode MS" w:hAnsi="Times New Roman" w:cs="Times New Roman"/>
      <w:b w:val="0"/>
      <w:bCs w:val="0"/>
      <w:color w:val="000000"/>
      <w:sz w:val="24"/>
      <w:szCs w:val="24"/>
      <w:u w:val="single" w:color="000000"/>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ascii="Times New Roman" w:eastAsia="Arial Unicode MS" w:hAnsi="Times New Roman" w:cs="Times New Roman"/>
      <w:b/>
      <w:bCs w:val="0"/>
      <w:color w:val="000000"/>
      <w:sz w:val="32"/>
      <w:szCs w:val="24"/>
      <w:u w:val="single" w:color="000000"/>
      <w:lang w:val="bg-BG"/>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AnnexetitreChar"/>
    <w:link w:val="HeaderSensitivityRight"/>
    <w:rPr>
      <w:rFonts w:ascii="Times New Roman" w:eastAsia="Arial Unicode MS" w:hAnsi="Times New Roman" w:cs="Times New Roman"/>
      <w:b w:val="0"/>
      <w:bCs w:val="0"/>
      <w:color w:val="000000"/>
      <w:sz w:val="28"/>
      <w:szCs w:val="24"/>
      <w:u w:val="single" w:color="00000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Arial Unicode MS" w:hAnsi="Times New Roman" w:cs="Times New Roman"/>
      <w:sz w:val="24"/>
      <w:szCs w:val="24"/>
    </w:rPr>
  </w:style>
  <w:style w:type="paragraph" w:styleId="Heading2">
    <w:name w:val="heading 2"/>
    <w:next w:val="Text1"/>
    <w:link w:val="Heading2Char"/>
    <w:semiHidden/>
    <w:unhideWhenUsed/>
    <w:qFormat/>
    <w:pPr>
      <w:keepNext/>
      <w:tabs>
        <w:tab w:val="left" w:pos="850"/>
      </w:tabs>
      <w:spacing w:before="120" w:after="120" w:line="240" w:lineRule="auto"/>
      <w:ind w:left="850" w:hanging="850"/>
      <w:jc w:val="both"/>
      <w:outlineLvl w:val="1"/>
    </w:pPr>
    <w:rPr>
      <w:rFonts w:ascii="Times New Roman" w:eastAsia="Times New Roman" w:hAnsi="Arial Unicode MS" w:cs="Arial Unicode MS"/>
      <w:b/>
      <w:bCs/>
      <w:color w:val="000000"/>
      <w:sz w:val="24"/>
      <w:szCs w:val="24"/>
      <w:u w:color="000000"/>
    </w:rPr>
  </w:style>
  <w:style w:type="paragraph" w:styleId="Heading3">
    <w:name w:val="heading 3"/>
    <w:next w:val="Text1"/>
    <w:link w:val="Heading3Char"/>
    <w:semiHidden/>
    <w:unhideWhenUsed/>
    <w:qFormat/>
    <w:pPr>
      <w:keepNext/>
      <w:tabs>
        <w:tab w:val="left" w:pos="850"/>
      </w:tabs>
      <w:spacing w:before="120" w:after="120" w:line="240" w:lineRule="auto"/>
      <w:ind w:left="850" w:hanging="850"/>
      <w:jc w:val="both"/>
      <w:outlineLvl w:val="2"/>
    </w:pPr>
    <w:rPr>
      <w:rFonts w:ascii="Times New Roman" w:eastAsia="Times New Roman" w:hAnsi="Arial Unicode MS" w:cs="Arial Unicode MS"/>
      <w:i/>
      <w:iCs/>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Times New Roman" w:eastAsia="Times New Roman" w:hAnsi="Arial Unicode MS" w:cs="Arial Unicode MS"/>
      <w:b/>
      <w:bCs/>
      <w:color w:val="000000"/>
      <w:sz w:val="24"/>
      <w:szCs w:val="24"/>
      <w:u w:color="000000"/>
      <w:lang w:val="bg-BG"/>
    </w:rPr>
  </w:style>
  <w:style w:type="character" w:customStyle="1" w:styleId="Heading3Char">
    <w:name w:val="Heading 3 Char"/>
    <w:basedOn w:val="DefaultParagraphFont"/>
    <w:link w:val="Heading3"/>
    <w:semiHidden/>
    <w:rPr>
      <w:rFonts w:ascii="Times New Roman" w:eastAsia="Times New Roman" w:hAnsi="Arial Unicode MS" w:cs="Arial Unicode MS"/>
      <w:i/>
      <w:iCs/>
      <w:color w:val="000000"/>
      <w:sz w:val="24"/>
      <w:szCs w:val="24"/>
      <w:u w:color="000000"/>
      <w:lang w:val="bg-BG"/>
    </w:rPr>
  </w:style>
  <w:style w:type="character" w:styleId="Hyperlink">
    <w:name w:val="Hyperlink"/>
    <w:semiHidden/>
    <w:unhideWhenUsed/>
    <w:rPr>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pPr>
      <w:spacing w:before="120" w:after="120" w:line="240" w:lineRule="auto"/>
      <w:ind w:left="850"/>
      <w:jc w:val="both"/>
    </w:pPr>
    <w:rPr>
      <w:rFonts w:ascii="Times New Roman" w:eastAsia="Arial Unicode MS" w:hAnsi="Arial Unicode MS" w:cs="Arial Unicode MS"/>
      <w:color w:val="000000"/>
      <w:sz w:val="24"/>
      <w:szCs w:val="24"/>
      <w:u w:color="000000"/>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link w:val="FootnoteTextChar"/>
    <w:semiHidden/>
    <w:unhideWhenUsed/>
    <w:pPr>
      <w:spacing w:after="0" w:line="240" w:lineRule="auto"/>
      <w:ind w:left="720" w:hanging="720"/>
      <w:jc w:val="both"/>
    </w:pPr>
    <w:rPr>
      <w:rFonts w:ascii="Times New Roman" w:eastAsia="Times New Roman" w:hAnsi="Times New Roman" w:cs="Times New Roman"/>
      <w:color w:val="000000"/>
      <w:sz w:val="20"/>
      <w:szCs w:val="20"/>
      <w:u w:color="000000"/>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u w:color="000000"/>
      <w:lang w:val="bg-BG"/>
    </w:rPr>
  </w:style>
  <w:style w:type="paragraph" w:styleId="CommentText">
    <w:name w:val="annotation text"/>
    <w:link w:val="CommentTextChar"/>
    <w:semiHidden/>
    <w:unhideWhenUsed/>
    <w:pPr>
      <w:spacing w:line="240" w:lineRule="auto"/>
    </w:pPr>
    <w:rPr>
      <w:rFonts w:ascii="Calibri" w:eastAsia="Calibri" w:hAnsi="Calibri" w:cs="Calibri"/>
      <w:color w:val="000000"/>
      <w:sz w:val="20"/>
      <w:szCs w:val="20"/>
      <w:u w:color="000000"/>
    </w:rPr>
  </w:style>
  <w:style w:type="character" w:customStyle="1" w:styleId="CommentTextChar">
    <w:name w:val="Comment Text Char"/>
    <w:basedOn w:val="DefaultParagraphFont"/>
    <w:link w:val="CommentText"/>
    <w:semiHidden/>
    <w:rPr>
      <w:rFonts w:ascii="Calibri" w:eastAsia="Calibri" w:hAnsi="Calibri" w:cs="Calibri"/>
      <w:color w:val="000000"/>
      <w:sz w:val="20"/>
      <w:szCs w:val="20"/>
      <w:u w:color="000000"/>
      <w:lang w:val="bg-BG"/>
    </w:rPr>
  </w:style>
  <w:style w:type="paragraph" w:styleId="Footer">
    <w:name w:val="footer"/>
    <w:link w:val="FooterChar"/>
    <w:uiPriority w:val="99"/>
    <w:unhideWhenUsed/>
    <w:pPr>
      <w:tabs>
        <w:tab w:val="center" w:pos="4513"/>
        <w:tab w:val="right" w:pos="9026"/>
      </w:tabs>
      <w:spacing w:after="0" w:line="240" w:lineRule="auto"/>
    </w:pPr>
    <w:rPr>
      <w:rFonts w:ascii="Calibri" w:eastAsia="Calibri" w:hAnsi="Calibri" w:cs="Calibri"/>
      <w:color w:val="000000"/>
      <w:u w:color="000000"/>
    </w:rPr>
  </w:style>
  <w:style w:type="character" w:customStyle="1" w:styleId="FooterChar">
    <w:name w:val="Footer Char"/>
    <w:basedOn w:val="DefaultParagraphFont"/>
    <w:link w:val="Footer"/>
    <w:uiPriority w:val="99"/>
    <w:rPr>
      <w:rFonts w:ascii="Calibri" w:eastAsia="Calibri" w:hAnsi="Calibri" w:cs="Calibri"/>
      <w:color w:val="000000"/>
      <w:u w:color="000000"/>
      <w:lang w:val="bg-BG"/>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sz w:val="18"/>
      <w:szCs w:val="18"/>
      <w:lang w:val="bg-BG"/>
    </w:rPr>
  </w:style>
  <w:style w:type="paragraph" w:styleId="ListParagraph">
    <w:name w:val="List Paragraph"/>
    <w:qFormat/>
    <w:pPr>
      <w:spacing w:before="120" w:after="120" w:line="240" w:lineRule="auto"/>
      <w:ind w:left="720"/>
      <w:jc w:val="both"/>
    </w:pPr>
    <w:rPr>
      <w:rFonts w:ascii="Times New Roman" w:eastAsia="Arial Unicode MS" w:hAnsi="Arial Unicode MS" w:cs="Arial Unicode MS"/>
      <w:color w:val="000000"/>
      <w:sz w:val="24"/>
      <w:szCs w:val="24"/>
      <w:u w:color="000000"/>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Body">
    <w:name w:val="Body"/>
    <w:rPr>
      <w:rFonts w:ascii="Calibri" w:eastAsia="Calibri" w:hAnsi="Calibri" w:cs="Calibri"/>
      <w:color w:val="000000"/>
      <w:u w:color="000000"/>
    </w:rPr>
  </w:style>
  <w:style w:type="paragraph" w:customStyle="1" w:styleId="Pagedecouverture">
    <w:name w:val="Page de couverture"/>
    <w:next w:val="Body"/>
    <w:pPr>
      <w:spacing w:after="0" w:line="240" w:lineRule="auto"/>
      <w:jc w:val="both"/>
    </w:pPr>
    <w:rPr>
      <w:rFonts w:ascii="Times New Roman" w:eastAsia="Times New Roman" w:hAnsi="Times New Roman" w:cs="Times New Roman"/>
      <w:color w:val="000000"/>
      <w:sz w:val="24"/>
      <w:szCs w:val="24"/>
      <w:u w:color="000000"/>
    </w:rPr>
  </w:style>
  <w:style w:type="paragraph" w:customStyle="1" w:styleId="Annexetitre">
    <w:name w:val="Annexe titre"/>
    <w:next w:val="Body"/>
    <w:link w:val="AnnexetitreChar"/>
    <w:pPr>
      <w:spacing w:before="120" w:after="120" w:line="240" w:lineRule="auto"/>
      <w:jc w:val="center"/>
    </w:pPr>
    <w:rPr>
      <w:rFonts w:ascii="Times New Roman" w:eastAsia="Times New Roman" w:hAnsi="Times New Roman" w:cs="Times New Roman"/>
      <w:b/>
      <w:bCs/>
      <w:color w:val="000000"/>
      <w:sz w:val="24"/>
      <w:szCs w:val="24"/>
      <w:u w:val="single" w:color="000000"/>
    </w:rPr>
  </w:style>
  <w:style w:type="paragraph" w:customStyle="1" w:styleId="Heading">
    <w:name w:val="Heading"/>
    <w:next w:val="Text1"/>
    <w:pPr>
      <w:keepNext/>
      <w:tabs>
        <w:tab w:val="left" w:pos="850"/>
      </w:tabs>
      <w:spacing w:before="360" w:after="120" w:line="240" w:lineRule="auto"/>
      <w:ind w:left="850" w:hanging="850"/>
      <w:jc w:val="both"/>
      <w:outlineLvl w:val="0"/>
    </w:pPr>
    <w:rPr>
      <w:rFonts w:ascii="Times New Roman" w:eastAsia="Arial Unicode MS" w:hAnsi="Arial Unicode MS" w:cs="Arial Unicode MS"/>
      <w:b/>
      <w:bCs/>
      <w:smallCaps/>
      <w:color w:val="000000"/>
      <w:sz w:val="24"/>
      <w:szCs w:val="24"/>
      <w:u w:color="000000"/>
    </w:rPr>
  </w:style>
  <w:style w:type="paragraph" w:customStyle="1" w:styleId="NumPar2">
    <w:name w:val="NumPar 2"/>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Default">
    <w:name w:val="Default"/>
    <w:pPr>
      <w:spacing w:after="0" w:line="240" w:lineRule="auto"/>
    </w:pPr>
    <w:rPr>
      <w:rFonts w:ascii="Times New Roman" w:eastAsia="Times New Roman" w:hAnsi="Times New Roman" w:cs="Times New Roman"/>
      <w:color w:val="000000"/>
      <w:sz w:val="24"/>
      <w:szCs w:val="24"/>
      <w:u w:color="000000"/>
    </w:rPr>
  </w:style>
  <w:style w:type="paragraph" w:customStyle="1" w:styleId="NumPar1">
    <w:name w:val="NumPar 1"/>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NumPar3">
    <w:name w:val="NumPar 3"/>
    <w:next w:val="Text1"/>
    <w:pPr>
      <w:tabs>
        <w:tab w:val="left" w:pos="850"/>
      </w:tabs>
      <w:spacing w:before="120" w:after="120" w:line="240" w:lineRule="auto"/>
      <w:ind w:left="850" w:hanging="850"/>
      <w:jc w:val="both"/>
    </w:pPr>
    <w:rPr>
      <w:rFonts w:ascii="Times New Roman" w:eastAsia="Arial Unicode MS" w:hAnsi="Arial Unicode MS" w:cs="Arial Unicode MS"/>
      <w:color w:val="000000"/>
      <w:sz w:val="24"/>
      <w:szCs w:val="24"/>
      <w:u w:color="000000"/>
    </w:rPr>
  </w:style>
  <w:style w:type="paragraph" w:customStyle="1" w:styleId="TableParagraph">
    <w:name w:val="Table Paragraph"/>
    <w:pPr>
      <w:widowControl w:val="0"/>
      <w:spacing w:after="0" w:line="240" w:lineRule="auto"/>
    </w:pPr>
    <w:rPr>
      <w:rFonts w:ascii="Times New Roman" w:eastAsia="Arial Unicode MS" w:hAnsi="Arial Unicode MS" w:cs="Arial Unicode MS"/>
      <w:color w:val="000000"/>
      <w:u w:color="000000"/>
    </w:rPr>
  </w:style>
  <w:style w:type="character" w:styleId="CommentReference">
    <w:name w:val="annotation reference"/>
    <w:basedOn w:val="DefaultParagraphFont"/>
    <w:uiPriority w:val="99"/>
    <w:semiHidden/>
    <w:unhideWhenUsed/>
    <w:rPr>
      <w:sz w:val="16"/>
      <w:szCs w:val="16"/>
    </w:rPr>
  </w:style>
  <w:style w:type="numbering" w:customStyle="1" w:styleId="ImportedStyle2">
    <w:name w:val="Imported Style 2"/>
    <w:pPr>
      <w:numPr>
        <w:numId w:val="3"/>
      </w:numPr>
    </w:pPr>
  </w:style>
  <w:style w:type="numbering" w:customStyle="1" w:styleId="List0">
    <w:name w:val="List 0"/>
    <w:pPr>
      <w:numPr>
        <w:numId w:val="23"/>
      </w:numPr>
    </w:pPr>
  </w:style>
  <w:style w:type="numbering" w:customStyle="1" w:styleId="ImportedStyle1">
    <w:name w:val="Imported Style 1"/>
    <w:pPr>
      <w:numPr>
        <w:numId w:val="37"/>
      </w:numPr>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lang w:val="bg-BG"/>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AnnexetitreChar">
    <w:name w:val="Annexe titre Char"/>
    <w:basedOn w:val="DefaultParagraphFont"/>
    <w:link w:val="Annexetitre"/>
    <w:rPr>
      <w:rFonts w:ascii="Times New Roman" w:eastAsia="Times New Roman" w:hAnsi="Times New Roman" w:cs="Times New Roman"/>
      <w:b/>
      <w:bCs/>
      <w:color w:val="000000"/>
      <w:sz w:val="24"/>
      <w:szCs w:val="24"/>
      <w:u w:val="single" w:color="000000"/>
      <w:lang w:val="bg-BG"/>
    </w:rPr>
  </w:style>
  <w:style w:type="character" w:customStyle="1" w:styleId="FooterSensitivityChar">
    <w:name w:val="Footer Sensitivity Char"/>
    <w:basedOn w:val="AnnexetitreChar"/>
    <w:link w:val="FooterSensitivity"/>
    <w:rPr>
      <w:rFonts w:ascii="Times New Roman" w:eastAsia="Arial Unicode MS" w:hAnsi="Times New Roman" w:cs="Times New Roman"/>
      <w:b/>
      <w:bCs w:val="0"/>
      <w:color w:val="000000"/>
      <w:sz w:val="32"/>
      <w:szCs w:val="24"/>
      <w:u w:val="single" w:color="000000"/>
      <w:lang w:val="bg-BG"/>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ascii="Times New Roman" w:eastAsia="Arial Unicode MS" w:hAnsi="Times New Roman" w:cs="Times New Roman"/>
      <w:b w:val="0"/>
      <w:bCs w:val="0"/>
      <w:color w:val="000000"/>
      <w:sz w:val="24"/>
      <w:szCs w:val="24"/>
      <w:u w:val="single" w:color="000000"/>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ascii="Times New Roman" w:eastAsia="Arial Unicode MS" w:hAnsi="Times New Roman" w:cs="Times New Roman"/>
      <w:b/>
      <w:bCs w:val="0"/>
      <w:color w:val="000000"/>
      <w:sz w:val="32"/>
      <w:szCs w:val="24"/>
      <w:u w:val="single" w:color="000000"/>
      <w:lang w:val="bg-BG"/>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AnnexetitreChar"/>
    <w:link w:val="HeaderSensitivityRight"/>
    <w:rPr>
      <w:rFonts w:ascii="Times New Roman" w:eastAsia="Arial Unicode MS" w:hAnsi="Times New Roman" w:cs="Times New Roman"/>
      <w:b w:val="0"/>
      <w:bCs w:val="0"/>
      <w:color w:val="000000"/>
      <w:sz w:val="28"/>
      <w:szCs w:val="24"/>
      <w:u w:val="single" w:color="00000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12186</Words>
  <Characters>70315</Characters>
  <Application>Microsoft Office Word</Application>
  <DocSecurity>0</DocSecurity>
  <Lines>4136</Lines>
  <Paragraphs>1145</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81356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WES PDFC Administrator</cp:lastModifiedBy>
  <cp:revision>7</cp:revision>
  <dcterms:created xsi:type="dcterms:W3CDTF">2020-10-01T07:36:00Z</dcterms:created>
  <dcterms:modified xsi:type="dcterms:W3CDTF">2020-10-15T12:14:00Z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ies>
</file>