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B9CB52F-3AFB-44F0-8E75-EA890243B5DA" style="width:450.75pt;height:474.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Annexetitre"/>
        <w:spacing w:before="100" w:after="100"/>
        <w:rPr>
          <w:noProof/>
        </w:rPr>
      </w:pPr>
      <w:bookmarkStart w:id="1" w:name="_GoBack"/>
      <w:bookmarkEnd w:id="1"/>
      <w:r>
        <w:rPr>
          <w:noProof/>
        </w:rPr>
        <w:lastRenderedPageBreak/>
        <w:t>ANNEXE</w:t>
      </w:r>
    </w:p>
    <w:p>
      <w:pPr>
        <w:pStyle w:val="Annexetitre"/>
        <w:spacing w:before="100" w:after="100"/>
        <w:rPr>
          <w:noProof/>
        </w:rPr>
      </w:pPr>
      <w:r>
        <w:rPr>
          <w:noProof/>
        </w:rPr>
        <w:t>Différences à notifier à l’Organisation de l’aviation civile internationale en ce qui concerne un certain nombre d’amendements adoptés aux annexes de la convention de Chicago</w:t>
      </w:r>
    </w:p>
    <w:p>
      <w:pPr>
        <w:pStyle w:val="Heading"/>
        <w:numPr>
          <w:ilvl w:val="0"/>
          <w:numId w:val="2"/>
        </w:numPr>
        <w:spacing w:before="100" w:after="100"/>
        <w:ind w:left="850" w:hanging="850"/>
        <w:rPr>
          <w:rFonts w:hAnsi="Times New Roman" w:cs="Times New Roman"/>
          <w:noProof/>
        </w:rPr>
      </w:pPr>
      <w:r>
        <w:rPr>
          <w:rFonts w:hAnsi="Times New Roman" w:cs="Times New Roman"/>
          <w:noProof/>
        </w:rPr>
        <w:t>Différences à notifier</w:t>
      </w:r>
    </w:p>
    <w:p>
      <w:pPr>
        <w:pStyle w:val="Body"/>
        <w:spacing w:before="100" w:after="10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Lors de sa 219</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session, qui s’est tenue du 2 mars au 20 mars 2020, le Conseil de l’OACI a adopté un certain nombre d’amendements à diverses annexes de la convention de Chicago, dans les domaines de la sécurité, de l’environnement et de la navigation aérienne. Dans ce contexte, eu égard à la législation pertinente de l’Union, il convient de notifier les différences à l’OACI comme suit:</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 176 à l’annexe 1 relative aux licences du personnel</w:t>
      </w:r>
    </w:p>
    <w:p>
      <w:pPr>
        <w:pStyle w:val="Text1"/>
        <w:spacing w:before="100" w:after="100"/>
        <w:ind w:left="0"/>
        <w:rPr>
          <w:rFonts w:hAnsi="Times New Roman" w:cs="Times New Roman"/>
          <w:noProof/>
        </w:rPr>
      </w:pPr>
      <w:r>
        <w:rPr>
          <w:rFonts w:hAnsi="Times New Roman" w:cs="Times New Roman"/>
          <w:noProof/>
        </w:rPr>
        <w:t>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 79 à l’annexe 3 relative à l’assistance météorologique à la navigation aérienne internationale</w:t>
      </w:r>
    </w:p>
    <w:p>
      <w:pPr>
        <w:pStyle w:val="NumPar2"/>
        <w:spacing w:before="100" w:after="100"/>
        <w:ind w:left="0" w:firstLine="0"/>
        <w:rPr>
          <w:rFonts w:hAnsi="Times New Roman" w:cs="Times New Roman"/>
          <w:noProof/>
        </w:rPr>
      </w:pPr>
      <w:r>
        <w:rPr>
          <w:rFonts w:hAnsi="Times New Roman" w:cs="Times New Roman"/>
          <w:noProof/>
        </w:rPr>
        <w:t>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Amendements 44, 37 et 23, respectivement aux parties I, II et III de l’annexe 6 relative à l'exploitation technique des aéronefs</w:t>
      </w:r>
    </w:p>
    <w:p>
      <w:pPr>
        <w:pStyle w:val="Text1"/>
        <w:spacing w:before="100" w:after="100"/>
        <w:ind w:left="0"/>
        <w:jc w:val="left"/>
        <w:rPr>
          <w:rFonts w:hAnsi="Times New Roman" w:cs="Times New Roman"/>
          <w:noProof/>
        </w:rPr>
      </w:pPr>
      <w:r>
        <w:rPr>
          <w:rFonts w:hAnsi="Times New Roman" w:cs="Times New Roman"/>
          <w:noProof/>
        </w:rPr>
        <w:t xml:space="preserve">Partie I: Différences à notifier </w:t>
      </w:r>
      <w:r>
        <w:rPr>
          <w:rFonts w:hAnsi="Times New Roman" w:cs="Times New Roman"/>
          <w:noProof/>
        </w:rPr>
        <w:br/>
        <w:t xml:space="preserve">Partie II: Différences à notifier </w:t>
      </w:r>
      <w:r>
        <w:rPr>
          <w:rFonts w:hAnsi="Times New Roman" w:cs="Times New Roman"/>
          <w:noProof/>
        </w:rPr>
        <w:br/>
        <w:t>Partie III: 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 92 à l’annexe 10 relative aux télécommunications aéronautiques, volume I et volume II</w:t>
      </w:r>
    </w:p>
    <w:p>
      <w:pPr>
        <w:pStyle w:val="Text1"/>
        <w:spacing w:before="100" w:after="100"/>
        <w:ind w:left="0"/>
        <w:jc w:val="left"/>
        <w:rPr>
          <w:rFonts w:hAnsi="Times New Roman" w:cs="Times New Roman"/>
          <w:noProof/>
        </w:rPr>
      </w:pPr>
      <w:r>
        <w:rPr>
          <w:rFonts w:hAnsi="Times New Roman" w:cs="Times New Roman"/>
          <w:noProof/>
        </w:rPr>
        <w:t xml:space="preserve">Volume I: Différences à notifier </w:t>
      </w:r>
      <w:r>
        <w:rPr>
          <w:rFonts w:hAnsi="Times New Roman" w:cs="Times New Roman"/>
          <w:noProof/>
        </w:rPr>
        <w:br/>
        <w:t>Volume II: 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 52 à l’annexe 11 relative aux services de la circulation aérienne</w:t>
      </w:r>
    </w:p>
    <w:p>
      <w:pPr>
        <w:pStyle w:val="Text1"/>
        <w:spacing w:before="100" w:after="100"/>
        <w:ind w:left="0"/>
        <w:rPr>
          <w:rFonts w:hAnsi="Times New Roman" w:cs="Times New Roman"/>
          <w:noProof/>
        </w:rPr>
      </w:pPr>
      <w:r>
        <w:rPr>
          <w:rFonts w:hAnsi="Times New Roman" w:cs="Times New Roman"/>
          <w:noProof/>
        </w:rPr>
        <w:t>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Amendements 15 et 9 à l’annexe 14 relative aux aérodromes, volume I et volume II</w:t>
      </w:r>
    </w:p>
    <w:p>
      <w:pPr>
        <w:pStyle w:val="NumPar2"/>
        <w:spacing w:before="100" w:after="100"/>
        <w:ind w:left="0" w:firstLine="0"/>
        <w:jc w:val="left"/>
        <w:rPr>
          <w:rFonts w:hAnsi="Times New Roman" w:cs="Times New Roman"/>
          <w:noProof/>
        </w:rPr>
      </w:pPr>
      <w:r>
        <w:rPr>
          <w:rFonts w:hAnsi="Times New Roman" w:cs="Times New Roman"/>
          <w:noProof/>
        </w:rPr>
        <w:t xml:space="preserve">Volume I: Différences à notifier </w:t>
      </w:r>
      <w:r>
        <w:rPr>
          <w:rFonts w:hAnsi="Times New Roman" w:cs="Times New Roman"/>
          <w:noProof/>
        </w:rPr>
        <w:br/>
        <w:t>Volume II: Différences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 41 à l’annexe 15</w:t>
      </w:r>
    </w:p>
    <w:p>
      <w:pPr>
        <w:pStyle w:val="Text1"/>
        <w:spacing w:before="100" w:after="100"/>
        <w:ind w:left="0"/>
        <w:rPr>
          <w:rFonts w:hAnsi="Times New Roman" w:cs="Times New Roman"/>
          <w:noProof/>
        </w:rPr>
      </w:pPr>
      <w:r>
        <w:rPr>
          <w:rFonts w:hAnsi="Times New Roman" w:cs="Times New Roman"/>
          <w:noProof/>
        </w:rPr>
        <w:t>Différence à notifier</w:t>
      </w:r>
    </w:p>
    <w:p>
      <w:pPr>
        <w:pStyle w:val="NumPar2"/>
        <w:numPr>
          <w:ilvl w:val="1"/>
          <w:numId w:val="4"/>
        </w:numPr>
        <w:spacing w:before="100" w:after="100"/>
        <w:ind w:left="850" w:hanging="850"/>
        <w:rPr>
          <w:rFonts w:hAnsi="Times New Roman" w:cs="Times New Roman"/>
          <w:noProof/>
        </w:rPr>
      </w:pPr>
      <w:r>
        <w:rPr>
          <w:rFonts w:hAnsi="Times New Roman" w:cs="Times New Roman"/>
          <w:noProof/>
        </w:rPr>
        <w:t>Amendements 13, 10 et 1 à l’annexe 16 relative à la protection de l’environnement, volumes I, II et III</w:t>
      </w:r>
    </w:p>
    <w:p>
      <w:pPr>
        <w:pStyle w:val="Body"/>
        <w:spacing w:before="100" w:after="100"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Volume I: Différences à notifier</w:t>
      </w:r>
      <w:r>
        <w:rPr>
          <w:rFonts w:ascii="Times New Roman" w:hAnsi="Times New Roman" w:cs="Times New Roman"/>
          <w:noProof/>
        </w:rPr>
        <w:t xml:space="preserve"> </w:t>
      </w:r>
      <w:r>
        <w:rPr>
          <w:rFonts w:ascii="Times New Roman" w:hAnsi="Times New Roman" w:cs="Times New Roman"/>
          <w:noProof/>
        </w:rPr>
        <w:br/>
      </w:r>
      <w:r>
        <w:rPr>
          <w:rFonts w:ascii="Times New Roman" w:hAnsi="Times New Roman" w:cs="Times New Roman"/>
          <w:noProof/>
          <w:sz w:val="24"/>
          <w:szCs w:val="24"/>
        </w:rPr>
        <w:t>Volume II: Différences à notifier</w:t>
      </w:r>
      <w:r>
        <w:rPr>
          <w:rFonts w:ascii="Times New Roman" w:hAnsi="Times New Roman" w:cs="Times New Roman"/>
          <w:noProof/>
        </w:rPr>
        <w:t xml:space="preserve"> </w:t>
      </w:r>
      <w:r>
        <w:rPr>
          <w:rFonts w:ascii="Times New Roman" w:hAnsi="Times New Roman" w:cs="Times New Roman"/>
          <w:noProof/>
        </w:rPr>
        <w:br/>
      </w:r>
      <w:r>
        <w:rPr>
          <w:rFonts w:ascii="Times New Roman" w:hAnsi="Times New Roman" w:cs="Times New Roman"/>
          <w:noProof/>
          <w:sz w:val="24"/>
          <w:szCs w:val="24"/>
        </w:rPr>
        <w:t>Volume III: Différences à notifier</w:t>
      </w:r>
    </w:p>
    <w:p>
      <w:pPr>
        <w:pStyle w:val="Body"/>
        <w:rPr>
          <w:rFonts w:ascii="Times New Roman" w:hAnsi="Times New Roman" w:cs="Times New Roman"/>
          <w:noProof/>
        </w:rPr>
      </w:pPr>
      <w:r>
        <w:rPr>
          <w:rFonts w:ascii="Times New Roman" w:hAnsi="Times New Roman" w:cs="Times New Roman"/>
          <w:noProof/>
        </w:rPr>
        <w:br w:type="page"/>
      </w:r>
    </w:p>
    <w:p>
      <w:pPr>
        <w:pStyle w:val="Heading"/>
        <w:numPr>
          <w:ilvl w:val="0"/>
          <w:numId w:val="2"/>
        </w:numPr>
        <w:spacing w:before="100" w:after="100"/>
        <w:ind w:left="850" w:hanging="850"/>
        <w:rPr>
          <w:rFonts w:hAnsi="Times New Roman" w:cs="Times New Roman"/>
          <w:noProof/>
        </w:rPr>
      </w:pPr>
      <w:r>
        <w:rPr>
          <w:rFonts w:hAnsi="Times New Roman" w:cs="Times New Roman"/>
          <w:noProof/>
        </w:rPr>
        <w:t>Description des différences à notifier</w:t>
      </w:r>
    </w:p>
    <w:p>
      <w:pPr>
        <w:pStyle w:val="Heading2"/>
        <w:numPr>
          <w:ilvl w:val="1"/>
          <w:numId w:val="2"/>
        </w:numPr>
        <w:spacing w:before="100" w:after="100"/>
        <w:ind w:left="850" w:hanging="850"/>
        <w:rPr>
          <w:rFonts w:eastAsia="Arial Unicode MS" w:hAnsi="Times New Roman" w:cs="Times New Roman"/>
          <w:noProof/>
        </w:rPr>
      </w:pPr>
      <w:r>
        <w:rPr>
          <w:rFonts w:hAnsi="Times New Roman" w:cs="Times New Roman"/>
          <w:noProof/>
        </w:rPr>
        <w:t>Amendement 176 à l’annexe 1 relative aux licences du personnel</w:t>
      </w:r>
    </w:p>
    <w:p>
      <w:pPr>
        <w:pStyle w:val="Heading3"/>
        <w:numPr>
          <w:ilvl w:val="2"/>
          <w:numId w:val="2"/>
        </w:numPr>
        <w:spacing w:before="100" w:after="100"/>
        <w:ind w:left="850" w:hanging="850"/>
        <w:rPr>
          <w:rFonts w:eastAsia="Arial Unicode MS" w:hAnsi="Times New Roman" w:cs="Times New Roman"/>
          <w:noProof/>
        </w:rPr>
      </w:pPr>
      <w:r>
        <w:rPr>
          <w:rFonts w:hAnsi="Times New Roman" w:cs="Times New Roman"/>
          <w:noProof/>
        </w:rPr>
        <w:t>Description</w:t>
      </w:r>
    </w:p>
    <w:p>
      <w:pPr>
        <w:pStyle w:val="Text1"/>
        <w:spacing w:before="100" w:after="100"/>
        <w:ind w:left="0"/>
        <w:rPr>
          <w:rFonts w:hAnsi="Times New Roman" w:cs="Times New Roman"/>
          <w:noProof/>
        </w:rPr>
      </w:pPr>
      <w:r>
        <w:rPr>
          <w:rFonts w:hAnsi="Times New Roman" w:cs="Times New Roman"/>
          <w:noProof/>
        </w:rPr>
        <w:t>L’amendement découle de recommandations émises par le groupe spécial sur l’évaluation de la formation axée sur les compétences et par le secrétariat de l’OACI, porte sur l’alignement sur l’amendement 5 des Procédures pour les services de navigation aérienne — Formation (PANS-TRG, Doc 9868)/ nouvelles définitions, met à jour les exigences applicables aux contrôleurs d’exploitation aérienne/régulateurs, prévoit un amendement aux dispositions relatives aux aéronefs à sustentation motorisée ainsi qu’au report de leur applicabilité et introduit des dispositions relatives aux instructeurs des formations sur le tas sur le contrôle du trafic aérien.</w:t>
      </w:r>
    </w:p>
    <w:p>
      <w:pPr>
        <w:pStyle w:val="Heading3"/>
        <w:numPr>
          <w:ilvl w:val="2"/>
          <w:numId w:val="2"/>
        </w:numPr>
        <w:spacing w:before="100" w:after="100"/>
        <w:ind w:left="850" w:hanging="850"/>
        <w:rPr>
          <w:rFonts w:eastAsia="Arial Unicode MS" w:hAnsi="Times New Roman" w:cs="Times New Roman"/>
          <w:noProof/>
        </w:rPr>
      </w:pPr>
      <w:r>
        <w:rPr>
          <w:rFonts w:hAnsi="Times New Roman" w:cs="Times New Roman"/>
          <w:noProof/>
        </w:rPr>
        <w:t>Dispositions applicables du droit de l’Union</w:t>
      </w:r>
    </w:p>
    <w:p>
      <w:pPr>
        <w:pStyle w:val="Text1"/>
        <w:spacing w:before="100" w:after="100"/>
        <w:ind w:left="0"/>
        <w:rPr>
          <w:rFonts w:hAnsi="Times New Roman" w:cs="Times New Roman"/>
          <w:noProof/>
        </w:rPr>
      </w:pPr>
      <w:r>
        <w:rPr>
          <w:rFonts w:hAnsi="Times New Roman" w:cs="Times New Roman"/>
          <w:noProof/>
        </w:rPr>
        <w:t>Règlement (UE) nº 1178/2011 de la Commission</w:t>
      </w:r>
      <w:r>
        <w:rPr>
          <w:rFonts w:hAnsi="Times New Roman" w:cs="Times New Roman"/>
          <w:noProof/>
          <w:vertAlign w:val="superscript"/>
        </w:rPr>
        <w:footnoteReference w:id="1"/>
      </w:r>
    </w:p>
    <w:p>
      <w:pPr>
        <w:pStyle w:val="Text1"/>
        <w:spacing w:before="100" w:after="100"/>
        <w:ind w:left="0"/>
        <w:rPr>
          <w:rFonts w:hAnsi="Times New Roman" w:cs="Times New Roman"/>
          <w:noProof/>
        </w:rPr>
      </w:pPr>
      <w:r>
        <w:rPr>
          <w:rFonts w:hAnsi="Times New Roman" w:cs="Times New Roman"/>
          <w:noProof/>
        </w:rPr>
        <w:t>Règlement (UE) 2015/340 de la Commission</w:t>
      </w:r>
      <w:r>
        <w:rPr>
          <w:rFonts w:hAnsi="Times New Roman" w:cs="Times New Roman"/>
          <w:noProof/>
          <w:vertAlign w:val="superscript"/>
        </w:rPr>
        <w:footnoteReference w:id="2"/>
      </w:r>
    </w:p>
    <w:p>
      <w:pPr>
        <w:pStyle w:val="Heading3"/>
        <w:widowControl w:val="0"/>
        <w:numPr>
          <w:ilvl w:val="2"/>
          <w:numId w:val="2"/>
        </w:numPr>
        <w:spacing w:before="100" w:after="100"/>
        <w:ind w:left="850" w:hanging="850"/>
        <w:rPr>
          <w:rFonts w:eastAsia="Arial Unicode MS" w:hAnsi="Times New Roman" w:cs="Times New Roman"/>
          <w:noProof/>
        </w:rPr>
      </w:pPr>
      <w:r>
        <w:rPr>
          <w:rFonts w:hAnsi="Times New Roman" w:cs="Times New Roman"/>
          <w:noProof/>
        </w:rPr>
        <w:t>Tableau des différences à notifier pour l’amendement 176 de l’annexe 1</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5"/>
        <w:gridCol w:w="1253"/>
        <w:gridCol w:w="2805"/>
        <w:gridCol w:w="3001"/>
      </w:tblGrid>
      <w:tr>
        <w:trPr>
          <w:trHeight w:val="7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rFonts w:asciiTheme="minorHAnsi" w:hAnsiTheme="minorHAnsi" w:cstheme="minorHAnsi"/>
                <w:noProof/>
              </w:rPr>
            </w:pPr>
            <w:r>
              <w:rPr>
                <w:rFonts w:asciiTheme="minorHAnsi" w:hAnsiTheme="minorHAnsi" w:cstheme="minorHAnsi"/>
                <w:b/>
                <w:bCs/>
                <w:noProof/>
              </w:rPr>
              <w:t>Disposition de l’annexe</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rFonts w:asciiTheme="minorHAnsi" w:hAnsiTheme="minorHAnsi" w:cstheme="minorHAnsi"/>
                <w:noProof/>
              </w:rPr>
            </w:pPr>
            <w:r>
              <w:rPr>
                <w:rFonts w:asciiTheme="minorHAnsi" w:hAnsiTheme="minorHAnsi" w:cstheme="minorHAnsi"/>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rFonts w:asciiTheme="minorHAnsi" w:hAnsiTheme="minorHAnsi" w:cstheme="minorHAnsi"/>
                <w:noProof/>
              </w:rPr>
            </w:pPr>
            <w:r>
              <w:rPr>
                <w:rFonts w:asciiTheme="minorHAnsi" w:hAnsiTheme="minorHAnsi" w:cstheme="minorHAnsi"/>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rFonts w:asciiTheme="minorHAnsi" w:hAnsiTheme="minorHAnsi" w:cstheme="minorHAnsi"/>
                <w:noProof/>
              </w:rPr>
            </w:pPr>
            <w:r>
              <w:rPr>
                <w:rFonts w:asciiTheme="minorHAnsi" w:hAnsiTheme="minorHAnsi" w:cstheme="minorHAnsi"/>
                <w:b/>
                <w:bCs/>
                <w:noProof/>
              </w:rPr>
              <w:t>Remarques</w:t>
            </w:r>
          </w:p>
        </w:tc>
      </w:tr>
      <w:tr>
        <w:trPr>
          <w:trHeight w:val="40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CHAPITRE 1. DÉFINITIONS ET RÈGLES GÉNÉRALES RELATIVES À LA DÉLIVRANCE DES LICENCES</w:t>
            </w:r>
          </w:p>
          <w:p>
            <w:pPr>
              <w:pStyle w:val="Body"/>
              <w:spacing w:line="240" w:lineRule="auto"/>
              <w:jc w:val="both"/>
              <w:rPr>
                <w:rFonts w:asciiTheme="minorHAnsi" w:hAnsiTheme="minorHAnsi" w:cstheme="minorHAnsi"/>
                <w:noProof/>
              </w:rPr>
            </w:pPr>
            <w:r>
              <w:rPr>
                <w:rFonts w:asciiTheme="minorHAnsi" w:hAnsiTheme="minorHAnsi" w:cstheme="minorHAnsi"/>
                <w:noProof/>
              </w:rPr>
              <w:t>1.1 Définitions</w:t>
            </w:r>
          </w:p>
          <w:p>
            <w:pPr>
              <w:pStyle w:val="Body"/>
              <w:spacing w:after="0" w:line="240" w:lineRule="auto"/>
              <w:jc w:val="both"/>
              <w:rPr>
                <w:rFonts w:asciiTheme="minorHAnsi" w:hAnsiTheme="minorHAnsi" w:cstheme="minorHAnsi"/>
                <w:noProof/>
              </w:rPr>
            </w:pPr>
            <w:r>
              <w:rPr>
                <w:rFonts w:asciiTheme="minorHAnsi" w:hAnsiTheme="minorHAnsi" w:cstheme="minorHAnsi"/>
                <w:noProof/>
              </w:rPr>
              <w:t>Compétence</w:t>
            </w:r>
          </w:p>
          <w:p>
            <w:pPr>
              <w:pStyle w:val="Body"/>
              <w:spacing w:after="0" w:line="240" w:lineRule="auto"/>
              <w:jc w:val="both"/>
              <w:rPr>
                <w:rFonts w:asciiTheme="minorHAnsi" w:hAnsiTheme="minorHAnsi" w:cstheme="minorHAnsi"/>
                <w:noProof/>
              </w:rPr>
            </w:pPr>
            <w:r>
              <w:rPr>
                <w:rFonts w:asciiTheme="minorHAnsi" w:hAnsiTheme="minorHAnsi" w:cstheme="minorHAnsi"/>
                <w:noProof/>
              </w:rPr>
              <w:t>Élément de compétence</w:t>
            </w:r>
          </w:p>
          <w:p>
            <w:pPr>
              <w:pStyle w:val="Body"/>
              <w:spacing w:after="0" w:line="240" w:lineRule="auto"/>
              <w:jc w:val="both"/>
              <w:rPr>
                <w:rFonts w:asciiTheme="minorHAnsi" w:hAnsiTheme="minorHAnsi" w:cstheme="minorHAnsi"/>
                <w:noProof/>
              </w:rPr>
            </w:pPr>
            <w:r>
              <w:rPr>
                <w:rFonts w:asciiTheme="minorHAnsi" w:hAnsiTheme="minorHAnsi" w:cstheme="minorHAnsi"/>
                <w:noProof/>
              </w:rPr>
              <w:t>Unité de compétence</w:t>
            </w:r>
          </w:p>
          <w:p>
            <w:pPr>
              <w:pStyle w:val="Body"/>
              <w:spacing w:after="0" w:line="240" w:lineRule="auto"/>
              <w:jc w:val="both"/>
              <w:rPr>
                <w:rFonts w:asciiTheme="minorHAnsi" w:hAnsiTheme="minorHAnsi" w:cstheme="minorHAnsi"/>
                <w:noProof/>
              </w:rPr>
            </w:pPr>
            <w:r>
              <w:rPr>
                <w:rFonts w:asciiTheme="minorHAnsi" w:hAnsiTheme="minorHAnsi" w:cstheme="minorHAnsi"/>
                <w:noProof/>
              </w:rPr>
              <w:t>Gestion des erreurs Critères de performance Gestion des menaces</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rFonts w:asciiTheme="minorHAnsi" w:hAnsiTheme="minorHAnsi" w:cstheme="minorHAnsi"/>
                <w:noProof/>
              </w:rPr>
            </w:pPr>
            <w:r>
              <w:rPr>
                <w:rFonts w:asciiTheme="minorHAnsi" w:hAnsiTheme="minorHAnsi" w:cstheme="minorHAnsi"/>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rFonts w:asciiTheme="minorHAnsi" w:hAnsiTheme="minorHAnsi" w:cstheme="minorHAnsi"/>
                <w:b/>
                <w:bCs/>
                <w:noProof/>
              </w:rPr>
            </w:pPr>
            <w:r>
              <w:rPr>
                <w:rFonts w:asciiTheme="minorHAnsi" w:hAnsiTheme="minorHAnsi" w:cstheme="minorHAnsi"/>
                <w:noProof/>
              </w:rPr>
              <w:t>Le règlement (UE) 1178/2011 inclut ces définitions conformément à l’annexe 1 de l’OACI dans sa 12</w:t>
            </w:r>
            <w:r>
              <w:rPr>
                <w:rFonts w:asciiTheme="minorHAnsi" w:hAnsiTheme="minorHAnsi" w:cstheme="minorHAnsi"/>
                <w:noProof/>
                <w:vertAlign w:val="superscript"/>
              </w:rPr>
              <w:t>e</w:t>
            </w:r>
            <w:r>
              <w:rPr>
                <w:rFonts w:asciiTheme="minorHAnsi" w:hAnsiTheme="minorHAnsi" w:cstheme="minorHAnsi"/>
                <w:noProof/>
              </w:rPr>
              <w:t> édition de 2018.</w:t>
            </w:r>
          </w:p>
          <w:p>
            <w:pPr>
              <w:pStyle w:val="Body"/>
              <w:spacing w:after="0" w:line="240" w:lineRule="auto"/>
              <w:jc w:val="both"/>
              <w:rPr>
                <w:rFonts w:asciiTheme="minorHAnsi" w:hAnsiTheme="minorHAnsi" w:cstheme="minorHAnsi"/>
                <w:b/>
                <w:bCs/>
                <w:noProof/>
              </w:rPr>
            </w:pPr>
          </w:p>
          <w:p>
            <w:pPr>
              <w:pStyle w:val="Body"/>
              <w:spacing w:line="240" w:lineRule="auto"/>
              <w:jc w:val="both"/>
              <w:rPr>
                <w:rFonts w:asciiTheme="minorHAnsi" w:hAnsiTheme="minorHAnsi" w:cstheme="minorHAnsi"/>
                <w:noProof/>
              </w:rPr>
            </w:pPr>
            <w:r>
              <w:rPr>
                <w:rFonts w:asciiTheme="minorHAnsi" w:hAnsiTheme="minorHAnsi" w:cstheme="minorHAnsi"/>
                <w:noProof/>
              </w:rPr>
              <w:t>Le règlement (UE) 2015/340 n’inclut pas les définitions citées.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Pour traiter les questions rédactionnelles, il est prévu d’adopter une modification du règlement (UE) nº 1178/2011 dans le cadre du mandat de réglementation RMT.0587, «Mise à jour régulière des règles relatives à la formation, aux essais et aux contrôles des pilotes et à la supervision y afférente».</w:t>
            </w:r>
          </w:p>
          <w:p>
            <w:pPr>
              <w:pStyle w:val="Body"/>
              <w:spacing w:line="240" w:lineRule="auto"/>
              <w:jc w:val="both"/>
              <w:rPr>
                <w:rFonts w:asciiTheme="minorHAnsi" w:hAnsiTheme="minorHAnsi" w:cstheme="minorHAnsi"/>
                <w:noProof/>
              </w:rPr>
            </w:pPr>
            <w:r>
              <w:rPr>
                <w:rFonts w:asciiTheme="minorHAnsi" w:hAnsiTheme="minorHAnsi" w:cstheme="minorHAnsi"/>
                <w:noProof/>
              </w:rPr>
              <w:t>Une modification du règlement (UE) 2015/340 sera envisagée à l’avenir dans le cadre du mandat de réglementation RMT.0668, «Mise à jour régulière des règles relatives à la délivrance des licences des contrôleurs de la circulation aérienne».</w:t>
            </w:r>
          </w:p>
        </w:tc>
      </w:tr>
      <w:tr>
        <w:trPr>
          <w:trHeight w:val="44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CHAPITRE 1. DÉFINITIONS ET RÈGLES GÉNÉRALES RELATIVES À LA DÉLIVRANCE DES LICENCES</w:t>
            </w:r>
          </w:p>
          <w:p>
            <w:pPr>
              <w:pStyle w:val="Body"/>
              <w:spacing w:line="240" w:lineRule="auto"/>
              <w:jc w:val="both"/>
              <w:rPr>
                <w:rFonts w:asciiTheme="minorHAnsi" w:hAnsiTheme="minorHAnsi" w:cstheme="minorHAnsi"/>
                <w:noProof/>
              </w:rPr>
            </w:pPr>
            <w:r>
              <w:rPr>
                <w:rFonts w:asciiTheme="minorHAnsi" w:hAnsiTheme="minorHAnsi" w:cstheme="minorHAnsi"/>
                <w:noProof/>
              </w:rPr>
              <w:t>1.1 Définitions</w:t>
            </w:r>
          </w:p>
          <w:p>
            <w:pPr>
              <w:pStyle w:val="Body"/>
              <w:spacing w:after="0" w:line="240" w:lineRule="auto"/>
              <w:jc w:val="both"/>
              <w:rPr>
                <w:rFonts w:asciiTheme="minorHAnsi" w:hAnsiTheme="minorHAnsi" w:cstheme="minorHAnsi"/>
                <w:noProof/>
              </w:rPr>
            </w:pPr>
            <w:r>
              <w:rPr>
                <w:rFonts w:asciiTheme="minorHAnsi" w:hAnsiTheme="minorHAnsi" w:cstheme="minorHAnsi"/>
                <w:noProof/>
              </w:rPr>
              <w:t>Formation et évaluation fondées sur les compétences</w:t>
            </w:r>
          </w:p>
          <w:p>
            <w:pPr>
              <w:pStyle w:val="Body"/>
              <w:spacing w:after="0" w:line="240" w:lineRule="auto"/>
              <w:jc w:val="both"/>
              <w:rPr>
                <w:rFonts w:asciiTheme="minorHAnsi" w:hAnsiTheme="minorHAnsi" w:cstheme="minorHAnsi"/>
                <w:noProof/>
              </w:rPr>
            </w:pPr>
            <w:r>
              <w:rPr>
                <w:rFonts w:asciiTheme="minorHAnsi" w:hAnsiTheme="minorHAnsi" w:cstheme="minorHAnsi"/>
                <w:noProof/>
              </w:rPr>
              <w:t>Norme de compétence Conditions</w:t>
            </w:r>
          </w:p>
          <w:p>
            <w:pPr>
              <w:pStyle w:val="Body"/>
              <w:spacing w:after="0" w:line="240" w:lineRule="auto"/>
              <w:jc w:val="both"/>
              <w:rPr>
                <w:rFonts w:asciiTheme="minorHAnsi" w:hAnsiTheme="minorHAnsi" w:cstheme="minorHAnsi"/>
                <w:noProof/>
              </w:rPr>
            </w:pPr>
            <w:r>
              <w:rPr>
                <w:rFonts w:asciiTheme="minorHAnsi" w:hAnsiTheme="minorHAnsi" w:cstheme="minorHAnsi"/>
                <w:noProof/>
              </w:rPr>
              <w:t>Cadre de compétences de l’OACI</w:t>
            </w:r>
          </w:p>
          <w:p>
            <w:pPr>
              <w:pStyle w:val="Body"/>
              <w:spacing w:after="0" w:line="240" w:lineRule="auto"/>
              <w:jc w:val="both"/>
              <w:rPr>
                <w:rFonts w:asciiTheme="minorHAnsi" w:hAnsiTheme="minorHAnsi" w:cstheme="minorHAnsi"/>
                <w:noProof/>
              </w:rPr>
            </w:pPr>
            <w:r>
              <w:rPr>
                <w:rFonts w:asciiTheme="minorHAnsi" w:hAnsiTheme="minorHAnsi" w:cstheme="minorHAnsi"/>
                <w:noProof/>
              </w:rPr>
              <w:t>Suivi</w:t>
            </w:r>
          </w:p>
          <w:p>
            <w:pPr>
              <w:pStyle w:val="Body"/>
              <w:spacing w:after="0" w:line="240" w:lineRule="auto"/>
              <w:jc w:val="both"/>
              <w:rPr>
                <w:rFonts w:asciiTheme="minorHAnsi" w:hAnsiTheme="minorHAnsi" w:cstheme="minorHAnsi"/>
                <w:noProof/>
              </w:rPr>
            </w:pPr>
            <w:r>
              <w:rPr>
                <w:rFonts w:asciiTheme="minorHAnsi" w:hAnsiTheme="minorHAnsi" w:cstheme="minorHAnsi"/>
                <w:noProof/>
              </w:rPr>
              <w:t>Comportement observable</w:t>
            </w:r>
          </w:p>
          <w:p>
            <w:pPr>
              <w:pStyle w:val="Body"/>
              <w:spacing w:after="0" w:line="240" w:lineRule="auto"/>
              <w:jc w:val="both"/>
              <w:rPr>
                <w:rFonts w:asciiTheme="minorHAnsi" w:hAnsiTheme="minorHAnsi" w:cstheme="minorHAnsi"/>
                <w:noProof/>
              </w:rPr>
            </w:pPr>
            <w:r>
              <w:rPr>
                <w:rFonts w:asciiTheme="minorHAnsi" w:hAnsiTheme="minorHAnsi" w:cstheme="minorHAnsi"/>
                <w:noProof/>
              </w:rPr>
              <w:t>Pilote aux commandes</w:t>
            </w:r>
          </w:p>
          <w:p>
            <w:pPr>
              <w:pStyle w:val="Body"/>
              <w:spacing w:after="0" w:line="240" w:lineRule="auto"/>
              <w:jc w:val="both"/>
              <w:rPr>
                <w:rFonts w:asciiTheme="minorHAnsi" w:hAnsiTheme="minorHAnsi" w:cstheme="minorHAnsi"/>
                <w:noProof/>
              </w:rPr>
            </w:pPr>
            <w:r>
              <w:rPr>
                <w:rFonts w:asciiTheme="minorHAnsi" w:hAnsiTheme="minorHAnsi" w:cstheme="minorHAnsi"/>
                <w:noProof/>
              </w:rPr>
              <w:t>Pilote non aux commandes</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réglementation de l’UE n’inclut pas ces définitions.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Modification du règlement (UE) nº 1178/2011 dans le cadre du mandat de réglementation RMT.0587, «Mise à jour régulière des règles relatives à la formation, aux essais et aux contrôles des pilotes et à la supervision y afférente».</w:t>
            </w:r>
          </w:p>
        </w:tc>
      </w:tr>
      <w:tr>
        <w:trPr>
          <w:trHeight w:val="23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2.4.3 Conditions propres à la délivrance de la qualification catégorie avion</w:t>
            </w:r>
          </w:p>
          <w:p>
            <w:pPr>
              <w:pStyle w:val="Body"/>
              <w:spacing w:line="240" w:lineRule="auto"/>
              <w:jc w:val="both"/>
              <w:rPr>
                <w:rFonts w:asciiTheme="minorHAnsi" w:hAnsiTheme="minorHAnsi" w:cstheme="minorHAnsi"/>
                <w:noProof/>
              </w:rPr>
            </w:pPr>
            <w:r>
              <w:rPr>
                <w:rFonts w:asciiTheme="minorHAnsi" w:hAnsiTheme="minorHAnsi" w:cstheme="minorHAnsi"/>
                <w:noProof/>
              </w:rPr>
              <w:t>2.4.3.1 Expérience</w:t>
            </w:r>
          </w:p>
          <w:p>
            <w:pPr>
              <w:pStyle w:val="Body"/>
              <w:spacing w:line="240" w:lineRule="auto"/>
              <w:jc w:val="both"/>
              <w:rPr>
                <w:rFonts w:asciiTheme="minorHAnsi" w:hAnsiTheme="minorHAnsi" w:cstheme="minorHAnsi"/>
                <w:noProof/>
              </w:rPr>
            </w:pPr>
            <w:r>
              <w:rPr>
                <w:rFonts w:asciiTheme="minorHAnsi" w:hAnsiTheme="minorHAnsi" w:cstheme="minorHAnsi"/>
                <w:noProof/>
              </w:rPr>
              <w:t>2.4.3.1.1 Le crédit sera limité à un maximum de 20 heures.</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CPL FCL.315 ainsi que l’appendice 3 de l’annexe I (partie FCL) du règlement (UE) nº 1178/2011 autorisent un crédit maximal de 10 heures.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rFonts w:asciiTheme="minorHAnsi" w:hAnsiTheme="minorHAnsi" w:cstheme="minorHAnsi"/>
                <w:noProof/>
                <w:sz w:val="22"/>
                <w:szCs w:val="22"/>
              </w:rPr>
            </w:pPr>
          </w:p>
        </w:tc>
      </w:tr>
      <w:tr>
        <w:trPr>
          <w:trHeight w:val="52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1.2.8.2 et</w:t>
            </w:r>
          </w:p>
          <w:p>
            <w:pPr>
              <w:pStyle w:val="Body"/>
              <w:spacing w:line="240" w:lineRule="auto"/>
              <w:jc w:val="both"/>
              <w:rPr>
                <w:rFonts w:asciiTheme="minorHAnsi" w:hAnsiTheme="minorHAnsi" w:cstheme="minorHAnsi"/>
                <w:noProof/>
              </w:rPr>
            </w:pPr>
            <w:r>
              <w:rPr>
                <w:rFonts w:asciiTheme="minorHAnsi" w:hAnsiTheme="minorHAnsi" w:cstheme="minorHAnsi"/>
                <w:noProof/>
              </w:rPr>
              <w:t>APPENDICE 2. ORGANISME DE FORMATION AGRÉÉ</w:t>
            </w:r>
          </w:p>
          <w:p>
            <w:pPr>
              <w:pStyle w:val="Body"/>
              <w:spacing w:line="240" w:lineRule="auto"/>
              <w:jc w:val="both"/>
              <w:rPr>
                <w:rFonts w:asciiTheme="minorHAnsi" w:hAnsiTheme="minorHAnsi" w:cstheme="minorHAnsi"/>
                <w:noProof/>
              </w:rPr>
            </w:pPr>
            <w:r>
              <w:rPr>
                <w:rFonts w:asciiTheme="minorHAnsi" w:hAnsiTheme="minorHAnsi" w:cstheme="minorHAnsi"/>
                <w:noProof/>
              </w:rPr>
              <w:t>3. Programmes de formation</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nécessaire flexibilité des programmes de formation est assurée par FCL.115 LAPL, FCL.210 PPL, FCL.315 CPL et FCL.315 (A), FCL.410.A MPL, FCL.515 ATPL, FCL930 FI, FCL.930FI FI, FCL.930.TRI TRI, FCL.930.CRI CRI, FCL930.IRI IRI, FCL930.SFI SFI, FCL930.MCCI MCCI, FCL930.ST STI, FCL.930.MI MI, FCL.930FTI FTI, appendice 3 à l’annexe I, appendice 5 à l’annexe I, et appendice 6 à l’annexe I (Partie FCL) du règlement (UE) 2011/1178 de la Commission (octroi de licences aux membres d’équipage de conduite).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rFonts w:asciiTheme="minorHAnsi" w:hAnsiTheme="minorHAnsi" w:cstheme="minorHAnsi"/>
                <w:noProof/>
                <w:sz w:val="22"/>
                <w:szCs w:val="22"/>
              </w:rPr>
            </w:pPr>
          </w:p>
        </w:tc>
      </w:tr>
      <w:tr>
        <w:trPr>
          <w:trHeight w:val="34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CHAPITRE 4 LICENCES ET QUALIFICATIONS DU PERSONNEL AUTRE QUE LES MEMBRES D’ÉQUIPAGE DE CONDUITE</w:t>
            </w:r>
          </w:p>
          <w:p>
            <w:pPr>
              <w:pStyle w:val="Body"/>
              <w:spacing w:line="240" w:lineRule="auto"/>
              <w:jc w:val="both"/>
              <w:rPr>
                <w:rFonts w:asciiTheme="minorHAnsi" w:hAnsiTheme="minorHAnsi" w:cstheme="minorHAnsi"/>
                <w:noProof/>
              </w:rPr>
            </w:pPr>
            <w:r>
              <w:rPr>
                <w:rFonts w:asciiTheme="minorHAnsi" w:hAnsiTheme="minorHAnsi" w:cstheme="minorHAnsi"/>
                <w:noProof/>
              </w:rPr>
              <w:t>4.4 Licence de contrôleur de la circulation aérienne</w:t>
            </w:r>
          </w:p>
          <w:p>
            <w:pPr>
              <w:pStyle w:val="Body"/>
              <w:spacing w:line="240" w:lineRule="auto"/>
              <w:jc w:val="both"/>
              <w:rPr>
                <w:rFonts w:asciiTheme="minorHAnsi" w:hAnsiTheme="minorHAnsi" w:cstheme="minorHAnsi"/>
                <w:noProof/>
              </w:rPr>
            </w:pPr>
            <w:r>
              <w:rPr>
                <w:rFonts w:asciiTheme="minorHAnsi" w:hAnsiTheme="minorHAnsi" w:cstheme="minorHAnsi"/>
                <w:noProof/>
              </w:rPr>
              <w:t>4.4.1 Conditions de délivrance de la licence</w:t>
            </w:r>
          </w:p>
          <w:p>
            <w:pPr>
              <w:pStyle w:val="Body"/>
              <w:spacing w:line="240" w:lineRule="auto"/>
              <w:jc w:val="both"/>
              <w:rPr>
                <w:rFonts w:asciiTheme="minorHAnsi" w:hAnsiTheme="minorHAnsi" w:cstheme="minorHAnsi"/>
                <w:noProof/>
              </w:rPr>
            </w:pPr>
            <w:r>
              <w:rPr>
                <w:rFonts w:asciiTheme="minorHAnsi" w:hAnsiTheme="minorHAnsi" w:cstheme="minorHAnsi"/>
                <w:noProof/>
              </w:rPr>
              <w:t>4.4.1.3 Expérience</w:t>
            </w:r>
          </w:p>
          <w:p>
            <w:pPr>
              <w:pStyle w:val="Body"/>
              <w:spacing w:line="240" w:lineRule="auto"/>
              <w:jc w:val="both"/>
              <w:rPr>
                <w:rFonts w:asciiTheme="minorHAnsi" w:hAnsiTheme="minorHAnsi" w:cstheme="minorHAnsi"/>
                <w:noProof/>
              </w:rPr>
            </w:pPr>
            <w:r>
              <w:rPr>
                <w:rFonts w:asciiTheme="minorHAnsi" w:hAnsiTheme="minorHAnsi" w:cstheme="minorHAnsi"/>
                <w:noProof/>
              </w:rPr>
              <w:t>4.4.1.3.1</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Le règlement (UE) 2015/340 ne contient pas l’exigence relative à la période de service de 3 mois.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Une modification du règlement (UE) 2015/340 sera envisagée dans le cadre du mandat de réglementation RMT.0668, «Mise à jour régulière des règles relatives à la délivrance des licences des contrôleurs de la circulation aérienne». Un avis de proposition de modification (NPA) devrait être publié d’ici la fin de 2020.</w:t>
            </w:r>
          </w:p>
        </w:tc>
      </w:tr>
      <w:tr>
        <w:trPr>
          <w:trHeight w:val="16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4.4.1.3.2</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Le règlement (UE) 2015/340 porte sur la norme référencée de manière détaillée en ce qui concerne l’expérience et la formation des instructeurs de formation sur le tas.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Aucune modification du règlement (UE) 2015/340, partie ATCO, n’est prévue.</w:t>
            </w:r>
          </w:p>
        </w:tc>
      </w:tr>
      <w:tr>
        <w:trPr>
          <w:trHeight w:val="25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4.5 Qualifications de contrôleur de la circulation aérienne</w:t>
            </w:r>
          </w:p>
          <w:p>
            <w:pPr>
              <w:pStyle w:val="Body"/>
              <w:spacing w:line="240" w:lineRule="auto"/>
              <w:jc w:val="both"/>
              <w:rPr>
                <w:rFonts w:asciiTheme="minorHAnsi" w:hAnsiTheme="minorHAnsi" w:cstheme="minorHAnsi"/>
                <w:noProof/>
              </w:rPr>
            </w:pPr>
            <w:r>
              <w:rPr>
                <w:rFonts w:asciiTheme="minorHAnsi" w:hAnsiTheme="minorHAnsi" w:cstheme="minorHAnsi"/>
                <w:noProof/>
              </w:rPr>
              <w:t>4.5. Conditions exigées pour les qualifications de contrôleur de la circulation aérienne</w:t>
            </w:r>
          </w:p>
          <w:p>
            <w:pPr>
              <w:pStyle w:val="Body"/>
              <w:spacing w:line="240" w:lineRule="auto"/>
              <w:jc w:val="both"/>
              <w:rPr>
                <w:rFonts w:asciiTheme="minorHAnsi" w:hAnsiTheme="minorHAnsi" w:cstheme="minorHAnsi"/>
                <w:noProof/>
              </w:rPr>
            </w:pPr>
            <w:r>
              <w:rPr>
                <w:rFonts w:asciiTheme="minorHAnsi" w:hAnsiTheme="minorHAnsi" w:cstheme="minorHAnsi"/>
                <w:noProof/>
              </w:rPr>
              <w:t>4.5.2.2 Expérience</w:t>
            </w:r>
          </w:p>
          <w:p>
            <w:pPr>
              <w:pStyle w:val="Body"/>
              <w:spacing w:line="240" w:lineRule="auto"/>
              <w:jc w:val="both"/>
              <w:rPr>
                <w:rFonts w:asciiTheme="minorHAnsi" w:hAnsiTheme="minorHAnsi" w:cstheme="minorHAnsi"/>
                <w:noProof/>
              </w:rPr>
            </w:pPr>
            <w:r>
              <w:rPr>
                <w:rFonts w:asciiTheme="minorHAnsi" w:hAnsiTheme="minorHAnsi" w:cstheme="minorHAnsi"/>
                <w:noProof/>
              </w:rPr>
              <w:t>4.5.2.2.1 point b)</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partie ATCO du règlement (UE) 2015/340 porte sur la norme référencée sans imposer d’obligation supplémentaire.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Aucune modification du règlement (UE) 2015/340, partie ATCO, n’est prévue.</w:t>
            </w:r>
          </w:p>
        </w:tc>
      </w:tr>
      <w:tr>
        <w:trPr>
          <w:trHeight w:val="2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4.5.2.2.1 point c)</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réglementation de l’UE ne requiert pas d’expérience/formation dans le cadre de l’approche au radar de surveillance.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Il est prévu que la norme soit traitée dans l’AMC associé à la partie ATCO du règlement (UE) 2015/340 au titre du RMT.0668, «Mise à jour régulière des règles d’octroi des licences de contrôleur de la circulation aérienne». Un avis de proposition de modification (NPA) devrait être publié d’ici la fin de 2020.</w:t>
            </w:r>
          </w:p>
        </w:tc>
      </w:tr>
      <w:tr>
        <w:trPr>
          <w:trHeight w:val="8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4.5.2.2.2</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partie ATCO du règlement (UE) 2015/340 n’exige pas que la demande de qualification soit introduite dans un délai de six mois à compter de la fin de l’expérience. Toutefois, le même règlement exige que les privilèges soient exercés dans un délai ne dépassant pas 90 jours.</w:t>
            </w:r>
          </w:p>
          <w:p>
            <w:pPr>
              <w:pStyle w:val="Body"/>
              <w:spacing w:after="0" w:line="240" w:lineRule="auto"/>
              <w:jc w:val="both"/>
              <w:rPr>
                <w:rFonts w:asciiTheme="minorHAnsi" w:hAnsiTheme="minorHAnsi" w:cstheme="minorHAnsi"/>
                <w:noProof/>
              </w:rPr>
            </w:pPr>
            <w:r>
              <w:rPr>
                <w:rFonts w:asciiTheme="minorHAnsi" w:hAnsiTheme="minorHAnsi" w:cstheme="minorHAnsi"/>
                <w:noProof/>
              </w:rPr>
              <w:t>La règle ATCO prévoit un délai d’un an, lorsque le titulaire d’une licence de contrôleur de la circulation aérienne stagiaire n’a pas commencé à exercer les privilèges de cette licence à compter de la date de sa délivrance ou a interrompu l’exercice de ces privilèges pendant une période de plus d’un an. Il ne peut ensuite commencer ou poursuivre une formation en unité pour cette qualification qu’après une évaluation de ses compétences antérieures, déterminant ainsi s’il continue de satisfaire aux exigences applicables à cette qualification, et après s'être conformé à toutes les exigences de formation résultant de cette évaluation.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rFonts w:asciiTheme="minorHAnsi" w:hAnsiTheme="minorHAnsi" w:cstheme="minorHAnsi"/>
                <w:noProof/>
                <w:sz w:val="22"/>
                <w:szCs w:val="22"/>
              </w:rPr>
            </w:pPr>
          </w:p>
        </w:tc>
      </w:tr>
    </w:tbl>
    <w:p>
      <w:pPr>
        <w:pStyle w:val="Heading2"/>
        <w:numPr>
          <w:ilvl w:val="1"/>
          <w:numId w:val="6"/>
        </w:numPr>
        <w:ind w:left="850" w:hanging="850"/>
        <w:rPr>
          <w:rFonts w:eastAsia="Arial Unicode MS" w:hAnsi="Times New Roman" w:cs="Times New Roman"/>
          <w:noProof/>
        </w:rPr>
      </w:pPr>
      <w:r>
        <w:rPr>
          <w:rFonts w:hAnsi="Times New Roman" w:cs="Times New Roman"/>
          <w:noProof/>
        </w:rPr>
        <w:t>Amendement 79 à l’annexe 3 relative à l’assistance météorologique à la navigation aérienne internationale</w:t>
      </w:r>
    </w:p>
    <w:p>
      <w:pPr>
        <w:pStyle w:val="Heading3"/>
        <w:numPr>
          <w:ilvl w:val="2"/>
          <w:numId w:val="6"/>
        </w:numPr>
        <w:ind w:left="850" w:hanging="850"/>
        <w:rPr>
          <w:rFonts w:eastAsia="Arial Unicode MS" w:hAnsi="Times New Roman" w:cs="Times New Roman"/>
          <w:noProof/>
        </w:rPr>
      </w:pPr>
      <w:r>
        <w:rPr>
          <w:rFonts w:hAnsi="Times New Roman" w:cs="Times New Roman"/>
          <w:noProof/>
        </w:rPr>
        <w:t>Description</w:t>
      </w:r>
    </w:p>
    <w:p>
      <w:pPr>
        <w:pStyle w:val="NumPar1"/>
        <w:ind w:left="0" w:firstLine="0"/>
        <w:rPr>
          <w:rFonts w:hAnsi="Times New Roman" w:cs="Times New Roman"/>
          <w:noProof/>
        </w:rPr>
      </w:pPr>
      <w:r>
        <w:rPr>
          <w:rFonts w:hAnsi="Times New Roman" w:cs="Times New Roman"/>
          <w:noProof/>
        </w:rPr>
        <w:t>L’amendement décidé lors de la quatrième réunion du groupe Météorologie (METP/4), porte sur le modèle de l’échange de renseignements météorologiques de l’OACI (IWXXM), la veille des volcans le long des voies aériennes internationales (IAVW), le système mondial de prévisions de zone (WAFS), SIGMET, AIRMET et GAMET</w:t>
      </w:r>
      <w:r>
        <w:rPr>
          <w:rFonts w:hAnsi="Times New Roman" w:cs="Times New Roman"/>
          <w:noProof/>
          <w:vertAlign w:val="superscript"/>
        </w:rPr>
        <w:footnoteReference w:id="3"/>
      </w:r>
      <w:r>
        <w:rPr>
          <w:rFonts w:hAnsi="Times New Roman" w:cs="Times New Roman"/>
          <w:noProof/>
        </w:rPr>
        <w:t>.</w:t>
      </w:r>
    </w:p>
    <w:p>
      <w:pPr>
        <w:pStyle w:val="Heading3"/>
        <w:numPr>
          <w:ilvl w:val="2"/>
          <w:numId w:val="6"/>
        </w:numPr>
        <w:ind w:left="850" w:hanging="850"/>
        <w:rPr>
          <w:rFonts w:eastAsia="Arial Unicode MS" w:hAnsi="Times New Roman" w:cs="Times New Roman"/>
          <w:noProof/>
        </w:rPr>
      </w:pPr>
      <w:r>
        <w:rPr>
          <w:rFonts w:hAnsi="Times New Roman" w:cs="Times New Roman"/>
          <w:noProof/>
        </w:rPr>
        <w:t>Dispositions applicables du droit de l’Union</w:t>
      </w:r>
    </w:p>
    <w:p>
      <w:pPr>
        <w:pStyle w:val="NumPar1"/>
        <w:ind w:left="0" w:firstLine="0"/>
        <w:rPr>
          <w:rFonts w:hAnsi="Times New Roman" w:cs="Times New Roman"/>
          <w:noProof/>
        </w:rPr>
      </w:pPr>
      <w:r>
        <w:rPr>
          <w:rFonts w:hAnsi="Times New Roman" w:cs="Times New Roman"/>
          <w:noProof/>
        </w:rPr>
        <w:t>Règlement d’exécution (UE) 2017/373 de la Commission</w:t>
      </w:r>
      <w:r>
        <w:rPr>
          <w:rFonts w:hAnsi="Times New Roman" w:cs="Times New Roman"/>
          <w:noProof/>
          <w:vertAlign w:val="superscript"/>
        </w:rPr>
        <w:footnoteReference w:id="4"/>
      </w:r>
    </w:p>
    <w:p>
      <w:pPr>
        <w:pStyle w:val="Heading3"/>
        <w:widowControl w:val="0"/>
        <w:numPr>
          <w:ilvl w:val="2"/>
          <w:numId w:val="6"/>
        </w:numPr>
        <w:ind w:left="850" w:hanging="850"/>
        <w:rPr>
          <w:rFonts w:eastAsia="Arial Unicode MS" w:hAnsi="Times New Roman" w:cs="Times New Roman"/>
          <w:noProof/>
        </w:rPr>
      </w:pPr>
      <w:r>
        <w:rPr>
          <w:rFonts w:hAnsi="Times New Roman" w:cs="Times New Roman"/>
          <w:noProof/>
        </w:rPr>
        <w:t>Tableau des différences à notifier pour l’amendement 79 de l’annexe 3</w:t>
      </w:r>
    </w:p>
    <w:tbl>
      <w:tblPr>
        <w:tblW w:w="100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1276"/>
        <w:gridCol w:w="2976"/>
        <w:gridCol w:w="3119"/>
      </w:tblGrid>
      <w:tr>
        <w:trPr>
          <w:trHeight w:val="7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b/>
                <w:bCs/>
                <w:noProof/>
              </w:rPr>
              <w:t>Disposition de l’annexe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b/>
                <w:bCs/>
                <w:noProof/>
              </w:rPr>
              <w:t>Catégorie de différence</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b/>
                <w:bCs/>
                <w:noProof/>
              </w:rPr>
              <w:t>Description de la différence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b/>
                <w:bCs/>
                <w:noProof/>
              </w:rPr>
              <w:t>Remarques</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ANNEXE 3, amendement 79, chapitre 1. 1.1 Définitions; «Centre d’avis de cendres volcaniques (VAAC)»</w:t>
            </w:r>
          </w:p>
        </w:tc>
        <w:tc>
          <w:tcPr>
            <w:tcW w:w="1276" w:type="dxa"/>
            <w:tcBorders>
              <w:top w:val="single" w:sz="4" w:space="0" w:color="000000"/>
              <w:left w:val="single" w:sz="4" w:space="0" w:color="000000"/>
              <w:bottom w:val="single" w:sz="4" w:space="0" w:color="000000"/>
              <w:right w:val="single" w:sz="4" w:space="0" w:color="000000"/>
            </w:tcBorders>
            <w:tcMar>
              <w:top w:w="80" w:type="dxa"/>
              <w:left w:w="304" w:type="dxa"/>
              <w:bottom w:w="80" w:type="dxa"/>
              <w:right w:w="80" w:type="dxa"/>
            </w:tcMar>
            <w:hideMark/>
          </w:tcPr>
          <w:p>
            <w:pPr>
              <w:pStyle w:val="Body"/>
              <w:spacing w:line="240" w:lineRule="auto"/>
              <w:ind w:left="224" w:hanging="224"/>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Dans la réglementation de l’UE, la définition du «centre d’avis de cendres volcaniques (VAAC)» inclut le texte «par suite d’éruptions volcaniques».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 texte «par suite d’éruptions volcaniques» devrait être supprimé, la définition du «centre d’avis de cendres volcaniques (VAAC)» devenant alors conforme à l’amendement 79 de l’OACI.</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ANNEXE 3, amendement 79, chapitre 3. 3.4 «Centre de veille météorologique»; nouvelle disposition 3.4.4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Dans la réglementation de l’UE, la recommandation selon laquelle les centres de veille météorologique (MWO) devraient coordonner SIGMET avec les MWO voisins n’est pas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une exigence équivalente à celle de l’amendement 79 de l’OACI devrait être incluse, rendant la disposition conforme audit amendement.</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ANNEXE 3, amendement 79, chapitre 3. 3.7 «Centre d’avis de cyclones tropicaux»; disposition 3.7 b).</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Dans la réglementation de l’UE, l’obligation d’inclure les variations d’intensité au moment de l’observation (du cyclone tropical) n’est pas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l’obligation d’inclure les variations d’intensité au moment de l’observation (du cyclone tropical) devrait être incluse, conformément à l’amendement 79 de l’OACI.</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1. «Modèles de cartes et formulaires»; (MODÈLE VAG et MODÈLE SVA).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 modèle mis à jour (exemple) des cartes représentant les projections de Mercator et stéréographiques polaires pour les avis de cendres volcaniques en format graphique, et pour SIGMET en format graphique, n’est pas inclus.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 modèle mis à jour (exemple) des cartes représentant les projections de Mercator et stéréographiques polaires devrait être inclus conformément à l’amendement 79 de l’OACI.</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1.2 «Prévisions en altitude aux points de grille», disposition 1.2.1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 réglementation de l’UE présente les différences suivantes en ce qui concerne cette disposition:</w:t>
            </w:r>
          </w:p>
          <w:p>
            <w:pPr>
              <w:pStyle w:val="Body"/>
              <w:spacing w:after="0" w:line="240" w:lineRule="auto"/>
              <w:jc w:val="both"/>
              <w:rPr>
                <w:rFonts w:asciiTheme="minorHAnsi" w:hAnsiTheme="minorHAnsi" w:cstheme="minorHAnsi"/>
                <w:noProof/>
              </w:rPr>
            </w:pPr>
            <w:r>
              <w:rPr>
                <w:rFonts w:asciiTheme="minorHAnsi" w:hAnsiTheme="minorHAnsi" w:cstheme="minorHAnsi"/>
                <w:noProof/>
              </w:rPr>
              <w:t>1) les notions «air clair» et «dans les nuages» (dans le contexte de turbulences) sont incluses;</w:t>
            </w:r>
          </w:p>
          <w:p>
            <w:pPr>
              <w:pStyle w:val="Body"/>
              <w:spacing w:after="0" w:line="240" w:lineRule="auto"/>
              <w:jc w:val="both"/>
              <w:rPr>
                <w:rFonts w:asciiTheme="minorHAnsi" w:hAnsiTheme="minorHAnsi" w:cstheme="minorHAnsi"/>
                <w:noProof/>
              </w:rPr>
            </w:pPr>
            <w:r>
              <w:rPr>
                <w:rFonts w:asciiTheme="minorHAnsi" w:hAnsiTheme="minorHAnsi" w:cstheme="minorHAnsi"/>
                <w:noProof/>
              </w:rPr>
              <w:t>2) l’ordre de diffusion des prévisions est celui de l’ordre de production; et</w:t>
            </w:r>
          </w:p>
          <w:p>
            <w:pPr>
              <w:pStyle w:val="Body"/>
              <w:spacing w:after="0" w:line="240" w:lineRule="auto"/>
              <w:jc w:val="both"/>
              <w:rPr>
                <w:rFonts w:asciiTheme="minorHAnsi" w:hAnsiTheme="minorHAnsi" w:cstheme="minorHAnsi"/>
                <w:noProof/>
              </w:rPr>
            </w:pPr>
            <w:r>
              <w:rPr>
                <w:rFonts w:asciiTheme="minorHAnsi" w:hAnsiTheme="minorHAnsi" w:cstheme="minorHAnsi"/>
                <w:noProof/>
              </w:rPr>
              <w:t>3) le délai de diffusion est de 6 heures après l’heure standard d’observation.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w:t>
            </w:r>
          </w:p>
          <w:p>
            <w:pPr>
              <w:pStyle w:val="Body"/>
              <w:spacing w:after="0" w:line="240" w:lineRule="auto"/>
              <w:jc w:val="both"/>
              <w:rPr>
                <w:rFonts w:asciiTheme="minorHAnsi" w:hAnsiTheme="minorHAnsi" w:cstheme="minorHAnsi"/>
                <w:noProof/>
              </w:rPr>
            </w:pPr>
            <w:r>
              <w:rPr>
                <w:rFonts w:asciiTheme="minorHAnsi" w:hAnsiTheme="minorHAnsi" w:cstheme="minorHAnsi"/>
                <w:noProof/>
              </w:rPr>
              <w:t>1) les termes «air clair» et «dans les nuages» devraient être supprimés;</w:t>
            </w:r>
          </w:p>
          <w:p>
            <w:pPr>
              <w:pStyle w:val="Body"/>
              <w:spacing w:after="0" w:line="240" w:lineRule="auto"/>
              <w:jc w:val="both"/>
              <w:rPr>
                <w:rFonts w:asciiTheme="minorHAnsi" w:hAnsiTheme="minorHAnsi" w:cstheme="minorHAnsi"/>
                <w:noProof/>
              </w:rPr>
            </w:pPr>
            <w:r>
              <w:rPr>
                <w:rFonts w:asciiTheme="minorHAnsi" w:hAnsiTheme="minorHAnsi" w:cstheme="minorHAnsi"/>
                <w:noProof/>
              </w:rPr>
              <w:t>2) l’ordre de diffusion spécifié devrait être supprimé; et</w:t>
            </w:r>
          </w:p>
          <w:p>
            <w:pPr>
              <w:pStyle w:val="Body"/>
              <w:spacing w:after="0" w:line="240" w:lineRule="auto"/>
              <w:jc w:val="both"/>
              <w:rPr>
                <w:rFonts w:asciiTheme="minorHAnsi" w:hAnsiTheme="minorHAnsi" w:cstheme="minorHAnsi"/>
                <w:noProof/>
              </w:rPr>
            </w:pPr>
            <w:r>
              <w:rPr>
                <w:rFonts w:asciiTheme="minorHAnsi" w:hAnsiTheme="minorHAnsi" w:cstheme="minorHAnsi"/>
                <w:noProof/>
              </w:rPr>
              <w:t>3) le délai de diffusion de 5 heures devrait figurer</w:t>
            </w:r>
          </w:p>
          <w:p>
            <w:pPr>
              <w:pStyle w:val="Body"/>
              <w:spacing w:after="0" w:line="240" w:lineRule="auto"/>
              <w:jc w:val="both"/>
              <w:rPr>
                <w:rFonts w:asciiTheme="minorHAnsi" w:hAnsiTheme="minorHAnsi" w:cstheme="minorHAnsi"/>
                <w:noProof/>
              </w:rPr>
            </w:pPr>
            <w:r>
              <w:rPr>
                <w:rFonts w:asciiTheme="minorHAnsi" w:hAnsiTheme="minorHAnsi" w:cstheme="minorHAnsi"/>
                <w:noProof/>
              </w:rPr>
              <w:t>conformément à l’amendement 79 de l’OACI.</w:t>
            </w:r>
          </w:p>
        </w:tc>
      </w:tr>
      <w:tr>
        <w:trPr>
          <w:trHeight w:val="31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1.2 «Prévisions en altitude aux points de grille», disposition 1.2.2 g)</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les nouvelles couches de turbulences centrées sur les niveaux de vol 100 (700 hPa), 140 (600 hPa) et 180 (500 hPa) ne sont pas incluses.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les nouvelles couches de turbulences centrées sur les niveaux de vol 100 (700 hPa), 140 (600 hPa) et 180 (500 hPa), y compris les notes afférentes, devraient être incluses conformément à l’amendement 79.</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1.3 «Prévisions de conditions météorologiques significatives (SIGWX)», disposition 1.3.1.1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 délai de diffusion des prévisions de conditions météorologiques significatives (SIGWX) est de 9 heures au plus tard après l’heure standard d’observation.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l’obligation d’effectuer la diffusion dans un délai de 7 heures en conditions d’exploitation normales et dans un délai de 9 heures après l’heure standard d’observation pendant les opérations de secours devrait être incluse, conformément à l’amendement 79 de l’OACI.</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1.3 «prévisions de conditions météorologiques significatives (SIGWX)», disposition 1.3.1.3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et compte tenu de l’applicabilité différée de l’amendement de l’OACI (4 novembre 2021), les centres mondiaux de prévisions de zone ne sont pas tenus de publier des prévisions SIGWX sous la forme d’un code IWXXM.</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l’obligation, pour les centres mondiaux de prévisions de zone, de publier des prévisions SIGWX sous la forme d’un code IWXXM devrait être incluse, conformément à l’amendement 79 de l’OACI.</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2.1 «Utilisation des produits du système mondial de prévisions de zone (WAFS)», disposition 2.1.2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Cette disposition n’est pas transposée dans la réglementation de l’UE. En conséquence, et compte tenu de l’applicabilité différée de l’amendement de l’OACI (4 novembre 2021), il n’existe aucune obligation pour les centres météorologiques d’aérodrome de décoder les données IWXXM reçues des WAFC en diagrammes WAFS standard.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Le point MET.TR.215 du règlement d’exécution (UE) 2017/373 de la Commission n’est pas explicite en ce qui concerne l’utilisation des produits WAFS utilisés dans la préparation des informations météorologiques fournies pour la documentation de vol. Aucune modification du règlement (UE) 2017/373 n’est prévue à cet égard.</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2.2 «Notification au WAFC concernant des écarts importants», disposition 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et compte tenu de l’applicabilité différée de l’amendement de l’OACI (4 novembre 2021), il n’existe aucune exigence pour les centres météorologiques d’aérodrome d’utiliser les données IWXXM reçues du WAFC concerné pour notifier des écarts importants.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l’obligation, pour les fournisseurs de services météorologiques (pas uniquement pour les centres météorologiques d’aérodrome), d’informer le WAFC concerné d’écarts importants lors de l’utilisation de données IWXXM devrait être incluse, conformément à l’amendement 79 de l’OACI.</w:t>
            </w:r>
          </w:p>
        </w:tc>
      </w:tr>
      <w:tr>
        <w:trPr>
          <w:trHeight w:val="38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Tableau A2-1 «Modèle pour message d'avis de cendres volcaniques»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 modèle ne contient pas de dispositions concernant les références à «INCONNU» dans le cas de la section «État/région» du message d’avis. Les références à l’altitude «SFC» (surface) et «INCONNU» dans la section «Altitude du sommet» ne sont pas incluses. Les exemples et notes de bas de page relatifs aux cendres volcaniques «REMISES EN SUSPENSION» ne sont pas inclus.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les dispositions concernant les références à «INCONNU» dans la section «État/région» et à l’altitude «SFC» (surface) et «INCONNU» dans la section «Altitude du sommet»; ainsi que les exemples comprenant les cendres volcaniques «REMISES EN SUSPENSION» seront inclus, conformément à l’amendement 79 de l’OACI.</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Exemple A2-1 «Modèle pour message d'avis de cendres volcaniques»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 xml:space="preserve">Dans la réglementation de l’UE, la modification du «numéro du volcan» dans l’exemple n’est pas incluse.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la modification du «numéro du volcan» dans l’exemple devrait être incluse, conformément à l’amendement 79.</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Tableau A2-2 «Modèle pour message d'avis de cyclones tropicaux»</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 modèle ne comprend pas:</w:t>
            </w:r>
          </w:p>
          <w:p>
            <w:pPr>
              <w:pStyle w:val="Body"/>
              <w:spacing w:after="0" w:line="240" w:lineRule="auto"/>
              <w:jc w:val="both"/>
              <w:rPr>
                <w:rFonts w:asciiTheme="minorHAnsi" w:hAnsiTheme="minorHAnsi" w:cstheme="minorHAnsi"/>
                <w:noProof/>
              </w:rPr>
            </w:pPr>
            <w:r>
              <w:rPr>
                <w:rFonts w:asciiTheme="minorHAnsi" w:hAnsiTheme="minorHAnsi" w:cstheme="minorHAnsi"/>
                <w:noProof/>
              </w:rPr>
              <w:t>1) les dispositions permettant d’inclure les variations d’intensité au moment de l’observation du cyclone tropical;</w:t>
            </w:r>
          </w:p>
          <w:p>
            <w:pPr>
              <w:pStyle w:val="Body"/>
              <w:spacing w:after="0" w:line="240" w:lineRule="auto"/>
              <w:jc w:val="both"/>
              <w:rPr>
                <w:rFonts w:asciiTheme="minorHAnsi" w:hAnsiTheme="minorHAnsi" w:cstheme="minorHAnsi"/>
                <w:noProof/>
              </w:rPr>
            </w:pPr>
            <w:r>
              <w:rPr>
                <w:rFonts w:asciiTheme="minorHAnsi" w:hAnsiTheme="minorHAnsi" w:cstheme="minorHAnsi"/>
                <w:noProof/>
              </w:rPr>
              <w:t>2) l’option «NÉANT» en ce qui concerne le cumulonimbus (CB) observé.</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les dispositions concernant la mention des variations d’intensité au moment de l’observation du cyclone tropical et l’ajout de l’option «NÉANT» en ce qui concerne le cumulonimbus (CB) observé devraient être incluses, conformément à l’amendement 79 de l’OACI.</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Exemple A2-2 «Modèle pour message d'avis de cyclones tropicaux»</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l’exemple mis à jour n’inclut pas le point faisant état d’une variation d’intensité au moment de l’observation du cyclone tropical.</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le point faisant état d’une variation d’intensité au moment de l’observation du cyclone tropical devrait être inclus, conformément à l’amendement 79 de l’OACI.</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2; Tableau A2-3 «Modèle de message de renseignements consultatifs sur la météorologie de l’espace»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Dans la réglementation de l’UE, la fonction des centres de météorologie de l’espace — et donc le tableau A2-3 — n’est actuellement pas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L’AESA continuera de suivre l’évolution des dispositions en matière de météorologie de l’espace. À l’heure actuelle, il n’y a pas de calendrier prévu pour inclure la fonction des centres de météorologie de l’espace dans la réglementation de l’UE.</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ANNEXE 3, amendement 79, appendice 3; Tableau A3-2 «Modèle de message de renseignements consultatifs pour METAR et SPECI»</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Dans les règles de l’UE, l’utilisation de la barre oblique («/») en tant qu’indicateur de «données manquantes» n’est pas explicitement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Il est prévu d'adopter la modification du règlement (UE) 2017/373 d’ici au T3 2021, date à laquelle l’utilisation de la barre oblique («/») en tant qu’indicateur de «données manquantes» dans le contexte de l’UE aura été envisagée en vue d’une inclusion dans la réglementation de l’UE.</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ANNEXE 3, amendement 79, appendice 4; 2.6 «Turbulence», disposition 2.6.2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Le chapitre 5 et l’appendice 4 de l’annexe 3 de l’OACI ne sont pas transposés dans le règlement de l’UE.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rFonts w:asciiTheme="minorHAnsi" w:hAnsiTheme="minorHAnsi" w:cstheme="minorHAnsi"/>
                <w:noProof/>
              </w:rPr>
            </w:pPr>
            <w:r>
              <w:rPr>
                <w:rFonts w:asciiTheme="minorHAnsi" w:hAnsiTheme="minorHAnsi" w:cstheme="minorHAnsi"/>
                <w:noProof/>
              </w:rPr>
              <w:t>Les dispositions relatives aux rapports de turbulences en ce qui concerne le taux de dissipation des tourbillons de turbulence (EDR) seront couvertes par le règlement d’exécution (UE) nº 923/2012 de la Commission (SERA), qui traite des observations et des rapports des aéronefs par communication vocale dans le cadre du mandat de réglementation RMT.0476 (Mise à jour régulière des règles SERA). Les dispositions relatives à la communication par liaison de données seront également prises en considération dans le cadre du futur mandat relatif aux opérations de liaison de données.</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ANNEXE 3, amendement 79, appendice 4; 2.6 «Turbulence», disposition 2.6.3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Le chapitre 5 et l’appendice 4 de l’annexe 3 de l’OACI ne sont pas transposés dans le règlement de l’UE.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rFonts w:asciiTheme="minorHAnsi" w:hAnsiTheme="minorHAnsi" w:cstheme="minorHAnsi"/>
                <w:noProof/>
              </w:rPr>
            </w:pPr>
            <w:r>
              <w:rPr>
                <w:rFonts w:asciiTheme="minorHAnsi" w:hAnsiTheme="minorHAnsi" w:cstheme="minorHAnsi"/>
                <w:noProof/>
              </w:rPr>
              <w:t>Les dispositions relatives aux rapports de turbulences en ce qui concerne le taux de dissipation des tourbillons de turbulence (EDR) seront couvertes par le règlement d’exécution (UE) nº 923/2012 de la Commission (SERA), qui traite des observations et des rapports des aéronefs par communication vocale dans le cadre du mandat de réglementation RMT.0476 (Mise à jour régulière des règles SERA). Les dispositions relatives à la communication par liaison de données seront également prises en considération dans le cadre du futur mandat relatif aux opérations de liaison de données.</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ANNEXE 3, amendement 79, appendice 4; Tableau A4-1 «Modèle pour comptes rendus en vol spéciaux (liaison descendante)»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Le chapitre 5 et l’appendice 4 de l’annexe 3 de l’OACI ne sont pas transposés dans le règlement de l’UE.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Les dispositions relatives à la déclaration des fortes tempêtes de poussière seront couvertes par le règlement d’exécution (UE) nº 923/2012 de la Commission (SERA), qui traite des observations et des rapports des aéronefs par communication vocale dans le cadre du mandat de réglementation RMT.0476 (Mise à jour régulière des règles SERA). Les dispositions relatives à la communication par liaison de données seront également prises en considération dans le cadre du futur mandat relatif à l’exploitation de services de liaison de données.</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ANNEXE 3, amendement 79, appendice 5; 4.4 «Échange et diffusion des prévisions de zone pour les vols à basse altitude», nouvelle disposition 4.4.2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Dans la réglementation de l’UE, il n’est pas fait mention de la diffusion des prévisions de zone pour les vols à basse altitude aux systèmes de services fixes aéronautiques basés sur l’internet.</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Il est prévu d'adopter la modification du règlement (UE) 2017/373 d’ici au T3 2021, date à laquelle la diffusion des prévisions de zone pour les vols à basse altitude aux systèmes de services fixes aéronautiques basés sur l’internet devrait être incluse, conformément à l’amendement 79 de l’OACI.</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ANNEXE 3, amendement 79, appendice 6; 4.2 «Critères liés au phénomène, y compris dans les messages SIGMET et AIRMET et les comptes rendus en vol spéciaux (liaison montante)», nouvelle disposition 4.2.6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Les règles de l’UE prévoient des seuils plus bas, respectivement 0,7 et 0,4, pour les turbulences fortes et modérées.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Il est prévu d'adopter la modification du règlement (UE) 2017/373 d’ici au T3 2021, date à laquelle les seuils plus bas pour les turbulences fortes et modérées devraient être abaissés à 0,45 et 0,20, respectivement, conformément à l’amendement 79 de l’OACI.</w:t>
            </w:r>
          </w:p>
        </w:tc>
      </w:tr>
      <w:tr>
        <w:trPr>
          <w:trHeight w:val="43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ANNEXE 3, amendement 79, appendice 6; Tableau A6-1A «Modèle pour SIGMET et AIRMET»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Dans les règles de l’UE, la disposition concernant:</w:t>
            </w:r>
          </w:p>
          <w:p>
            <w:pPr>
              <w:pStyle w:val="Body"/>
              <w:spacing w:before="100" w:after="100" w:line="240" w:lineRule="auto"/>
              <w:jc w:val="both"/>
              <w:rPr>
                <w:noProof/>
              </w:rPr>
            </w:pPr>
            <w:r>
              <w:rPr>
                <w:noProof/>
              </w:rPr>
              <w:t>1) l’identification des nuages cumulonimbus (CB) en association avec la position prévue pour les cyclones tropicaux et les notes de bas de page y afférentes n’est pas incluse; et</w:t>
            </w:r>
          </w:p>
          <w:p>
            <w:pPr>
              <w:pStyle w:val="Body"/>
              <w:spacing w:before="100" w:after="100" w:line="240" w:lineRule="auto"/>
              <w:jc w:val="both"/>
              <w:rPr>
                <w:noProof/>
              </w:rPr>
            </w:pPr>
            <w:r>
              <w:rPr>
                <w:noProof/>
              </w:rPr>
              <w:t>2) la révision des notes de bas de page relatives au SIGMET concernant le nuage radioactif n’est pas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Il est prévu d'adopter la modification du règlement (UE) 2017/373 d’ici au T3 2021, date à laquelle la disposition concernant:</w:t>
            </w:r>
          </w:p>
          <w:p>
            <w:pPr>
              <w:pStyle w:val="Body"/>
              <w:spacing w:before="100" w:after="100" w:line="240" w:lineRule="auto"/>
              <w:jc w:val="both"/>
              <w:rPr>
                <w:noProof/>
              </w:rPr>
            </w:pPr>
            <w:r>
              <w:rPr>
                <w:noProof/>
              </w:rPr>
              <w:t>1) l’identification des nuages cumulonimbus (CB) en association avec la position prévue pour les cyclones tropicaux et les notes de bas de page y afférentes; et</w:t>
            </w:r>
          </w:p>
          <w:p>
            <w:pPr>
              <w:pStyle w:val="Body"/>
              <w:spacing w:before="100" w:after="100" w:line="240" w:lineRule="auto"/>
              <w:jc w:val="both"/>
              <w:rPr>
                <w:noProof/>
              </w:rPr>
            </w:pPr>
            <w:r>
              <w:rPr>
                <w:noProof/>
              </w:rPr>
              <w:t>2) la révision des notes de bas de page relatives au SIGMET concernant le nuage radioactif,</w:t>
            </w:r>
          </w:p>
          <w:p>
            <w:pPr>
              <w:pStyle w:val="Body"/>
              <w:spacing w:before="100" w:after="100" w:line="240" w:lineRule="auto"/>
              <w:jc w:val="both"/>
              <w:rPr>
                <w:noProof/>
              </w:rPr>
            </w:pPr>
            <w:r>
              <w:rPr>
                <w:noProof/>
              </w:rPr>
              <w:t>devrait être incluse, conformément à l’amendement 79 de l’OACI.</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ANNEXE 3, amendement 79, appendice 6; Tableau A6-1B «Modèle pour comptes rendus en vol spéciaux (liaison montante)»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Dans les règles de l'UE:</w:t>
            </w:r>
          </w:p>
          <w:p>
            <w:pPr>
              <w:pStyle w:val="Body"/>
              <w:spacing w:after="0" w:line="240" w:lineRule="auto"/>
              <w:jc w:val="both"/>
              <w:rPr>
                <w:noProof/>
              </w:rPr>
            </w:pPr>
            <w:r>
              <w:rPr>
                <w:noProof/>
              </w:rPr>
              <w:t>1) «forte tempête de poussière» (HVY DS) n’est pas incluse; et</w:t>
            </w:r>
          </w:p>
          <w:p>
            <w:pPr>
              <w:pStyle w:val="Body"/>
              <w:spacing w:after="0" w:line="240" w:lineRule="auto"/>
              <w:jc w:val="both"/>
              <w:rPr>
                <w:noProof/>
              </w:rPr>
            </w:pPr>
            <w:r>
              <w:rPr>
                <w:noProof/>
              </w:rPr>
              <w:t>2) l’insertion de «Observé» en ce qui concerne les termes «Emplacement» et «Niveau» n’est pas prévue.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la modification du règlement (UE) 2017/373 d’ici au T3 2021, date à laquelle la pertinence des comptes rendus en vol spéciaux (liaison montante) dans le cadre des opérations de l’UE aura été envisagée en vue d’une inclusion dans le règlement (UE) 2017/373.</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ANNEXE 3, amendement 79, appendice 6; Exemple A6-4 «Message SIGMET pour nuage radioactif»</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règles de l’UE ne reprennent pas la formulation de l’OACI concernant le message SIGMET pour le nuage radioactif.</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la modification du règlement (UE) 2017/373 d’ici au T3 2021, date à laquelle la formulation de l’OACI concernant le message SIGMET pour le nuage radioactif devrait être incluse, conformément à l’amendement 79 de l’OACI.</w:t>
            </w:r>
          </w:p>
        </w:tc>
      </w:tr>
      <w:tr>
        <w:trPr>
          <w:trHeight w:val="12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ANNEXE 3, amendement 79, appendice 8; 2.2 «Format des informations sur les conditions météorologiques significatives», disposition 2.2.1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règles de l’UE n’établissent pas de distinction entre la préparation du vol et la replanification en vol à cet égard.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Aucune modification du règlement (UE) 2017/373 n’est prévue à cet égard.</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ANNEXE 3, amendement 79, appendice 8; 2.2 «Format des informations sur les conditions météorologiques significatives», disposition 2.2.2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Dans les règles de l’UE, et compte tenu de l’applicabilité différée (4 novembre 2021), la recommandation selon laquelle les informations sur les conditions météorologiques significatives fournies par les WAFC devraient respecter le modèle IWXXM n’est pas incluse.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la modification du règlement (UE) 2017/373 d’ici au T3 2021, date à laquelle, compte tenu de son applicabilité différée (4 novembre 2021), la recommandation selon laquelle les informations sur les conditions météorologiques significatives fournies par les WAFC devraient respecter le modèle IWXXM sera incluse, conformément à l’amendement 79 de l’OACI.</w:t>
            </w:r>
          </w:p>
        </w:tc>
      </w:tr>
    </w:tbl>
    <w:p>
      <w:pPr>
        <w:pStyle w:val="Heading2"/>
        <w:numPr>
          <w:ilvl w:val="1"/>
          <w:numId w:val="8"/>
        </w:numPr>
        <w:ind w:left="850" w:hanging="850"/>
        <w:rPr>
          <w:rFonts w:eastAsia="Arial Unicode MS" w:hAnsi="Times New Roman" w:cs="Times New Roman"/>
          <w:noProof/>
        </w:rPr>
      </w:pPr>
      <w:r>
        <w:rPr>
          <w:rFonts w:hAnsi="Times New Roman" w:cs="Times New Roman"/>
          <w:noProof/>
        </w:rPr>
        <w:t>Amendements 44, 37 et 23 aux parties I, II et III, respectivement, de l’annexe 6 relative à l’exploitation technique des aéronefs</w:t>
      </w:r>
    </w:p>
    <w:p>
      <w:pPr>
        <w:pStyle w:val="Heading3"/>
        <w:numPr>
          <w:ilvl w:val="2"/>
          <w:numId w:val="8"/>
        </w:numPr>
        <w:ind w:left="850" w:hanging="850"/>
        <w:rPr>
          <w:rFonts w:eastAsia="Arial Unicode MS"/>
          <w:noProof/>
        </w:rPr>
      </w:pPr>
      <w:r>
        <w:rPr>
          <w:noProof/>
        </w:rPr>
        <w:t>Description</w:t>
      </w:r>
    </w:p>
    <w:p>
      <w:pPr>
        <w:pStyle w:val="Text1"/>
        <w:ind w:left="0"/>
        <w:rPr>
          <w:noProof/>
        </w:rPr>
      </w:pPr>
      <w:r>
        <w:rPr>
          <w:noProof/>
        </w:rPr>
        <w:t>L</w:t>
      </w:r>
      <w:r>
        <w:rPr>
          <w:noProof/>
        </w:rPr>
        <w:t>’</w:t>
      </w:r>
      <w:r>
        <w:rPr>
          <w:noProof/>
        </w:rPr>
        <w:t>amendement</w:t>
      </w:r>
      <w:r>
        <w:rPr>
          <w:noProof/>
        </w:rPr>
        <w:t> </w:t>
      </w:r>
      <w:r>
        <w:rPr>
          <w:noProof/>
        </w:rPr>
        <w:t>44 de l</w:t>
      </w:r>
      <w:r>
        <w:rPr>
          <w:noProof/>
        </w:rPr>
        <w:t>’</w:t>
      </w:r>
      <w:r>
        <w:rPr>
          <w:noProof/>
        </w:rPr>
        <w:t>annexe</w:t>
      </w:r>
      <w:r>
        <w:rPr>
          <w:noProof/>
        </w:rPr>
        <w:t> </w:t>
      </w:r>
      <w:r>
        <w:rPr>
          <w:noProof/>
        </w:rPr>
        <w:t>6, partie</w:t>
      </w:r>
      <w:r>
        <w:rPr>
          <w:noProof/>
        </w:rPr>
        <w:t> </w:t>
      </w:r>
      <w:r>
        <w:rPr>
          <w:noProof/>
        </w:rPr>
        <w:t>I, concerne les zones de conflit, l</w:t>
      </w:r>
      <w:r>
        <w:rPr>
          <w:noProof/>
        </w:rPr>
        <w:t>’</w:t>
      </w:r>
      <w:r>
        <w:rPr>
          <w:noProof/>
        </w:rPr>
        <w:t>exploitation tous temps, l</w:t>
      </w:r>
      <w:r>
        <w:rPr>
          <w:noProof/>
        </w:rPr>
        <w:t>’</w:t>
      </w:r>
      <w:r>
        <w:rPr>
          <w:noProof/>
        </w:rPr>
        <w:t>harmonisation des conditions d</w:t>
      </w:r>
      <w:r>
        <w:rPr>
          <w:noProof/>
        </w:rPr>
        <w:t>’</w:t>
      </w:r>
      <w:r>
        <w:rPr>
          <w:noProof/>
        </w:rPr>
        <w:t>autorisation, d</w:t>
      </w:r>
      <w:r>
        <w:rPr>
          <w:noProof/>
        </w:rPr>
        <w:t>’</w:t>
      </w:r>
      <w:r>
        <w:rPr>
          <w:noProof/>
        </w:rPr>
        <w:t>acceptation et d</w:t>
      </w:r>
      <w:r>
        <w:rPr>
          <w:noProof/>
        </w:rPr>
        <w:t>’</w:t>
      </w:r>
      <w:r>
        <w:rPr>
          <w:noProof/>
        </w:rPr>
        <w:t>agr</w:t>
      </w:r>
      <w:r>
        <w:rPr>
          <w:noProof/>
        </w:rPr>
        <w:t>é</w:t>
      </w:r>
      <w:r>
        <w:rPr>
          <w:noProof/>
        </w:rPr>
        <w:t>ment (AAA), les compartiments cargo, le dispositif avertisseur de proximit</w:t>
      </w:r>
      <w:r>
        <w:rPr>
          <w:noProof/>
        </w:rPr>
        <w:t>é</w:t>
      </w:r>
      <w:r>
        <w:rPr>
          <w:noProof/>
        </w:rPr>
        <w:t xml:space="preserve"> du sol (GPWS), les gilets de sauvetage, l</w:t>
      </w:r>
      <w:r>
        <w:rPr>
          <w:noProof/>
        </w:rPr>
        <w:t>’</w:t>
      </w:r>
      <w:r>
        <w:rPr>
          <w:noProof/>
        </w:rPr>
        <w:t>article</w:t>
      </w:r>
      <w:r>
        <w:rPr>
          <w:noProof/>
        </w:rPr>
        <w:t> </w:t>
      </w:r>
      <w:r>
        <w:rPr>
          <w:noProof/>
        </w:rPr>
        <w:t>83</w:t>
      </w:r>
      <w:r>
        <w:rPr>
          <w:noProof/>
        </w:rPr>
        <w:t> </w:t>
      </w:r>
      <w:r>
        <w:rPr>
          <w:i/>
          <w:iCs/>
          <w:noProof/>
        </w:rPr>
        <w:t>bis</w:t>
      </w:r>
      <w:r>
        <w:rPr>
          <w:noProof/>
        </w:rPr>
        <w:t>, les enregistreurs de vol, l</w:t>
      </w:r>
      <w:r>
        <w:rPr>
          <w:noProof/>
        </w:rPr>
        <w:t>’</w:t>
      </w:r>
      <w:r>
        <w:rPr>
          <w:noProof/>
        </w:rPr>
        <w:t>enregistrement des messages de communication par liaison de donn</w:t>
      </w:r>
      <w:r>
        <w:rPr>
          <w:noProof/>
        </w:rPr>
        <w:t>é</w:t>
      </w:r>
      <w:r>
        <w:rPr>
          <w:noProof/>
        </w:rPr>
        <w:t>es et la localisation d</w:t>
      </w:r>
      <w:r>
        <w:rPr>
          <w:noProof/>
        </w:rPr>
        <w:t>’</w:t>
      </w:r>
      <w:r>
        <w:rPr>
          <w:noProof/>
        </w:rPr>
        <w:t>un a</w:t>
      </w:r>
      <w:r>
        <w:rPr>
          <w:noProof/>
        </w:rPr>
        <w:t>é</w:t>
      </w:r>
      <w:r>
        <w:rPr>
          <w:noProof/>
        </w:rPr>
        <w:t>ronef en d</w:t>
      </w:r>
      <w:r>
        <w:rPr>
          <w:noProof/>
        </w:rPr>
        <w:t>é</w:t>
      </w:r>
      <w:r>
        <w:rPr>
          <w:noProof/>
        </w:rPr>
        <w:t xml:space="preserve">tresse. </w:t>
      </w:r>
    </w:p>
    <w:p>
      <w:pPr>
        <w:pStyle w:val="Text1"/>
        <w:ind w:left="0"/>
        <w:rPr>
          <w:noProof/>
        </w:rPr>
      </w:pPr>
      <w:r>
        <w:rPr>
          <w:noProof/>
        </w:rPr>
        <w:t>L</w:t>
      </w:r>
      <w:r>
        <w:rPr>
          <w:noProof/>
        </w:rPr>
        <w:t>’</w:t>
      </w:r>
      <w:r>
        <w:rPr>
          <w:noProof/>
        </w:rPr>
        <w:t>amendement</w:t>
      </w:r>
      <w:r>
        <w:rPr>
          <w:noProof/>
        </w:rPr>
        <w:t> </w:t>
      </w:r>
      <w:r>
        <w:rPr>
          <w:noProof/>
        </w:rPr>
        <w:t>37 de l</w:t>
      </w:r>
      <w:r>
        <w:rPr>
          <w:noProof/>
        </w:rPr>
        <w:t>’</w:t>
      </w:r>
      <w:r>
        <w:rPr>
          <w:noProof/>
        </w:rPr>
        <w:t>annexe</w:t>
      </w:r>
      <w:r>
        <w:rPr>
          <w:noProof/>
        </w:rPr>
        <w:t> </w:t>
      </w:r>
      <w:r>
        <w:rPr>
          <w:noProof/>
        </w:rPr>
        <w:t>6, partie</w:t>
      </w:r>
      <w:r>
        <w:rPr>
          <w:noProof/>
        </w:rPr>
        <w:t> </w:t>
      </w:r>
      <w:r>
        <w:rPr>
          <w:noProof/>
        </w:rPr>
        <w:t>II, concerne l</w:t>
      </w:r>
      <w:r>
        <w:rPr>
          <w:noProof/>
        </w:rPr>
        <w:t>’</w:t>
      </w:r>
      <w:r>
        <w:rPr>
          <w:noProof/>
        </w:rPr>
        <w:t>exploitation tous temps, l</w:t>
      </w:r>
      <w:r>
        <w:rPr>
          <w:noProof/>
        </w:rPr>
        <w:t>’</w:t>
      </w:r>
      <w:r>
        <w:rPr>
          <w:noProof/>
        </w:rPr>
        <w:t>harmonisation des conditions d</w:t>
      </w:r>
      <w:r>
        <w:rPr>
          <w:noProof/>
        </w:rPr>
        <w:t>’</w:t>
      </w:r>
      <w:r>
        <w:rPr>
          <w:noProof/>
        </w:rPr>
        <w:t>autorisation, d</w:t>
      </w:r>
      <w:r>
        <w:rPr>
          <w:noProof/>
        </w:rPr>
        <w:t>’</w:t>
      </w:r>
      <w:r>
        <w:rPr>
          <w:noProof/>
        </w:rPr>
        <w:t>acceptation et d</w:t>
      </w:r>
      <w:r>
        <w:rPr>
          <w:noProof/>
        </w:rPr>
        <w:t>’</w:t>
      </w:r>
      <w:r>
        <w:rPr>
          <w:noProof/>
        </w:rPr>
        <w:t>agr</w:t>
      </w:r>
      <w:r>
        <w:rPr>
          <w:noProof/>
        </w:rPr>
        <w:t>é</w:t>
      </w:r>
      <w:r>
        <w:rPr>
          <w:noProof/>
        </w:rPr>
        <w:t>ment (AAA), l</w:t>
      </w:r>
      <w:r>
        <w:rPr>
          <w:noProof/>
        </w:rPr>
        <w:t>’</w:t>
      </w:r>
      <w:r>
        <w:rPr>
          <w:noProof/>
        </w:rPr>
        <w:t>article</w:t>
      </w:r>
      <w:r>
        <w:rPr>
          <w:noProof/>
        </w:rPr>
        <w:t> </w:t>
      </w:r>
      <w:r>
        <w:rPr>
          <w:noProof/>
        </w:rPr>
        <w:t>83</w:t>
      </w:r>
      <w:r>
        <w:rPr>
          <w:noProof/>
        </w:rPr>
        <w:t> </w:t>
      </w:r>
      <w:r>
        <w:rPr>
          <w:i/>
          <w:iCs/>
          <w:noProof/>
        </w:rPr>
        <w:t>bis</w:t>
      </w:r>
      <w:r>
        <w:rPr>
          <w:noProof/>
        </w:rPr>
        <w:t>, les enregistreurs de vol et l</w:t>
      </w:r>
      <w:r>
        <w:rPr>
          <w:noProof/>
        </w:rPr>
        <w:t>’</w:t>
      </w:r>
      <w:r>
        <w:rPr>
          <w:noProof/>
        </w:rPr>
        <w:t>enregistrement des messages de communication par liaison de donn</w:t>
      </w:r>
      <w:r>
        <w:rPr>
          <w:noProof/>
        </w:rPr>
        <w:t>é</w:t>
      </w:r>
      <w:r>
        <w:rPr>
          <w:noProof/>
        </w:rPr>
        <w:t xml:space="preserve">es. </w:t>
      </w:r>
    </w:p>
    <w:p>
      <w:pPr>
        <w:pStyle w:val="Text1"/>
        <w:ind w:left="0"/>
        <w:rPr>
          <w:noProof/>
        </w:rPr>
      </w:pPr>
      <w:r>
        <w:rPr>
          <w:noProof/>
        </w:rPr>
        <w:t>L</w:t>
      </w:r>
      <w:r>
        <w:rPr>
          <w:noProof/>
        </w:rPr>
        <w:t>’</w:t>
      </w:r>
      <w:r>
        <w:rPr>
          <w:noProof/>
        </w:rPr>
        <w:t>amendement</w:t>
      </w:r>
      <w:r>
        <w:rPr>
          <w:noProof/>
        </w:rPr>
        <w:t> </w:t>
      </w:r>
      <w:r>
        <w:rPr>
          <w:noProof/>
        </w:rPr>
        <w:t>23 de l</w:t>
      </w:r>
      <w:r>
        <w:rPr>
          <w:noProof/>
        </w:rPr>
        <w:t>’</w:t>
      </w:r>
      <w:r>
        <w:rPr>
          <w:noProof/>
        </w:rPr>
        <w:t>annexe</w:t>
      </w:r>
      <w:r>
        <w:rPr>
          <w:noProof/>
        </w:rPr>
        <w:t> </w:t>
      </w:r>
      <w:r>
        <w:rPr>
          <w:noProof/>
        </w:rPr>
        <w:t>6, partie</w:t>
      </w:r>
      <w:r>
        <w:rPr>
          <w:noProof/>
        </w:rPr>
        <w:t> </w:t>
      </w:r>
      <w:r>
        <w:rPr>
          <w:noProof/>
        </w:rPr>
        <w:t>III, concerne l</w:t>
      </w:r>
      <w:r>
        <w:rPr>
          <w:noProof/>
        </w:rPr>
        <w:t>’</w:t>
      </w:r>
      <w:r>
        <w:rPr>
          <w:noProof/>
        </w:rPr>
        <w:t>exploitation tous temps, l</w:t>
      </w:r>
      <w:r>
        <w:rPr>
          <w:noProof/>
        </w:rPr>
        <w:t>’</w:t>
      </w:r>
      <w:r>
        <w:rPr>
          <w:noProof/>
        </w:rPr>
        <w:t>harmonisation des conditions d</w:t>
      </w:r>
      <w:r>
        <w:rPr>
          <w:noProof/>
        </w:rPr>
        <w:t>’</w:t>
      </w:r>
      <w:r>
        <w:rPr>
          <w:noProof/>
        </w:rPr>
        <w:t>autorisation, d</w:t>
      </w:r>
      <w:r>
        <w:rPr>
          <w:noProof/>
        </w:rPr>
        <w:t>’</w:t>
      </w:r>
      <w:r>
        <w:rPr>
          <w:noProof/>
        </w:rPr>
        <w:t>acceptation et d</w:t>
      </w:r>
      <w:r>
        <w:rPr>
          <w:noProof/>
        </w:rPr>
        <w:t>’</w:t>
      </w:r>
      <w:r>
        <w:rPr>
          <w:noProof/>
        </w:rPr>
        <w:t>agr</w:t>
      </w:r>
      <w:r>
        <w:rPr>
          <w:noProof/>
        </w:rPr>
        <w:t>é</w:t>
      </w:r>
      <w:r>
        <w:rPr>
          <w:noProof/>
        </w:rPr>
        <w:t>ment (AAA), l</w:t>
      </w:r>
      <w:r>
        <w:rPr>
          <w:noProof/>
        </w:rPr>
        <w:t>’</w:t>
      </w:r>
      <w:r>
        <w:rPr>
          <w:noProof/>
        </w:rPr>
        <w:t>article</w:t>
      </w:r>
      <w:r>
        <w:rPr>
          <w:noProof/>
        </w:rPr>
        <w:t> </w:t>
      </w:r>
      <w:r>
        <w:rPr>
          <w:noProof/>
        </w:rPr>
        <w:t>83</w:t>
      </w:r>
      <w:r>
        <w:rPr>
          <w:noProof/>
        </w:rPr>
        <w:t> </w:t>
      </w:r>
      <w:r>
        <w:rPr>
          <w:i/>
          <w:iCs/>
          <w:noProof/>
        </w:rPr>
        <w:t>bis</w:t>
      </w:r>
      <w:r>
        <w:rPr>
          <w:noProof/>
        </w:rPr>
        <w:t>, l</w:t>
      </w:r>
      <w:r>
        <w:rPr>
          <w:noProof/>
        </w:rPr>
        <w:t>’é</w:t>
      </w:r>
      <w:r>
        <w:rPr>
          <w:noProof/>
        </w:rPr>
        <w:t>laboration d</w:t>
      </w:r>
      <w:r>
        <w:rPr>
          <w:noProof/>
        </w:rPr>
        <w:t>’</w:t>
      </w:r>
      <w:r>
        <w:rPr>
          <w:noProof/>
        </w:rPr>
        <w:t>un code de performance pour h</w:t>
      </w:r>
      <w:r>
        <w:rPr>
          <w:noProof/>
        </w:rPr>
        <w:t>é</w:t>
      </w:r>
      <w:r>
        <w:rPr>
          <w:noProof/>
        </w:rPr>
        <w:t>licopt</w:t>
      </w:r>
      <w:r>
        <w:rPr>
          <w:noProof/>
        </w:rPr>
        <w:t>è</w:t>
      </w:r>
      <w:r>
        <w:rPr>
          <w:noProof/>
        </w:rPr>
        <w:t>re avec temps d</w:t>
      </w:r>
      <w:r>
        <w:rPr>
          <w:noProof/>
        </w:rPr>
        <w:t>’</w:t>
      </w:r>
      <w:r>
        <w:rPr>
          <w:noProof/>
        </w:rPr>
        <w:t>exposition, les enregistreurs de vol et l</w:t>
      </w:r>
      <w:r>
        <w:rPr>
          <w:noProof/>
        </w:rPr>
        <w:t>’</w:t>
      </w:r>
      <w:r>
        <w:rPr>
          <w:noProof/>
        </w:rPr>
        <w:t>enregistrement des messages de communication par liaison de donn</w:t>
      </w:r>
      <w:r>
        <w:rPr>
          <w:noProof/>
        </w:rPr>
        <w:t>é</w:t>
      </w:r>
      <w:r>
        <w:rPr>
          <w:noProof/>
        </w:rPr>
        <w:t>es.</w:t>
      </w:r>
    </w:p>
    <w:p>
      <w:pPr>
        <w:pStyle w:val="Heading3"/>
        <w:numPr>
          <w:ilvl w:val="2"/>
          <w:numId w:val="8"/>
        </w:numPr>
        <w:ind w:left="850" w:hanging="850"/>
        <w:rPr>
          <w:rFonts w:eastAsia="Arial Unicode MS"/>
          <w:noProof/>
        </w:rPr>
      </w:pPr>
      <w:r>
        <w:rPr>
          <w:noProof/>
        </w:rPr>
        <w:t>Dispositions applicables du droit de l</w:t>
      </w:r>
      <w:r>
        <w:rPr>
          <w:noProof/>
        </w:rPr>
        <w:t>’</w:t>
      </w:r>
      <w:r>
        <w:rPr>
          <w:noProof/>
        </w:rPr>
        <w:t>Union</w:t>
      </w:r>
    </w:p>
    <w:p>
      <w:pPr>
        <w:pStyle w:val="Text1"/>
        <w:ind w:left="0"/>
        <w:rPr>
          <w:rFonts w:hAnsi="Times New Roman" w:cs="Times New Roman"/>
          <w:noProof/>
        </w:rPr>
      </w:pPr>
      <w:r>
        <w:rPr>
          <w:rFonts w:hAnsi="Times New Roman" w:cs="Times New Roman"/>
          <w:noProof/>
        </w:rPr>
        <w:t>Règlement (UE) nº 965/2012 de la Commission</w:t>
      </w:r>
      <w:r>
        <w:rPr>
          <w:rFonts w:hAnsi="Times New Roman" w:cs="Times New Roman"/>
          <w:noProof/>
          <w:vertAlign w:val="superscript"/>
        </w:rPr>
        <w:footnoteReference w:id="5"/>
      </w:r>
    </w:p>
    <w:p>
      <w:pPr>
        <w:pStyle w:val="Heading3"/>
        <w:widowControl w:val="0"/>
        <w:numPr>
          <w:ilvl w:val="2"/>
          <w:numId w:val="8"/>
        </w:numPr>
        <w:ind w:left="850" w:hanging="850"/>
        <w:rPr>
          <w:rFonts w:eastAsia="Arial Unicode MS"/>
          <w:noProof/>
        </w:rPr>
      </w:pPr>
      <w:r>
        <w:rPr>
          <w:rFonts w:hAnsi="Times New Roman" w:cs="Times New Roman"/>
          <w:noProof/>
        </w:rPr>
        <w:t>Tableau des différences à notifier pour l’amendement 44 à l’annexe 6, partie I</w:t>
      </w:r>
      <w:r>
        <w:rPr>
          <w:noProof/>
        </w:rPr>
        <w:t xml:space="preserve"> </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Observations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Partiellement mise en œuvre. </w:t>
            </w:r>
          </w:p>
          <w:p>
            <w:pPr>
              <w:pStyle w:val="Body"/>
              <w:spacing w:after="0" w:line="240" w:lineRule="auto"/>
              <w:jc w:val="both"/>
              <w:rPr>
                <w:noProof/>
              </w:rPr>
            </w:pPr>
            <w:r>
              <w:rPr>
                <w:noProof/>
              </w:rPr>
              <w:t>Le CVS ne reçoit pas de crédits opérationnels.</w:t>
            </w:r>
          </w:p>
          <w:p>
            <w:pPr>
              <w:pStyle w:val="Body"/>
              <w:spacing w:line="240" w:lineRule="auto"/>
              <w:jc w:val="both"/>
              <w:rPr>
                <w:noProof/>
              </w:rPr>
            </w:pPr>
            <w:r>
              <w:rPr>
                <w:noProof/>
              </w:rPr>
              <w:t>Le règlement (UE) nº965/2012 n’autorise actuellement les crédits opérationnels que pour les HUD et l'EVS.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Partiellement mise en œuvre. </w:t>
            </w:r>
          </w:p>
          <w:p>
            <w:pPr>
              <w:pStyle w:val="Body"/>
              <w:spacing w:after="0" w:line="240" w:lineRule="auto"/>
              <w:jc w:val="both"/>
              <w:rPr>
                <w:noProof/>
              </w:rPr>
            </w:pPr>
            <w:r>
              <w:rPr>
                <w:noProof/>
              </w:rPr>
              <w:t>Les éléments nouvellement introduits de la norme ne sont pas encore transposés dans les règles de l’UE.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4.3.4.1.2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Partiellement mise en œuvre. Les règles de l’UE utilisent le concept d’ETOPS au lieu du concept EDTO.</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p>
            <w:pPr>
              <w:pStyle w:val="Body"/>
              <w:spacing w:after="0" w:line="240" w:lineRule="auto"/>
              <w:jc w:val="both"/>
              <w:rPr>
                <w:noProof/>
              </w:rPr>
            </w:pPr>
            <w:r>
              <w:rPr>
                <w:noProof/>
              </w:rPr>
              <w:t xml:space="preserve">Le règlement (UE) nº 965/2012 n’utilise pas le concept EDTO. Au lieu de cela, il utilise le concept ETOPS.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Non mise en œuvre. </w:t>
            </w:r>
          </w:p>
          <w:p>
            <w:pPr>
              <w:pStyle w:val="Body"/>
              <w:spacing w:after="0" w:line="240" w:lineRule="auto"/>
              <w:jc w:val="both"/>
              <w:rPr>
                <w:noProof/>
              </w:rPr>
            </w:pPr>
            <w:r>
              <w:rPr>
                <w:noProof/>
              </w:rPr>
              <w:t>Le règlement (UE) nº 965/2012 n’utilise pas le concept EDTO. Au lieu de cela, il utilise le concept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Non mise en œuvre. </w:t>
            </w:r>
          </w:p>
          <w:p>
            <w:pPr>
              <w:pStyle w:val="Body"/>
              <w:spacing w:after="0" w:line="240" w:lineRule="auto"/>
              <w:jc w:val="both"/>
              <w:rPr>
                <w:noProof/>
              </w:rPr>
            </w:pPr>
            <w:r>
              <w:rPr>
                <w:noProof/>
              </w:rPr>
              <w:t>Le règlement (UE) nº 965/2012 n’utilise pas le concept EDTO. Au lieu de cela, il utilise le concept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Non mise en œuvre. </w:t>
            </w:r>
          </w:p>
          <w:p>
            <w:pPr>
              <w:pStyle w:val="Body"/>
              <w:spacing w:after="0" w:line="240" w:lineRule="auto"/>
              <w:jc w:val="both"/>
              <w:rPr>
                <w:noProof/>
              </w:rPr>
            </w:pPr>
            <w:r>
              <w:rPr>
                <w:noProof/>
              </w:rPr>
              <w:t>Le règlement (UE) nº 965/2012 n’utilise pas le concept EDTO. Au lieu de cela, il utilise le concept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Non mise en œuvre. </w:t>
            </w:r>
          </w:p>
          <w:p>
            <w:pPr>
              <w:pStyle w:val="Body"/>
              <w:spacing w:after="0" w:line="240" w:lineRule="auto"/>
              <w:jc w:val="both"/>
              <w:rPr>
                <w:noProof/>
              </w:rPr>
            </w:pPr>
            <w:r>
              <w:rPr>
                <w:noProof/>
              </w:rPr>
              <w:t>Le règlement (UE) nº 965/2012 n’utilise pas le concept EDTO. Au lieu de cela, il utilise le concept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que les normes EDTO soient transposées dans le règlement (UE) nº 965/2012 au moyen du mandat de réglementation RMT.0392.</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 </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6.1.5.4 Recommandation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A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Plus rigoureuse. Le point CAT.IDE.A.195 a) du règlement (UE) nº 965/2012 exige l’enregistrement des liaisons de données pour les avions dont le certificat individuel de navigabilité a été délivré à partir du 8 avril 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 Le point CAT.IDE.A.195 a) du règlement (UE) nº 965/2012 ne s’applique qu’aux avions dont le premier certificat individuel de navigabilité a été délivré à partir du 8 avril 2014. La mise en conformité de l’enregistreur des liaisons de données n’est pas exigée.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6.3.3.1.3 Recommandation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36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6.18.1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Partiellement mise en œuvre.</w:t>
            </w:r>
          </w:p>
          <w:p>
            <w:pPr>
              <w:pStyle w:val="Body"/>
              <w:spacing w:after="0" w:line="240" w:lineRule="auto"/>
              <w:jc w:val="both"/>
              <w:rPr>
                <w:noProof/>
              </w:rPr>
            </w:pPr>
            <w:r>
              <w:rPr>
                <w:noProof/>
              </w:rPr>
              <w:t>Le point CAT.GEN.MPA.210 du règlement (UE) nº (UE) 965/2012 ne s’applique pas aux avions dont la MCTOM est inférieure à 45 500 kg et la MOPSC inférieure à 19 kg.</w:t>
            </w:r>
          </w:p>
          <w:p>
            <w:pPr>
              <w:pStyle w:val="Body"/>
              <w:spacing w:after="0" w:line="240" w:lineRule="auto"/>
              <w:jc w:val="both"/>
              <w:rPr>
                <w:noProof/>
              </w:rPr>
            </w:pPr>
            <w:r>
              <w:rPr>
                <w:noProof/>
              </w:rPr>
              <w:t>En outre, le point CAT.GEN.MPA.210 ne s’applique qu’aux avions dont le certificat individuel de navigabilité est délivré à partir du 1</w:t>
            </w:r>
            <w:r>
              <w:rPr>
                <w:noProof/>
                <w:vertAlign w:val="superscript"/>
              </w:rPr>
              <w:t>er</w:t>
            </w:r>
            <w:r>
              <w:rPr>
                <w:noProof/>
              </w:rPr>
              <w:t> janvier 2023.</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6.18.2 </w:t>
            </w:r>
            <w:r>
              <w:rPr>
                <w:noProof/>
              </w:rPr>
              <w:br/>
              <w:t>Recommandation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Appendice 8</w:t>
            </w:r>
          </w:p>
          <w:p>
            <w:pPr>
              <w:pStyle w:val="Body"/>
              <w:spacing w:line="240" w:lineRule="auto"/>
              <w:jc w:val="both"/>
              <w:rPr>
                <w:noProof/>
              </w:rPr>
            </w:pPr>
            <w:r>
              <w:rPr>
                <w:noProof/>
              </w:rPr>
              <w:t>1.6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p>
            <w:pPr>
              <w:pStyle w:val="Body"/>
              <w:spacing w:after="0" w:line="240" w:lineRule="auto"/>
              <w:jc w:val="both"/>
              <w:rPr>
                <w:noProof/>
              </w:rPr>
            </w:pPr>
            <w:r>
              <w:rPr>
                <w:noProof/>
              </w:rPr>
              <w:t>Si un ADRS est utilisé, il n’existe actuellement aucune exigence de l’UE concernant la fiabilité de sa source d’alimentation.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différence doit être notifiée par rapport à la norme 6.3.1.1.1.</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Appendice 10</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0"/>
        </w:numPr>
        <w:ind w:left="850" w:hanging="850"/>
        <w:rPr>
          <w:rFonts w:eastAsia="Arial Unicode MS" w:hAnsi="Times New Roman" w:cs="Times New Roman"/>
          <w:noProof/>
        </w:rPr>
      </w:pPr>
      <w:r>
        <w:rPr>
          <w:rFonts w:hAnsi="Times New Roman" w:cs="Times New Roman"/>
          <w:noProof/>
        </w:rPr>
        <w:t>Tableau des différences à notifier pour l’amendement 37 à l’annexe 6, partie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2409"/>
        <w:gridCol w:w="3515"/>
      </w:tblGrid>
      <w:tr>
        <w:trPr>
          <w:trHeight w:val="5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Disposition de l’annexe</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Catégorie de différence</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Description de la différence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Observations</w:t>
            </w:r>
          </w:p>
        </w:tc>
      </w:tr>
      <w:tr>
        <w:trPr>
          <w:trHeight w:val="24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2.2.2.2.1.1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Partiellement mise en œuvre. Le CVS ne reçoit pas de crédits opérationnels.</w:t>
            </w:r>
          </w:p>
          <w:p>
            <w:pPr>
              <w:pStyle w:val="Body"/>
              <w:spacing w:after="0" w:line="240" w:lineRule="auto"/>
              <w:jc w:val="both"/>
              <w:rPr>
                <w:noProof/>
              </w:rPr>
            </w:pPr>
            <w:r>
              <w:rPr>
                <w:noProof/>
              </w:rPr>
              <w:t>À l’heure actuelle, le règlement (UE) nº 965/2012 n’autorise les crédits opérationnels que pour les HUD et l’EVS.</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73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2.4.16.2.1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Partiellement mise en œuvre. </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La partie NCO ne comporte pas d’exigence d’emport d’enregistreur de vol.</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Non mise en œuvre.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Non mise en œuvre.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Non mise en œuvre.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Non mise en œuvre.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Appendice 2.5</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Non mise en œuvre.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2"/>
        </w:numPr>
        <w:ind w:left="850" w:hanging="850"/>
        <w:rPr>
          <w:rFonts w:eastAsia="Arial Unicode MS" w:hAnsi="Times New Roman" w:cs="Times New Roman"/>
          <w:noProof/>
        </w:rPr>
      </w:pPr>
      <w:r>
        <w:rPr>
          <w:rFonts w:hAnsi="Times New Roman" w:cs="Times New Roman"/>
          <w:noProof/>
        </w:rPr>
        <w:t>Tableau des différences à notifier pour l’amendement 23 à l’annexe 6, partie III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3544"/>
        <w:gridCol w:w="2380"/>
      </w:tblGrid>
      <w:tr>
        <w:trPr>
          <w:trHeight w:val="4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Disposition de l’annexe</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Catégorie de différence</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Description de la différence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Observations</w:t>
            </w:r>
          </w:p>
        </w:tc>
      </w:tr>
      <w:tr>
        <w:trPr>
          <w:trHeight w:val="16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Partiellement mise en œuvre. Le CVS ne reçoit pas de crédits opérationnels.</w:t>
            </w:r>
          </w:p>
          <w:p>
            <w:pPr>
              <w:pStyle w:val="Body"/>
              <w:spacing w:after="0" w:line="240" w:lineRule="auto"/>
              <w:jc w:val="both"/>
              <w:rPr>
                <w:noProof/>
              </w:rPr>
            </w:pPr>
            <w:r>
              <w:rPr>
                <w:noProof/>
              </w:rPr>
              <w:t>À l’heure actuelle, le règlement (UE) nº 965/2012 n’autorise les crédits opérationnels que pour les HUD et l’EVS.</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2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Partiellement mises en œuvre </w:t>
            </w:r>
          </w:p>
          <w:p>
            <w:pPr>
              <w:pStyle w:val="Body"/>
              <w:spacing w:after="0" w:line="240" w:lineRule="auto"/>
              <w:jc w:val="both"/>
              <w:rPr>
                <w:noProof/>
              </w:rPr>
            </w:pPr>
            <w:r>
              <w:rPr>
                <w:noProof/>
              </w:rPr>
              <w:t>Les éléments nouvellement introduits de la norme ne sont pas encore transposés dans les règles de l’UE.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4.7.3.1.1.1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078"/>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 xml:space="preserve">Appendice 4 </w:t>
            </w:r>
            <w:r>
              <w:rPr>
                <w:noProof/>
              </w:rPr>
              <w:br/>
              <w:t>1.6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Non mise en œuvre. Si un ADRS est utilisé, il n’existe actuellement aucune exigence de l’UE concernant la fiabilité de sa source d’alimentation.</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La différence devrait être indiquée par rapport à la norme 4.3.1.1.4</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Appendice 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Non mise en œuvre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2"/>
        <w:numPr>
          <w:ilvl w:val="1"/>
          <w:numId w:val="14"/>
        </w:numPr>
        <w:ind w:left="850" w:hanging="850"/>
        <w:rPr>
          <w:rFonts w:eastAsia="Arial Unicode MS" w:hAnsi="Times New Roman" w:cs="Times New Roman"/>
          <w:noProof/>
        </w:rPr>
      </w:pPr>
      <w:r>
        <w:rPr>
          <w:rFonts w:hAnsi="Times New Roman" w:cs="Times New Roman"/>
          <w:noProof/>
        </w:rPr>
        <w:t xml:space="preserve">Amendement 92 à l’annexe 10 relative aux télécommunications aéronautiques, volume I et volume II </w:t>
      </w:r>
    </w:p>
    <w:p>
      <w:pPr>
        <w:pStyle w:val="Heading3"/>
        <w:numPr>
          <w:ilvl w:val="2"/>
          <w:numId w:val="14"/>
        </w:numPr>
        <w:ind w:left="850" w:hanging="850"/>
        <w:rPr>
          <w:rFonts w:eastAsia="Arial Unicode MS" w:hAnsi="Times New Roman" w:cs="Times New Roman"/>
          <w:noProof/>
        </w:rPr>
      </w:pPr>
      <w:r>
        <w:rPr>
          <w:rFonts w:hAnsi="Times New Roman" w:cs="Times New Roman"/>
          <w:noProof/>
        </w:rPr>
        <w:t>Description</w:t>
      </w:r>
    </w:p>
    <w:p>
      <w:pPr>
        <w:pStyle w:val="NumPar1"/>
        <w:ind w:left="0" w:firstLine="0"/>
        <w:rPr>
          <w:rFonts w:hAnsi="Times New Roman" w:cs="Times New Roman"/>
          <w:noProof/>
        </w:rPr>
      </w:pPr>
      <w:r>
        <w:rPr>
          <w:rFonts w:hAnsi="Times New Roman" w:cs="Times New Roman"/>
          <w:noProof/>
        </w:rPr>
        <w:t>Volume I: L’amendement, décidé lors de la quatrième et cinquième réunion du groupe d’experts sur les systèmes de navigation (NSP/4 et 5), concerne le système mondial de navigation par satellite (GNSS) et les aides conventionnelles à la navigation. L’amendement porte sur: a) les catégories de performance des installations du système d’atterrissage aux instruments (ILS); b) la communication d’informations sur l’état opérationnel des services de radionavigation; c) la mise à jour des dispositions relatives au système de renforcement satellitaire (SBAS) en vue d’introduire de nouveaux fournisseurs de services SBAS, un nouvel identifiant normalisé de temps universel coordonné (UTC) et de nouvelles exigences en matière de surveillance des données du système mondial de localisation (GPS); d) les dispositions visant à garantir la compatibilité du système de renforcement au sol (GBAS) pour la diffusion de données (VDB) à très haute fréquence (VHF) avec l’ILS et le radiophare omnidirectionnel VHF (VOR); e) la clarification et la correction des dispositions relatives au GBAS; et f) des orientations supplémentaires concernant les limites d’alerte relatives à l’intégrité du GNSS.</w:t>
      </w:r>
    </w:p>
    <w:p>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Volume II: L’amendement a trait au modèle d’échange d’informations météorologiques de l’OACI (IWXXM), au réseau du service fixe des télécommunications aéronautiques (RSFTA) et au service fixe aéronautique (SFA).</w:t>
      </w:r>
    </w:p>
    <w:p>
      <w:pPr>
        <w:pStyle w:val="Heading3"/>
        <w:numPr>
          <w:ilvl w:val="2"/>
          <w:numId w:val="14"/>
        </w:numPr>
        <w:ind w:left="850" w:hanging="850"/>
        <w:rPr>
          <w:rFonts w:eastAsia="Arial Unicode MS" w:hAnsi="Times New Roman" w:cs="Times New Roman"/>
          <w:noProof/>
        </w:rPr>
      </w:pPr>
      <w:r>
        <w:rPr>
          <w:rFonts w:hAnsi="Times New Roman" w:cs="Times New Roman"/>
          <w:noProof/>
        </w:rPr>
        <w:t xml:space="preserve">Dispositions applicables du droit de l’Union </w:t>
      </w:r>
    </w:p>
    <w:p>
      <w:pPr>
        <w:pStyle w:val="NumPar3"/>
        <w:ind w:left="0" w:firstLine="0"/>
        <w:rPr>
          <w:rFonts w:hAnsi="Times New Roman" w:cs="Times New Roman"/>
          <w:noProof/>
        </w:rPr>
      </w:pPr>
      <w:r>
        <w:rPr>
          <w:rFonts w:hAnsi="Times New Roman" w:cs="Times New Roman"/>
          <w:noProof/>
        </w:rPr>
        <w:t>Règlement d’exécution (UE) 2017/373 de la Commission</w:t>
      </w:r>
      <w:r>
        <w:rPr>
          <w:rFonts w:hAnsi="Times New Roman" w:cs="Times New Roman"/>
          <w:noProof/>
          <w:vertAlign w:val="superscript"/>
        </w:rPr>
        <w:footnoteReference w:id="6"/>
      </w:r>
      <w:r>
        <w:rPr>
          <w:rFonts w:hAnsi="Times New Roman" w:cs="Times New Roman"/>
          <w:noProof/>
        </w:rPr>
        <w:t xml:space="preserve"> </w:t>
      </w:r>
    </w:p>
    <w:p>
      <w:pPr>
        <w:pStyle w:val="Heading3"/>
        <w:widowControl w:val="0"/>
        <w:numPr>
          <w:ilvl w:val="2"/>
          <w:numId w:val="14"/>
        </w:numPr>
        <w:ind w:left="850" w:hanging="850"/>
        <w:rPr>
          <w:rFonts w:eastAsia="Arial Unicode MS" w:hAnsi="Times New Roman" w:cs="Times New Roman"/>
          <w:noProof/>
        </w:rPr>
      </w:pPr>
      <w:r>
        <w:rPr>
          <w:rFonts w:hAnsi="Times New Roman" w:cs="Times New Roman"/>
          <w:noProof/>
        </w:rPr>
        <w:t>Tableau des différences à notifier pour l’amendement 92 à l’annexe 10, volume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10, volume I, Amendement 92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(UE) 2017/373 renvoie à l’annexe 10 de l’OACI, Volume I, jusqu’à l’amendement 89 inclus uniquement.</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conformité sera assurée lors de la modification du point CNS.TR.100 du règlement (UE) 2017/373 au titre du mandat de réglementation RMT.0719 «Mise à jour régulière des règles ATM/ANS (IR/AMC/GM)» conformément au calendrier détaillé dans l’EPAS réel.</w:t>
            </w:r>
          </w:p>
        </w:tc>
      </w:tr>
    </w:tbl>
    <w:p>
      <w:pPr>
        <w:pStyle w:val="Heading3"/>
        <w:widowControl w:val="0"/>
        <w:numPr>
          <w:ilvl w:val="2"/>
          <w:numId w:val="16"/>
        </w:numPr>
        <w:ind w:left="850" w:hanging="850"/>
        <w:rPr>
          <w:rFonts w:eastAsia="Arial Unicode MS"/>
          <w:noProof/>
        </w:rPr>
      </w:pPr>
    </w:p>
    <w:p>
      <w:pPr>
        <w:pStyle w:val="Heading3"/>
        <w:widowControl w:val="0"/>
        <w:numPr>
          <w:ilvl w:val="2"/>
          <w:numId w:val="18"/>
        </w:numPr>
        <w:ind w:left="850" w:hanging="850"/>
        <w:rPr>
          <w:rFonts w:eastAsia="Arial Unicode MS" w:hAnsi="Times New Roman" w:cs="Times New Roman"/>
          <w:noProof/>
        </w:rPr>
      </w:pPr>
      <w:r>
        <w:rPr>
          <w:rFonts w:hAnsi="Times New Roman" w:cs="Times New Roman"/>
          <w:noProof/>
        </w:rPr>
        <w:t>Tableau des différences à notifier pour l’amendement 92 à l’annexe 10, volume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Observations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10, volume II, amendement 92, chapitre 4, point 4.3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(UE) 2017/373 renvoie à l’annexe 10 de l’OACI, Volume I, jusqu’à l’amendement 89 inclus uniquement.</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conformité sera assurée lors de la modification du point CNS.TR.100 du règlement (UE) 2017/373 au titre du mandat de réglementation RMT.0719 «Mise à jour régulière des règles ATM/ANS (IR/AMC/GM)» conformément au calendrier détaillé dans l’EPAS réel.</w:t>
            </w:r>
          </w:p>
        </w:tc>
      </w:tr>
    </w:tbl>
    <w:p>
      <w:pPr>
        <w:pStyle w:val="Heading2"/>
        <w:numPr>
          <w:ilvl w:val="1"/>
          <w:numId w:val="20"/>
        </w:numPr>
        <w:ind w:left="850" w:hanging="850"/>
        <w:rPr>
          <w:rFonts w:eastAsia="Arial Unicode MS" w:hAnsi="Times New Roman" w:cs="Times New Roman"/>
          <w:noProof/>
        </w:rPr>
      </w:pPr>
      <w:r>
        <w:rPr>
          <w:rFonts w:hAnsi="Times New Roman" w:cs="Times New Roman"/>
          <w:noProof/>
        </w:rPr>
        <w:t xml:space="preserve">Amendement 52 à l’annexe 11 relative aux services de la circulation aérienne </w:t>
      </w:r>
    </w:p>
    <w:p>
      <w:pPr>
        <w:pStyle w:val="Heading3"/>
        <w:numPr>
          <w:ilvl w:val="2"/>
          <w:numId w:val="20"/>
        </w:numPr>
        <w:ind w:left="850" w:hanging="850"/>
        <w:rPr>
          <w:rFonts w:eastAsia="Arial Unicode MS" w:hAnsi="Times New Roman" w:cs="Times New Roman"/>
          <w:noProof/>
        </w:rPr>
      </w:pPr>
      <w:r>
        <w:rPr>
          <w:rFonts w:hAnsi="Times New Roman" w:cs="Times New Roman"/>
          <w:noProof/>
        </w:rPr>
        <w:t>Description</w:t>
      </w:r>
    </w:p>
    <w:p>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amendements concernent la planification des mesures d’exception en rapport avec des zones de conflit. Ils s’inspirent des recommandations de sécurité émises par le Bureau néerlandais de la sécurité à la suite de l'accident du vol 17 de Malaysian Airlines (MH17) et des recommandations du groupe de travail sur les risques que présentent les zones de conflit pour l’aviation civile (TF RCZ) (C-DEC 203/1). L’amendement concerne également les amendements sous la forme d’une nouvelle disposition relative au collationnement par les conducteurs de véhicules opérationnels. </w:t>
      </w:r>
    </w:p>
    <w:p>
      <w:pPr>
        <w:pStyle w:val="Heading3"/>
        <w:numPr>
          <w:ilvl w:val="2"/>
          <w:numId w:val="20"/>
        </w:numPr>
        <w:ind w:left="850" w:hanging="850"/>
        <w:rPr>
          <w:rFonts w:eastAsia="Arial Unicode MS" w:hAnsi="Times New Roman" w:cs="Times New Roman"/>
          <w:noProof/>
        </w:rPr>
      </w:pPr>
      <w:r>
        <w:rPr>
          <w:rFonts w:hAnsi="Times New Roman" w:cs="Times New Roman"/>
          <w:noProof/>
        </w:rPr>
        <w:t>Dispositions applicables du droit de l’Union</w:t>
      </w:r>
    </w:p>
    <w:p>
      <w:pPr>
        <w:pStyle w:val="Text1"/>
        <w:ind w:left="0"/>
        <w:rPr>
          <w:rFonts w:hAnsi="Times New Roman" w:cs="Times New Roman"/>
          <w:noProof/>
        </w:rPr>
      </w:pPr>
      <w:r>
        <w:rPr>
          <w:rFonts w:hAnsi="Times New Roman" w:cs="Times New Roman"/>
          <w:noProof/>
        </w:rPr>
        <w:t>Règlement d’exécution (UE) 2017/373 de la Commission</w:t>
      </w:r>
      <w:r>
        <w:rPr>
          <w:rFonts w:hAnsi="Times New Roman" w:cs="Times New Roman"/>
          <w:noProof/>
          <w:vertAlign w:val="superscript"/>
        </w:rPr>
        <w:footnoteReference w:id="7"/>
      </w:r>
    </w:p>
    <w:p>
      <w:pPr>
        <w:pStyle w:val="Text1"/>
        <w:ind w:left="0"/>
        <w:rPr>
          <w:rFonts w:hAnsi="Times New Roman" w:cs="Times New Roman"/>
          <w:noProof/>
        </w:rPr>
      </w:pPr>
      <w:r>
        <w:rPr>
          <w:rFonts w:hAnsi="Times New Roman" w:cs="Times New Roman"/>
          <w:noProof/>
        </w:rPr>
        <w:t>Règlement d’exécution (UE) 2020/469 de la Commission</w:t>
      </w:r>
      <w:r>
        <w:rPr>
          <w:rFonts w:hAnsi="Times New Roman" w:cs="Times New Roman"/>
          <w:noProof/>
          <w:vertAlign w:val="superscript"/>
        </w:rPr>
        <w:footnoteReference w:id="8"/>
      </w:r>
    </w:p>
    <w:p>
      <w:pPr>
        <w:pStyle w:val="Text1"/>
        <w:ind w:left="0"/>
        <w:rPr>
          <w:rFonts w:hAnsi="Times New Roman" w:cs="Times New Roman"/>
          <w:noProof/>
        </w:rPr>
      </w:pPr>
      <w:r>
        <w:rPr>
          <w:rFonts w:hAnsi="Times New Roman" w:cs="Times New Roman"/>
          <w:noProof/>
        </w:rPr>
        <w:t>Règlement (UE) nº 139/2014 de la Commission</w:t>
      </w:r>
      <w:r>
        <w:rPr>
          <w:rFonts w:hAnsi="Times New Roman" w:cs="Times New Roman"/>
          <w:noProof/>
          <w:vertAlign w:val="superscript"/>
        </w:rPr>
        <w:footnoteReference w:id="9"/>
      </w:r>
      <w:r>
        <w:rPr>
          <w:rFonts w:hAnsi="Times New Roman" w:cs="Times New Roman"/>
          <w:noProof/>
        </w:rPr>
        <w:t xml:space="preserve"> </w:t>
      </w:r>
    </w:p>
    <w:p>
      <w:pPr>
        <w:pStyle w:val="Text1"/>
        <w:ind w:left="0"/>
        <w:rPr>
          <w:noProof/>
        </w:rPr>
      </w:pPr>
      <w:r>
        <w:rPr>
          <w:rFonts w:hAnsi="Times New Roman" w:cs="Times New Roman"/>
          <w:noProof/>
        </w:rPr>
        <w:t>Règlement d'exécution (UE) nº 923/2012 de la Commission</w:t>
      </w:r>
      <w:r>
        <w:rPr>
          <w:noProof/>
          <w:vertAlign w:val="superscript"/>
        </w:rPr>
        <w:footnoteReference w:id="10"/>
      </w:r>
    </w:p>
    <w:p>
      <w:pPr>
        <w:pStyle w:val="Heading3"/>
        <w:widowControl w:val="0"/>
        <w:numPr>
          <w:ilvl w:val="2"/>
          <w:numId w:val="20"/>
        </w:numPr>
        <w:ind w:left="850" w:hanging="850"/>
        <w:rPr>
          <w:rFonts w:eastAsia="Arial Unicode MS" w:hAnsi="Times New Roman" w:cs="Times New Roman"/>
          <w:noProof/>
        </w:rPr>
      </w:pPr>
      <w:r>
        <w:rPr>
          <w:rFonts w:hAnsi="Times New Roman" w:cs="Times New Roman"/>
          <w:noProof/>
        </w:rPr>
        <w:t>Tableau des différences à notifier pour l’amendement 52 à l’annexe 11</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Observations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11, Amendement 52, chapitre 2.19, point 2.19.3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règles de l’UE ne prévoient pas d’obligation pour l’autorité compétente des services de la circulation aérienne de veiller à la réalisation d’une évaluation des risques en matière de sécurité et à la mise en œuvre de mesures appropriées d’atténuation des risques.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de modifier le règlement (UE) 2017/373 dans le cadre du mandat de réglementation RMT.0719 «Mise à jour régulière des règles relatives à la gestion du trafic aérien/aux services de navigation aérienne», le calendrier pouvant être consulté dans le plan européen pour la sécurité aérienne (EPAS).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11, Amendement 52, chapitre 2.19, point 2.19.3.1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tabs>
                <w:tab w:val="center" w:pos="897"/>
              </w:tabs>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règles de l’UE ne prévoient pas d’obligation pour l’État membre d’établir des procédures pour faciliter la prise en compte de tous les facteurs importants pour la sécurité dans l’évaluation des risques pour la sécurité.</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de modifier le règlement (UE) 2017/373 dans le cadre du mandat de réglementation RMT.0719 «Mise à jour régulière des règles relatives à la gestion du trafic aérien/aux services de navigation aérienne», le calendrier pouvant être consulté dans le plan européen pour la sécurité aérienne (EPAS).</w:t>
            </w:r>
          </w:p>
        </w:tc>
      </w:tr>
      <w:tr>
        <w:trPr>
          <w:trHeight w:val="117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11, Amendement 52, chapitre 3, point 3.7.3.3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La proposition de modification du règlement (UE) nº 139/2014, qui devrait être publiée d’ici la fin 2020, contient les dispositions suivantes: </w:t>
            </w:r>
          </w:p>
          <w:p>
            <w:pPr>
              <w:pStyle w:val="Body"/>
              <w:spacing w:after="0" w:line="240" w:lineRule="auto"/>
              <w:jc w:val="both"/>
              <w:rPr>
                <w:i/>
                <w:iCs/>
                <w:noProof/>
              </w:rPr>
            </w:pPr>
            <w:r>
              <w:rPr>
                <w:i/>
                <w:iCs/>
                <w:noProof/>
              </w:rPr>
              <w:t>«3) Les conducteurs des véhicules équipés d’un équipement radio qui circulent ou sont destinés à circuler sur l’aire de manœuvre collationnent à l’intention du personnel des services de la circulation aérienne les parties des instructions relatives à la sécurité qui sont communiquées en phonie. Les instructions relatives à la pénétration, à l’attente en retrait, à la traversée ou à l’évolution sur une piste, une voie de circulation ou une bande de piste doivent toujours faire l’objet d’un collationnement;</w:t>
            </w:r>
          </w:p>
          <w:p>
            <w:pPr>
              <w:pStyle w:val="Body"/>
              <w:spacing w:after="0" w:line="240" w:lineRule="auto"/>
              <w:jc w:val="both"/>
              <w:rPr>
                <w:i/>
                <w:iCs/>
                <w:noProof/>
              </w:rPr>
            </w:pPr>
            <w:r>
              <w:rPr>
                <w:i/>
                <w:iCs/>
                <w:noProof/>
              </w:rPr>
              <w:t>4) ils collationnent à l’intention du personnel des services de la circulation aérienne les instructions autres que celles visées au point 3 ou en accusent réception afin d’indiquer clairement qu’elles ont été comprises et qu’elles seront respectées.»</w:t>
            </w:r>
          </w:p>
          <w:p>
            <w:pPr>
              <w:pStyle w:val="Body"/>
              <w:spacing w:after="0" w:line="240" w:lineRule="auto"/>
              <w:jc w:val="both"/>
              <w:rPr>
                <w:noProof/>
              </w:rPr>
            </w:pPr>
            <w:r>
              <w:rPr>
                <w:noProof/>
                <w:u w:val="single"/>
              </w:rPr>
              <w:t>Le texte de l’OACI</w:t>
            </w:r>
            <w:r>
              <w:rPr>
                <w:noProof/>
              </w:rPr>
              <w:t xml:space="preserve">: </w:t>
            </w:r>
          </w:p>
          <w:p>
            <w:pPr>
              <w:pStyle w:val="Body"/>
              <w:spacing w:after="0" w:line="240" w:lineRule="auto"/>
              <w:jc w:val="both"/>
              <w:rPr>
                <w:noProof/>
              </w:rPr>
            </w:pPr>
            <w:r>
              <w:rPr>
                <w:noProof/>
              </w:rPr>
              <w:t xml:space="preserve">Les véhicules qui circulent ou sont destinés à circuler sur l’aire de manœuvre collationnent à l’intention du contrôleur de la circulation aérienne les parties des instructions relatives à la sécurité qui sont communiquées en phonie, par exemple les instructions relatives à la pénétration, à l’attente en retrait, à la traversée ou à l’évolution sur une piste ou une voie de circulation.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de l’UE devrait être plus exigeant car on considère que les exigences relatives aux conducteurs de véhicules devraient être aussi précises que celles applicables à l’équipage de conduite.</w:t>
            </w:r>
          </w:p>
          <w:p>
            <w:pPr>
              <w:pStyle w:val="Body"/>
              <w:spacing w:after="0" w:line="240" w:lineRule="auto"/>
              <w:jc w:val="both"/>
              <w:rPr>
                <w:noProof/>
              </w:rPr>
            </w:pPr>
            <w:r>
              <w:rPr>
                <w:noProof/>
              </w:rPr>
              <w:t>Les exigences correspondantes du règlement (UE) nº 139/2014 peuvent être reprises dans le règlement (UE) nº 923/2012 au point SERA.8015 e), au moyen du mandat de réglementation RMT.0476 «Mise à jour régulière de la règle SERA (IR/AMC/GM)» et devraient entrer en vigueur au T4 2023.</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Annexe 11, Amendement 52, chapitre 3, point 3.7.3.4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règles de l’UE ne prévoient pas l’obligation pour le contrôleur d’écouter le collationnement du conducteur du véhicule.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envisagé de modifier le règlement (UE) nº 923/2012 dans le cadre du mandat de réglementation RMT.0476 «Mise à jour régulière de la règle SERA (IR/AMC/GM)» et la modification devrait entrer en vigueur au T4 2023, date à laquelle l’obligation pour le contrôleur d’écouter le collationnement du conducteur du véhicule sera conforme à l’amendement 52.</w:t>
            </w:r>
          </w:p>
        </w:tc>
      </w:tr>
    </w:tbl>
    <w:p>
      <w:pPr>
        <w:pStyle w:val="Heading2"/>
        <w:numPr>
          <w:ilvl w:val="1"/>
          <w:numId w:val="22"/>
        </w:numPr>
        <w:ind w:left="850" w:hanging="850"/>
        <w:rPr>
          <w:rFonts w:eastAsia="Arial Unicode MS" w:hAnsi="Times New Roman" w:cs="Times New Roman"/>
          <w:noProof/>
        </w:rPr>
      </w:pPr>
      <w:r>
        <w:rPr>
          <w:rFonts w:hAnsi="Times New Roman" w:cs="Times New Roman"/>
          <w:noProof/>
        </w:rPr>
        <w:t xml:space="preserve">Amendements 15 et 9 à l’annexe 14 relative aux aérodromes, volume I et volume II </w:t>
      </w:r>
    </w:p>
    <w:p>
      <w:pPr>
        <w:pStyle w:val="Heading3"/>
        <w:numPr>
          <w:ilvl w:val="2"/>
          <w:numId w:val="22"/>
        </w:numPr>
        <w:ind w:left="850" w:hanging="850"/>
        <w:rPr>
          <w:rFonts w:eastAsia="Arial Unicode MS" w:hAnsi="Times New Roman" w:cs="Times New Roman"/>
          <w:noProof/>
        </w:rPr>
      </w:pPr>
      <w:r>
        <w:rPr>
          <w:rFonts w:hAnsi="Times New Roman" w:cs="Times New Roman"/>
          <w:noProof/>
        </w:rPr>
        <w:t>Description</w:t>
      </w:r>
    </w:p>
    <w:p>
      <w:pPr>
        <w:pStyle w:val="NumPar1"/>
        <w:ind w:left="0" w:firstLine="0"/>
        <w:rPr>
          <w:rFonts w:hAnsi="Times New Roman" w:cs="Times New Roman"/>
          <w:noProof/>
        </w:rPr>
      </w:pPr>
      <w:r>
        <w:rPr>
          <w:rFonts w:hAnsi="Times New Roman" w:cs="Times New Roman"/>
          <w:noProof/>
        </w:rPr>
        <w:t xml:space="preserve">Volume I: L’amendement porte sur la conception et l’exploitation des aérodromes ainsi que sur les aides visuelles à la navigation. </w:t>
      </w:r>
    </w:p>
    <w:p>
      <w:pPr>
        <w:pStyle w:val="Default"/>
        <w:jc w:val="both"/>
        <w:rPr>
          <w:noProof/>
        </w:rPr>
      </w:pPr>
      <w:r>
        <w:rPr>
          <w:noProof/>
        </w:rPr>
        <w:t>Volume II: L’amendement concerne les modifications des spécifications de conception et d’exploitation des aérodromes découlant de la troisième réunion du Groupe d’experts sur la conception et l’exploitation des aérodromes (ADOP/3) et de la huitième réunion du Groupe d’étude PANS-Aérodrome (PASG/8).</w:t>
      </w:r>
    </w:p>
    <w:p>
      <w:pPr>
        <w:pStyle w:val="Heading3"/>
        <w:numPr>
          <w:ilvl w:val="2"/>
          <w:numId w:val="22"/>
        </w:numPr>
        <w:ind w:left="850" w:hanging="850"/>
        <w:rPr>
          <w:rFonts w:eastAsia="Arial Unicode MS" w:hAnsi="Times New Roman" w:cs="Times New Roman"/>
          <w:noProof/>
        </w:rPr>
      </w:pPr>
      <w:r>
        <w:rPr>
          <w:rFonts w:hAnsi="Times New Roman" w:cs="Times New Roman"/>
          <w:noProof/>
        </w:rPr>
        <w:t>Dispositions applicables du droit de l’Union</w:t>
      </w:r>
    </w:p>
    <w:p>
      <w:pPr>
        <w:pStyle w:val="Body"/>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Volume I: </w:t>
      </w:r>
      <w:r>
        <w:rPr>
          <w:rFonts w:ascii="Times New Roman" w:hAnsi="Times New Roman" w:cs="Times New Roman"/>
          <w:noProof/>
        </w:rPr>
        <w:t>Règlement (UE) nº 139/2014 de la Commission</w:t>
      </w:r>
      <w:r>
        <w:rPr>
          <w:rFonts w:ascii="Times New Roman" w:hAnsi="Times New Roman" w:cs="Times New Roman"/>
          <w:noProof/>
          <w:vertAlign w:val="superscript"/>
        </w:rPr>
        <w:footnoteReference w:id="11"/>
      </w:r>
      <w:r>
        <w:rPr>
          <w:rFonts w:ascii="Times New Roman" w:hAnsi="Times New Roman" w:cs="Times New Roman"/>
          <w:noProof/>
        </w:rPr>
        <w:t xml:space="preserve"> </w:t>
      </w:r>
      <w:r>
        <w:rPr>
          <w:rFonts w:ascii="Times New Roman" w:hAnsi="Times New Roman" w:cs="Times New Roman"/>
          <w:noProof/>
          <w:sz w:val="24"/>
          <w:szCs w:val="24"/>
        </w:rPr>
        <w:t>et règlement d’exécution (UE) 2017/373 de la Commission</w:t>
      </w:r>
      <w:r>
        <w:rPr>
          <w:rFonts w:ascii="Times New Roman" w:hAnsi="Times New Roman" w:cs="Times New Roman"/>
          <w:noProof/>
          <w:vertAlign w:val="superscript"/>
        </w:rPr>
        <w:footnoteReference w:id="12"/>
      </w:r>
    </w:p>
    <w:p>
      <w:pPr>
        <w:pStyle w:val="Body"/>
        <w:rPr>
          <w:rFonts w:ascii="Times New Roman" w:eastAsia="Times New Roman" w:hAnsi="Times New Roman" w:cs="Times New Roman"/>
          <w:noProof/>
          <w:sz w:val="24"/>
          <w:szCs w:val="24"/>
        </w:rPr>
      </w:pPr>
      <w:r>
        <w:rPr>
          <w:rFonts w:ascii="Times New Roman" w:hAnsi="Times New Roman" w:cs="Times New Roman"/>
          <w:noProof/>
          <w:sz w:val="24"/>
          <w:szCs w:val="24"/>
        </w:rPr>
        <w:t>Volume II: Règlement (UE) nº 139/2014 de la Commission</w:t>
      </w:r>
      <w:r>
        <w:rPr>
          <w:rFonts w:ascii="Times New Roman" w:hAnsi="Times New Roman" w:cs="Times New Roman"/>
          <w:noProof/>
          <w:vertAlign w:val="superscript"/>
        </w:rPr>
        <w:footnoteReference w:id="13"/>
      </w:r>
    </w:p>
    <w:p>
      <w:pPr>
        <w:pStyle w:val="Heading3"/>
        <w:widowControl w:val="0"/>
        <w:numPr>
          <w:ilvl w:val="2"/>
          <w:numId w:val="22"/>
        </w:numPr>
        <w:ind w:left="850" w:hanging="850"/>
        <w:rPr>
          <w:rFonts w:eastAsia="Arial Unicode MS" w:hAnsi="Times New Roman" w:cs="Times New Roman"/>
          <w:noProof/>
        </w:rPr>
      </w:pPr>
      <w:r>
        <w:rPr>
          <w:rFonts w:hAnsi="Times New Roman" w:cs="Times New Roman"/>
          <w:noProof/>
        </w:rPr>
        <w:t>Tableau des différences à notifier pour l’amendement 15 à l’annexe 14, volume I</w:t>
      </w:r>
    </w:p>
    <w:tbl>
      <w:tblPr>
        <w:tblW w:w="98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ListParagraph"/>
              <w:numPr>
                <w:ilvl w:val="2"/>
                <w:numId w:val="24"/>
              </w:numPr>
              <w:tabs>
                <w:tab w:val="clear" w:pos="720"/>
                <w:tab w:val="num" w:pos="785"/>
              </w:tabs>
              <w:spacing w:before="0" w:after="240"/>
              <w:ind w:left="785" w:hanging="785"/>
              <w:rPr>
                <w:rFonts w:ascii="Trebuchet MS" w:eastAsia="Trebuchet MS" w:hAnsi="Trebuchet MS" w:cs="Trebuchet MS"/>
                <w:noProof/>
              </w:rPr>
            </w:pPr>
            <w:r>
              <w:rPr>
                <w:rFonts w:ascii="Calibri" w:hAnsi="Calibri"/>
                <w:noProof/>
                <w:sz w:val="22"/>
                <w:szCs w:val="22"/>
              </w:rPr>
              <w:t xml:space="preserve">Installation d’objets sur les bandes de piste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r>
              <w:rPr>
                <w:noProof/>
              </w:rPr>
              <w:t>A</w:t>
            </w:r>
          </w:p>
          <w:p>
            <w:pPr>
              <w:pStyle w:val="Body"/>
              <w:spacing w:after="0" w:line="240" w:lineRule="auto"/>
              <w:jc w:val="both"/>
              <w:rPr>
                <w:noProof/>
              </w:rPr>
            </w:pP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de certification contiennent des valeurs plus élevées pour certains types de piste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3.6.3 Largeur des prolongements dégagés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La spécification de certification actuelle contient une valeur plus élevée pour certains types de pistes.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L’AESA examinera plus avant la nécessité de modifier la spécification de certification.</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hAnsi="Calibri"/>
                <w:noProof/>
                <w:sz w:val="22"/>
                <w:szCs w:val="22"/>
              </w:rPr>
              <w:t xml:space="preserve">3.12.6 Plate-forme d'attente de circulation, point d’attente avant piste, </w:t>
            </w:r>
          </w:p>
          <w:p>
            <w:pPr>
              <w:pStyle w:val="Body"/>
              <w:spacing w:line="240" w:lineRule="auto"/>
              <w:jc w:val="both"/>
              <w:rPr>
                <w:noProof/>
              </w:rPr>
            </w:pPr>
            <w:r>
              <w:rPr>
                <w:noProof/>
              </w:rPr>
              <w:t>point d’attente intermédiaire et points d’attente sur voie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La spécification de certification actuelle ne clarifie pas l’intention de la spécification en ce qui concerne la surface de transition interne.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Il est prévu d’adopter cette disposition d’ici au T3 2021. </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hAnsi="Calibri"/>
                <w:noProof/>
                <w:sz w:val="22"/>
                <w:szCs w:val="22"/>
              </w:rPr>
              <w:t xml:space="preserve">3.12.8 Plate-forme d'attente de circulation, point d’attente avant piste, </w:t>
            </w:r>
          </w:p>
          <w:p>
            <w:pPr>
              <w:pStyle w:val="Default"/>
              <w:jc w:val="both"/>
              <w:rPr>
                <w:noProof/>
              </w:rPr>
            </w:pPr>
            <w:r>
              <w:rPr>
                <w:rFonts w:ascii="Calibri" w:hAnsi="Calibri"/>
                <w:noProof/>
                <w:sz w:val="22"/>
                <w:szCs w:val="22"/>
              </w:rPr>
              <w:t>point d’attente intermédiaire et points d’attente sur voie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La disposition a été transposée en tant que document d'orientation (GM).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Cette disposition devrait être adoptée d’ici au T3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5.3.23.4 Feux de protection de piste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Les spécifications de certification actuelles ne concernent pas cette disposition.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Il est prévu d’adopter cette disposition d’ici au T3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5.3.23.5 Emplacement des feux de protection de piste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de certification actuelles ne concernent pas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Il est prévu d’adopter cette disposition d’ici au T3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5.3.23.6 Emplacement des feux de protection de piste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de certification actuelles ne concernent pas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Il est prévu d’adopter cette disposition d’ici au T3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5.3.23.10 Caractéristiques des feux de protection de piste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de certification actuelle traite cette disposition de manière différente.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Il est prévu d’adopter cette disposition d’ici au T3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Default"/>
              <w:jc w:val="both"/>
              <w:rPr>
                <w:rFonts w:ascii="Calibri" w:hAnsi="Calibri"/>
                <w:noProof/>
                <w:sz w:val="22"/>
                <w:szCs w:val="22"/>
              </w:rPr>
            </w:pPr>
            <w:r>
              <w:rPr>
                <w:rFonts w:ascii="Calibri" w:hAnsi="Calibri"/>
                <w:noProof/>
                <w:sz w:val="22"/>
                <w:szCs w:val="22"/>
              </w:rPr>
              <w:t>5.3.29.3 Emplacement de la barre d’entrée interdite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rFonts w:eastAsia="Times New Roman" w:cs="Times New Roman"/>
                <w:noProof/>
              </w:rPr>
            </w:pPr>
            <w:r>
              <w:rPr>
                <w:rFonts w:eastAsia="Times New Roman" w:cs="Times New Roman"/>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rFonts w:eastAsia="Times New Roman" w:cs="Times New Roman"/>
                <w:noProof/>
              </w:rPr>
            </w:pPr>
            <w:r>
              <w:rPr>
                <w:rFonts w:eastAsia="Times New Roman" w:cs="Times New Roman"/>
                <w:noProof/>
              </w:rPr>
              <w:t>Les spécifications de certification actuelles ne comprennent pas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rFonts w:eastAsia="Times New Roman" w:cs="Times New Roman"/>
                <w:noProof/>
              </w:rPr>
            </w:pPr>
            <w:r>
              <w:rPr>
                <w:rFonts w:eastAsia="Times New Roman" w:cs="Times New Roman"/>
                <w:noProof/>
              </w:rPr>
              <w:t xml:space="preserve">Il est prévu d'adopter cette disposition d’ici au T3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5.3.29.8 Caractéristiques de la barre d’entrée interdite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de certification actuelles traitent cette disposition de manière différente.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Default"/>
              <w:jc w:val="both"/>
              <w:rPr>
                <w:rFonts w:ascii="Calibri" w:eastAsia="Calibri" w:hAnsi="Calibri" w:cs="Calibri"/>
                <w:noProof/>
                <w:sz w:val="22"/>
                <w:szCs w:val="22"/>
              </w:rPr>
            </w:pPr>
            <w:r>
              <w:rPr>
                <w:rFonts w:ascii="Calibri" w:hAnsi="Calibri"/>
                <w:noProof/>
                <w:sz w:val="22"/>
                <w:szCs w:val="22"/>
              </w:rPr>
              <w:t>5.4.1 Tableau 5-5</w:t>
            </w:r>
          </w:p>
          <w:p>
            <w:pPr>
              <w:pStyle w:val="Default"/>
              <w:jc w:val="both"/>
              <w:rPr>
                <w:noProof/>
              </w:rPr>
            </w:pP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actuelle prévoit une hauteur de façade des panneaux plus importante.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Il est prévu de maintenir cette disposition.</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5.4.3.35 Panneaux d’indication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de certification actuelle ne comprend pas intégralement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5.4.3.37 Panneaux d’indication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de certification actuelle ne comprend pas intégralement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5.4.3.39</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de certification actuelle ne comprend pas intégralement cette disposition.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rPr>
                <w:noProof/>
              </w:rPr>
            </w:pPr>
            <w:r>
              <w:rPr>
                <w:rFonts w:ascii="Calibri" w:hAnsi="Calibri"/>
                <w:noProof/>
                <w:sz w:val="22"/>
                <w:szCs w:val="22"/>
              </w:rPr>
              <w:t>9.9.5</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de certification actuelle est plus stricte en ce qui concerne l’installation d’objets pour certains types de piste.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Il est prévu d'adopter cette disposition d’ici au T3 2021.</w:t>
            </w:r>
          </w:p>
        </w:tc>
      </w:tr>
    </w:tbl>
    <w:p>
      <w:pPr>
        <w:pStyle w:val="Heading3"/>
        <w:widowControl w:val="0"/>
        <w:numPr>
          <w:ilvl w:val="2"/>
          <w:numId w:val="26"/>
        </w:numPr>
        <w:ind w:left="850" w:hanging="850"/>
        <w:rPr>
          <w:rFonts w:eastAsia="Arial Unicode MS"/>
          <w:noProof/>
        </w:rPr>
      </w:pPr>
      <w:r>
        <w:rPr>
          <w:noProof/>
        </w:rPr>
        <w:t>Tableau des diff</w:t>
      </w:r>
      <w:r>
        <w:rPr>
          <w:noProof/>
        </w:rPr>
        <w:t>é</w:t>
      </w:r>
      <w:r>
        <w:rPr>
          <w:noProof/>
        </w:rPr>
        <w:t xml:space="preserve">rences </w:t>
      </w:r>
      <w:r>
        <w:rPr>
          <w:noProof/>
        </w:rPr>
        <w:t>à</w:t>
      </w:r>
      <w:r>
        <w:rPr>
          <w:noProof/>
        </w:rPr>
        <w:t xml:space="preserve"> notifier pour l</w:t>
      </w:r>
      <w:r>
        <w:rPr>
          <w:noProof/>
        </w:rPr>
        <w:t>’</w:t>
      </w:r>
      <w:r>
        <w:rPr>
          <w:noProof/>
        </w:rPr>
        <w:t>amendement</w:t>
      </w:r>
      <w:r>
        <w:rPr>
          <w:noProof/>
        </w:rPr>
        <w:t> </w:t>
      </w:r>
      <w:r>
        <w:rPr>
          <w:noProof/>
        </w:rPr>
        <w:t xml:space="preserve">9 </w:t>
      </w:r>
      <w:r>
        <w:rPr>
          <w:noProof/>
        </w:rPr>
        <w:t>à</w:t>
      </w:r>
      <w:r>
        <w:rPr>
          <w:noProof/>
        </w:rPr>
        <w:t xml:space="preserve"> l</w:t>
      </w:r>
      <w:r>
        <w:rPr>
          <w:noProof/>
        </w:rPr>
        <w:t>’</w:t>
      </w:r>
      <w:r>
        <w:rPr>
          <w:noProof/>
        </w:rPr>
        <w:t>annexe</w:t>
      </w:r>
      <w:r>
        <w:rPr>
          <w:noProof/>
        </w:rPr>
        <w:t> </w:t>
      </w:r>
      <w:r>
        <w:rPr>
          <w:noProof/>
        </w:rPr>
        <w:t>14, volume</w:t>
      </w:r>
      <w:r>
        <w:rPr>
          <w:noProof/>
        </w:rPr>
        <w:t> </w:t>
      </w:r>
      <w:r>
        <w:rPr>
          <w:noProof/>
        </w:rPr>
        <w:t>II</w:t>
      </w:r>
    </w:p>
    <w:tbl>
      <w:tblPr>
        <w:tblW w:w="98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D théorique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la valeur 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la surface portante dynamique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actuelle est liée à la prise de contact d’urgence et non au mouvement de l’hélicoptère.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«allongée»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du poste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actuelle ne recouvre pas toutes les fonctions couvertes par la nouvelle définition du poste de stationnement d’hélicoptère.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la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nouveau contenu de la définition n’est pas couvert par les dispositions actuelles. De plus, la définition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l’itinéraire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l’aire de protection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actuelle couvre également l’itinéraire de circulation.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du cercle de positionnement de prise de contact (TDPC)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Définition de la marque de positionnement de prise de contact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définition n’est pas couverte par les dispositions actuelles. De plus, 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2.4.1 Dimensions des hélistations et renseignements connexes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n’a pas été transposée.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2.4.3 Dimensions des hélistations et renseignements connexes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n’a pas été transposée.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2.7.1 Sauvetage et lutte contre l’incendie (informations concernant le niveau de protection)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pertinentes applicables également aux aérodromes ont été transposées en tant que documents d’orientation.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2.7.2 Sauvetage et lutte contre l’incendie (catégorie)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pertinentes applicables aux aérodromes ont été transposées en tant que documents d’orientation.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2.7.3 Sauvetage et lutte contre l’incendie (promulgation de modifications concernant le niveau de protection)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pertinentes applicables également aux aérodromes ont été transposées en tant que documents d’orientation.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2.7.4 Sauvetage et lutte contre l’incendie (nouvelle catégorie)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pertinentes applicables également aux aérodromes ont été transposées en tant que documents d’orientation.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ultérieurement dans le cadre du mandat de réglementation RMT.0722, d’ici au T4 2023.</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 Aires d’approche finale et de décollage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FATO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 Aménagement de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prévoient pas qu’une FATO ne doit pas nécessairement être solide.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 Dimensions des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définissent les dimensions des FATO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 Pente d’une FATO solide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définissent les pentes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3.1.8 Aires de sécurité des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caractéristiques de l’aire de sécurité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3.1.9 Dimensions de l’aire de sécurité des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dimensions de l’aire de sécurité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3.1.11 Objets dans l’aire de sécurité des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la présence d’objets dans l’aire de sécurité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3.1.13 Aménagement de pente latérale protégée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la présence d’objets dans l’aire de sécurité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3.1.14 Aménagement de pente latérale protégée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la présence d’objets dans l’aire de sécurité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3.1.15 Obstacles sur la surface d’une pente latérale protégée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existante prévoit la possibilité de pénétration de la surface dans certaines conditions. De plus, la disposition actuelle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3.1.16 Prolongement dégagé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3.1.19 Largeur des prolongements dégagés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disposition actuelle comporte une pente unique. De plus, la disposition actuelle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3.1.21 Aires de prise de contact et d’envol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3.1.24 Dimensions d’une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3.1.26 Pentes d’une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actuelle contient des caractéristiques plus strictes concernant les pentes. De plus, la disposition actuelle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3.1.27 TLOF au sein d’une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3.1.28 TLOF sur un poste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3.1.29 Marques de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3.1.30 TDPM dans une FATO/TLOF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3.1.31 TDPM de rechange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3.1.33 Voies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3.1.34 Largeur des voies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3.1.35 Pente transversale des voies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3.1.36 Itinéraire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3.1.38 Pente des itinéraires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3.1.42 Itinéraires de circulation en vol rasant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3.1.44 Postes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caractéristiques des postes de stationnement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3.1.45 Dimensions des postes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caractéristiques des postes de stationnement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3.1.46 Pente des postes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traitent les caractéristiques des postes de stationnement de manière différente.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3.1.47 Marques des postes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actuelles permettent de ne pas apposer de marques de poste de stationnement.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3.1.52 Aire de protection des postes de stationnement utilisés pour des opérations non simultanées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3.1.55 Pente d’une aire de protection solide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4.2.7 Surface d’approche et de montée au décollage pour les hélistations en surface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ne couvrent pas la disponibilité d’au moins une pente latérale protégée.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5.2.2 Marque distinctive d’hélistation (note, mais une nouvelle figure 5-1A est introduite)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5.2.7.4 Caractéristiques de la marque de point cible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précisent que la couleur applicable est le blanc et n’exigent pas que la couleur de la marque contraste avec le fond.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5.2.9.1 Apposition d’une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disposition actuelle définit l’apposition de la TDPM d’une manière plus normative et conditionnelle. De plus, la disposition actuelle ne s’applique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5.2.9.2 Caractéristiques de la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ces spécifications.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5.2.9.3 Emplacement du TDPC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5.2.9.5 Marque de secteur d'atterrissage interdit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ces spécifications.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examinée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5.2.9.8 Longueur de la ligne de rive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5.2.9.9 Caractéristiques des marques de secteur d'atterrissage interdit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5.2.9.10 Primauté de la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5.2.13.2 Marques axiales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5.2.13.3 Emplacement des marques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7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5.2.13.4 Emplacement des balises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5.2.13.5 Espacement des balises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5.2.13.6 Marques axiales sur les voies de circulation pour hélicoptères revêtues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5.2.13.7 Marques axiales sur les voies de circulation pour hélicoptères non revêtues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5.2.13.8 Caractéristiques de la marque de bord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5.2.13.9 Balise de bord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5.2.13.10 Hauteur des balises de bord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5.2.13.11 Couleur des balises de bord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5.2.13.12 Éclairage des balises de bord de voie de circulation pour hélicoptères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au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5.2.14.1 Marques et balises des itinéraires de circulation en vol rasant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exigences actuelles ne prévoient l'apposition de marques et de balises appropriées que dans certaines conditions.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5.2.14.2 Emplacement des marques et balises des itinéraires de circulation en vol rasant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en translation dans l’effet de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5.2.14.3 Marque axiale des itinéraires de circulation en vol rasant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en translation dans l’effet de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5.2.14.4 Marques axiales des itinéraires de circulation en vol rasant sur une surface non revêtue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en translation dans l’effet de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5.2.14.5 Balises des itinéraires de circulation en vol rasant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se réfèrent à la voie de circulation en translation dans l’effet de sol.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5.2.15.1 Apposition d'une marque de périmètre de poste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exigences actuelles ne prévoient l'apposition de marques de périmètre de poste de stationnement que dans certaines conditions.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5.2.15.2 Apposition d'une TDPM sur un poste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5.2.15.4 Emplacement de la TDPM, des lignes d’alignement et des lignes d’entrée/de sortie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5.2.15.6 Caractéristiques de la marque de périmètre de poste de stationnement d’hélicoptère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les nouvelles caractéristiques de la marque.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5.2.15.7 Caractéristiques de la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caractéristiques de la TDPM sont définies de manière différente dans les dispositions actuelles.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 Aides lumineuses - généralités</w:t>
            </w:r>
          </w:p>
          <w:p>
            <w:pPr>
              <w:pStyle w:val="Body"/>
              <w:spacing w:line="240" w:lineRule="auto"/>
              <w:jc w:val="both"/>
              <w:rPr>
                <w:noProof/>
              </w:rPr>
            </w:pPr>
            <w:r>
              <w:rPr>
                <w:noProof/>
              </w:rPr>
              <w:t>Retrait de l’illustration HAPI de la figure 5-11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contiennent l’illustration HAPI.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Les spécifications actuelles sont jugées nécessaires et il est prévu de les maintenir.</w:t>
            </w:r>
          </w:p>
        </w:tc>
      </w:tr>
      <w:tr>
        <w:trPr>
          <w:trHeight w:val="40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5.3.5 Dispositif de guidage visuel d’alignement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contiennent des spécifications concernant l'emplacement, le format de signal, la répartition d'intensité lumineuse, le réglage en azimut de la trajectoire d’approche et les caractéristiques du dispositif de guidage visuel d’alignement.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Les spécifications actuelles sont jugées nécessaires et il est prévu de les maintenir.</w:t>
            </w:r>
          </w:p>
        </w:tc>
      </w:tr>
      <w:tr>
        <w:trPr>
          <w:trHeight w:val="38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5.3.6 Indicateur visuel de pente d’approche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contiennent des spécifications concernant l'emplacement, le format de signal, la répartition lumineuse, la pente d’approche et le calage en site, les caractéristiques de l’ensemble lumineux, les surfaces de protection contre les obstacles.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actuelles sont jugées nécessaires et il est prévu de les maintenir.</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5.3.9.17 Feux périphériques de la TLOF situés dans une FATO pour une hélistation en surface ou une hélistation en terrasse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actuelle permet que la hauteur des feux périphériques dépasse 5 cm.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5.3.10.1 Présence de projecteurs de poste de stationnement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5.3.10.2 Présence de projecteurs de poste de stationnement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5.3.10.3 Distribution spectrale des projecteurs de poste de stationnement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5.3.10.4 Éclairement horizontal et vertical</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5.3.13.1 Obstacles se trouvant dans des zones situées à l’extérieur et au-dessous des limites de l’OLS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5.3.13.2 Fils ou câbles aériens qui traversent un cours d’eau</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ne comprennent pas cette spécification.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sera traitée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6.2.1.3 Équipement et services RFF aux hélistations en surface et en terrasse situées au-dessus de structures non occupées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dispositions actuelles prévoient la fourniture de services de sauvetage et de lutte contre l’incendie sans qu’il soit nécessaire de procéder à une évaluation des risques.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pour les hélistations autonomes sera traitée dans le cadre d'activités de réglementation futures.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6.2.2.2 Calcul de la zone critique pratique lorsque l’agent principal est appliqué sous forme de jet plein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niveau de protection est déterminé selon les dispositions applicables aux aérodromes.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6.2.2.3 Calcul de la zone critique pratique lorsque l’agent principal est appliqué par projection en jet diffusé (sauf héliplates-formes)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6.2.3.1 Quantité d’agent principal et d’agents complémentaires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quantité d’agents est déterminée selon les dispositions applicables aux aérodromes.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pour les hélistations autonomes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6.2.3.5 Agents complémentaires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pour les hélistations autonomes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6.2.3.8 Agents complémentaires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pour les hélistations autonomes sera traitée dans le cadre d'activités de réglementation futures.</w:t>
            </w:r>
          </w:p>
        </w:tc>
      </w:tr>
      <w:tr>
        <w:trPr>
          <w:trHeight w:val="2161"/>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6.2.4.1 Délai d’intervention à une hélistation en surface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TableParagraph"/>
              <w:jc w:val="both"/>
              <w:rPr>
                <w:noProof/>
              </w:rPr>
            </w:pPr>
            <w:r>
              <w:rPr>
                <w:noProof/>
              </w:rPr>
              <w:t>Les r</w:t>
            </w:r>
            <w:r>
              <w:rPr>
                <w:noProof/>
              </w:rPr>
              <w:t>è</w:t>
            </w:r>
            <w:r>
              <w:rPr>
                <w:noProof/>
              </w:rPr>
              <w:t>gles applicables ne pr</w:t>
            </w:r>
            <w:r>
              <w:rPr>
                <w:noProof/>
              </w:rPr>
              <w:t>é</w:t>
            </w:r>
            <w:r>
              <w:rPr>
                <w:noProof/>
              </w:rPr>
              <w:t>voient pas de d</w:t>
            </w:r>
            <w:r>
              <w:rPr>
                <w:noProof/>
              </w:rPr>
              <w:t>é</w:t>
            </w:r>
            <w:r>
              <w:rPr>
                <w:noProof/>
              </w:rPr>
              <w:t xml:space="preserve">lai d'intervention particulier </w:t>
            </w:r>
            <w:r>
              <w:rPr>
                <w:noProof/>
              </w:rPr>
              <w:t>à</w:t>
            </w:r>
            <w:r>
              <w:rPr>
                <w:noProof/>
              </w:rPr>
              <w:t xml:space="preserve"> respecter. De plus, les dispositions actuelles ne s</w:t>
            </w:r>
            <w:r>
              <w:rPr>
                <w:noProof/>
              </w:rPr>
              <w:t>’</w:t>
            </w:r>
            <w:r>
              <w:rPr>
                <w:noProof/>
              </w:rPr>
              <w:t>appliquent qu</w:t>
            </w:r>
            <w:r>
              <w:rPr>
                <w:noProof/>
              </w:rPr>
              <w:t>’</w:t>
            </w:r>
            <w:r>
              <w:rPr>
                <w:noProof/>
              </w:rPr>
              <w:t>aux h</w:t>
            </w:r>
            <w:r>
              <w:rPr>
                <w:noProof/>
              </w:rPr>
              <w:t>é</w:t>
            </w:r>
            <w:r>
              <w:rPr>
                <w:noProof/>
              </w:rPr>
              <w:t>listations VFR situ</w:t>
            </w:r>
            <w:r>
              <w:rPr>
                <w:noProof/>
              </w:rPr>
              <w:t>é</w:t>
            </w:r>
            <w:r>
              <w:rPr>
                <w:noProof/>
              </w:rPr>
              <w:t>es sur les a</w:t>
            </w:r>
            <w:r>
              <w:rPr>
                <w:noProof/>
              </w:rPr>
              <w:t>é</w:t>
            </w:r>
            <w:r>
              <w:rPr>
                <w:noProof/>
              </w:rPr>
              <w:t>rodromes relevant du champ d</w:t>
            </w:r>
            <w:r>
              <w:rPr>
                <w:noProof/>
              </w:rPr>
              <w:t>’</w:t>
            </w:r>
            <w:r>
              <w:rPr>
                <w:noProof/>
              </w:rPr>
              <w:t>application du r</w:t>
            </w:r>
            <w:r>
              <w:rPr>
                <w:noProof/>
              </w:rPr>
              <w:t>è</w:t>
            </w:r>
            <w:r>
              <w:rPr>
                <w:noProof/>
              </w:rPr>
              <w:t>glement (UE) n</w:t>
            </w:r>
            <w:r>
              <w:rPr>
                <w:noProof/>
              </w:rPr>
              <w:t>º </w:t>
            </w:r>
            <w:r>
              <w:rPr>
                <w:noProof/>
              </w:rPr>
              <w:t>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La spécification pour les hélistations autonomes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6.2.5.1 Spécifications relatives au sauvetage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6.2.6 Moyens de communication et d’alerte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6.2.7.1 Effectif du personnel de sauvetage et de lutte contre l’incendie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et le personnel de sauvetage et de lutte contre l’incendie est toujours à disposition.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6.2.7.2 Formation du personnel de sauvetage et de lutte contre l’incendie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Les spécifications relatives aux services de sauvetage et de lutte contre l’incendie dans les aérodromes s’appliquent et le personnel de sauvetage et de lutte contre l’incendie est toujours à disposition et formé. De plus, les dispositions actuelles ne s’appliquent qu’aux hélistations VFR situées sur les aérodromes relevant du champ d’application du règlement (UE) nº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La spécification pour les hélistations autonomes sera traitée dans le cadre d'activités de réglementation futures.</w:t>
            </w:r>
          </w:p>
        </w:tc>
      </w:tr>
    </w:tbl>
    <w:p>
      <w:pPr>
        <w:pStyle w:val="Heading2"/>
        <w:numPr>
          <w:ilvl w:val="1"/>
          <w:numId w:val="28"/>
        </w:numPr>
        <w:ind w:left="850" w:hanging="850"/>
        <w:rPr>
          <w:rFonts w:eastAsia="Arial Unicode MS"/>
          <w:noProof/>
        </w:rPr>
      </w:pPr>
      <w:r>
        <w:rPr>
          <w:noProof/>
        </w:rPr>
        <w:t>Amendement</w:t>
      </w:r>
      <w:r>
        <w:rPr>
          <w:noProof/>
        </w:rPr>
        <w:t> </w:t>
      </w:r>
      <w:r>
        <w:rPr>
          <w:noProof/>
        </w:rPr>
        <w:t xml:space="preserve">41 </w:t>
      </w:r>
      <w:r>
        <w:rPr>
          <w:noProof/>
        </w:rPr>
        <w:t>à</w:t>
      </w:r>
      <w:r>
        <w:rPr>
          <w:noProof/>
        </w:rPr>
        <w:t xml:space="preserve"> l</w:t>
      </w:r>
      <w:r>
        <w:rPr>
          <w:noProof/>
        </w:rPr>
        <w:t>’</w:t>
      </w:r>
      <w:r>
        <w:rPr>
          <w:noProof/>
        </w:rPr>
        <w:t>annexe</w:t>
      </w:r>
      <w:r>
        <w:rPr>
          <w:noProof/>
        </w:rPr>
        <w:t> </w:t>
      </w:r>
      <w:r>
        <w:rPr>
          <w:noProof/>
        </w:rPr>
        <w:t>15 sur les services d</w:t>
      </w:r>
      <w:r>
        <w:rPr>
          <w:noProof/>
        </w:rPr>
        <w:t>’</w:t>
      </w:r>
      <w:r>
        <w:rPr>
          <w:noProof/>
        </w:rPr>
        <w:t>information a</w:t>
      </w:r>
      <w:r>
        <w:rPr>
          <w:noProof/>
        </w:rPr>
        <w:t>é</w:t>
      </w:r>
      <w:r>
        <w:rPr>
          <w:noProof/>
        </w:rPr>
        <w:t>ronautique</w:t>
      </w:r>
    </w:p>
    <w:p>
      <w:pPr>
        <w:pStyle w:val="Heading3"/>
        <w:numPr>
          <w:ilvl w:val="2"/>
          <w:numId w:val="28"/>
        </w:numPr>
        <w:ind w:left="850" w:hanging="850"/>
        <w:rPr>
          <w:rFonts w:eastAsia="Arial Unicode MS"/>
          <w:noProof/>
        </w:rPr>
      </w:pPr>
      <w:r>
        <w:rPr>
          <w:noProof/>
        </w:rPr>
        <w:t>Description</w:t>
      </w:r>
    </w:p>
    <w:p>
      <w:pPr>
        <w:pStyle w:val="NumPar3"/>
        <w:ind w:left="0" w:firstLine="0"/>
        <w:rPr>
          <w:noProof/>
          <w:u w:val="single"/>
        </w:rPr>
      </w:pPr>
      <w:r>
        <w:rPr>
          <w:noProof/>
        </w:rPr>
        <w:t>L</w:t>
      </w:r>
      <w:r>
        <w:rPr>
          <w:noProof/>
        </w:rPr>
        <w:t>’</w:t>
      </w:r>
      <w:r>
        <w:rPr>
          <w:noProof/>
        </w:rPr>
        <w:t>amendement propos</w:t>
      </w:r>
      <w:r>
        <w:rPr>
          <w:noProof/>
        </w:rPr>
        <w:t>é</w:t>
      </w:r>
      <w:r>
        <w:rPr>
          <w:noProof/>
        </w:rPr>
        <w:t xml:space="preserve"> concerne la planification des mesures d</w:t>
      </w:r>
      <w:r>
        <w:rPr>
          <w:noProof/>
        </w:rPr>
        <w:t>’</w:t>
      </w:r>
      <w:r>
        <w:rPr>
          <w:noProof/>
        </w:rPr>
        <w:t>exception en rapport avec des zones de conflit.</w:t>
      </w:r>
    </w:p>
    <w:p>
      <w:pPr>
        <w:pStyle w:val="Heading3"/>
        <w:numPr>
          <w:ilvl w:val="2"/>
          <w:numId w:val="28"/>
        </w:numPr>
        <w:ind w:left="850" w:hanging="850"/>
        <w:rPr>
          <w:rFonts w:eastAsia="Arial Unicode MS"/>
          <w:noProof/>
        </w:rPr>
      </w:pPr>
      <w:r>
        <w:rPr>
          <w:noProof/>
        </w:rPr>
        <w:t>Dispositions applicables du droit de l</w:t>
      </w:r>
      <w:r>
        <w:rPr>
          <w:noProof/>
        </w:rPr>
        <w:t>’</w:t>
      </w:r>
      <w:r>
        <w:rPr>
          <w:noProof/>
        </w:rPr>
        <w:t>Union</w:t>
      </w:r>
    </w:p>
    <w:p>
      <w:pPr>
        <w:pStyle w:val="Text1"/>
        <w:ind w:left="0"/>
        <w:rPr>
          <w:noProof/>
        </w:rPr>
      </w:pPr>
      <w:r>
        <w:rPr>
          <w:noProof/>
        </w:rPr>
        <w:t>R</w:t>
      </w:r>
      <w:r>
        <w:rPr>
          <w:noProof/>
        </w:rPr>
        <w:t>è</w:t>
      </w:r>
      <w:r>
        <w:rPr>
          <w:noProof/>
        </w:rPr>
        <w:t>glement d</w:t>
      </w:r>
      <w:r>
        <w:rPr>
          <w:noProof/>
        </w:rPr>
        <w:t>’</w:t>
      </w:r>
      <w:r>
        <w:rPr>
          <w:noProof/>
        </w:rPr>
        <w:t>ex</w:t>
      </w:r>
      <w:r>
        <w:rPr>
          <w:noProof/>
        </w:rPr>
        <w:t>é</w:t>
      </w:r>
      <w:r>
        <w:rPr>
          <w:noProof/>
        </w:rPr>
        <w:t>cution (UE) 2017/373 de la Commission</w:t>
      </w:r>
      <w:r>
        <w:rPr>
          <w:noProof/>
          <w:vertAlign w:val="superscript"/>
        </w:rPr>
        <w:footnoteReference w:id="14"/>
      </w:r>
    </w:p>
    <w:p>
      <w:pPr>
        <w:pStyle w:val="Heading3"/>
        <w:widowControl w:val="0"/>
        <w:numPr>
          <w:ilvl w:val="2"/>
          <w:numId w:val="28"/>
        </w:numPr>
        <w:ind w:left="850" w:hanging="850"/>
        <w:rPr>
          <w:rFonts w:eastAsia="Arial Unicode MS"/>
          <w:noProof/>
        </w:rPr>
      </w:pPr>
      <w:r>
        <w:rPr>
          <w:noProof/>
        </w:rPr>
        <w:t>Tableau des diff</w:t>
      </w:r>
      <w:r>
        <w:rPr>
          <w:noProof/>
        </w:rPr>
        <w:t>é</w:t>
      </w:r>
      <w:r>
        <w:rPr>
          <w:noProof/>
        </w:rPr>
        <w:t xml:space="preserve">rences </w:t>
      </w:r>
      <w:r>
        <w:rPr>
          <w:noProof/>
        </w:rPr>
        <w:t>à</w:t>
      </w:r>
      <w:r>
        <w:rPr>
          <w:noProof/>
        </w:rPr>
        <w:t xml:space="preserve"> notifier pour l</w:t>
      </w:r>
      <w:r>
        <w:rPr>
          <w:noProof/>
        </w:rPr>
        <w:t>’</w:t>
      </w:r>
      <w:r>
        <w:rPr>
          <w:noProof/>
        </w:rPr>
        <w:t xml:space="preserve">amendement 41 </w:t>
      </w:r>
      <w:r>
        <w:rPr>
          <w:noProof/>
        </w:rPr>
        <w:t>à</w:t>
      </w:r>
      <w:r>
        <w:rPr>
          <w:noProof/>
        </w:rPr>
        <w:t xml:space="preserve"> l</w:t>
      </w:r>
      <w:r>
        <w:rPr>
          <w:noProof/>
        </w:rPr>
        <w:t>’</w:t>
      </w:r>
      <w:r>
        <w:rPr>
          <w:noProof/>
        </w:rPr>
        <w:t>annexe 15</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Observations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Non mise en œuvre</w:t>
            </w:r>
          </w:p>
          <w:p>
            <w:pPr>
              <w:pStyle w:val="Body"/>
              <w:spacing w:after="0" w:line="240" w:lineRule="auto"/>
              <w:jc w:val="both"/>
              <w:rPr>
                <w:noProof/>
              </w:rPr>
            </w:pPr>
            <w:r>
              <w:rPr>
                <w:noProof/>
              </w:rPr>
              <w:t>La réglementation de l’UE n'exige actuellement pas la publication, au moyen de NOTAM, d'informations relatives aux activités mettant en danger l’aviation civile et couvrant le cas particulier des zones de conflit.</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Cet amendement sera transposé lors de la mise à jour des exigences prévues à l’annexe VI du règlement (UE) 2017/373.</w:t>
            </w:r>
          </w:p>
        </w:tc>
      </w:tr>
    </w:tbl>
    <w:p>
      <w:pPr>
        <w:pStyle w:val="Heading3"/>
        <w:widowControl w:val="0"/>
        <w:numPr>
          <w:ilvl w:val="2"/>
          <w:numId w:val="30"/>
        </w:numPr>
        <w:ind w:left="850" w:hanging="850"/>
        <w:rPr>
          <w:rFonts w:eastAsia="Arial Unicode MS"/>
          <w:noProof/>
        </w:rPr>
      </w:pPr>
    </w:p>
    <w:p>
      <w:pPr>
        <w:pStyle w:val="Heading2"/>
        <w:numPr>
          <w:ilvl w:val="1"/>
          <w:numId w:val="32"/>
        </w:numPr>
        <w:ind w:left="850" w:hanging="850"/>
        <w:rPr>
          <w:rFonts w:eastAsia="Arial Unicode MS"/>
          <w:noProof/>
        </w:rPr>
      </w:pPr>
      <w:r>
        <w:rPr>
          <w:noProof/>
        </w:rPr>
        <w:t>Amendements</w:t>
      </w:r>
      <w:r>
        <w:rPr>
          <w:noProof/>
        </w:rPr>
        <w:t> </w:t>
      </w:r>
      <w:r>
        <w:rPr>
          <w:noProof/>
        </w:rPr>
        <w:t>13, 10 et</w:t>
      </w:r>
      <w:r>
        <w:rPr>
          <w:noProof/>
        </w:rPr>
        <w:t> </w:t>
      </w:r>
      <w:r>
        <w:rPr>
          <w:noProof/>
        </w:rPr>
        <w:t xml:space="preserve">1 </w:t>
      </w:r>
      <w:r>
        <w:rPr>
          <w:noProof/>
        </w:rPr>
        <w:t>à</w:t>
      </w:r>
      <w:r>
        <w:rPr>
          <w:noProof/>
        </w:rPr>
        <w:t xml:space="preserve"> l</w:t>
      </w:r>
      <w:r>
        <w:rPr>
          <w:noProof/>
        </w:rPr>
        <w:t>’</w:t>
      </w:r>
      <w:r>
        <w:rPr>
          <w:noProof/>
        </w:rPr>
        <w:t>annexe</w:t>
      </w:r>
      <w:r>
        <w:rPr>
          <w:noProof/>
        </w:rPr>
        <w:t> </w:t>
      </w:r>
      <w:r>
        <w:rPr>
          <w:noProof/>
        </w:rPr>
        <w:t>16 sur la protection de l</w:t>
      </w:r>
      <w:r>
        <w:rPr>
          <w:noProof/>
        </w:rPr>
        <w:t>’</w:t>
      </w:r>
      <w:r>
        <w:rPr>
          <w:noProof/>
        </w:rPr>
        <w:t>environnement, volumes</w:t>
      </w:r>
      <w:r>
        <w:rPr>
          <w:noProof/>
        </w:rPr>
        <w:t> </w:t>
      </w:r>
      <w:r>
        <w:rPr>
          <w:noProof/>
        </w:rPr>
        <w:t>I, II et</w:t>
      </w:r>
      <w:r>
        <w:rPr>
          <w:noProof/>
        </w:rPr>
        <w:t> </w:t>
      </w:r>
      <w:r>
        <w:rPr>
          <w:noProof/>
        </w:rPr>
        <w:t>III</w:t>
      </w:r>
    </w:p>
    <w:p>
      <w:pPr>
        <w:pStyle w:val="Heading3"/>
        <w:numPr>
          <w:ilvl w:val="2"/>
          <w:numId w:val="32"/>
        </w:numPr>
        <w:ind w:left="850" w:hanging="850"/>
        <w:rPr>
          <w:rFonts w:eastAsia="Arial Unicode MS"/>
          <w:noProof/>
        </w:rPr>
      </w:pPr>
      <w:r>
        <w:rPr>
          <w:noProof/>
        </w:rPr>
        <w:t>Description</w:t>
      </w:r>
    </w:p>
    <w:p>
      <w:pPr>
        <w:pStyle w:val="NumPar3"/>
        <w:ind w:left="0" w:firstLine="0"/>
        <w:rPr>
          <w:noProof/>
        </w:rPr>
      </w:pPr>
      <w:r>
        <w:rPr>
          <w:noProof/>
        </w:rPr>
        <w:t>Volume I: l'amendement porte sur les exigences en mati</w:t>
      </w:r>
      <w:r>
        <w:rPr>
          <w:noProof/>
        </w:rPr>
        <w:t>è</w:t>
      </w:r>
      <w:r>
        <w:rPr>
          <w:noProof/>
        </w:rPr>
        <w:t>re de certification acoustique des a</w:t>
      </w:r>
      <w:r>
        <w:rPr>
          <w:noProof/>
        </w:rPr>
        <w:t>é</w:t>
      </w:r>
      <w:r>
        <w:rPr>
          <w:noProof/>
        </w:rPr>
        <w:t>ronefs.</w:t>
      </w:r>
    </w:p>
    <w:p>
      <w:pPr>
        <w:pStyle w:val="NumPar3"/>
        <w:ind w:left="0" w:firstLine="0"/>
        <w:rPr>
          <w:noProof/>
        </w:rPr>
      </w:pPr>
      <w:r>
        <w:rPr>
          <w:noProof/>
        </w:rPr>
        <w:t>Volume II: l'amendement porte sur les exigences en mati</w:t>
      </w:r>
      <w:r>
        <w:rPr>
          <w:noProof/>
        </w:rPr>
        <w:t>è</w:t>
      </w:r>
      <w:r>
        <w:rPr>
          <w:noProof/>
        </w:rPr>
        <w:t>re de certification-</w:t>
      </w:r>
      <w:r>
        <w:rPr>
          <w:noProof/>
        </w:rPr>
        <w:t>é</w:t>
      </w:r>
      <w:r>
        <w:rPr>
          <w:noProof/>
        </w:rPr>
        <w:t>missions des moteurs d'aviation.</w:t>
      </w:r>
    </w:p>
    <w:p>
      <w:pPr>
        <w:pStyle w:val="NumPar3"/>
        <w:ind w:left="0" w:firstLine="0"/>
        <w:rPr>
          <w:noProof/>
        </w:rPr>
      </w:pPr>
      <w:r>
        <w:rPr>
          <w:noProof/>
        </w:rPr>
        <w:t>Volume III: l'amendement porte sur les exigences en mati</w:t>
      </w:r>
      <w:r>
        <w:rPr>
          <w:noProof/>
        </w:rPr>
        <w:t>è</w:t>
      </w:r>
      <w:r>
        <w:rPr>
          <w:noProof/>
        </w:rPr>
        <w:t>re de certification-</w:t>
      </w:r>
      <w:r>
        <w:rPr>
          <w:noProof/>
        </w:rPr>
        <w:t>é</w:t>
      </w:r>
      <w:r>
        <w:rPr>
          <w:noProof/>
        </w:rPr>
        <w:t>missions de CO2 des avions.</w:t>
      </w:r>
    </w:p>
    <w:p>
      <w:pPr>
        <w:pStyle w:val="Heading3"/>
        <w:numPr>
          <w:ilvl w:val="2"/>
          <w:numId w:val="32"/>
        </w:numPr>
        <w:ind w:left="850" w:hanging="850"/>
        <w:rPr>
          <w:rFonts w:eastAsia="Arial Unicode MS"/>
          <w:noProof/>
        </w:rPr>
      </w:pPr>
      <w:r>
        <w:rPr>
          <w:noProof/>
        </w:rPr>
        <w:t>Dispositions applicables du droit de l</w:t>
      </w:r>
      <w:r>
        <w:rPr>
          <w:noProof/>
        </w:rPr>
        <w:t>’</w:t>
      </w:r>
      <w:r>
        <w:rPr>
          <w:noProof/>
        </w:rPr>
        <w:t>Union</w:t>
      </w:r>
    </w:p>
    <w:p>
      <w:pPr>
        <w:pStyle w:val="Text1"/>
        <w:ind w:left="0"/>
        <w:rPr>
          <w:noProof/>
        </w:rPr>
      </w:pPr>
      <w:r>
        <w:rPr>
          <w:noProof/>
        </w:rPr>
        <w:t>R</w:t>
      </w:r>
      <w:r>
        <w:rPr>
          <w:noProof/>
        </w:rPr>
        <w:t>è</w:t>
      </w:r>
      <w:r>
        <w:rPr>
          <w:noProof/>
        </w:rPr>
        <w:t>glement (UE) 2018/1139</w:t>
      </w:r>
      <w:r>
        <w:rPr>
          <w:noProof/>
          <w:vertAlign w:val="superscript"/>
        </w:rPr>
        <w:footnoteReference w:id="15"/>
      </w:r>
    </w:p>
    <w:p>
      <w:pPr>
        <w:pStyle w:val="Heading3"/>
        <w:widowControl w:val="0"/>
        <w:numPr>
          <w:ilvl w:val="2"/>
          <w:numId w:val="32"/>
        </w:numPr>
        <w:ind w:left="850" w:hanging="850"/>
        <w:rPr>
          <w:rFonts w:eastAsia="Arial Unicode MS"/>
          <w:noProof/>
        </w:rPr>
      </w:pPr>
      <w:r>
        <w:rPr>
          <w:noProof/>
        </w:rPr>
        <w:t>Tableau des diff</w:t>
      </w:r>
      <w:r>
        <w:rPr>
          <w:noProof/>
        </w:rPr>
        <w:t>é</w:t>
      </w:r>
      <w:r>
        <w:rPr>
          <w:noProof/>
        </w:rPr>
        <w:t xml:space="preserve">rences </w:t>
      </w:r>
      <w:r>
        <w:rPr>
          <w:noProof/>
        </w:rPr>
        <w:t>à</w:t>
      </w:r>
      <w:r>
        <w:rPr>
          <w:noProof/>
        </w:rPr>
        <w:t xml:space="preserve"> notifier pour l</w:t>
      </w:r>
      <w:r>
        <w:rPr>
          <w:noProof/>
        </w:rPr>
        <w:t>’</w:t>
      </w:r>
      <w:r>
        <w:rPr>
          <w:noProof/>
        </w:rPr>
        <w:t>amendement</w:t>
      </w:r>
      <w:r>
        <w:rPr>
          <w:noProof/>
        </w:rPr>
        <w:t> </w:t>
      </w:r>
      <w:r>
        <w:rPr>
          <w:noProof/>
        </w:rPr>
        <w:t xml:space="preserve">13 </w:t>
      </w:r>
      <w:r>
        <w:rPr>
          <w:noProof/>
        </w:rPr>
        <w:t>à</w:t>
      </w:r>
      <w:r>
        <w:rPr>
          <w:noProof/>
        </w:rPr>
        <w:t xml:space="preserve"> l</w:t>
      </w:r>
      <w:r>
        <w:rPr>
          <w:noProof/>
        </w:rPr>
        <w:t>’</w:t>
      </w:r>
      <w:r>
        <w:rPr>
          <w:noProof/>
        </w:rPr>
        <w:t>annexe</w:t>
      </w:r>
      <w:r>
        <w:rPr>
          <w:noProof/>
        </w:rPr>
        <w:t> </w:t>
      </w:r>
      <w:r>
        <w:rPr>
          <w:noProof/>
        </w:rPr>
        <w:t>16, volume</w:t>
      </w:r>
      <w:r>
        <w:rPr>
          <w:noProof/>
        </w:rPr>
        <w:t> </w:t>
      </w:r>
      <w:r>
        <w:rPr>
          <w:noProof/>
        </w:rPr>
        <w:t>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Amendement 13 à l'annexe 16, volume I</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(UE) 2018/1139 se réfère à l'amendement 12 à l'annexe 16, volume I, de la convention de Chicago.</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Une différence existera jusqu’au 31 mars 2022 entre les réglementations et/ou les pratiques nationales de [État membre] et les dispositions de l’annexe 16, volume I, comprenant tous les amendements jusqu’à l’amendement 13 inclus.</w:t>
            </w:r>
          </w:p>
        </w:tc>
      </w:tr>
    </w:tbl>
    <w:p>
      <w:pPr>
        <w:pStyle w:val="Heading3"/>
        <w:widowControl w:val="0"/>
        <w:numPr>
          <w:ilvl w:val="2"/>
          <w:numId w:val="34"/>
        </w:numPr>
        <w:ind w:left="850" w:hanging="850"/>
        <w:rPr>
          <w:rFonts w:eastAsia="Arial Unicode MS"/>
          <w:noProof/>
        </w:rPr>
      </w:pPr>
      <w:r>
        <w:rPr>
          <w:noProof/>
        </w:rPr>
        <w:t>Tableau des diff</w:t>
      </w:r>
      <w:r>
        <w:rPr>
          <w:noProof/>
        </w:rPr>
        <w:t>é</w:t>
      </w:r>
      <w:r>
        <w:rPr>
          <w:noProof/>
        </w:rPr>
        <w:t xml:space="preserve">rences </w:t>
      </w:r>
      <w:r>
        <w:rPr>
          <w:noProof/>
        </w:rPr>
        <w:t>à</w:t>
      </w:r>
      <w:r>
        <w:rPr>
          <w:noProof/>
        </w:rPr>
        <w:t xml:space="preserve"> notifier pour l</w:t>
      </w:r>
      <w:r>
        <w:rPr>
          <w:noProof/>
        </w:rPr>
        <w:t>’</w:t>
      </w:r>
      <w:r>
        <w:rPr>
          <w:noProof/>
        </w:rPr>
        <w:t>amendement</w:t>
      </w:r>
      <w:r>
        <w:rPr>
          <w:noProof/>
        </w:rPr>
        <w:t> </w:t>
      </w:r>
      <w:r>
        <w:rPr>
          <w:noProof/>
        </w:rPr>
        <w:t xml:space="preserve">10 </w:t>
      </w:r>
      <w:r>
        <w:rPr>
          <w:noProof/>
        </w:rPr>
        <w:t>à</w:t>
      </w:r>
      <w:r>
        <w:rPr>
          <w:noProof/>
        </w:rPr>
        <w:t xml:space="preserve"> l</w:t>
      </w:r>
      <w:r>
        <w:rPr>
          <w:noProof/>
        </w:rPr>
        <w:t>’</w:t>
      </w:r>
      <w:r>
        <w:rPr>
          <w:noProof/>
        </w:rPr>
        <w:t>annexe</w:t>
      </w:r>
      <w:r>
        <w:rPr>
          <w:noProof/>
        </w:rPr>
        <w:t> </w:t>
      </w:r>
      <w:r>
        <w:rPr>
          <w:noProof/>
        </w:rPr>
        <w:t>16, volume</w:t>
      </w:r>
      <w:r>
        <w:rPr>
          <w:noProof/>
        </w:rPr>
        <w:t> </w:t>
      </w:r>
      <w:r>
        <w:rPr>
          <w:noProof/>
        </w:rPr>
        <w:t>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Amendement 10 à l'annexe 16, volume II, en ce qui concerne les normes dont la date d’applicabilité est fixée à janvier 2021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(UE) 2018/1139 se réfère à l'amendement 9 à l'annexe 16, volume II, de la convention de Chicago.</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Une différence existera jusqu’au 31 mars 2022 entre les réglementations et/ou les pratiques nationales de [État membre] et les dispositions de l’annexe 16, volume II, comprenant tous les amendements jusqu’à l’amendement 10 inclus.</w:t>
            </w:r>
          </w:p>
        </w:tc>
      </w:tr>
    </w:tbl>
    <w:p>
      <w:pPr>
        <w:pStyle w:val="Heading3"/>
        <w:widowControl w:val="0"/>
        <w:numPr>
          <w:ilvl w:val="2"/>
          <w:numId w:val="36"/>
        </w:numPr>
        <w:ind w:left="850" w:hanging="850"/>
        <w:rPr>
          <w:rFonts w:eastAsia="Arial Unicode MS"/>
          <w:noProof/>
        </w:rPr>
      </w:pPr>
      <w:r>
        <w:rPr>
          <w:noProof/>
        </w:rPr>
        <w:t>Tableau des diff</w:t>
      </w:r>
      <w:r>
        <w:rPr>
          <w:noProof/>
        </w:rPr>
        <w:t>é</w:t>
      </w:r>
      <w:r>
        <w:rPr>
          <w:noProof/>
        </w:rPr>
        <w:t xml:space="preserve">rences </w:t>
      </w:r>
      <w:r>
        <w:rPr>
          <w:noProof/>
        </w:rPr>
        <w:t>à</w:t>
      </w:r>
      <w:r>
        <w:rPr>
          <w:noProof/>
        </w:rPr>
        <w:t xml:space="preserve"> notifier pour l</w:t>
      </w:r>
      <w:r>
        <w:rPr>
          <w:noProof/>
        </w:rPr>
        <w:t>’</w:t>
      </w:r>
      <w:r>
        <w:rPr>
          <w:noProof/>
        </w:rPr>
        <w:t>amendement</w:t>
      </w:r>
      <w:r>
        <w:rPr>
          <w:noProof/>
        </w:rPr>
        <w:t> </w:t>
      </w:r>
      <w:r>
        <w:rPr>
          <w:noProof/>
        </w:rPr>
        <w:t xml:space="preserve">1 </w:t>
      </w:r>
      <w:r>
        <w:rPr>
          <w:noProof/>
        </w:rPr>
        <w:t>à</w:t>
      </w:r>
      <w:r>
        <w:rPr>
          <w:noProof/>
        </w:rPr>
        <w:t xml:space="preserve"> l</w:t>
      </w:r>
      <w:r>
        <w:rPr>
          <w:noProof/>
        </w:rPr>
        <w:t>’</w:t>
      </w:r>
      <w:r>
        <w:rPr>
          <w:noProof/>
        </w:rPr>
        <w:t>annexe</w:t>
      </w:r>
      <w:r>
        <w:rPr>
          <w:noProof/>
        </w:rPr>
        <w:t> </w:t>
      </w:r>
      <w:r>
        <w:rPr>
          <w:noProof/>
        </w:rPr>
        <w:t>16, volume</w:t>
      </w:r>
      <w:r>
        <w:rPr>
          <w:noProof/>
        </w:rPr>
        <w:t> </w:t>
      </w:r>
      <w:r>
        <w:rPr>
          <w:noProof/>
        </w:rPr>
        <w:t>III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Disposition de l’annexe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Catégorie de différence</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Description de la différence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Observations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Amendement 1 à l'annexe 16, volume III</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Le règlement (UE) 2018/1139 se réfère à l'annexe 16, volume III, de la convention de Chicago.</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Une différence existera jusqu’au 31 mars 2022 entre les réglementations et/ou les pratiques nationales de [État membre] et les dispositions de l’annexe 16, volume III, comprenant tous les amendements jusqu’à l’amendement 1 inclus.</w:t>
            </w:r>
          </w:p>
        </w:tc>
      </w:tr>
    </w:tbl>
    <w:p>
      <w:pPr>
        <w:pStyle w:val="Heading3"/>
        <w:widowControl w:val="0"/>
        <w:ind w:firstLine="0"/>
        <w:rPr>
          <w:rFonts w:eastAsia="Arial Unicode MS"/>
          <w:noProof/>
        </w:rPr>
      </w:pP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09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vertAlign w:val="superscript"/>
        </w:rPr>
        <w:footnoteRef/>
      </w:r>
      <w:r>
        <w:t xml:space="preserve"> JO L 311 du 25.11.2011, p. 1.</w:t>
      </w:r>
    </w:p>
  </w:footnote>
  <w:footnote w:id="2">
    <w:p>
      <w:pPr>
        <w:pStyle w:val="FootnoteText"/>
      </w:pPr>
      <w:r>
        <w:rPr>
          <w:vertAlign w:val="superscript"/>
        </w:rPr>
        <w:footnoteRef/>
      </w:r>
      <w:r>
        <w:t xml:space="preserve"> JO L 63 du 6.3.2015, p. 1.</w:t>
      </w:r>
    </w:p>
  </w:footnote>
  <w:footnote w:id="3">
    <w:p>
      <w:pPr>
        <w:pStyle w:val="Body"/>
        <w:spacing w:before="100" w:after="100" w:line="240" w:lineRule="auto"/>
        <w:jc w:val="both"/>
        <w:rPr>
          <w:rFonts w:ascii="Times New Roman" w:eastAsia="Times New Roman" w:hAnsi="Times New Roman" w:cs="Times New Roman"/>
          <w:sz w:val="20"/>
          <w:szCs w:val="20"/>
        </w:rPr>
      </w:pPr>
      <w:r>
        <w:rPr>
          <w:vertAlign w:val="superscript"/>
        </w:rPr>
        <w:footnoteRef/>
      </w:r>
      <w:r>
        <w:rPr>
          <w:rFonts w:ascii="Times New Roman"/>
          <w:sz w:val="20"/>
          <w:szCs w:val="20"/>
        </w:rPr>
        <w:t xml:space="preserve"> AIRMET et SIGMET sont mentionn</w:t>
      </w:r>
      <w:r>
        <w:rPr>
          <w:rFonts w:ascii="Times New Roman"/>
          <w:sz w:val="20"/>
          <w:szCs w:val="20"/>
        </w:rPr>
        <w:t>é</w:t>
      </w:r>
      <w:r>
        <w:rPr>
          <w:rFonts w:ascii="Times New Roman"/>
          <w:sz w:val="20"/>
          <w:szCs w:val="20"/>
        </w:rPr>
        <w:t>s dans le r</w:t>
      </w:r>
      <w:r>
        <w:rPr>
          <w:rFonts w:ascii="Times New Roman"/>
          <w:sz w:val="20"/>
          <w:szCs w:val="20"/>
        </w:rPr>
        <w:t>è</w:t>
      </w:r>
      <w:r>
        <w:rPr>
          <w:rFonts w:ascii="Times New Roman"/>
          <w:sz w:val="20"/>
          <w:szCs w:val="20"/>
        </w:rPr>
        <w:t>glement (UE) 2017/373. Ce sont des informations destin</w:t>
      </w:r>
      <w:r>
        <w:rPr>
          <w:rFonts w:ascii="Times New Roman"/>
          <w:sz w:val="20"/>
          <w:szCs w:val="20"/>
        </w:rPr>
        <w:t>é</w:t>
      </w:r>
      <w:r>
        <w:rPr>
          <w:rFonts w:ascii="Times New Roman"/>
          <w:sz w:val="20"/>
          <w:szCs w:val="20"/>
        </w:rPr>
        <w:t>es aux usagers de l</w:t>
      </w:r>
      <w:r>
        <w:rPr>
          <w:rFonts w:ascii="Times New Roman"/>
          <w:sz w:val="20"/>
          <w:szCs w:val="20"/>
        </w:rPr>
        <w:t>’</w:t>
      </w:r>
      <w:r>
        <w:rPr>
          <w:rFonts w:ascii="Times New Roman"/>
          <w:sz w:val="20"/>
          <w:szCs w:val="20"/>
        </w:rPr>
        <w:t>espace a</w:t>
      </w:r>
      <w:r>
        <w:rPr>
          <w:rFonts w:ascii="Times New Roman"/>
          <w:sz w:val="20"/>
          <w:szCs w:val="20"/>
        </w:rPr>
        <w:t>é</w:t>
      </w:r>
      <w:r>
        <w:rPr>
          <w:rFonts w:ascii="Times New Roman"/>
          <w:sz w:val="20"/>
          <w:szCs w:val="20"/>
        </w:rPr>
        <w:t>rien au sujet de certaines conditions m</w:t>
      </w:r>
      <w:r>
        <w:rPr>
          <w:rFonts w:ascii="Times New Roman"/>
          <w:sz w:val="20"/>
          <w:szCs w:val="20"/>
        </w:rPr>
        <w:t>é</w:t>
      </w:r>
      <w:r>
        <w:rPr>
          <w:rFonts w:ascii="Times New Roman"/>
          <w:sz w:val="20"/>
          <w:szCs w:val="20"/>
        </w:rPr>
        <w:t>t</w:t>
      </w:r>
      <w:r>
        <w:rPr>
          <w:rFonts w:ascii="Times New Roman"/>
          <w:sz w:val="20"/>
          <w:szCs w:val="20"/>
        </w:rPr>
        <w:t>é</w:t>
      </w:r>
      <w:r>
        <w:rPr>
          <w:rFonts w:ascii="Times New Roman"/>
          <w:sz w:val="20"/>
          <w:szCs w:val="20"/>
        </w:rPr>
        <w:t xml:space="preserve">orologiques.  </w:t>
      </w:r>
    </w:p>
    <w:p>
      <w:pPr>
        <w:pStyle w:val="Body"/>
        <w:spacing w:before="100" w:after="100" w:line="240" w:lineRule="auto"/>
        <w:jc w:val="both"/>
      </w:pPr>
      <w:r>
        <w:rPr>
          <w:rFonts w:ascii="Times New Roman"/>
          <w:sz w:val="20"/>
          <w:szCs w:val="20"/>
        </w:rPr>
        <w:t>GAMET est d</w:t>
      </w:r>
      <w:r>
        <w:rPr>
          <w:rFonts w:ascii="Times New Roman"/>
          <w:sz w:val="20"/>
          <w:szCs w:val="20"/>
        </w:rPr>
        <w:t>é</w:t>
      </w:r>
      <w:r>
        <w:rPr>
          <w:rFonts w:ascii="Times New Roman"/>
          <w:sz w:val="20"/>
          <w:szCs w:val="20"/>
        </w:rPr>
        <w:t>finie dans les r</w:t>
      </w:r>
      <w:r>
        <w:rPr>
          <w:rFonts w:ascii="Times New Roman"/>
          <w:sz w:val="20"/>
          <w:szCs w:val="20"/>
        </w:rPr>
        <w:t>è</w:t>
      </w:r>
      <w:r>
        <w:rPr>
          <w:rFonts w:ascii="Times New Roman"/>
          <w:sz w:val="20"/>
          <w:szCs w:val="20"/>
        </w:rPr>
        <w:t>gles de l</w:t>
      </w:r>
      <w:r>
        <w:rPr>
          <w:rFonts w:ascii="Times New Roman"/>
          <w:sz w:val="20"/>
          <w:szCs w:val="20"/>
        </w:rPr>
        <w:t>’</w:t>
      </w:r>
      <w:r>
        <w:rPr>
          <w:rFonts w:ascii="Times New Roman"/>
          <w:sz w:val="20"/>
          <w:szCs w:val="20"/>
        </w:rPr>
        <w:t>OACI. Il s</w:t>
      </w:r>
      <w:r>
        <w:rPr>
          <w:rFonts w:ascii="Times New Roman"/>
          <w:sz w:val="20"/>
          <w:szCs w:val="20"/>
        </w:rPr>
        <w:t>’</w:t>
      </w:r>
      <w:r>
        <w:rPr>
          <w:rFonts w:ascii="Times New Roman"/>
          <w:sz w:val="20"/>
          <w:szCs w:val="20"/>
        </w:rPr>
        <w:t>agit de pr</w:t>
      </w:r>
      <w:r>
        <w:rPr>
          <w:rFonts w:ascii="Times New Roman"/>
          <w:sz w:val="20"/>
          <w:szCs w:val="20"/>
        </w:rPr>
        <w:t>é</w:t>
      </w:r>
      <w:r>
        <w:rPr>
          <w:rFonts w:ascii="Times New Roman"/>
          <w:sz w:val="20"/>
          <w:szCs w:val="20"/>
        </w:rPr>
        <w:t>visions de zone en langage clair abr</w:t>
      </w:r>
      <w:r>
        <w:rPr>
          <w:rFonts w:ascii="Times New Roman"/>
          <w:sz w:val="20"/>
          <w:szCs w:val="20"/>
        </w:rPr>
        <w:t>é</w:t>
      </w:r>
      <w:r>
        <w:rPr>
          <w:rFonts w:ascii="Times New Roman"/>
          <w:sz w:val="20"/>
          <w:szCs w:val="20"/>
        </w:rPr>
        <w:t>g</w:t>
      </w:r>
      <w:r>
        <w:rPr>
          <w:rFonts w:ascii="Times New Roman"/>
          <w:sz w:val="20"/>
          <w:szCs w:val="20"/>
        </w:rPr>
        <w:t>é</w:t>
      </w:r>
      <w:r>
        <w:rPr>
          <w:rFonts w:ascii="Times New Roman"/>
          <w:sz w:val="20"/>
          <w:szCs w:val="20"/>
        </w:rPr>
        <w:t xml:space="preserve"> pour les vols </w:t>
      </w:r>
      <w:r>
        <w:rPr>
          <w:rFonts w:ascii="Times New Roman"/>
          <w:sz w:val="20"/>
          <w:szCs w:val="20"/>
        </w:rPr>
        <w:t>à</w:t>
      </w:r>
      <w:r>
        <w:rPr>
          <w:rFonts w:ascii="Times New Roman"/>
          <w:sz w:val="20"/>
          <w:szCs w:val="20"/>
        </w:rPr>
        <w:t xml:space="preserve"> basse altitude et concernant une r</w:t>
      </w:r>
      <w:r>
        <w:rPr>
          <w:rFonts w:ascii="Times New Roman"/>
          <w:sz w:val="20"/>
          <w:szCs w:val="20"/>
        </w:rPr>
        <w:t>é</w:t>
      </w:r>
      <w:r>
        <w:rPr>
          <w:rFonts w:ascii="Times New Roman"/>
          <w:sz w:val="20"/>
          <w:szCs w:val="20"/>
        </w:rPr>
        <w:t>gion d</w:t>
      </w:r>
      <w:r>
        <w:rPr>
          <w:rFonts w:ascii="Times New Roman"/>
          <w:sz w:val="20"/>
          <w:szCs w:val="20"/>
        </w:rPr>
        <w:t>’</w:t>
      </w:r>
      <w:r>
        <w:rPr>
          <w:rFonts w:ascii="Times New Roman"/>
          <w:sz w:val="20"/>
          <w:szCs w:val="20"/>
        </w:rPr>
        <w:t>information de vol ou l</w:t>
      </w:r>
      <w:r>
        <w:rPr>
          <w:rFonts w:ascii="Times New Roman"/>
          <w:sz w:val="20"/>
          <w:szCs w:val="20"/>
        </w:rPr>
        <w:t>’</w:t>
      </w:r>
      <w:r>
        <w:rPr>
          <w:rFonts w:ascii="Times New Roman"/>
          <w:sz w:val="20"/>
          <w:szCs w:val="20"/>
        </w:rPr>
        <w:t>une de ses sous-r</w:t>
      </w:r>
      <w:r>
        <w:rPr>
          <w:rFonts w:ascii="Times New Roman"/>
          <w:sz w:val="20"/>
          <w:szCs w:val="20"/>
        </w:rPr>
        <w:t>é</w:t>
      </w:r>
      <w:r>
        <w:rPr>
          <w:rFonts w:ascii="Times New Roman"/>
          <w:sz w:val="20"/>
          <w:szCs w:val="20"/>
        </w:rPr>
        <w:t xml:space="preserve">gions, </w:t>
      </w:r>
      <w:r>
        <w:rPr>
          <w:rFonts w:ascii="Times New Roman"/>
          <w:sz w:val="20"/>
          <w:szCs w:val="20"/>
        </w:rPr>
        <w:t>é</w:t>
      </w:r>
      <w:r>
        <w:rPr>
          <w:rFonts w:ascii="Times New Roman"/>
          <w:sz w:val="20"/>
          <w:szCs w:val="20"/>
        </w:rPr>
        <w:t>labor</w:t>
      </w:r>
      <w:r>
        <w:rPr>
          <w:rFonts w:ascii="Times New Roman"/>
          <w:sz w:val="20"/>
          <w:szCs w:val="20"/>
        </w:rPr>
        <w:t>é</w:t>
      </w:r>
      <w:r>
        <w:rPr>
          <w:rFonts w:ascii="Times New Roman"/>
          <w:sz w:val="20"/>
          <w:szCs w:val="20"/>
        </w:rPr>
        <w:t>es par le centre m</w:t>
      </w:r>
      <w:r>
        <w:rPr>
          <w:rFonts w:ascii="Times New Roman"/>
          <w:sz w:val="20"/>
          <w:szCs w:val="20"/>
        </w:rPr>
        <w:t>é</w:t>
      </w:r>
      <w:r>
        <w:rPr>
          <w:rFonts w:ascii="Times New Roman"/>
          <w:sz w:val="20"/>
          <w:szCs w:val="20"/>
        </w:rPr>
        <w:t>t</w:t>
      </w:r>
      <w:r>
        <w:rPr>
          <w:rFonts w:ascii="Times New Roman"/>
          <w:sz w:val="20"/>
          <w:szCs w:val="20"/>
        </w:rPr>
        <w:t>é</w:t>
      </w:r>
      <w:r>
        <w:rPr>
          <w:rFonts w:ascii="Times New Roman"/>
          <w:sz w:val="20"/>
          <w:szCs w:val="20"/>
        </w:rPr>
        <w:t>orologique d</w:t>
      </w:r>
      <w:r>
        <w:rPr>
          <w:rFonts w:ascii="Times New Roman"/>
          <w:sz w:val="20"/>
          <w:szCs w:val="20"/>
        </w:rPr>
        <w:t>é</w:t>
      </w:r>
      <w:r>
        <w:rPr>
          <w:rFonts w:ascii="Times New Roman"/>
          <w:sz w:val="20"/>
          <w:szCs w:val="20"/>
        </w:rPr>
        <w:t>sign</w:t>
      </w:r>
      <w:r>
        <w:rPr>
          <w:rFonts w:ascii="Times New Roman"/>
          <w:sz w:val="20"/>
          <w:szCs w:val="20"/>
        </w:rPr>
        <w:t>é</w:t>
      </w:r>
      <w:r>
        <w:rPr>
          <w:rFonts w:ascii="Times New Roman"/>
          <w:sz w:val="20"/>
          <w:szCs w:val="20"/>
        </w:rPr>
        <w:t xml:space="preserve"> par l</w:t>
      </w:r>
      <w:r>
        <w:rPr>
          <w:rFonts w:ascii="Times New Roman"/>
          <w:sz w:val="20"/>
          <w:szCs w:val="20"/>
        </w:rPr>
        <w:t>’</w:t>
      </w:r>
      <w:r>
        <w:rPr>
          <w:rFonts w:ascii="Times New Roman"/>
          <w:sz w:val="20"/>
          <w:szCs w:val="20"/>
        </w:rPr>
        <w:t>administration m</w:t>
      </w:r>
      <w:r>
        <w:rPr>
          <w:rFonts w:ascii="Times New Roman"/>
          <w:sz w:val="20"/>
          <w:szCs w:val="20"/>
        </w:rPr>
        <w:t>é</w:t>
      </w:r>
      <w:r>
        <w:rPr>
          <w:rFonts w:ascii="Times New Roman"/>
          <w:sz w:val="20"/>
          <w:szCs w:val="20"/>
        </w:rPr>
        <w:t>t</w:t>
      </w:r>
      <w:r>
        <w:rPr>
          <w:rFonts w:ascii="Times New Roman"/>
          <w:sz w:val="20"/>
          <w:szCs w:val="20"/>
        </w:rPr>
        <w:t>é</w:t>
      </w:r>
      <w:r>
        <w:rPr>
          <w:rFonts w:ascii="Times New Roman"/>
          <w:sz w:val="20"/>
          <w:szCs w:val="20"/>
        </w:rPr>
        <w:t>orologique concern</w:t>
      </w:r>
      <w:r>
        <w:rPr>
          <w:rFonts w:ascii="Times New Roman"/>
          <w:sz w:val="20"/>
          <w:szCs w:val="20"/>
        </w:rPr>
        <w:t>é</w:t>
      </w:r>
      <w:r>
        <w:rPr>
          <w:rFonts w:ascii="Times New Roman"/>
          <w:sz w:val="20"/>
          <w:szCs w:val="20"/>
        </w:rPr>
        <w:t xml:space="preserve">e et </w:t>
      </w:r>
      <w:r>
        <w:rPr>
          <w:rFonts w:ascii="Times New Roman"/>
          <w:sz w:val="20"/>
          <w:szCs w:val="20"/>
        </w:rPr>
        <w:t>é</w:t>
      </w:r>
      <w:r>
        <w:rPr>
          <w:rFonts w:ascii="Times New Roman"/>
          <w:sz w:val="20"/>
          <w:szCs w:val="20"/>
        </w:rPr>
        <w:t>chang</w:t>
      </w:r>
      <w:r>
        <w:rPr>
          <w:rFonts w:ascii="Times New Roman"/>
          <w:sz w:val="20"/>
          <w:szCs w:val="20"/>
        </w:rPr>
        <w:t>é</w:t>
      </w:r>
      <w:r>
        <w:rPr>
          <w:rFonts w:ascii="Times New Roman"/>
          <w:sz w:val="20"/>
          <w:szCs w:val="20"/>
        </w:rPr>
        <w:t>es avec les centres m</w:t>
      </w:r>
      <w:r>
        <w:rPr>
          <w:rFonts w:ascii="Times New Roman"/>
          <w:sz w:val="20"/>
          <w:szCs w:val="20"/>
        </w:rPr>
        <w:t>é</w:t>
      </w:r>
      <w:r>
        <w:rPr>
          <w:rFonts w:ascii="Times New Roman"/>
          <w:sz w:val="20"/>
          <w:szCs w:val="20"/>
        </w:rPr>
        <w:t>t</w:t>
      </w:r>
      <w:r>
        <w:rPr>
          <w:rFonts w:ascii="Times New Roman"/>
          <w:sz w:val="20"/>
          <w:szCs w:val="20"/>
        </w:rPr>
        <w:t>é</w:t>
      </w:r>
      <w:r>
        <w:rPr>
          <w:rFonts w:ascii="Times New Roman"/>
          <w:sz w:val="20"/>
          <w:szCs w:val="20"/>
        </w:rPr>
        <w:t>orologiques des r</w:t>
      </w:r>
      <w:r>
        <w:rPr>
          <w:rFonts w:ascii="Times New Roman"/>
          <w:sz w:val="20"/>
          <w:szCs w:val="20"/>
        </w:rPr>
        <w:t>é</w:t>
      </w:r>
      <w:r>
        <w:rPr>
          <w:rFonts w:ascii="Times New Roman"/>
          <w:sz w:val="20"/>
          <w:szCs w:val="20"/>
        </w:rPr>
        <w:t>gions d</w:t>
      </w:r>
      <w:r>
        <w:rPr>
          <w:rFonts w:ascii="Times New Roman"/>
          <w:sz w:val="20"/>
          <w:szCs w:val="20"/>
        </w:rPr>
        <w:t>’</w:t>
      </w:r>
      <w:r>
        <w:rPr>
          <w:rFonts w:ascii="Times New Roman"/>
          <w:sz w:val="20"/>
          <w:szCs w:val="20"/>
        </w:rPr>
        <w:t>information de vol adjacentes, selon les modalit</w:t>
      </w:r>
      <w:r>
        <w:rPr>
          <w:rFonts w:ascii="Times New Roman"/>
          <w:sz w:val="20"/>
          <w:szCs w:val="20"/>
        </w:rPr>
        <w:t>é</w:t>
      </w:r>
      <w:r>
        <w:rPr>
          <w:rFonts w:ascii="Times New Roman"/>
          <w:sz w:val="20"/>
          <w:szCs w:val="20"/>
        </w:rPr>
        <w:t>s convenues entre les administrations m</w:t>
      </w:r>
      <w:r>
        <w:rPr>
          <w:rFonts w:ascii="Times New Roman"/>
          <w:sz w:val="20"/>
          <w:szCs w:val="20"/>
        </w:rPr>
        <w:t>é</w:t>
      </w:r>
      <w:r>
        <w:rPr>
          <w:rFonts w:ascii="Times New Roman"/>
          <w:sz w:val="20"/>
          <w:szCs w:val="20"/>
        </w:rPr>
        <w:t>t</w:t>
      </w:r>
      <w:r>
        <w:rPr>
          <w:rFonts w:ascii="Times New Roman"/>
          <w:sz w:val="20"/>
          <w:szCs w:val="20"/>
        </w:rPr>
        <w:t>é</w:t>
      </w:r>
      <w:r>
        <w:rPr>
          <w:rFonts w:ascii="Times New Roman"/>
          <w:sz w:val="20"/>
          <w:szCs w:val="20"/>
        </w:rPr>
        <w:t>orologiques concern</w:t>
      </w:r>
      <w:r>
        <w:rPr>
          <w:rFonts w:ascii="Times New Roman"/>
          <w:sz w:val="20"/>
          <w:szCs w:val="20"/>
        </w:rPr>
        <w:t>é</w:t>
      </w:r>
      <w:r>
        <w:rPr>
          <w:rFonts w:ascii="Times New Roman"/>
          <w:sz w:val="20"/>
          <w:szCs w:val="20"/>
        </w:rPr>
        <w:t>es. La l</w:t>
      </w:r>
      <w:r>
        <w:rPr>
          <w:rFonts w:ascii="Times New Roman"/>
          <w:sz w:val="20"/>
          <w:szCs w:val="20"/>
        </w:rPr>
        <w:t>é</w:t>
      </w:r>
      <w:r>
        <w:rPr>
          <w:rFonts w:ascii="Times New Roman"/>
          <w:sz w:val="20"/>
          <w:szCs w:val="20"/>
        </w:rPr>
        <w:t>gislation de l</w:t>
      </w:r>
      <w:r>
        <w:rPr>
          <w:rFonts w:ascii="Times New Roman"/>
          <w:sz w:val="20"/>
          <w:szCs w:val="20"/>
        </w:rPr>
        <w:t>’</w:t>
      </w:r>
      <w:r>
        <w:rPr>
          <w:rFonts w:ascii="Times New Roman"/>
          <w:sz w:val="20"/>
          <w:szCs w:val="20"/>
        </w:rPr>
        <w:t xml:space="preserve">UE mentionne la </w:t>
      </w:r>
      <w:r>
        <w:rPr>
          <w:rFonts w:ascii="Times New Roman"/>
          <w:sz w:val="20"/>
          <w:szCs w:val="20"/>
        </w:rPr>
        <w:t>«</w:t>
      </w:r>
      <w:r>
        <w:rPr>
          <w:rFonts w:ascii="Times New Roman"/>
          <w:sz w:val="20"/>
          <w:szCs w:val="20"/>
        </w:rPr>
        <w:t>pr</w:t>
      </w:r>
      <w:r>
        <w:rPr>
          <w:rFonts w:ascii="Times New Roman"/>
          <w:sz w:val="20"/>
          <w:szCs w:val="20"/>
        </w:rPr>
        <w:t>é</w:t>
      </w:r>
      <w:r>
        <w:rPr>
          <w:rFonts w:ascii="Times New Roman"/>
          <w:sz w:val="20"/>
          <w:szCs w:val="20"/>
        </w:rPr>
        <w:t xml:space="preserve">vision de zone pour vols </w:t>
      </w:r>
      <w:r>
        <w:rPr>
          <w:rFonts w:ascii="Times New Roman"/>
          <w:sz w:val="20"/>
          <w:szCs w:val="20"/>
        </w:rPr>
        <w:t>à</w:t>
      </w:r>
      <w:r>
        <w:rPr>
          <w:rFonts w:ascii="Times New Roman"/>
          <w:sz w:val="20"/>
          <w:szCs w:val="20"/>
        </w:rPr>
        <w:t xml:space="preserve"> basse altitude</w:t>
      </w:r>
      <w:r>
        <w:rPr>
          <w:rFonts w:ascii="Times New Roman"/>
          <w:sz w:val="20"/>
          <w:szCs w:val="20"/>
        </w:rPr>
        <w:t>»</w:t>
      </w:r>
      <w:r>
        <w:rPr>
          <w:rFonts w:ascii="Times New Roman"/>
          <w:sz w:val="20"/>
          <w:szCs w:val="20"/>
        </w:rPr>
        <w:t xml:space="preserve"> telle que d</w:t>
      </w:r>
      <w:r>
        <w:rPr>
          <w:rFonts w:ascii="Times New Roman"/>
          <w:sz w:val="20"/>
          <w:szCs w:val="20"/>
        </w:rPr>
        <w:t>é</w:t>
      </w:r>
      <w:r>
        <w:rPr>
          <w:rFonts w:ascii="Times New Roman"/>
          <w:sz w:val="20"/>
          <w:szCs w:val="20"/>
        </w:rPr>
        <w:t xml:space="preserve">finie </w:t>
      </w:r>
      <w:r>
        <w:rPr>
          <w:rFonts w:ascii="Times New Roman"/>
          <w:sz w:val="20"/>
          <w:szCs w:val="20"/>
        </w:rPr>
        <w:t>à</w:t>
      </w:r>
      <w:r>
        <w:rPr>
          <w:rFonts w:ascii="Times New Roman"/>
          <w:sz w:val="20"/>
          <w:szCs w:val="20"/>
        </w:rPr>
        <w:t xml:space="preserve"> l</w:t>
      </w:r>
      <w:r>
        <w:rPr>
          <w:rFonts w:ascii="Times New Roman"/>
          <w:sz w:val="20"/>
          <w:szCs w:val="20"/>
        </w:rPr>
        <w:t>’</w:t>
      </w:r>
      <w:r>
        <w:rPr>
          <w:rFonts w:ascii="Times New Roman"/>
          <w:sz w:val="20"/>
          <w:szCs w:val="20"/>
        </w:rPr>
        <w:t>annexe I (D</w:t>
      </w:r>
      <w:r>
        <w:rPr>
          <w:rFonts w:ascii="Times New Roman"/>
          <w:sz w:val="20"/>
          <w:szCs w:val="20"/>
        </w:rPr>
        <w:t>é</w:t>
      </w:r>
      <w:r>
        <w:rPr>
          <w:rFonts w:ascii="Times New Roman"/>
          <w:sz w:val="20"/>
          <w:szCs w:val="20"/>
        </w:rPr>
        <w:t>finitions) du r</w:t>
      </w:r>
      <w:r>
        <w:rPr>
          <w:rFonts w:ascii="Times New Roman"/>
          <w:sz w:val="20"/>
          <w:szCs w:val="20"/>
        </w:rPr>
        <w:t>è</w:t>
      </w:r>
      <w:r>
        <w:rPr>
          <w:rFonts w:ascii="Times New Roman"/>
          <w:sz w:val="20"/>
          <w:szCs w:val="20"/>
        </w:rPr>
        <w:t>glement (UE) 2017/373.</w:t>
      </w:r>
    </w:p>
  </w:footnote>
  <w:footnote w:id="4">
    <w:p>
      <w:pPr>
        <w:pStyle w:val="FootnoteText"/>
        <w:spacing w:before="100" w:after="100"/>
      </w:pPr>
      <w:r>
        <w:rPr>
          <w:vertAlign w:val="superscript"/>
        </w:rPr>
        <w:footnoteRef/>
      </w:r>
      <w:r>
        <w:t xml:space="preserve"> JO L 62 du 8.3.2017, p. 1. </w:t>
      </w:r>
    </w:p>
  </w:footnote>
  <w:footnote w:id="5">
    <w:p>
      <w:pPr>
        <w:pStyle w:val="FootnoteText"/>
      </w:pPr>
      <w:r>
        <w:rPr>
          <w:vertAlign w:val="superscript"/>
        </w:rPr>
        <w:footnoteRef/>
      </w:r>
      <w:r>
        <w:tab/>
        <w:t xml:space="preserve">JO L 296 du 25.10.2012, p. 1. </w:t>
      </w:r>
    </w:p>
  </w:footnote>
  <w:footnote w:id="6">
    <w:p>
      <w:pPr>
        <w:pStyle w:val="FootnoteText"/>
      </w:pPr>
      <w:r>
        <w:rPr>
          <w:vertAlign w:val="superscript"/>
        </w:rPr>
        <w:footnoteRef/>
      </w:r>
      <w:r>
        <w:t xml:space="preserve"> JO L 62 du 8.3.2017, p. 1. </w:t>
      </w:r>
    </w:p>
  </w:footnote>
  <w:footnote w:id="7">
    <w:p>
      <w:pPr>
        <w:pStyle w:val="FootnoteText"/>
      </w:pPr>
      <w:r>
        <w:rPr>
          <w:vertAlign w:val="superscript"/>
        </w:rPr>
        <w:footnoteRef/>
      </w:r>
      <w:r>
        <w:t xml:space="preserve"> JO L 62 du 8.3.2017, p. 1. </w:t>
      </w:r>
    </w:p>
  </w:footnote>
  <w:footnote w:id="8">
    <w:p>
      <w:pPr>
        <w:pStyle w:val="FootnoteText"/>
      </w:pPr>
      <w:r>
        <w:rPr>
          <w:vertAlign w:val="superscript"/>
        </w:rPr>
        <w:footnoteRef/>
      </w:r>
      <w:r>
        <w:tab/>
        <w:t>JO L 104 du 3.4.2020, p. 1.</w:t>
      </w:r>
    </w:p>
  </w:footnote>
  <w:footnote w:id="9">
    <w:p>
      <w:pPr>
        <w:pStyle w:val="FootnoteText"/>
      </w:pPr>
      <w:r>
        <w:rPr>
          <w:vertAlign w:val="superscript"/>
        </w:rPr>
        <w:footnoteRef/>
      </w:r>
      <w:r>
        <w:tab/>
        <w:t xml:space="preserve">JO L 44 du 14.2.2020, p. 1. </w:t>
      </w:r>
    </w:p>
  </w:footnote>
  <w:footnote w:id="10">
    <w:p>
      <w:pPr>
        <w:pStyle w:val="FootnoteText"/>
      </w:pPr>
      <w:r>
        <w:rPr>
          <w:vertAlign w:val="superscript"/>
        </w:rPr>
        <w:footnoteRef/>
      </w:r>
      <w:r>
        <w:tab/>
        <w:t>JO L 281 du 13.10.2012, p. 1.</w:t>
      </w:r>
    </w:p>
  </w:footnote>
  <w:footnote w:id="11">
    <w:p>
      <w:pPr>
        <w:pStyle w:val="FootnoteText"/>
      </w:pPr>
      <w:r>
        <w:rPr>
          <w:vertAlign w:val="superscript"/>
        </w:rPr>
        <w:footnoteRef/>
      </w:r>
      <w:r>
        <w:t xml:space="preserve"> JO L 44 du 14.2.2020, p. 1. </w:t>
      </w:r>
    </w:p>
  </w:footnote>
  <w:footnote w:id="12">
    <w:p>
      <w:pPr>
        <w:pStyle w:val="FootnoteText"/>
      </w:pPr>
      <w:r>
        <w:rPr>
          <w:vertAlign w:val="superscript"/>
        </w:rPr>
        <w:footnoteRef/>
      </w:r>
      <w:r>
        <w:t xml:space="preserve"> JO L 62 du 8.3.2017, p. 1. </w:t>
      </w:r>
    </w:p>
  </w:footnote>
  <w:footnote w:id="13">
    <w:p>
      <w:pPr>
        <w:pStyle w:val="FootnoteText"/>
      </w:pPr>
      <w:r>
        <w:rPr>
          <w:vertAlign w:val="superscript"/>
        </w:rPr>
        <w:footnoteRef/>
      </w:r>
      <w:r>
        <w:t xml:space="preserve"> JO L 44 du 14.2.2020, p. 1. </w:t>
      </w:r>
    </w:p>
  </w:footnote>
  <w:footnote w:id="14">
    <w:p>
      <w:pPr>
        <w:pStyle w:val="FootnoteText"/>
      </w:pPr>
      <w:r>
        <w:rPr>
          <w:vertAlign w:val="superscript"/>
        </w:rPr>
        <w:footnoteRef/>
      </w:r>
      <w:r>
        <w:t xml:space="preserve"> JO L 62 du 8.3.2017, p. 1. </w:t>
      </w:r>
    </w:p>
  </w:footnote>
  <w:footnote w:id="15">
    <w:p>
      <w:pPr>
        <w:pStyle w:val="FootnoteText"/>
      </w:pPr>
      <w:r>
        <w:rPr>
          <w:vertAlign w:val="superscript"/>
        </w:rPr>
        <w:footnoteRef/>
      </w:r>
      <w:r>
        <w:t xml:space="preserve"> JO L 212 du 22.8.2018,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12"/>
    <w:multiLevelType w:val="multilevel"/>
    <w:tmpl w:val="F85A3C00"/>
    <w:styleLink w:val="ImportedStyle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
    <w:nsid w:val="06D53748"/>
    <w:multiLevelType w:val="multilevel"/>
    <w:tmpl w:val="23525672"/>
    <w:lvl w:ilvl="0">
      <w:start w:val="1"/>
      <w:numFmt w:val="decimal"/>
      <w:lvlText w:val="%1."/>
      <w:lvlJc w:val="left"/>
      <w:pPr>
        <w:ind w:left="0" w:firstLine="0"/>
      </w:pPr>
      <w:rPr>
        <w:position w:val="0"/>
      </w:rPr>
    </w:lvl>
    <w:lvl w:ilvl="1">
      <w:start w:val="3"/>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
    <w:nsid w:val="07E50ACE"/>
    <w:multiLevelType w:val="multilevel"/>
    <w:tmpl w:val="88B4E4CC"/>
    <w:lvl w:ilvl="0">
      <w:start w:val="1"/>
      <w:numFmt w:val="decimal"/>
      <w:lvlText w:val="%1."/>
      <w:lvlJc w:val="left"/>
      <w:pPr>
        <w:ind w:left="0" w:firstLine="0"/>
      </w:pPr>
      <w:rPr>
        <w:position w:val="0"/>
      </w:rPr>
    </w:lvl>
    <w:lvl w:ilvl="1">
      <w:start w:val="2"/>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
    <w:nsid w:val="11866B4C"/>
    <w:multiLevelType w:val="multilevel"/>
    <w:tmpl w:val="FC80665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4">
    <w:nsid w:val="15575817"/>
    <w:multiLevelType w:val="multilevel"/>
    <w:tmpl w:val="4428038E"/>
    <w:lvl w:ilvl="0">
      <w:start w:val="1"/>
      <w:numFmt w:val="decimal"/>
      <w:lvlText w:val="%1."/>
      <w:lvlJc w:val="left"/>
      <w:pPr>
        <w:ind w:left="0" w:firstLine="0"/>
      </w:pPr>
      <w:rPr>
        <w:position w:val="0"/>
      </w:rPr>
    </w:lvl>
    <w:lvl w:ilvl="1">
      <w:start w:val="4"/>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5">
    <w:nsid w:val="2C8F19AB"/>
    <w:multiLevelType w:val="multilevel"/>
    <w:tmpl w:val="B0040DBC"/>
    <w:styleLink w:val="List0"/>
    <w:lvl w:ilvl="0">
      <w:start w:val="1"/>
      <w:numFmt w:val="decimal"/>
      <w:lvlText w:val="%1."/>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1">
      <w:start w:val="1"/>
      <w:numFmt w:val="decimal"/>
      <w:lvlText w:val="%1.%2."/>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2">
      <w:start w:val="7"/>
      <w:numFmt w:val="decimal"/>
      <w:lvlText w:val="%1.%2.%3."/>
      <w:lvlJc w:val="left"/>
      <w:pPr>
        <w:tabs>
          <w:tab w:val="num" w:pos="720"/>
        </w:tabs>
        <w:ind w:left="720" w:hanging="720"/>
      </w:pPr>
      <w:rPr>
        <w:rFonts w:ascii="Trebuchet MS" w:eastAsia="Trebuchet MS" w:hAnsi="Trebuchet MS" w:cs="Trebuchet MS"/>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3">
      <w:start w:val="1"/>
      <w:numFmt w:val="decimal"/>
      <w:lvlText w:val="%1.%2.%3.%4."/>
      <w:lvlJc w:val="left"/>
      <w:pPr>
        <w:tabs>
          <w:tab w:val="num" w:pos="660"/>
        </w:tabs>
        <w:ind w:left="660" w:hanging="66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4">
      <w:start w:val="1"/>
      <w:numFmt w:val="decimal"/>
      <w:lvlText w:val="%1.%2.%3.%4.%5."/>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5">
      <w:start w:val="1"/>
      <w:numFmt w:val="decimal"/>
      <w:lvlText w:val="%1.%2.%3.%4.%5.%6."/>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6">
      <w:start w:val="1"/>
      <w:numFmt w:val="decimal"/>
      <w:lvlText w:val="%1.%2.%3.%4.%5.%6.%7."/>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7">
      <w:start w:val="1"/>
      <w:numFmt w:val="decimal"/>
      <w:lvlText w:val="%1.%2.%3.%4.%5.%6.%7.%8."/>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8">
      <w:start w:val="1"/>
      <w:numFmt w:val="decimal"/>
      <w:lvlText w:val="%1.%2.%3.%4.%5.%6.%7.%8.%9."/>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abstractNum>
  <w:abstractNum w:abstractNumId="6">
    <w:nsid w:val="2E5C4932"/>
    <w:multiLevelType w:val="multilevel"/>
    <w:tmpl w:val="9EF6C76E"/>
    <w:styleLink w:val="ImportedStyle2"/>
    <w:lvl w:ilvl="0">
      <w:start w:val="1"/>
      <w:numFmt w:val="decimal"/>
      <w:lvlText w:val="%1."/>
      <w:lvlJc w:val="left"/>
      <w:pPr>
        <w:ind w:left="0" w:firstLine="0"/>
      </w:pPr>
      <w:rPr>
        <w:position w:val="0"/>
        <w:lang w:val="en-US"/>
      </w:rPr>
    </w:lvl>
    <w:lvl w:ilvl="1">
      <w:start w:val="1"/>
      <w:numFmt w:val="decimal"/>
      <w:lvlText w:val="%1.%2."/>
      <w:lvlJc w:val="left"/>
      <w:pPr>
        <w:ind w:left="0" w:firstLine="0"/>
      </w:pPr>
      <w:rPr>
        <w:position w:val="0"/>
        <w:lang w:val="en-US"/>
      </w:rPr>
    </w:lvl>
    <w:lvl w:ilvl="2">
      <w:start w:val="1"/>
      <w:numFmt w:val="decimal"/>
      <w:lvlText w:val="%1.%2.%3."/>
      <w:lvlJc w:val="left"/>
      <w:pPr>
        <w:ind w:left="0" w:firstLine="0"/>
      </w:pPr>
      <w:rPr>
        <w:position w:val="0"/>
        <w:lang w:val="en-US"/>
      </w:rPr>
    </w:lvl>
    <w:lvl w:ilvl="3">
      <w:start w:val="1"/>
      <w:numFmt w:val="decimal"/>
      <w:lvlText w:val="%1.%2.%3.%4."/>
      <w:lvlJc w:val="left"/>
      <w:pPr>
        <w:ind w:left="0" w:firstLine="0"/>
      </w:pPr>
      <w:rPr>
        <w:position w:val="0"/>
        <w:lang w:val="en-US"/>
      </w:rPr>
    </w:lvl>
    <w:lvl w:ilvl="4">
      <w:start w:val="1"/>
      <w:numFmt w:val="lowerLetter"/>
      <w:lvlText w:val="(%5)"/>
      <w:lvlJc w:val="left"/>
      <w:pPr>
        <w:ind w:left="0" w:firstLine="0"/>
      </w:pPr>
      <w:rPr>
        <w:position w:val="0"/>
        <w:lang w:val="en-US"/>
      </w:rPr>
    </w:lvl>
    <w:lvl w:ilvl="5">
      <w:start w:val="1"/>
      <w:numFmt w:val="lowerRoman"/>
      <w:lvlText w:val="(%6)"/>
      <w:lvlJc w:val="left"/>
      <w:pPr>
        <w:ind w:left="0" w:firstLine="0"/>
      </w:pPr>
      <w:rPr>
        <w:position w:val="0"/>
        <w:lang w:val="en-US"/>
      </w:rPr>
    </w:lvl>
    <w:lvl w:ilvl="6">
      <w:start w:val="1"/>
      <w:numFmt w:val="decimal"/>
      <w:lvlText w:val="%7."/>
      <w:lvlJc w:val="left"/>
      <w:pPr>
        <w:ind w:left="0" w:firstLine="0"/>
      </w:pPr>
      <w:rPr>
        <w:position w:val="0"/>
        <w:lang w:val="en-US"/>
      </w:rPr>
    </w:lvl>
    <w:lvl w:ilvl="7">
      <w:start w:val="1"/>
      <w:numFmt w:val="lowerLetter"/>
      <w:lvlText w:val="%8."/>
      <w:lvlJc w:val="left"/>
      <w:pPr>
        <w:ind w:left="0" w:firstLine="0"/>
      </w:pPr>
      <w:rPr>
        <w:position w:val="0"/>
        <w:lang w:val="en-US"/>
      </w:rPr>
    </w:lvl>
    <w:lvl w:ilvl="8">
      <w:start w:val="1"/>
      <w:numFmt w:val="lowerRoman"/>
      <w:lvlText w:val="%9."/>
      <w:lvlJc w:val="left"/>
      <w:pPr>
        <w:ind w:left="0" w:firstLine="0"/>
      </w:pPr>
      <w:rPr>
        <w:position w:val="0"/>
        <w:lang w:val="en-US"/>
      </w:rPr>
    </w:lvl>
  </w:abstractNum>
  <w:abstractNum w:abstractNumId="7">
    <w:nsid w:val="2EB347B6"/>
    <w:multiLevelType w:val="multilevel"/>
    <w:tmpl w:val="B9766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nsid w:val="31C22CF9"/>
    <w:multiLevelType w:val="multilevel"/>
    <w:tmpl w:val="121C0D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9">
    <w:nsid w:val="32F641C5"/>
    <w:multiLevelType w:val="multilevel"/>
    <w:tmpl w:val="EDDA560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0">
    <w:nsid w:val="364A63C3"/>
    <w:multiLevelType w:val="multilevel"/>
    <w:tmpl w:val="0B7CCEF6"/>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1">
    <w:nsid w:val="388040CC"/>
    <w:multiLevelType w:val="multilevel"/>
    <w:tmpl w:val="1B62F1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2">
    <w:nsid w:val="54DA7809"/>
    <w:multiLevelType w:val="multilevel"/>
    <w:tmpl w:val="888CD0D4"/>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3">
    <w:nsid w:val="61D20F58"/>
    <w:multiLevelType w:val="multilevel"/>
    <w:tmpl w:val="9A24C558"/>
    <w:lvl w:ilvl="0">
      <w:start w:val="1"/>
      <w:numFmt w:val="decimal"/>
      <w:lvlText w:val="%1."/>
      <w:lvlJc w:val="left"/>
      <w:pPr>
        <w:ind w:left="0" w:firstLine="0"/>
      </w:pPr>
      <w:rPr>
        <w:position w:val="0"/>
      </w:rPr>
    </w:lvl>
    <w:lvl w:ilvl="1">
      <w:start w:val="7"/>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4">
    <w:nsid w:val="6A0C15C6"/>
    <w:multiLevelType w:val="multilevel"/>
    <w:tmpl w:val="0E66C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5">
    <w:nsid w:val="6CA37331"/>
    <w:multiLevelType w:val="multilevel"/>
    <w:tmpl w:val="D8409956"/>
    <w:lvl w:ilvl="0">
      <w:start w:val="1"/>
      <w:numFmt w:val="decimal"/>
      <w:lvlText w:val="%1."/>
      <w:lvlJc w:val="left"/>
      <w:pPr>
        <w:ind w:left="0" w:firstLine="0"/>
      </w:pPr>
      <w:rPr>
        <w:position w:val="0"/>
      </w:rPr>
    </w:lvl>
    <w:lvl w:ilvl="1">
      <w:start w:val="5"/>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6">
    <w:nsid w:val="6D430002"/>
    <w:multiLevelType w:val="multilevel"/>
    <w:tmpl w:val="F9782EE8"/>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7">
    <w:nsid w:val="740826E7"/>
    <w:multiLevelType w:val="multilevel"/>
    <w:tmpl w:val="6BE221F2"/>
    <w:lvl w:ilvl="0">
      <w:start w:val="1"/>
      <w:numFmt w:val="decimal"/>
      <w:lvlText w:val="%1."/>
      <w:lvlJc w:val="left"/>
      <w:pPr>
        <w:ind w:left="0" w:firstLine="0"/>
      </w:pPr>
      <w:rPr>
        <w:position w:val="0"/>
      </w:rPr>
    </w:lvl>
    <w:lvl w:ilvl="1">
      <w:start w:val="8"/>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8">
    <w:nsid w:val="76F74457"/>
    <w:multiLevelType w:val="multilevel"/>
    <w:tmpl w:val="FE1AD4D4"/>
    <w:lvl w:ilvl="0">
      <w:start w:val="1"/>
      <w:numFmt w:val="decimal"/>
      <w:lvlText w:val="%1."/>
      <w:lvlJc w:val="left"/>
      <w:pPr>
        <w:ind w:left="0" w:firstLine="0"/>
      </w:pPr>
      <w:rPr>
        <w:position w:val="0"/>
      </w:rPr>
    </w:lvl>
    <w:lvl w:ilvl="1">
      <w:start w:val="6"/>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
    <w:docVar w:name="LW_ANNEX_NBR_FIRST" w:val="1"/>
    <w:docVar w:name="LW_ANNEX_NBR_LAST" w:val="1"/>
    <w:docVar w:name="LW_ANNEX_UNIQUE" w:val="1"/>
    <w:docVar w:name="LW_CORRIGENDUM" w:val="&lt;UNUSED&gt;"/>
    <w:docVar w:name="LW_COVERPAGE_EXISTS" w:val="True"/>
    <w:docVar w:name="LW_COVERPAGE_GUID" w:val="1B9CB52F-3AFB-44F0-8E75-EA890243B5DA"/>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8217?Union européenne, au sein de l\u8217?Organisation de l\u8217?aviation civile internationale en ce qui concerne la notification de différences ayant trait aux annexes 1, 3, 4, 6 (parties I, II et III), 10 (volumes I et II), 11, 14 (volumes I et II), 15 et 16 (volumes I, II et III) à la convention relative à l\u8217?aviation civile internationale et au sein du Conseil de l\u8217?Organisation de l\u8217?aviation civile en ce qui concerne l\u8217?adoption des amendements 46 et 39 à l\u8217?annexe 6 (parties I et II) à cette convention relatifs au report de la future exigence en matière d\u8217?enregistreurs de conversation du poste de pilotage (CVR) de vingt-cinq heures afin d\u8217?éviter des conséquences involontaires dues à la COVID-19"/>
    <w:docVar w:name="LW_PART_NBR" w:val="1"/>
    <w:docVar w:name="LW_PART_NBR_TOTAL" w:val="1"/>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fr-FR"/>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fr-FR"/>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fr-FR"/>
    </w:rPr>
  </w:style>
  <w:style w:type="paragraph" w:styleId="CommentText">
    <w:name w:val="annotation text"/>
    <w:link w:val="CommentTextChar"/>
    <w:uiPriority w:val="99"/>
    <w:semiHidden/>
    <w:unhideWhenUsed/>
    <w:pPr>
      <w:spacing w:line="240" w:lineRule="auto"/>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fr-FR"/>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rPr>
  </w:style>
  <w:style w:type="character" w:customStyle="1" w:styleId="FooterChar">
    <w:name w:val="Footer Char"/>
    <w:basedOn w:val="DefaultParagraphFont"/>
    <w:link w:val="Footer"/>
    <w:uiPriority w:val="99"/>
    <w:rPr>
      <w:rFonts w:ascii="Calibri" w:eastAsia="Calibri" w:hAnsi="Calibri" w:cs="Calibri"/>
      <w:color w:val="000000"/>
      <w:u w:color="000000"/>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fr-FR"/>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fr-FR"/>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fr-FR"/>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fr-FR"/>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fr-FR"/>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fr-FR"/>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fr-FR"/>
    </w:rPr>
  </w:style>
  <w:style w:type="paragraph" w:styleId="CommentText">
    <w:name w:val="annotation text"/>
    <w:link w:val="CommentTextChar"/>
    <w:uiPriority w:val="99"/>
    <w:semiHidden/>
    <w:unhideWhenUsed/>
    <w:pPr>
      <w:spacing w:line="240" w:lineRule="auto"/>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fr-FR"/>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rPr>
  </w:style>
  <w:style w:type="character" w:customStyle="1" w:styleId="FooterChar">
    <w:name w:val="Footer Char"/>
    <w:basedOn w:val="DefaultParagraphFont"/>
    <w:link w:val="Footer"/>
    <w:uiPriority w:val="99"/>
    <w:rPr>
      <w:rFonts w:ascii="Calibri" w:eastAsia="Calibri" w:hAnsi="Calibri" w:cs="Calibri"/>
      <w:color w:val="000000"/>
      <w:u w:color="000000"/>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fr-FR"/>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fr-FR"/>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fr-FR"/>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fr-F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fr-FR"/>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12601</Words>
  <Characters>73467</Characters>
  <Application>Microsoft Office Word</Application>
  <DocSecurity>0</DocSecurity>
  <Lines>3673</Lines>
  <Paragraphs>1147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TURCINA Branislav (MOVE)</dc:creator>
  <cp:keywords/>
  <dc:description/>
  <cp:lastModifiedBy>WES PDFC Administrator</cp:lastModifiedBy>
  <cp:revision>12</cp:revision>
  <dcterms:created xsi:type="dcterms:W3CDTF">2020-10-01T07:36:00Z</dcterms:created>
  <dcterms:modified xsi:type="dcterms:W3CDTF">2020-10-15T12:14:00Z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