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D5B0FBA8-644C-4E39-B92B-ACDD6CE79558" style="width:451.05pt;height:420.9pt">
            <v:imagedata r:id="rId9" o:title=""/>
          </v:shape>
        </w:pict>
      </w:r>
    </w:p>
    <w:bookmarkEnd w:id="0"/>
    <w:p>
      <w:pPr>
        <w:ind w:right="-24"/>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240" w:line="240" w:lineRule="auto"/>
        <w:ind w:right="-24"/>
        <w:jc w:val="center"/>
        <w:rPr>
          <w:rFonts w:cstheme="minorHAnsi"/>
          <w:noProof/>
        </w:rPr>
      </w:pPr>
      <w:bookmarkStart w:id="1" w:name="_GoBack"/>
      <w:bookmarkEnd w:id="1"/>
      <w:r>
        <w:rPr>
          <w:rFonts w:ascii="Times New Roman" w:hAnsi="Times New Roman"/>
          <w:b/>
          <w:noProof/>
        </w:rPr>
        <w:lastRenderedPageBreak/>
        <w:t>Приложение 1: Насоки за планирането и изпълнението на национални стратегически рамки за ромите</w:t>
      </w:r>
    </w:p>
    <w:tbl>
      <w:tblPr>
        <w:tblStyle w:val="TableGrid"/>
        <w:tblW w:w="9322" w:type="dxa"/>
        <w:tblLayout w:type="fixed"/>
        <w:tblLook w:val="04A0" w:firstRow="1" w:lastRow="0" w:firstColumn="1" w:lastColumn="0" w:noHBand="0" w:noVBand="1"/>
      </w:tblPr>
      <w:tblGrid>
        <w:gridCol w:w="9322"/>
      </w:tblGrid>
      <w:t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Справяне с антициганизма</w:t>
            </w:r>
          </w:p>
          <w:p>
            <w:pPr>
              <w:spacing w:before="60" w:after="60"/>
              <w:ind w:right="-24"/>
              <w:jc w:val="both"/>
              <w:rPr>
                <w:rFonts w:ascii="Times New Roman" w:hAnsi="Times New Roman" w:cs="Times New Roman"/>
                <w:noProof/>
              </w:rPr>
            </w:pPr>
            <w:r>
              <w:rPr>
                <w:rFonts w:ascii="Times New Roman" w:hAnsi="Times New Roman"/>
                <w:noProof/>
              </w:rPr>
              <w:t>Благодарение на работата на Алианса срещу антициганизма, на Европейския парламент и на Съвета на Европа</w:t>
            </w:r>
            <w:r>
              <w:rPr>
                <w:rStyle w:val="FootnoteReference"/>
                <w:rFonts w:ascii="Times New Roman" w:hAnsi="Times New Roman" w:cs="Times New Roman"/>
                <w:noProof/>
              </w:rPr>
              <w:footnoteReference w:id="1"/>
            </w:r>
            <w:r>
              <w:rPr>
                <w:rFonts w:ascii="Times New Roman" w:hAnsi="Times New Roman"/>
                <w:noProof/>
              </w:rPr>
              <w:t xml:space="preserve"> е на път да бъде постигнат консенсус, че антициганизмът (специфична форма на расизъм срещу ромите) допринася за продължаващото изключване на ромите. Тъй като антициганизмът и изключването образуват порочен кръг, борбата срещу тях следва да бъде обединена. Борбата с дискриминацията и антициганизма ще допринесе за успеха на мерките за приобщаване, което от своя страна ще благоприятства за по-голяма откритост и по-широко приемане в обществото. Борбата с антициганизма и насърчаването на многообразието и приобщаването изискват участието на обществото като цяло — както на ромските, така и на неромските общности. Те включват овластяване на ромите и справяне с широко разпространените в обществото (включително институционални) нагласи и поведение. Органите по въпросите на равенството могат да бъдат привилегировани партньори на националните звена за контакт по въпросите на ромите (НЗКВР), като осигуряват стандарти за изпълнение и се застъпват за това в стратегиите да се обръща по-голямо внимание на борбата с дискриминацията.</w:t>
            </w:r>
          </w:p>
          <w:p>
            <w:pPr>
              <w:spacing w:before="60" w:after="60"/>
              <w:ind w:right="-24"/>
              <w:jc w:val="both"/>
              <w:rPr>
                <w:rFonts w:ascii="Times New Roman" w:hAnsi="Times New Roman"/>
                <w:b/>
                <w:noProof/>
              </w:rPr>
            </w:pPr>
            <w:r>
              <w:rPr>
                <w:rFonts w:ascii="Times New Roman" w:hAnsi="Times New Roman"/>
                <w:b/>
                <w:noProof/>
              </w:rPr>
              <w:t>Националните стратегически рамки за ромите следва да:</w:t>
            </w:r>
          </w:p>
          <w:p>
            <w:pPr>
              <w:pStyle w:val="ListParagraph"/>
              <w:numPr>
                <w:ilvl w:val="0"/>
                <w:numId w:val="1"/>
              </w:numPr>
              <w:spacing w:after="0" w:line="240" w:lineRule="auto"/>
              <w:ind w:right="-24"/>
              <w:contextualSpacing w:val="0"/>
              <w:rPr>
                <w:rFonts w:ascii="Times New Roman" w:hAnsi="Times New Roman"/>
                <w:noProof/>
                <w:sz w:val="22"/>
                <w:szCs w:val="22"/>
              </w:rPr>
            </w:pPr>
            <w:r>
              <w:rPr>
                <w:rFonts w:ascii="Times New Roman" w:hAnsi="Times New Roman"/>
                <w:b/>
                <w:noProof/>
                <w:sz w:val="22"/>
                <w:szCs w:val="22"/>
              </w:rPr>
              <w:t>включват борбата с антициганизма като самостоятелен приоритет</w:t>
            </w:r>
            <w:r>
              <w:rPr>
                <w:rFonts w:ascii="Times New Roman" w:hAnsi="Times New Roman"/>
                <w:noProof/>
                <w:sz w:val="22"/>
                <w:szCs w:val="22"/>
              </w:rPr>
              <w:t xml:space="preserve"> с цел:</w:t>
            </w:r>
          </w:p>
          <w:p>
            <w:pPr>
              <w:pStyle w:val="ListParagraph"/>
              <w:spacing w:after="0"/>
              <w:ind w:left="641" w:right="-23" w:hanging="284"/>
              <w:rPr>
                <w:rFonts w:ascii="Times New Roman" w:hAnsi="Times New Roman"/>
                <w:noProof/>
                <w:sz w:val="22"/>
                <w:szCs w:val="22"/>
              </w:rPr>
            </w:pPr>
            <w:r>
              <w:rPr>
                <w:rFonts w:ascii="Times New Roman" w:hAnsi="Times New Roman"/>
                <w:noProof/>
                <w:sz w:val="22"/>
                <w:szCs w:val="22"/>
              </w:rPr>
              <w:t xml:space="preserve">1) </w:t>
            </w:r>
            <w:r>
              <w:rPr>
                <w:noProof/>
              </w:rPr>
              <w:tab/>
            </w:r>
            <w:r>
              <w:rPr>
                <w:rFonts w:ascii="Times New Roman" w:hAnsi="Times New Roman"/>
                <w:noProof/>
                <w:sz w:val="22"/>
                <w:szCs w:val="22"/>
              </w:rPr>
              <w:t xml:space="preserve">да се признае наличието на антициганизъм и отговорността да се предприемат действия срещу него; </w:t>
            </w:r>
          </w:p>
          <w:p>
            <w:pPr>
              <w:pStyle w:val="ListParagraph"/>
              <w:spacing w:after="0"/>
              <w:ind w:left="641" w:right="-23" w:hanging="284"/>
              <w:rPr>
                <w:rFonts w:ascii="Times New Roman" w:hAnsi="Times New Roman"/>
                <w:noProof/>
                <w:sz w:val="22"/>
                <w:szCs w:val="22"/>
              </w:rPr>
            </w:pPr>
            <w:r>
              <w:rPr>
                <w:rFonts w:ascii="Times New Roman" w:hAnsi="Times New Roman"/>
                <w:noProof/>
                <w:sz w:val="22"/>
                <w:szCs w:val="22"/>
              </w:rPr>
              <w:t xml:space="preserve">2) </w:t>
            </w:r>
            <w:r>
              <w:rPr>
                <w:noProof/>
              </w:rPr>
              <w:tab/>
            </w:r>
            <w:r>
              <w:rPr>
                <w:rFonts w:ascii="Times New Roman" w:hAnsi="Times New Roman"/>
                <w:noProof/>
                <w:sz w:val="22"/>
                <w:szCs w:val="22"/>
              </w:rPr>
              <w:t xml:space="preserve">да се отчетат историческите измерения на антициганизма, и по-специално Холокоста над ромите; да се повиши осведомеността относно историята на ромите и да се насърчи помирението; </w:t>
            </w:r>
          </w:p>
          <w:p>
            <w:pPr>
              <w:pStyle w:val="ListParagraph"/>
              <w:spacing w:after="0"/>
              <w:ind w:left="641" w:right="-23" w:hanging="284"/>
              <w:rPr>
                <w:rFonts w:ascii="Times New Roman" w:hAnsi="Times New Roman"/>
                <w:noProof/>
                <w:sz w:val="22"/>
                <w:szCs w:val="22"/>
              </w:rPr>
            </w:pPr>
            <w:r>
              <w:rPr>
                <w:rFonts w:ascii="Times New Roman" w:hAnsi="Times New Roman"/>
                <w:noProof/>
                <w:sz w:val="22"/>
                <w:szCs w:val="22"/>
              </w:rPr>
              <w:t xml:space="preserve">3) </w:t>
            </w:r>
            <w:r>
              <w:rPr>
                <w:noProof/>
              </w:rPr>
              <w:tab/>
            </w:r>
            <w:r>
              <w:rPr>
                <w:rFonts w:ascii="Times New Roman" w:hAnsi="Times New Roman"/>
                <w:noProof/>
                <w:sz w:val="22"/>
                <w:szCs w:val="22"/>
              </w:rPr>
              <w:t xml:space="preserve">да се повиши осведомеността относно взаимните ползи от многообразието и приобщаването; да се изграждат положителни послания; да се поощряват ролеви модели; да се подпомагат контактите между общностите и взаимното опознаване между различните култури с цел преодоляване на стереотипите и невярната информация относно ромите в образованието, медиите, изкуствата, културата и историята; </w:t>
            </w:r>
          </w:p>
          <w:p>
            <w:pPr>
              <w:pStyle w:val="ListParagraph"/>
              <w:spacing w:after="0"/>
              <w:ind w:left="641" w:right="-23" w:hanging="284"/>
              <w:rPr>
                <w:rFonts w:ascii="Times New Roman" w:hAnsi="Times New Roman"/>
                <w:noProof/>
                <w:sz w:val="22"/>
                <w:szCs w:val="22"/>
              </w:rPr>
            </w:pPr>
            <w:r>
              <w:rPr>
                <w:rFonts w:ascii="Times New Roman" w:hAnsi="Times New Roman"/>
                <w:noProof/>
                <w:sz w:val="22"/>
                <w:szCs w:val="22"/>
              </w:rPr>
              <w:t xml:space="preserve">4) </w:t>
            </w:r>
            <w:r>
              <w:rPr>
                <w:noProof/>
              </w:rPr>
              <w:tab/>
            </w:r>
            <w:r>
              <w:rPr>
                <w:rFonts w:ascii="Times New Roman" w:hAnsi="Times New Roman"/>
                <w:noProof/>
                <w:sz w:val="22"/>
                <w:szCs w:val="22"/>
              </w:rPr>
              <w:t xml:space="preserve">да се противодейства на дискриминацията като проявление на антициганизма; </w:t>
            </w:r>
          </w:p>
          <w:p>
            <w:pPr>
              <w:pStyle w:val="ListParagraph"/>
              <w:spacing w:after="0"/>
              <w:ind w:left="641" w:right="-23" w:hanging="284"/>
              <w:rPr>
                <w:rFonts w:ascii="Times New Roman" w:hAnsi="Times New Roman"/>
                <w:noProof/>
                <w:sz w:val="22"/>
                <w:szCs w:val="22"/>
              </w:rPr>
            </w:pPr>
            <w:r>
              <w:rPr>
                <w:rFonts w:ascii="Times New Roman" w:hAnsi="Times New Roman"/>
                <w:noProof/>
                <w:sz w:val="22"/>
                <w:szCs w:val="22"/>
              </w:rPr>
              <w:t xml:space="preserve">5) </w:t>
            </w:r>
            <w:r>
              <w:rPr>
                <w:noProof/>
              </w:rPr>
              <w:tab/>
            </w:r>
            <w:r>
              <w:rPr>
                <w:rFonts w:ascii="Times New Roman" w:hAnsi="Times New Roman"/>
                <w:noProof/>
                <w:sz w:val="22"/>
                <w:szCs w:val="22"/>
              </w:rPr>
              <w:t>да се предприемат мерки срещу сизказванията, проповядващи вражда и омраза, и престъпленията от омраза като проявления на антициганизма и</w:t>
            </w:r>
            <w:r>
              <w:rPr>
                <w:noProof/>
                <w:sz w:val="22"/>
                <w:szCs w:val="22"/>
              </w:rPr>
              <w:t xml:space="preserve"> </w:t>
            </w:r>
            <w:r>
              <w:rPr>
                <w:rFonts w:ascii="Times New Roman" w:hAnsi="Times New Roman"/>
                <w:noProof/>
                <w:sz w:val="22"/>
                <w:szCs w:val="22"/>
              </w:rPr>
              <w:t xml:space="preserve">да се насърчава подаването на сигнали за мотивирани от предубеждения престъпления, тормоз и насилие; </w:t>
            </w:r>
          </w:p>
          <w:p>
            <w:pPr>
              <w:pStyle w:val="ListParagraph"/>
              <w:spacing w:after="0"/>
              <w:ind w:left="641" w:right="-23" w:hanging="284"/>
              <w:rPr>
                <w:rFonts w:ascii="Times New Roman" w:hAnsi="Times New Roman"/>
                <w:noProof/>
                <w:sz w:val="22"/>
                <w:szCs w:val="22"/>
              </w:rPr>
            </w:pPr>
            <w:r>
              <w:rPr>
                <w:rFonts w:ascii="Times New Roman" w:hAnsi="Times New Roman"/>
                <w:noProof/>
                <w:sz w:val="22"/>
                <w:szCs w:val="22"/>
              </w:rPr>
              <w:t xml:space="preserve">6) </w:t>
            </w:r>
            <w:r>
              <w:rPr>
                <w:noProof/>
              </w:rPr>
              <w:tab/>
            </w:r>
            <w:r>
              <w:rPr>
                <w:rFonts w:ascii="Times New Roman" w:hAnsi="Times New Roman"/>
                <w:noProof/>
                <w:sz w:val="22"/>
                <w:szCs w:val="22"/>
              </w:rPr>
              <w:t xml:space="preserve">да се подпомага достъпът до правосъдие за жертвите на антициганизъм и дискриминация; </w:t>
            </w:r>
          </w:p>
          <w:p>
            <w:pPr>
              <w:pStyle w:val="ListParagraph"/>
              <w:spacing w:after="0"/>
              <w:ind w:left="641" w:right="-23" w:hanging="284"/>
              <w:rPr>
                <w:rFonts w:ascii="Times New Roman" w:hAnsi="Times New Roman"/>
                <w:noProof/>
                <w:sz w:val="22"/>
                <w:szCs w:val="22"/>
              </w:rPr>
            </w:pPr>
            <w:r>
              <w:rPr>
                <w:rFonts w:ascii="Times New Roman" w:hAnsi="Times New Roman"/>
                <w:noProof/>
                <w:sz w:val="22"/>
                <w:szCs w:val="22"/>
              </w:rPr>
              <w:t xml:space="preserve">7) </w:t>
            </w:r>
            <w:r>
              <w:rPr>
                <w:noProof/>
              </w:rPr>
              <w:tab/>
            </w:r>
            <w:r>
              <w:rPr>
                <w:rFonts w:ascii="Times New Roman" w:hAnsi="Times New Roman"/>
                <w:noProof/>
                <w:sz w:val="22"/>
                <w:szCs w:val="22"/>
              </w:rPr>
              <w:t xml:space="preserve">да се повиши осведомеността на ромите относно правата им; и </w:t>
            </w:r>
          </w:p>
          <w:p>
            <w:pPr>
              <w:pStyle w:val="ListParagraph"/>
              <w:spacing w:before="60" w:after="60"/>
              <w:ind w:left="644" w:right="-23" w:hanging="284"/>
              <w:contextualSpacing w:val="0"/>
              <w:rPr>
                <w:rFonts w:ascii="Times New Roman" w:hAnsi="Times New Roman"/>
                <w:noProof/>
                <w:sz w:val="22"/>
                <w:szCs w:val="22"/>
              </w:rPr>
            </w:pPr>
            <w:r>
              <w:rPr>
                <w:rFonts w:ascii="Times New Roman" w:hAnsi="Times New Roman"/>
                <w:noProof/>
                <w:sz w:val="22"/>
                <w:szCs w:val="22"/>
              </w:rPr>
              <w:t xml:space="preserve">8) </w:t>
            </w:r>
            <w:r>
              <w:rPr>
                <w:noProof/>
              </w:rPr>
              <w:tab/>
            </w:r>
            <w:r>
              <w:rPr>
                <w:rFonts w:ascii="Times New Roman" w:hAnsi="Times New Roman"/>
                <w:noProof/>
                <w:sz w:val="22"/>
                <w:szCs w:val="22"/>
              </w:rPr>
              <w:t>да се премахне и предотвратява системната/институционалната/структурната дискриминация</w:t>
            </w:r>
            <w:r>
              <w:rPr>
                <w:rStyle w:val="FootnoteReference"/>
                <w:rFonts w:ascii="Times New Roman" w:hAnsi="Times New Roman"/>
                <w:noProof/>
                <w:sz w:val="22"/>
                <w:szCs w:val="22"/>
              </w:rPr>
              <w:footnoteReference w:id="2"/>
            </w:r>
            <w:r>
              <w:rPr>
                <w:rFonts w:ascii="Times New Roman" w:hAnsi="Times New Roman"/>
                <w:noProof/>
                <w:sz w:val="22"/>
                <w:szCs w:val="22"/>
              </w:rPr>
              <w:t>, с която се сблъскват ромите;</w:t>
            </w:r>
          </w:p>
          <w:p>
            <w:pPr>
              <w:pStyle w:val="ListParagraph"/>
              <w:numPr>
                <w:ilvl w:val="0"/>
                <w:numId w:val="1"/>
              </w:numPr>
              <w:spacing w:before="60" w:after="0" w:line="240" w:lineRule="auto"/>
              <w:ind w:right="-24"/>
              <w:contextualSpacing w:val="0"/>
              <w:rPr>
                <w:rFonts w:ascii="Times New Roman" w:hAnsi="Times New Roman"/>
                <w:noProof/>
                <w:sz w:val="22"/>
                <w:szCs w:val="22"/>
              </w:rPr>
            </w:pPr>
            <w:r>
              <w:rPr>
                <w:rFonts w:ascii="Times New Roman" w:hAnsi="Times New Roman"/>
                <w:b/>
                <w:noProof/>
                <w:sz w:val="22"/>
                <w:szCs w:val="22"/>
              </w:rPr>
              <w:lastRenderedPageBreak/>
              <w:t>предотвратяване и борба с антициганизма като всеобхватен/хоризонтален приоритет</w:t>
            </w:r>
            <w:r>
              <w:rPr>
                <w:rFonts w:ascii="Times New Roman" w:hAnsi="Times New Roman"/>
                <w:noProof/>
                <w:sz w:val="22"/>
                <w:szCs w:val="22"/>
              </w:rPr>
              <w:t xml:space="preserve"> във всички секторни политики с цел: </w:t>
            </w:r>
          </w:p>
          <w:p>
            <w:pPr>
              <w:pStyle w:val="ListParagraph"/>
              <w:spacing w:after="0"/>
              <w:ind w:left="641" w:right="-23" w:hanging="284"/>
              <w:contextualSpacing w:val="0"/>
              <w:rPr>
                <w:rFonts w:ascii="Times New Roman" w:hAnsi="Times New Roman"/>
                <w:noProof/>
                <w:sz w:val="22"/>
                <w:szCs w:val="22"/>
              </w:rPr>
            </w:pPr>
            <w:r>
              <w:rPr>
                <w:rFonts w:ascii="Times New Roman" w:hAnsi="Times New Roman"/>
                <w:noProof/>
                <w:sz w:val="22"/>
                <w:szCs w:val="22"/>
              </w:rPr>
              <w:t xml:space="preserve">1) </w:t>
            </w:r>
            <w:r>
              <w:rPr>
                <w:noProof/>
              </w:rPr>
              <w:tab/>
            </w:r>
            <w:r>
              <w:rPr>
                <w:rFonts w:ascii="Times New Roman" w:hAnsi="Times New Roman"/>
                <w:noProof/>
                <w:sz w:val="22"/>
                <w:szCs w:val="22"/>
              </w:rPr>
              <w:t xml:space="preserve">да се противодейства на сегрегацията, малтретирането и тормоза в образованието; да се повиши чувствителността на училищния персонал към тези явления; </w:t>
            </w:r>
          </w:p>
          <w:p>
            <w:pPr>
              <w:pStyle w:val="ListParagraph"/>
              <w:spacing w:after="0"/>
              <w:ind w:left="641" w:right="-23" w:hanging="284"/>
              <w:contextualSpacing w:val="0"/>
              <w:rPr>
                <w:rFonts w:ascii="Times New Roman" w:hAnsi="Times New Roman"/>
                <w:noProof/>
                <w:sz w:val="22"/>
                <w:szCs w:val="22"/>
              </w:rPr>
            </w:pPr>
            <w:r>
              <w:rPr>
                <w:rFonts w:ascii="Times New Roman" w:hAnsi="Times New Roman"/>
                <w:noProof/>
                <w:sz w:val="22"/>
                <w:szCs w:val="22"/>
              </w:rPr>
              <w:t xml:space="preserve">2) </w:t>
            </w:r>
            <w:r>
              <w:rPr>
                <w:noProof/>
              </w:rPr>
              <w:tab/>
            </w:r>
            <w:r>
              <w:rPr>
                <w:rFonts w:ascii="Times New Roman" w:hAnsi="Times New Roman"/>
                <w:noProof/>
                <w:sz w:val="22"/>
                <w:szCs w:val="22"/>
              </w:rPr>
              <w:t xml:space="preserve">да се противодейства на дискриминацията в заетостта и в достъпа до заетост и да се повиши чувствителността на работодателите; </w:t>
            </w:r>
          </w:p>
          <w:p>
            <w:pPr>
              <w:pStyle w:val="ListParagraph"/>
              <w:spacing w:after="0"/>
              <w:ind w:left="641" w:right="-23" w:hanging="284"/>
              <w:contextualSpacing w:val="0"/>
              <w:rPr>
                <w:rFonts w:ascii="Times New Roman" w:hAnsi="Times New Roman"/>
                <w:noProof/>
                <w:sz w:val="22"/>
                <w:szCs w:val="22"/>
              </w:rPr>
            </w:pPr>
            <w:r>
              <w:rPr>
                <w:rFonts w:ascii="Times New Roman" w:hAnsi="Times New Roman"/>
                <w:noProof/>
                <w:sz w:val="22"/>
                <w:szCs w:val="22"/>
              </w:rPr>
              <w:t xml:space="preserve">3) </w:t>
            </w:r>
            <w:r>
              <w:rPr>
                <w:noProof/>
              </w:rPr>
              <w:tab/>
            </w:r>
            <w:r>
              <w:rPr>
                <w:rFonts w:ascii="Times New Roman" w:hAnsi="Times New Roman"/>
                <w:noProof/>
                <w:sz w:val="22"/>
                <w:szCs w:val="22"/>
              </w:rPr>
              <w:t xml:space="preserve">да се противодейства на дискриминацията в достъпа до качествено здравеопазване; да се премахнат паралелните, сегрегирани услуги; да се предотвратяват нарушения на правата на човека (напр. принудителни аборти и принудителна стерилизация); да се повиши чувствителността на здравните работници към тези явления; </w:t>
            </w:r>
          </w:p>
          <w:p>
            <w:pPr>
              <w:pStyle w:val="ListParagraph"/>
              <w:spacing w:after="0"/>
              <w:ind w:left="641" w:right="-23" w:hanging="284"/>
              <w:contextualSpacing w:val="0"/>
              <w:rPr>
                <w:rFonts w:ascii="Times New Roman" w:hAnsi="Times New Roman"/>
                <w:noProof/>
                <w:sz w:val="22"/>
                <w:szCs w:val="22"/>
              </w:rPr>
            </w:pPr>
            <w:r>
              <w:rPr>
                <w:rFonts w:ascii="Times New Roman" w:hAnsi="Times New Roman"/>
                <w:noProof/>
                <w:sz w:val="22"/>
                <w:szCs w:val="22"/>
              </w:rPr>
              <w:t xml:space="preserve">4) </w:t>
            </w:r>
            <w:r>
              <w:rPr>
                <w:noProof/>
              </w:rPr>
              <w:tab/>
            </w:r>
            <w:r>
              <w:rPr>
                <w:rFonts w:ascii="Times New Roman" w:hAnsi="Times New Roman"/>
                <w:noProof/>
                <w:sz w:val="22"/>
                <w:szCs w:val="22"/>
              </w:rPr>
              <w:t>да се предприемат мерки срещу пространствената сегрегация; да се предотвратява принудителното извеждане от жилища без осигурено алтернативно жилищно настаняване; да се повиши чувствителността на органите на властта към тези явления; и</w:t>
            </w:r>
          </w:p>
          <w:p>
            <w:pPr>
              <w:pStyle w:val="ListParagraph"/>
              <w:spacing w:after="0"/>
              <w:ind w:left="641" w:right="-23" w:hanging="284"/>
              <w:contextualSpacing w:val="0"/>
              <w:rPr>
                <w:rFonts w:ascii="Times New Roman" w:hAnsi="Times New Roman"/>
                <w:noProof/>
                <w:sz w:val="21"/>
                <w:szCs w:val="21"/>
              </w:rPr>
            </w:pPr>
            <w:r>
              <w:rPr>
                <w:rFonts w:ascii="Times New Roman" w:hAnsi="Times New Roman"/>
                <w:noProof/>
                <w:sz w:val="22"/>
                <w:szCs w:val="22"/>
              </w:rPr>
              <w:t xml:space="preserve">5) </w:t>
            </w:r>
            <w:r>
              <w:rPr>
                <w:noProof/>
              </w:rPr>
              <w:tab/>
            </w:r>
            <w:r>
              <w:rPr>
                <w:rFonts w:ascii="Times New Roman" w:hAnsi="Times New Roman"/>
                <w:noProof/>
                <w:spacing w:val="-2"/>
                <w:sz w:val="22"/>
                <w:szCs w:val="22"/>
              </w:rPr>
              <w:t>редовно да се събират данни, свързани с равенството (данни за преживяна дискриминация; данни от органите по въпросите на равенството относно прояви на дискриминация).</w:t>
            </w:r>
          </w:p>
        </w:tc>
      </w:tr>
    </w:tbl>
    <w:p>
      <w:pPr>
        <w:rPr>
          <w:noProof/>
        </w:rPr>
      </w:pPr>
    </w:p>
    <w:tbl>
      <w:tblPr>
        <w:tblStyle w:val="TableGrid"/>
        <w:tblW w:w="9322" w:type="dxa"/>
        <w:tblLayout w:type="fixed"/>
        <w:tblLook w:val="04A0" w:firstRow="1" w:lastRow="0" w:firstColumn="1" w:lastColumn="0" w:noHBand="0" w:noVBand="1"/>
      </w:tblPr>
      <w:tblGrid>
        <w:gridCol w:w="9322"/>
      </w:tblGrid>
      <w:tr>
        <w:tc>
          <w:tcPr>
            <w:tcW w:w="9322" w:type="dxa"/>
          </w:tcPr>
          <w:p>
            <w:pPr>
              <w:spacing w:before="60" w:after="60"/>
              <w:ind w:right="-23"/>
              <w:jc w:val="center"/>
              <w:rPr>
                <w:rFonts w:ascii="Times New Roman" w:eastAsia="MS Mincho" w:hAnsi="Times New Roman" w:cs="Times New Roman"/>
                <w:bCs/>
                <w:noProof/>
                <w:color w:val="0070C0"/>
              </w:rPr>
            </w:pPr>
            <w:r>
              <w:rPr>
                <w:rFonts w:ascii="Times New Roman Bold" w:hAnsi="Times New Roman Bold"/>
                <w:b/>
                <w:bCs/>
                <w:smallCaps/>
                <w:noProof/>
                <w:color w:val="0070C0"/>
              </w:rPr>
              <w:t>Борба с предаваната от поколение на поколение бедност</w:t>
            </w:r>
            <w:r>
              <w:rPr>
                <w:noProof/>
              </w:rPr>
              <w:t xml:space="preserve"> </w:t>
            </w:r>
            <w:r>
              <w:rPr>
                <w:noProof/>
              </w:rPr>
              <w:br/>
            </w:r>
            <w:r>
              <w:rPr>
                <w:rFonts w:ascii="Times New Roman" w:hAnsi="Times New Roman"/>
                <w:bCs/>
                <w:noProof/>
                <w:color w:val="0070C0"/>
                <w:spacing w:val="-4"/>
              </w:rPr>
              <w:t>(с особен акцент върху закрилата на децата и по-целесъобразното разходване на средствата от ЕС)</w:t>
            </w:r>
          </w:p>
          <w:p>
            <w:pPr>
              <w:spacing w:before="60" w:after="60"/>
              <w:ind w:right="-24"/>
              <w:jc w:val="both"/>
              <w:rPr>
                <w:rFonts w:ascii="Times New Roman" w:eastAsia="MS Mincho" w:hAnsi="Times New Roman" w:cs="Times New Roman"/>
                <w:noProof/>
              </w:rPr>
            </w:pPr>
            <w:r>
              <w:rPr>
                <w:rFonts w:ascii="Times New Roman" w:hAnsi="Times New Roman"/>
                <w:noProof/>
              </w:rPr>
              <w:t xml:space="preserve">Справянето с бедността и изключването, които се предават от поколение на поколение, е от ключово значение за подобряването на положението на маргинализираните роми. Изключването и дискриминацията в достъпа до образование, заетост, здравеопазване и жилищно настаняване засягат развитието на децата, а това на свой ред може да има отражение и върху техния родителски капацитет в бъдеще </w:t>
            </w:r>
            <w:r>
              <w:rPr>
                <w:rFonts w:ascii="Times New Roman" w:hAnsi="Times New Roman"/>
                <w:noProof/>
                <w:color w:val="000000"/>
              </w:rPr>
              <w:t>и да доведе до по-нататъшно разпростиране на неравностойното положение върху техните собствени деца. Порочният кръг на изключването и дискриминацията няма как да се преодолее без съществена намеса, насочена към цялостно справяне с динамиката на първопричините и</w:t>
            </w:r>
            <w:r>
              <w:rPr>
                <w:rFonts w:ascii="Times New Roman" w:hAnsi="Times New Roman"/>
                <w:noProof/>
              </w:rPr>
              <w:t xml:space="preserve"> за планиране на по-добро бъдеще за следващото поколение. Тази намеса трябва да бъде </w:t>
            </w:r>
            <w:r>
              <w:rPr>
                <w:rFonts w:ascii="Times New Roman" w:hAnsi="Times New Roman"/>
                <w:b/>
                <w:noProof/>
              </w:rPr>
              <w:t>съсредоточена върху децата</w:t>
            </w:r>
            <w:r>
              <w:rPr>
                <w:rFonts w:ascii="Times New Roman" w:hAnsi="Times New Roman"/>
                <w:noProof/>
              </w:rPr>
              <w:t xml:space="preserve"> и да бъде трайна във времето.</w:t>
            </w:r>
          </w:p>
          <w:p>
            <w:pPr>
              <w:spacing w:before="60" w:after="60"/>
              <w:ind w:right="-24"/>
              <w:jc w:val="both"/>
              <w:rPr>
                <w:rFonts w:ascii="Times New Roman" w:eastAsia="MS Mincho" w:hAnsi="Times New Roman" w:cs="Times New Roman"/>
                <w:b/>
                <w:bCs/>
                <w:noProof/>
                <w:color w:val="212121"/>
              </w:rPr>
            </w:pPr>
            <w:r>
              <w:rPr>
                <w:rFonts w:ascii="Times New Roman" w:hAnsi="Times New Roman"/>
                <w:b/>
                <w:bCs/>
                <w:noProof/>
                <w:color w:val="212121"/>
              </w:rPr>
              <w:t>Националните стратегически рамки за ромите следва да :</w:t>
            </w:r>
          </w:p>
          <w:p>
            <w:pPr>
              <w:numPr>
                <w:ilvl w:val="0"/>
                <w:numId w:val="5"/>
              </w:numPr>
              <w:spacing w:before="60" w:after="60"/>
              <w:ind w:left="360" w:right="-24"/>
              <w:jc w:val="both"/>
              <w:rPr>
                <w:rFonts w:ascii="Times New Roman" w:eastAsia="MS Mincho" w:hAnsi="Times New Roman" w:cs="Times New Roman"/>
                <w:noProof/>
                <w:color w:val="000000"/>
              </w:rPr>
            </w:pPr>
            <w:r>
              <w:rPr>
                <w:rFonts w:ascii="Times New Roman" w:hAnsi="Times New Roman"/>
                <w:noProof/>
              </w:rPr>
              <w:t xml:space="preserve">мобилизират съответния експертен опит на всички управленски нива с цел формулирането на мерки за закрила на децата; </w:t>
            </w:r>
            <w:r>
              <w:rPr>
                <w:rFonts w:ascii="Times New Roman" w:hAnsi="Times New Roman"/>
                <w:noProof/>
                <w:color w:val="000000"/>
              </w:rPr>
              <w:t>осигуряват достатъчно ресурси за образование и грижи в ранна детска възраст, както и за по-нататъшно образование (напр. стипендии, менторски програми, следучилищна подкрепа), пълноценно хранене, личностно развитие и работа със семействата;</w:t>
            </w:r>
          </w:p>
          <w:p>
            <w:pPr>
              <w:numPr>
                <w:ilvl w:val="0"/>
                <w:numId w:val="5"/>
              </w:numPr>
              <w:spacing w:before="60" w:after="60"/>
              <w:ind w:left="360" w:right="-24"/>
              <w:jc w:val="both"/>
              <w:rPr>
                <w:rFonts w:ascii="Times New Roman" w:eastAsia="MS Mincho" w:hAnsi="Times New Roman" w:cs="Times New Roman"/>
                <w:noProof/>
                <w:color w:val="000000"/>
              </w:rPr>
            </w:pPr>
            <w:r>
              <w:rPr>
                <w:rFonts w:ascii="Times New Roman" w:hAnsi="Times New Roman"/>
                <w:noProof/>
              </w:rPr>
              <w:t>насърчават участието в образование и грижи в ранна детска възраст;</w:t>
            </w:r>
          </w:p>
          <w:p>
            <w:pPr>
              <w:numPr>
                <w:ilvl w:val="0"/>
                <w:numId w:val="5"/>
              </w:numPr>
              <w:spacing w:before="60" w:after="60"/>
              <w:ind w:left="360" w:right="-24"/>
              <w:jc w:val="both"/>
              <w:rPr>
                <w:rFonts w:ascii="Times New Roman" w:eastAsia="MS Mincho" w:hAnsi="Times New Roman" w:cs="Times New Roman"/>
                <w:noProof/>
                <w:color w:val="000000"/>
                <w:u w:val="single"/>
              </w:rPr>
            </w:pPr>
            <w:r>
              <w:rPr>
                <w:rFonts w:ascii="Times New Roman" w:hAnsi="Times New Roman"/>
                <w:noProof/>
                <w:color w:val="000000"/>
              </w:rPr>
              <w:t>защитават жените и децата чрез стратегии за борба с престъпления като трафика на хора, включително всички срещани форми на експлоатация (сексуална експлоатация, експлоатация на труда, принудителна просия и експлоатация за престъпни дейности, свързани с принудително сключване на фиктивни бракове с цел облагодетелстване), и да осигурят достъп до помощ, подкрепа и закрила;</w:t>
            </w:r>
          </w:p>
          <w:p>
            <w:pPr>
              <w:numPr>
                <w:ilvl w:val="0"/>
                <w:numId w:val="5"/>
              </w:numPr>
              <w:spacing w:before="60" w:after="60"/>
              <w:ind w:left="360" w:right="-24"/>
              <w:jc w:val="both"/>
              <w:rPr>
                <w:rFonts w:ascii="Times New Roman" w:eastAsia="MS Mincho" w:hAnsi="Times New Roman" w:cs="Times New Roman"/>
                <w:noProof/>
                <w:color w:val="000000"/>
              </w:rPr>
            </w:pPr>
            <w:r>
              <w:rPr>
                <w:rFonts w:ascii="Times New Roman" w:hAnsi="Times New Roman"/>
                <w:noProof/>
                <w:color w:val="000000"/>
              </w:rPr>
              <w:t>подобрят достъпа на хората с увреждания и на децата, лишени от родителска грижа, до услуги в общността и в семейна среда; засилят мерките за предотвратяване на институционализирането чрез подкрепа за семействата в несигурно положение и за хората с увреждания;</w:t>
            </w:r>
          </w:p>
          <w:p>
            <w:pPr>
              <w:numPr>
                <w:ilvl w:val="0"/>
                <w:numId w:val="5"/>
              </w:numPr>
              <w:spacing w:before="60" w:after="60"/>
              <w:ind w:left="360" w:right="-24"/>
              <w:jc w:val="both"/>
              <w:rPr>
                <w:rFonts w:ascii="Times New Roman" w:eastAsia="MS Mincho" w:hAnsi="Times New Roman" w:cs="Times New Roman"/>
                <w:noProof/>
              </w:rPr>
            </w:pPr>
            <w:r>
              <w:rPr>
                <w:rFonts w:ascii="Times New Roman" w:hAnsi="Times New Roman"/>
                <w:noProof/>
              </w:rPr>
              <w:t>гарантират дългосрочната устойчивост на мерките за подкрепа на децата и техните семейства, така че да се подобрят условията за следващото поколение;</w:t>
            </w:r>
          </w:p>
          <w:p>
            <w:pPr>
              <w:numPr>
                <w:ilvl w:val="0"/>
                <w:numId w:val="5"/>
              </w:numPr>
              <w:spacing w:before="60" w:after="60"/>
              <w:ind w:left="360" w:right="-24"/>
              <w:jc w:val="both"/>
              <w:rPr>
                <w:rFonts w:ascii="Times New Roman" w:eastAsia="MS Mincho" w:hAnsi="Times New Roman" w:cs="Times New Roman"/>
                <w:noProof/>
              </w:rPr>
            </w:pPr>
            <w:r>
              <w:rPr>
                <w:rFonts w:ascii="Times New Roman" w:hAnsi="Times New Roman"/>
                <w:noProof/>
              </w:rPr>
              <w:t>съдържат планиране на финансовото подпомагане и инвестициите, което се основава на точен анализ на първопричините за маргинализацията (социално-икономическото изключване и дискриминацията); включват събиране на по-детайлни сведения чрез систематични оценки и анализ на видовете национални, регионални и местни намеси, които са (не)успешни, и на причините за техния (не)успех, с цел по-задълбочено вникване в пречките пред приобщаването; осигирят участието на всички заинтересовани страни (местните органи, гражданското общество, заинтересовани лица от ромските и останалите общности с евентуално различаващи се гледища) в аналитичната работа;</w:t>
            </w:r>
          </w:p>
          <w:p>
            <w:pPr>
              <w:numPr>
                <w:ilvl w:val="0"/>
                <w:numId w:val="5"/>
              </w:numPr>
              <w:spacing w:before="60" w:after="60"/>
              <w:ind w:left="360" w:right="-24"/>
              <w:jc w:val="both"/>
              <w:rPr>
                <w:rFonts w:ascii="Times New Roman" w:eastAsia="MS Mincho" w:hAnsi="Times New Roman" w:cs="Times New Roman"/>
                <w:noProof/>
              </w:rPr>
            </w:pPr>
            <w:r>
              <w:rPr>
                <w:rFonts w:ascii="Times New Roman" w:hAnsi="Times New Roman"/>
                <w:noProof/>
              </w:rPr>
              <w:t>анализират използването на средствата от ЕС в сътрудничество с управляващите органи — ако в докладите от наблюдението се установи, че средствата не са използвани ефективно за постигане на целите за приобщаването, следва да се работи съвместно с местните/управляващите органи и заинтересованите страни за установяване на причините за това и преодоляване на идентифицираните пречки; и</w:t>
            </w:r>
          </w:p>
          <w:p>
            <w:pPr>
              <w:numPr>
                <w:ilvl w:val="0"/>
                <w:numId w:val="5"/>
              </w:numPr>
              <w:spacing w:before="60" w:after="60"/>
              <w:ind w:left="360" w:right="-24"/>
              <w:jc w:val="both"/>
              <w:rPr>
                <w:rFonts w:ascii="Times New Roman" w:eastAsia="MS Mincho" w:hAnsi="Times New Roman" w:cs="Times New Roman"/>
                <w:noProof/>
              </w:rPr>
            </w:pPr>
            <w:r>
              <w:rPr>
                <w:rFonts w:ascii="Times New Roman" w:hAnsi="Times New Roman"/>
                <w:noProof/>
              </w:rPr>
              <w:t>установят тесни връзки между НЗКВР и органите, отговарящи за наблюдението на средствата от ЕС; гарантират, че със средствата от ЕС, предназначени за ромите, се създават реални възможности за участие и че те имат планираното въздействие върху ежедневния им живот, а не се обслужват други интереси.</w:t>
            </w:r>
          </w:p>
        </w:tc>
      </w:tr>
    </w:tbl>
    <w:p>
      <w:pPr>
        <w:rPr>
          <w:noProof/>
        </w:rPr>
      </w:pPr>
      <w:r>
        <w:rPr>
          <w:noProof/>
        </w:rPr>
        <w:br w:type="page"/>
      </w:r>
    </w:p>
    <w:tbl>
      <w:tblPr>
        <w:tblStyle w:val="TableGrid"/>
        <w:tblW w:w="9322" w:type="dxa"/>
        <w:tblLayout w:type="fixed"/>
        <w:tblLook w:val="04A0" w:firstRow="1" w:lastRow="0" w:firstColumn="1" w:lastColumn="0" w:noHBand="0" w:noVBand="1"/>
      </w:tblPr>
      <w:tblGrid>
        <w:gridCol w:w="9322"/>
      </w:tblGrid>
      <w:t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Насърчаване на участието на ромите</w:t>
            </w:r>
          </w:p>
          <w:p>
            <w:pPr>
              <w:spacing w:before="60" w:after="60"/>
              <w:ind w:right="-24"/>
              <w:jc w:val="both"/>
              <w:rPr>
                <w:rFonts w:ascii="Times New Roman" w:eastAsia="Times New Roman" w:hAnsi="Times New Roman" w:cs="Times New Roman"/>
                <w:noProof/>
              </w:rPr>
            </w:pPr>
            <w:r>
              <w:rPr>
                <w:rFonts w:ascii="Times New Roman" w:hAnsi="Times New Roman"/>
                <w:noProof/>
              </w:rPr>
              <w:t xml:space="preserve">Участието на ромите в придаването на облик на обществените въпроси е предварително условие и необходим фактор за равнопоставеността и приобщаването и е в полза на демократичното и ефективно управление. Участието и овластяването на ромите предполагат те да бъдат чути и да могат да действат по нови, жизнеутвърждаващи начини. Приобщаването отваря пътища за действие и дава на хората възможност да участват в обществото. Участието и овластяването са принципи и процеси за подобряване на условията на живот на хората и на постиженията в живота им. Подкрепата за пълноценно участие на ромите в създаването на политики на местно, национално и европейско равнище е необходимо условие за преодоляване на изключването. Особено важна е ролята на организациите на гражданското общество, които са ръководени от роми или осъществяват дейност в подкрепа на ромите. Препоръчително е, когато координират разработването на национални стратегически </w:t>
            </w:r>
            <w:r>
              <w:rPr>
                <w:rFonts w:ascii="Times New Roman" w:hAnsi="Times New Roman"/>
                <w:bCs/>
                <w:noProof/>
                <w:color w:val="212121"/>
              </w:rPr>
              <w:t>рамки</w:t>
            </w:r>
            <w:r>
              <w:rPr>
                <w:rFonts w:ascii="Times New Roman" w:hAnsi="Times New Roman"/>
                <w:noProof/>
              </w:rPr>
              <w:t>, НЗКВР да насърчават модели на участие, като подпомагат например тематични работни групи, които разработват оценки на нуждите, приоритети, цели и действия в ключови области, като обединяват субекти от национален, регионален и местен мащаб и от неправителствения сектор и осигуряват участието на ромите. Тези модели и структури могат впоследствие да служат и за наблюдение и оценка на изпълнението.</w:t>
            </w:r>
          </w:p>
          <w:p>
            <w:pPr>
              <w:keepNext/>
              <w:keepLines/>
              <w:spacing w:before="60" w:after="60"/>
              <w:ind w:right="-24"/>
              <w:rPr>
                <w:rFonts w:ascii="Times New Roman" w:hAnsi="Times New Roman"/>
                <w:b/>
                <w:noProof/>
              </w:rPr>
            </w:pPr>
            <w:r>
              <w:rPr>
                <w:rFonts w:ascii="Times New Roman" w:hAnsi="Times New Roman"/>
                <w:b/>
                <w:noProof/>
              </w:rPr>
              <w:t xml:space="preserve">В националните стратегически </w:t>
            </w:r>
            <w:r>
              <w:rPr>
                <w:rFonts w:ascii="Times New Roman" w:hAnsi="Times New Roman"/>
                <w:b/>
                <w:bCs/>
                <w:noProof/>
                <w:color w:val="212121"/>
              </w:rPr>
              <w:t>рамки</w:t>
            </w:r>
            <w:r>
              <w:rPr>
                <w:rFonts w:ascii="Times New Roman" w:hAnsi="Times New Roman"/>
                <w:b/>
                <w:noProof/>
              </w:rPr>
              <w:t xml:space="preserve"> за ромите следва:</w:t>
            </w:r>
          </w:p>
          <w:p>
            <w:pPr>
              <w:pStyle w:val="ListParagraph"/>
              <w:keepNext/>
              <w:keepLines/>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да се определят минимални задължителни аспекти и канали за участие на ромите в разработването, прилагането и наблюдението на политики, както и в програмирането на фондовете на ЕС, включително чрез писмени протоколи за участие, в които се посочва мандатът (обхват и естество на ангажираност), съставът (принципи за подбор на членовете), работните методи и очакваните резултати от работата на органите за консултации и участие, с оглед осигуряване на ефективно сътрудничество, доверие и отчетност</w:t>
            </w:r>
            <w:r>
              <w:rPr>
                <w:rStyle w:val="FootnoteReference"/>
                <w:rFonts w:ascii="Times New Roman" w:hAnsi="Times New Roman"/>
                <w:noProof/>
                <w:sz w:val="22"/>
                <w:szCs w:val="22"/>
              </w:rPr>
              <w:footnoteReference w:id="3"/>
            </w:r>
            <w:r>
              <w:rPr>
                <w:rFonts w:ascii="Times New Roman" w:hAnsi="Times New Roman"/>
                <w:noProof/>
                <w:sz w:val="22"/>
                <w:szCs w:val="22"/>
              </w:rPr>
              <w:t>;</w:t>
            </w:r>
          </w:p>
          <w:p>
            <w:pPr>
              <w:pStyle w:val="ListParagraph"/>
              <w:keepNext/>
              <w:keepLines/>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да се разкриват възможности за овластяване на ромските общности на местно равнище, така че да се създават предпоставки за общностна ангажираност и общностни действия, насочени изрично към постигането на социална и политическа промяна. Мобилизирането на общностите следва да се разглежда като целенасочен приобщаващ процес с участието на ромите, местните органи и организации;</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да се гарантира, че ромите са представени в цялото им многообразие (включително местни граждани и чужденци, маргинализирани и интегрирани лица, жени, деца и млади хора) в процесите на изработване на политиките и в консултативните процеси;</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да се допринася за подобряване на действията на местно равнище чрез ангажиране на повече специалисти от ромските общности, които да изпълняват ролята на медиатори и да подпомагат преодоляването на трайната липса на доверие между ромските общности и общностите на мнозинството;</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да се насърчава сътрудничеството в гражданското общество между организациите по въпросите на ромите и останалите организации, особено тези, които са насочени към защита на правата на децата, младежите и жените;</w:t>
            </w:r>
          </w:p>
          <w:p>
            <w:pPr>
              <w:pStyle w:val="ListParagraph"/>
              <w:numPr>
                <w:ilvl w:val="0"/>
                <w:numId w:val="1"/>
              </w:numPr>
              <w:shd w:val="clear" w:color="auto" w:fill="FFFFFF" w:themeFill="background1"/>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 xml:space="preserve">да се използват средства от ЕС и други средства за редовно подпомагане на изграждането на капацитет (за скрининг на равнопоставеността, участие и пр.), по-специално за организациитена гражданското общество, които извършват дейност на местно равнище; и </w:t>
            </w:r>
          </w:p>
          <w:p>
            <w:pPr>
              <w:pStyle w:val="ListParagraph"/>
              <w:numPr>
                <w:ilvl w:val="0"/>
                <w:numId w:val="1"/>
              </w:numPr>
              <w:shd w:val="clear" w:color="auto" w:fill="FFFFFF" w:themeFill="background1"/>
              <w:spacing w:before="60" w:after="60" w:line="240" w:lineRule="auto"/>
              <w:ind w:right="-24"/>
              <w:contextualSpacing w:val="0"/>
              <w:rPr>
                <w:rFonts w:ascii="Times New Roman" w:hAnsi="Times New Roman"/>
                <w:noProof/>
                <w:sz w:val="22"/>
                <w:szCs w:val="22"/>
              </w:rPr>
            </w:pPr>
            <w:r>
              <w:rPr>
                <w:rFonts w:ascii="Times New Roman" w:hAnsi="Times New Roman"/>
                <w:i/>
                <w:noProof/>
                <w:sz w:val="22"/>
                <w:szCs w:val="22"/>
              </w:rPr>
              <w:t>в държави със значителен дял на ромите сред населението:</w:t>
            </w:r>
          </w:p>
          <w:p>
            <w:pPr>
              <w:pStyle w:val="ListParagraph"/>
              <w:numPr>
                <w:ilvl w:val="1"/>
                <w:numId w:val="1"/>
              </w:numPr>
              <w:shd w:val="clear" w:color="auto" w:fill="FFFFFF" w:themeFill="background1"/>
              <w:spacing w:before="60" w:after="60" w:line="240" w:lineRule="auto"/>
              <w:ind w:left="851" w:right="-23" w:hanging="284"/>
              <w:contextualSpacing w:val="0"/>
              <w:rPr>
                <w:rFonts w:ascii="Times New Roman" w:hAnsi="Times New Roman"/>
                <w:noProof/>
                <w:sz w:val="22"/>
                <w:szCs w:val="22"/>
              </w:rPr>
            </w:pPr>
            <w:r>
              <w:rPr>
                <w:rFonts w:ascii="Times New Roman" w:hAnsi="Times New Roman"/>
                <w:noProof/>
                <w:sz w:val="22"/>
                <w:szCs w:val="22"/>
              </w:rPr>
              <w:t>да се насърчават положителни действия за увеличаване на участието на ромите в националната и местната администрация в областта на равенството и приобщаването, научните изследвания и пр.; и</w:t>
            </w:r>
          </w:p>
          <w:p>
            <w:pPr>
              <w:pStyle w:val="ListParagraph"/>
              <w:numPr>
                <w:ilvl w:val="1"/>
                <w:numId w:val="1"/>
              </w:numPr>
              <w:shd w:val="clear" w:color="auto" w:fill="FFFFFF" w:themeFill="background1"/>
              <w:spacing w:before="60" w:after="60" w:line="240" w:lineRule="auto"/>
              <w:ind w:left="851" w:right="-23" w:hanging="284"/>
              <w:contextualSpacing w:val="0"/>
              <w:rPr>
                <w:rFonts w:ascii="Times New Roman" w:hAnsi="Times New Roman"/>
                <w:noProof/>
                <w:sz w:val="21"/>
                <w:szCs w:val="21"/>
              </w:rPr>
            </w:pPr>
            <w:r>
              <w:rPr>
                <w:rFonts w:ascii="Times New Roman" w:hAnsi="Times New Roman"/>
                <w:noProof/>
                <w:sz w:val="22"/>
                <w:szCs w:val="22"/>
              </w:rPr>
              <w:t>да се предвижда евентуална възможност за учредяване на национални представителни организации на ромите с цел постоянни консултации и участие в обсъжданията на политики. Тези организации следва да получават базови институционални безвъзмездни средства от националните правителства или редовни средства за подпомагане на гражданското общество.</w:t>
            </w:r>
          </w:p>
        </w:tc>
      </w:tr>
    </w:tbl>
    <w:p>
      <w:pPr>
        <w:rPr>
          <w:noProof/>
        </w:rPr>
      </w:pPr>
      <w:r>
        <w:rPr>
          <w:noProof/>
        </w:rPr>
        <w:br w:type="page"/>
      </w:r>
    </w:p>
    <w:tbl>
      <w:tblPr>
        <w:tblStyle w:val="TableGrid"/>
        <w:tblW w:w="9322" w:type="dxa"/>
        <w:tblLayout w:type="fixed"/>
        <w:tblLook w:val="04A0" w:firstRow="1" w:lastRow="0" w:firstColumn="1" w:lastColumn="0" w:noHBand="0" w:noVBand="1"/>
      </w:tblPr>
      <w:tblGrid>
        <w:gridCol w:w="9322"/>
      </w:tblGrid>
      <w:t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Отразяване на многообразието</w:t>
            </w:r>
          </w:p>
          <w:p>
            <w:pPr>
              <w:spacing w:before="60" w:after="60"/>
              <w:ind w:right="-24"/>
              <w:jc w:val="both"/>
              <w:rPr>
                <w:rFonts w:ascii="Times New Roman" w:hAnsi="Times New Roman" w:cs="Times New Roman"/>
                <w:noProof/>
                <w:spacing w:val="-2"/>
              </w:rPr>
            </w:pPr>
            <w:r>
              <w:rPr>
                <w:rFonts w:ascii="Times New Roman" w:hAnsi="Times New Roman"/>
                <w:noProof/>
                <w:spacing w:val="-2"/>
              </w:rPr>
              <w:t>От ключово значение е при изработването на националните стратегически рамки да се отчита многообразието на ромите и техните общности. Стратегическата рамка на ЕС за ромите насърчава овластяването на жените, младежите и децата с ромски произход (а също и ромите с увреждания, възрастните роми, ромите от общността на ЛГБТИ+ и мобилните граждани на ЕС) така, че те да могат да преодолеят социално-икономическите неравенства, да упражняват правата си в пълна степен, да реализират своя потенциал и да бъдат активни участници за промяна.</w:t>
            </w:r>
          </w:p>
          <w:p>
            <w:pPr>
              <w:spacing w:before="60" w:after="60"/>
              <w:ind w:right="-24"/>
              <w:rPr>
                <w:rFonts w:ascii="Times New Roman" w:hAnsi="Times New Roman"/>
                <w:b/>
                <w:noProof/>
              </w:rPr>
            </w:pPr>
            <w:r>
              <w:rPr>
                <w:rFonts w:ascii="Times New Roman" w:hAnsi="Times New Roman"/>
                <w:b/>
                <w:noProof/>
              </w:rPr>
              <w:t>Националните стратегически рамки за ромите следва:</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да оценят нуждите и положението на всички роми (включително на тези, които не са граждани на страната или на ЕС или нямат гражданство);</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да се борят с множествената дискриминация и междусекторността, които утежняват изключването;</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да са насочени към най-маргинализираните ромски групи, като в тях се предвиждат мерки за тяхното приобщаване и за преодоляване на бедността сред тях (без да се изключват други групи в подобно положение), както и мерки за насърчаване на участието на всички роми и мерки, насочени както към ромското, така и към цялото население, за предотвратяване и противодействие на антициганизма и на дискриминацията;</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да определят специфични цели и целенасочени мерки за жените, децата и младежите с ромски произход,</w:t>
            </w:r>
            <w:r>
              <w:rPr>
                <w:noProof/>
                <w:sz w:val="22"/>
                <w:szCs w:val="22"/>
              </w:rPr>
              <w:t xml:space="preserve"> </w:t>
            </w:r>
            <w:r>
              <w:rPr>
                <w:rFonts w:ascii="Times New Roman" w:hAnsi="Times New Roman"/>
                <w:noProof/>
                <w:sz w:val="22"/>
                <w:szCs w:val="22"/>
              </w:rPr>
              <w:t>ромите с увреждания и възрастните роми, мобилните граждани на ЕС, ромите без гражданство и ромите от държави извън ЕС (според случая) и да предвиждат разбивки на показателите по пол и възраст;</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да отчитат измерението, свързано с пола, във всички области и особено в образованието, заетостта, здравеопазването, издръжката за деца и борбата с (множествената) дискриминация, включително (домашното) насилие и експлоатацията; да насърчават участието и гарантират, че мерките са насочени към постигане на равенство между половете;</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да осигуряват подкрепа за достъпа на жени с ромски произход до правосъдие с оглед предотвратяване или преодоляване на домашното насилие и други нарушения на правата на човека;</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да предвиждат участие в транснационално сътрудничество с цел по-ефикасно справяне с предизвикателствата и използване на възможностите, които произтичат от транснационалната мобилност на ромите, като се осигурява достъп до образование, заетост, жилищно настаняване, здравеопазване и други социални услуги; и</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 xml:space="preserve">да сложат край на непритежаването на гражданство сред ромите чрез гарантиране на универсална регистрация при раждане и достъп до документи за самоличност, официални процедури за установяване на липсата на гражданство и универсален достъп до услуги. </w:t>
            </w:r>
          </w:p>
        </w:tc>
      </w:tr>
    </w:tbl>
    <w:p>
      <w:pPr>
        <w:rPr>
          <w:noProof/>
        </w:rPr>
      </w:pPr>
      <w:r>
        <w:rPr>
          <w:noProof/>
        </w:rPr>
        <w:br w:type="page"/>
      </w:r>
    </w:p>
    <w:tbl>
      <w:tblPr>
        <w:tblStyle w:val="TableGrid"/>
        <w:tblW w:w="9322" w:type="dxa"/>
        <w:tblLayout w:type="fixed"/>
        <w:tblLook w:val="04A0" w:firstRow="1" w:lastRow="0" w:firstColumn="1" w:lastColumn="0" w:noHBand="0" w:noVBand="1"/>
      </w:tblPr>
      <w:tblGrid>
        <w:gridCol w:w="9322"/>
      </w:tblGrid>
      <w:t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Съчетаване на общи и целенасочени подходи</w:t>
            </w:r>
          </w:p>
          <w:p>
            <w:pPr>
              <w:keepNext/>
              <w:keepLines/>
              <w:shd w:val="clear" w:color="auto" w:fill="FFFFFF" w:themeFill="background1"/>
              <w:spacing w:before="60" w:after="60"/>
              <w:ind w:right="-24"/>
              <w:jc w:val="both"/>
              <w:rPr>
                <w:rFonts w:ascii="Times New Roman" w:hAnsi="Times New Roman" w:cs="Times New Roman"/>
                <w:noProof/>
              </w:rPr>
            </w:pPr>
            <w:r>
              <w:rPr>
                <w:rFonts w:ascii="Times New Roman" w:hAnsi="Times New Roman"/>
                <w:noProof/>
              </w:rPr>
              <w:t>Макар че дискриминацията и изключването на ромите са основание за траен целенасочен подход, целта на този тип подход е да се способства за ефективното приобщаване и равенството на ромите във всички сфери на живота. Това предполага реформиране на общите политики така, че да станат приобщаващи, което изисква интелигентно съчетаване на целеви и общи подходи. Целевите политики следва да бъдат временни и да служат за смекчаване на утежненото неравностойно положение и допълнителната дискриминация, с която се сблъскват ромите. Целевият им характер а следва да бъде изричен (без непременно да се основава на етническата принадлежност), но не изключващ, т.е. да не изключва хората, които не са роми, но се намират в същото положение.</w:t>
            </w:r>
          </w:p>
          <w:p>
            <w:pPr>
              <w:spacing w:before="60" w:after="60"/>
              <w:ind w:right="-24"/>
              <w:rPr>
                <w:rFonts w:ascii="Times New Roman" w:hAnsi="Times New Roman"/>
                <w:b/>
                <w:noProof/>
              </w:rPr>
            </w:pPr>
            <w:r>
              <w:rPr>
                <w:rFonts w:ascii="Times New Roman" w:hAnsi="Times New Roman"/>
                <w:b/>
                <w:noProof/>
              </w:rPr>
              <w:t>В националните стратегически рамки за ромите следва:</w:t>
            </w:r>
          </w:p>
          <w:p>
            <w:pPr>
              <w:pStyle w:val="ListParagraph"/>
              <w:numPr>
                <w:ilvl w:val="0"/>
                <w:numId w:val="2"/>
              </w:numPr>
              <w:shd w:val="clear" w:color="auto" w:fill="FFFFFF" w:themeFill="background1"/>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да се</w:t>
            </w:r>
            <w:r>
              <w:rPr>
                <w:noProof/>
                <w:sz w:val="22"/>
                <w:szCs w:val="22"/>
              </w:rPr>
              <w:t xml:space="preserve"> </w:t>
            </w:r>
            <w:r>
              <w:rPr>
                <w:rFonts w:ascii="Times New Roman" w:hAnsi="Times New Roman"/>
                <w:noProof/>
                <w:sz w:val="22"/>
                <w:szCs w:val="22"/>
              </w:rPr>
              <w:t>посочва изрично по какъв начин</w:t>
            </w:r>
            <w:r>
              <w:rPr>
                <w:noProof/>
                <w:sz w:val="22"/>
                <w:szCs w:val="22"/>
              </w:rPr>
              <w:t xml:space="preserve"> </w:t>
            </w:r>
            <w:r>
              <w:rPr>
                <w:rFonts w:ascii="Times New Roman" w:hAnsi="Times New Roman"/>
                <w:noProof/>
                <w:sz w:val="22"/>
                <w:szCs w:val="22"/>
              </w:rPr>
              <w:t>конкретните целенасочени мерки (гаранции) способстват за преодоляване на пречките, ограничаващи достъпа на ромите до общите политики и възможността им да се възползват от тях, и по какъв начин се повишава степента на приобщаване на ромите в обществените политики;</w:t>
            </w:r>
          </w:p>
          <w:p>
            <w:pPr>
              <w:pStyle w:val="ListParagraph"/>
              <w:numPr>
                <w:ilvl w:val="0"/>
                <w:numId w:val="2"/>
              </w:numPr>
              <w:shd w:val="clear" w:color="auto" w:fill="FFFFFF" w:themeFill="background1"/>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да се подпомага достъпът на ромите до права и основни услуги с допълнителна целенасочена подкрепа, но без създаване на постоянни паралелни структури;</w:t>
            </w:r>
          </w:p>
          <w:p>
            <w:pPr>
              <w:pStyle w:val="ListParagraph"/>
              <w:numPr>
                <w:ilvl w:val="0"/>
                <w:numId w:val="2"/>
              </w:numPr>
              <w:shd w:val="clear" w:color="auto" w:fill="FFFFFF" w:themeFill="background1"/>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да се осигурява териториална насоченост на намесата, за да бъде тя съобразена с местните условия; при по-широкообхватните намеси (напр. за справяне с крайната бедност) да се съчетава териториалната насоченост с насоченост към определени социални групи и да се гарантира, че те достигат до ромското население;</w:t>
            </w:r>
          </w:p>
          <w:p>
            <w:pPr>
              <w:pStyle w:val="ListParagraph"/>
              <w:numPr>
                <w:ilvl w:val="0"/>
                <w:numId w:val="2"/>
              </w:numPr>
              <w:shd w:val="clear" w:color="auto" w:fill="FFFFFF" w:themeFill="background1"/>
              <w:spacing w:before="60" w:after="60" w:line="240" w:lineRule="auto"/>
              <w:ind w:right="-24"/>
              <w:contextualSpacing w:val="0"/>
              <w:rPr>
                <w:rFonts w:ascii="Times New Roman" w:hAnsi="Times New Roman"/>
                <w:noProof/>
                <w:sz w:val="22"/>
                <w:szCs w:val="22"/>
              </w:rPr>
            </w:pPr>
            <w:r>
              <w:rPr>
                <w:rFonts w:ascii="Times New Roman" w:hAnsi="Times New Roman"/>
                <w:i/>
                <w:noProof/>
                <w:sz w:val="22"/>
                <w:szCs w:val="22"/>
              </w:rPr>
              <w:t>в държави със значителен дял на ромското население:</w:t>
            </w:r>
          </w:p>
          <w:p>
            <w:pPr>
              <w:pStyle w:val="ListParagraph"/>
              <w:numPr>
                <w:ilvl w:val="1"/>
                <w:numId w:val="2"/>
              </w:numPr>
              <w:shd w:val="clear" w:color="auto" w:fill="FFFFFF" w:themeFill="background1"/>
              <w:spacing w:before="60" w:after="60" w:line="240" w:lineRule="auto"/>
              <w:ind w:left="851" w:right="-23" w:hanging="284"/>
              <w:contextualSpacing w:val="0"/>
              <w:rPr>
                <w:rFonts w:ascii="Times New Roman" w:hAnsi="Times New Roman"/>
                <w:noProof/>
                <w:sz w:val="22"/>
                <w:szCs w:val="22"/>
              </w:rPr>
            </w:pPr>
            <w:r>
              <w:rPr>
                <w:rFonts w:ascii="Times New Roman" w:hAnsi="Times New Roman"/>
                <w:noProof/>
                <w:sz w:val="22"/>
                <w:szCs w:val="22"/>
              </w:rPr>
              <w:t>да се извърши скрининг/одит на ключовите общи политики с цел оценка на въздействието им върху равенството и приобщаването на ромите;</w:t>
            </w:r>
          </w:p>
          <w:p>
            <w:pPr>
              <w:pStyle w:val="ListParagraph"/>
              <w:numPr>
                <w:ilvl w:val="1"/>
                <w:numId w:val="2"/>
              </w:numPr>
              <w:shd w:val="clear" w:color="auto" w:fill="FFFFFF" w:themeFill="background1"/>
              <w:spacing w:before="60" w:after="60" w:line="240" w:lineRule="auto"/>
              <w:ind w:left="851" w:right="-23" w:hanging="284"/>
              <w:contextualSpacing w:val="0"/>
              <w:rPr>
                <w:rFonts w:ascii="Times New Roman" w:hAnsi="Times New Roman"/>
                <w:noProof/>
                <w:sz w:val="22"/>
                <w:szCs w:val="22"/>
              </w:rPr>
            </w:pPr>
            <w:r>
              <w:rPr>
                <w:rFonts w:ascii="Times New Roman" w:hAnsi="Times New Roman"/>
                <w:noProof/>
                <w:sz w:val="22"/>
                <w:szCs w:val="22"/>
              </w:rPr>
              <w:t>да се посочва как ще се използват средствата от ЕС за реформа на общите политики така, че да станат приобщаващи (напр. премахване на сегрегацията в образованието или жилищното настаняване), и за целенасочени действия; и</w:t>
            </w:r>
          </w:p>
          <w:p>
            <w:pPr>
              <w:pStyle w:val="ListParagraph"/>
              <w:numPr>
                <w:ilvl w:val="1"/>
                <w:numId w:val="2"/>
              </w:numPr>
              <w:shd w:val="clear" w:color="auto" w:fill="FFFFFF" w:themeFill="background1"/>
              <w:spacing w:before="60" w:after="60" w:line="240" w:lineRule="auto"/>
              <w:ind w:left="851" w:right="-23" w:hanging="284"/>
              <w:contextualSpacing w:val="0"/>
              <w:rPr>
                <w:rFonts w:ascii="Times New Roman" w:hAnsi="Times New Roman"/>
                <w:noProof/>
                <w:spacing w:val="-4"/>
                <w:sz w:val="22"/>
                <w:szCs w:val="22"/>
              </w:rPr>
            </w:pPr>
            <w:r>
              <w:rPr>
                <w:rFonts w:ascii="Times New Roman" w:hAnsi="Times New Roman"/>
                <w:noProof/>
                <w:spacing w:val="-4"/>
                <w:sz w:val="22"/>
                <w:szCs w:val="22"/>
              </w:rPr>
              <w:t>да се излагат конкретни методи за превръщане на равенството, приобщаването и участието на ромите в обичайна практика в обществото на регионално и местно равнище.</w:t>
            </w:r>
          </w:p>
        </w:tc>
      </w:tr>
    </w:tbl>
    <w:p>
      <w:pPr>
        <w:rPr>
          <w:noProof/>
        </w:rPr>
      </w:pPr>
      <w:r>
        <w:rPr>
          <w:noProof/>
        </w:rPr>
        <w:br w:type="page"/>
      </w:r>
    </w:p>
    <w:tbl>
      <w:tblPr>
        <w:tblStyle w:val="TableGrid"/>
        <w:tblW w:w="9322" w:type="dxa"/>
        <w:tblLayout w:type="fixed"/>
        <w:tblLook w:val="04A0" w:firstRow="1" w:lastRow="0" w:firstColumn="1" w:lastColumn="0" w:noHBand="0" w:noVBand="1"/>
      </w:tblPr>
      <w:tblGrid>
        <w:gridCol w:w="9322"/>
      </w:tblGrid>
      <w:t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Разширяване на мащаба на мерките за предотвратяване или смекчаване на непропорционалното въздействие на кризите върху ромите</w:t>
            </w:r>
          </w:p>
          <w:p>
            <w:pPr>
              <w:spacing w:before="60" w:after="60"/>
              <w:ind w:right="-24"/>
              <w:jc w:val="both"/>
              <w:rPr>
                <w:rFonts w:ascii="Times New Roman" w:hAnsi="Times New Roman" w:cs="Times New Roman"/>
                <w:noProof/>
                <w:color w:val="000000" w:themeColor="text1"/>
              </w:rPr>
            </w:pPr>
            <w:r>
              <w:rPr>
                <w:rFonts w:ascii="Times New Roman" w:hAnsi="Times New Roman"/>
                <w:noProof/>
                <w:color w:val="000000" w:themeColor="text1"/>
              </w:rPr>
              <w:t>Всички основни предизвикателства, пред които е изправен ЕС днес (включително пандемията от коронавирус, изменението на климата, екологичният и цифров преход), имат измерение, свързано с равенството и приобщаването на ромите. Следва да се положат особени усилия, за да се гарантира, че дискриминираните и маргинализираните групи, и в частност ромите, не са принудени да понасят непропорционална част от товара при кризи и преходи, както и че извънредните мерки и по-дългосрочните стратегии за растеж включват допълнителна, целенасочена подкрепа за приобщаване на тези групи. Следва да се извлекат поуки от пандемията от коронавирус, която оказа непропорционално голямо въздействие върху маргинализираните ромски общности, поради което те бяха изложени на най-тежките краткосрочни отрицателни последици за здравето и средносрочни социално-икономически последици. Националните стратегически рамки за ромите следва да допринасят за смекчаване на последиците от кризата, предизвикана от коронавируса, и да ни подготвят да се справяме по-добре с подобни явления в бъдеще.</w:t>
            </w:r>
          </w:p>
          <w:p>
            <w:pPr>
              <w:spacing w:before="60" w:after="60"/>
              <w:ind w:right="-24"/>
              <w:rPr>
                <w:rFonts w:ascii="Times New Roman" w:hAnsi="Times New Roman" w:cs="Times New Roman"/>
                <w:b/>
                <w:noProof/>
                <w:color w:val="000000" w:themeColor="text1"/>
              </w:rPr>
            </w:pPr>
            <w:r>
              <w:rPr>
                <w:rFonts w:ascii="Times New Roman" w:hAnsi="Times New Roman"/>
                <w:b/>
                <w:noProof/>
                <w:color w:val="000000" w:themeColor="text1"/>
              </w:rPr>
              <w:t>Националните стратегически рамки за ромите следва:</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осигуряват планиране на ефективно събиране на данни и наблюдение на социално-икономическите последици (по възраст, пол и медицински нужди), за да се гарантира наличието на ефикасни, съобразени мерки на политиките, с които да се реагира на съществуващите или на бъдещите пандемии;</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са съобразени с краткосрочните, средносрочните и дългосрочните нужди и да осигуряват участието на засегнатите страни в разработването и прилагането на мерки;</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подкрепят усилията на местните органи да откликнат на най-належащите нужди на ромските общности (напр. достъп до подслон, включително храна и вода, достъп до безплатни здравни услуги и финансово подпомагане на ромските семейства в несигурно икономическо положение);</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приоритизират усилията за борба със структурните неравенства и липсата на достъп до основни услуги и инфраструктура сред ромските общности;</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гарантират, че мерките и/или действията, финансирани от ЕС или на национално равнище, достигат до най-маргинализираните общности и до тези в най-неравностойно положение и отговарят на нуждите им;</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насърчават осигуряването на достъп до безопасна и чиста питейна вода за ромите</w:t>
            </w:r>
            <w:r>
              <w:rPr>
                <w:rStyle w:val="FootnoteReference"/>
                <w:rFonts w:ascii="Times New Roman" w:hAnsi="Times New Roman"/>
                <w:noProof/>
                <w:sz w:val="22"/>
                <w:szCs w:val="22"/>
              </w:rPr>
              <w:footnoteReference w:id="4"/>
            </w:r>
            <w:r>
              <w:rPr>
                <w:rFonts w:ascii="Times New Roman" w:hAnsi="Times New Roman"/>
                <w:noProof/>
                <w:color w:val="000000" w:themeColor="text1"/>
                <w:sz w:val="22"/>
                <w:szCs w:val="22"/>
              </w:rPr>
              <w:t>;</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подобрят достъпа до санитарно-хигиенни условия и осигурят непрекъснатост на основните комунални услуги в случай на пандемия;</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насърчават здравната грамотност сред ромското население;</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насърчават разпространението на точна, ясна и основана на факти информация и кампании за повишаване на осведомеността като ефикасни средства срещу дискриминацията и ксенофобията;</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предвиждат редовно наблюдение на условията и рисковете, свързани с околната среда, засягащи конкретно ромските общности в неравностойно положение, и да предприемат действия за коригиране на опасните или нехигиенични условия; и</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насърчават съгласуваност между мерките за справяне с извънредни ситуации и мерките за възстановяване и общите инициативи, като например Зеления пакт, цифровизацията, Европейския стълб на социалните права, целите за устойчиво развитие, Европейския семестър и общите стратегии, програми и реформи.</w:t>
            </w:r>
          </w:p>
        </w:tc>
      </w:tr>
    </w:tbl>
    <w:p>
      <w:pPr>
        <w:rPr>
          <w:noProof/>
        </w:rPr>
      </w:pPr>
      <w:r>
        <w:rPr>
          <w:noProof/>
        </w:rPr>
        <w:br w:type="page"/>
      </w:r>
    </w:p>
    <w:tbl>
      <w:tblPr>
        <w:tblStyle w:val="TableGrid"/>
        <w:tblW w:w="9322" w:type="dxa"/>
        <w:tblLayout w:type="fixed"/>
        <w:tblLook w:val="04A0" w:firstRow="1" w:lastRow="0" w:firstColumn="1" w:lastColumn="0" w:noHBand="0" w:noVBand="1"/>
      </w:tblPr>
      <w:tblGrid>
        <w:gridCol w:w="9322"/>
      </w:tblGrid>
      <w:tr>
        <w:trPr>
          <w:trHeight w:val="2542"/>
        </w:trP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Осигуряване на цифрово приобщаване</w:t>
            </w:r>
          </w:p>
          <w:p>
            <w:pPr>
              <w:spacing w:before="60" w:after="60"/>
              <w:ind w:right="-24"/>
              <w:jc w:val="both"/>
              <w:rPr>
                <w:rFonts w:ascii="Times New Roman" w:hAnsi="Times New Roman" w:cs="Times New Roman"/>
                <w:noProof/>
              </w:rPr>
            </w:pPr>
            <w:r>
              <w:rPr>
                <w:rFonts w:ascii="Times New Roman" w:hAnsi="Times New Roman"/>
                <w:noProof/>
              </w:rPr>
              <w:t xml:space="preserve">Когато пандемията от коронавирус доведе до затварянето на училищата, университетите и офисите, всички се обърнаха към интернет като спасително средство. Масовото преминаване към образование онлайн, дистанционно медицинско обслужване и пр. се основаваше на предположението, че всеки има достъп до интернет. С кризата обаче се разкриха смущаващи </w:t>
            </w:r>
            <w:hyperlink r:id="rId16" w:history="1">
              <w:r>
                <w:rPr>
                  <w:rStyle w:val="Hyperlink"/>
                  <w:rFonts w:ascii="Times New Roman" w:hAnsi="Times New Roman"/>
                  <w:noProof/>
                </w:rPr>
                <w:t>разлики в глобален мащаб</w:t>
              </w:r>
            </w:hyperlink>
            <w:r>
              <w:rPr>
                <w:rFonts w:ascii="Times New Roman" w:hAnsi="Times New Roman"/>
                <w:noProof/>
              </w:rPr>
              <w:t xml:space="preserve"> в онлайн обучението и дистанционното обучение онлайн . Ромите често живеят в селски райони, които все още изостават по отношение на достъпа до инфраструктура за високоскоростна широколентова връзка с интернет. При маргинализираните роми, чийто достъп до ИТ оборудване и равнище на цифрова грамотност са ограничени или въобще не съществуват, с кризата излязоха наяве дълбоко вкоренени структурни неравенства, които водят до риск от ниски образователни резултати и изоставане на ромските деца в учебния процес и до лишаване на пълнолетните роми от информация в реално време и от възможности за заетост. Основните предизвикателства в цифровата ера, свързани с неравенството, дискриминацията и изключването, трябва да бъдат преодолени, за да се гарантира, че никой не е пренебрегнат. Успехът във внедряването на цифрови технологии и издръжливостта на Европа и социалната справедливост в нея зависят от достъпа на хората до необходимата инфраструктура, оборудване и цифрови умения.</w:t>
            </w:r>
          </w:p>
          <w:p>
            <w:pPr>
              <w:spacing w:before="60" w:after="60"/>
              <w:ind w:right="-24"/>
              <w:rPr>
                <w:rFonts w:ascii="Times New Roman" w:hAnsi="Times New Roman"/>
                <w:b/>
                <w:noProof/>
              </w:rPr>
            </w:pPr>
            <w:r>
              <w:rPr>
                <w:rFonts w:ascii="Times New Roman" w:hAnsi="Times New Roman"/>
                <w:b/>
                <w:noProof/>
              </w:rPr>
              <w:t>Националните стратегически рамки за ромите следва да осигурят:</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преодоляване на цифровото изключване на ромите чрез осигуряване на достъп до цифрови технологии, и по-специално достъп до дистанционно онлайн обучение в случай на затваряне на учебни заведения, както по време на пандемията от коронавирус, и подкрепа за този тип обучение;</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насърчаване на синергии с други инициативи в областта на политиката (особено такива, които засягат обществените и търговските услуги в интернет и електронното управление ), така че да се подобри използваемостта на обществените услуги и да се насърчава приобщаващото електронно управление, с конкретни мерки за предоставяне на обществени услуги и свързаност на ромите, като се обръща специално внимание на селските райони;</w:t>
            </w:r>
          </w:p>
          <w:p>
            <w:pPr>
              <w:pStyle w:val="ListParagraph"/>
              <w:numPr>
                <w:ilvl w:val="0"/>
                <w:numId w:val="1"/>
              </w:numPr>
              <w:spacing w:before="60" w:after="60" w:line="276" w:lineRule="auto"/>
              <w:ind w:right="-24"/>
              <w:contextualSpacing w:val="0"/>
              <w:rPr>
                <w:noProof/>
                <w:sz w:val="22"/>
                <w:szCs w:val="22"/>
              </w:rPr>
            </w:pPr>
            <w:r>
              <w:rPr>
                <w:rFonts w:ascii="Times New Roman" w:hAnsi="Times New Roman"/>
                <w:noProof/>
                <w:sz w:val="22"/>
                <w:szCs w:val="22"/>
              </w:rPr>
              <w:t>развиване на цифрови умения и цифровата компетентност</w:t>
            </w:r>
            <w:r>
              <w:rPr>
                <w:rStyle w:val="FootnoteReference"/>
                <w:rFonts w:ascii="Times New Roman" w:hAnsi="Times New Roman"/>
                <w:noProof/>
                <w:sz w:val="22"/>
                <w:szCs w:val="22"/>
              </w:rPr>
              <w:footnoteReference w:id="5"/>
            </w:r>
            <w:r>
              <w:rPr>
                <w:rFonts w:ascii="Times New Roman" w:hAnsi="Times New Roman"/>
                <w:noProof/>
                <w:sz w:val="22"/>
                <w:szCs w:val="22"/>
              </w:rPr>
              <w:t xml:space="preserve"> на ромите чрез: </w:t>
            </w:r>
          </w:p>
          <w:p>
            <w:pPr>
              <w:spacing w:before="60" w:after="60"/>
              <w:ind w:left="851" w:right="-23" w:hanging="284"/>
              <w:jc w:val="both"/>
              <w:rPr>
                <w:rFonts w:ascii="Times New Roman" w:hAnsi="Times New Roman"/>
                <w:noProof/>
              </w:rPr>
            </w:pPr>
            <w:r>
              <w:rPr>
                <w:rFonts w:ascii="Times New Roman" w:hAnsi="Times New Roman"/>
                <w:noProof/>
              </w:rPr>
              <w:t xml:space="preserve">1) </w:t>
            </w:r>
            <w:r>
              <w:rPr>
                <w:noProof/>
              </w:rPr>
              <w:tab/>
            </w:r>
            <w:r>
              <w:rPr>
                <w:rFonts w:ascii="Times New Roman" w:hAnsi="Times New Roman"/>
                <w:noProof/>
              </w:rPr>
              <w:t>подобряване на достъпа до цифрово оборудване и мрежови връзки (напр. места за обществен достъп до интернет в необлагодетелстваните райони);</w:t>
            </w:r>
          </w:p>
          <w:p>
            <w:pPr>
              <w:spacing w:before="60" w:after="60"/>
              <w:ind w:left="851" w:right="-23" w:hanging="284"/>
              <w:jc w:val="both"/>
              <w:rPr>
                <w:rFonts w:ascii="Times New Roman" w:hAnsi="Times New Roman"/>
                <w:noProof/>
              </w:rPr>
            </w:pPr>
            <w:r>
              <w:rPr>
                <w:rFonts w:ascii="Times New Roman" w:hAnsi="Times New Roman"/>
                <w:noProof/>
              </w:rPr>
              <w:t xml:space="preserve">2) </w:t>
            </w:r>
            <w:r>
              <w:rPr>
                <w:noProof/>
              </w:rPr>
              <w:tab/>
            </w:r>
            <w:r>
              <w:rPr>
                <w:rFonts w:ascii="Times New Roman" w:hAnsi="Times New Roman"/>
                <w:noProof/>
              </w:rPr>
              <w:t xml:space="preserve">поощряване на развитието на основни цифрови умения и цифрова компетентност в перспективата на ученето през целия живот и предлагане на съответното обучение; </w:t>
            </w:r>
          </w:p>
          <w:p>
            <w:pPr>
              <w:spacing w:before="60" w:after="60"/>
              <w:ind w:left="851" w:right="-23" w:hanging="284"/>
              <w:jc w:val="both"/>
              <w:rPr>
                <w:rFonts w:ascii="Times New Roman" w:hAnsi="Times New Roman"/>
                <w:noProof/>
              </w:rPr>
            </w:pPr>
            <w:r>
              <w:rPr>
                <w:rFonts w:ascii="Times New Roman" w:hAnsi="Times New Roman"/>
                <w:noProof/>
              </w:rPr>
              <w:t xml:space="preserve">3) </w:t>
            </w:r>
            <w:r>
              <w:rPr>
                <w:noProof/>
              </w:rPr>
              <w:tab/>
            </w:r>
            <w:r>
              <w:rPr>
                <w:rFonts w:ascii="Times New Roman" w:hAnsi="Times New Roman"/>
                <w:noProof/>
              </w:rPr>
              <w:t xml:space="preserve">повишаване на качеството на ползване сред ромите и на тяхното участие в информационното общество; и </w:t>
            </w:r>
          </w:p>
          <w:p>
            <w:pPr>
              <w:spacing w:before="60" w:after="60"/>
              <w:ind w:left="851" w:right="-23" w:hanging="284"/>
              <w:jc w:val="both"/>
              <w:rPr>
                <w:rFonts w:ascii="Times New Roman" w:hAnsi="Times New Roman"/>
                <w:noProof/>
              </w:rPr>
            </w:pPr>
            <w:r>
              <w:rPr>
                <w:rFonts w:ascii="Times New Roman" w:hAnsi="Times New Roman"/>
                <w:noProof/>
              </w:rPr>
              <w:t xml:space="preserve">4) </w:t>
            </w:r>
            <w:r>
              <w:rPr>
                <w:noProof/>
              </w:rPr>
              <w:tab/>
            </w:r>
            <w:r>
              <w:rPr>
                <w:rFonts w:ascii="Times New Roman" w:hAnsi="Times New Roman"/>
                <w:noProof/>
              </w:rPr>
              <w:t>насърчаване на подаването на сигнали за дискриминационни практики в интернет по отношение на достъпа до услуги и ползването на услуги;</w:t>
            </w:r>
          </w:p>
          <w:p>
            <w:pPr>
              <w:spacing w:before="60" w:after="60"/>
              <w:ind w:left="851" w:right="-23" w:hanging="284"/>
              <w:jc w:val="both"/>
              <w:rPr>
                <w:rFonts w:ascii="Times New Roman" w:hAnsi="Times New Roman"/>
                <w:noProof/>
              </w:rPr>
            </w:pPr>
            <w:r>
              <w:rPr>
                <w:rFonts w:ascii="Times New Roman" w:hAnsi="Times New Roman"/>
                <w:noProof/>
              </w:rPr>
              <w:t>5) включване на инициативите за цифрова грамотност в местния социално-икономически контекст чрез приспособяването им към конкретните нужди и условия в ромските общности;</w:t>
            </w:r>
          </w:p>
          <w:p>
            <w:pPr>
              <w:spacing w:before="60" w:after="60"/>
              <w:ind w:left="851" w:right="-23" w:hanging="284"/>
              <w:jc w:val="both"/>
              <w:rPr>
                <w:rFonts w:ascii="Times New Roman" w:hAnsi="Times New Roman"/>
                <w:noProof/>
              </w:rPr>
            </w:pPr>
            <w:r>
              <w:rPr>
                <w:rFonts w:ascii="Times New Roman" w:hAnsi="Times New Roman"/>
                <w:noProof/>
              </w:rPr>
              <w:t>6) насърчаване и подкрепа на инициативи за цифрова грамотност</w:t>
            </w:r>
            <w:r>
              <w:rPr>
                <w:rStyle w:val="FootnoteReference"/>
                <w:rFonts w:ascii="Times New Roman" w:hAnsi="Times New Roman"/>
                <w:noProof/>
              </w:rPr>
              <w:footnoteReference w:id="6"/>
            </w:r>
            <w:r>
              <w:rPr>
                <w:rFonts w:ascii="Times New Roman" w:hAnsi="Times New Roman"/>
                <w:noProof/>
              </w:rPr>
              <w:t>, които:</w:t>
            </w:r>
          </w:p>
          <w:p>
            <w:pPr>
              <w:pStyle w:val="ListParagraph"/>
              <w:numPr>
                <w:ilvl w:val="0"/>
                <w:numId w:val="7"/>
              </w:numPr>
              <w:spacing w:before="60" w:after="60" w:line="240" w:lineRule="auto"/>
              <w:ind w:left="851" w:right="-23" w:hanging="284"/>
              <w:contextualSpacing w:val="0"/>
              <w:rPr>
                <w:rFonts w:ascii="Times New Roman" w:hAnsi="Times New Roman"/>
                <w:noProof/>
                <w:sz w:val="22"/>
                <w:szCs w:val="22"/>
              </w:rPr>
            </w:pPr>
            <w:r>
              <w:rPr>
                <w:rFonts w:ascii="Times New Roman" w:hAnsi="Times New Roman"/>
                <w:noProof/>
                <w:sz w:val="22"/>
                <w:szCs w:val="22"/>
              </w:rPr>
              <w:t xml:space="preserve">стимулират мотивацията и осведомеността по отношение на ползването на интернет; </w:t>
            </w:r>
          </w:p>
          <w:p>
            <w:pPr>
              <w:pStyle w:val="ListParagraph"/>
              <w:numPr>
                <w:ilvl w:val="0"/>
                <w:numId w:val="7"/>
              </w:numPr>
              <w:spacing w:before="60" w:after="60" w:line="240" w:lineRule="auto"/>
              <w:ind w:left="851" w:right="-23" w:hanging="284"/>
              <w:contextualSpacing w:val="0"/>
              <w:rPr>
                <w:rFonts w:ascii="Times New Roman" w:hAnsi="Times New Roman"/>
                <w:noProof/>
                <w:sz w:val="22"/>
                <w:szCs w:val="22"/>
              </w:rPr>
            </w:pPr>
            <w:r>
              <w:rPr>
                <w:rFonts w:ascii="Times New Roman" w:hAnsi="Times New Roman"/>
                <w:noProof/>
                <w:sz w:val="22"/>
                <w:szCs w:val="22"/>
              </w:rPr>
              <w:t xml:space="preserve">са на достъпна цена и са устойчиви; </w:t>
            </w:r>
          </w:p>
          <w:p>
            <w:pPr>
              <w:pStyle w:val="ListParagraph"/>
              <w:numPr>
                <w:ilvl w:val="0"/>
                <w:numId w:val="7"/>
              </w:numPr>
              <w:spacing w:before="60" w:after="60" w:line="240" w:lineRule="auto"/>
              <w:ind w:left="851" w:right="-23" w:hanging="284"/>
              <w:contextualSpacing w:val="0"/>
              <w:rPr>
                <w:rFonts w:ascii="Times New Roman" w:hAnsi="Times New Roman"/>
                <w:noProof/>
                <w:sz w:val="22"/>
                <w:szCs w:val="22"/>
              </w:rPr>
            </w:pPr>
            <w:r>
              <w:rPr>
                <w:rFonts w:ascii="Times New Roman" w:hAnsi="Times New Roman"/>
                <w:noProof/>
                <w:sz w:val="22"/>
                <w:szCs w:val="22"/>
              </w:rPr>
              <w:t xml:space="preserve">включват съдържание и форми на представяне, които са приспособени към ромите (нови методи на обучение, информално учене и др.); и </w:t>
            </w:r>
          </w:p>
          <w:p>
            <w:pPr>
              <w:pStyle w:val="ListParagraph"/>
              <w:numPr>
                <w:ilvl w:val="0"/>
                <w:numId w:val="7"/>
              </w:numPr>
              <w:spacing w:before="60" w:after="60" w:line="240" w:lineRule="auto"/>
              <w:ind w:left="851" w:right="-23" w:hanging="284"/>
              <w:contextualSpacing w:val="0"/>
              <w:rPr>
                <w:rFonts w:ascii="Times New Roman" w:hAnsi="Times New Roman"/>
                <w:noProof/>
                <w:sz w:val="22"/>
                <w:szCs w:val="22"/>
              </w:rPr>
            </w:pPr>
            <w:r>
              <w:rPr>
                <w:rFonts w:ascii="Times New Roman" w:hAnsi="Times New Roman"/>
                <w:noProof/>
                <w:sz w:val="22"/>
                <w:szCs w:val="22"/>
              </w:rPr>
              <w:t xml:space="preserve">са достъпни и използваеми; </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насърчаване на използването на цифрови решения за здравеопазване както сред пациентите, така и сред здравните работници, с оглед осигуряване на непрекъснатост на грижите и безопасни средства за лечение; и</w:t>
            </w:r>
          </w:p>
          <w:p>
            <w:pPr>
              <w:pStyle w:val="ListParagraph"/>
              <w:numPr>
                <w:ilvl w:val="0"/>
                <w:numId w:val="1"/>
              </w:numPr>
              <w:spacing w:before="60" w:after="60" w:line="240" w:lineRule="auto"/>
              <w:ind w:right="-24"/>
              <w:contextualSpacing w:val="0"/>
              <w:rPr>
                <w:noProof/>
                <w:sz w:val="22"/>
                <w:szCs w:val="22"/>
              </w:rPr>
            </w:pPr>
            <w:r>
              <w:rPr>
                <w:rFonts w:ascii="Times New Roman" w:hAnsi="Times New Roman"/>
                <w:noProof/>
                <w:sz w:val="22"/>
                <w:szCs w:val="22"/>
              </w:rPr>
              <w:t>преразглеждане на стратегическите рамки за цифрово приобщаване, за да се оценят пречките, с които се сблъскват ромите.</w:t>
            </w:r>
          </w:p>
        </w:tc>
      </w:tr>
    </w:tbl>
    <w:p>
      <w:pPr>
        <w:rPr>
          <w:noProof/>
        </w:rPr>
      </w:pPr>
      <w:r>
        <w:rPr>
          <w:noProof/>
        </w:rPr>
        <w:br w:type="page"/>
      </w:r>
    </w:p>
    <w:tbl>
      <w:tblPr>
        <w:tblStyle w:val="TableGrid"/>
        <w:tblW w:w="9322" w:type="dxa"/>
        <w:tblLayout w:type="fixed"/>
        <w:tblLook w:val="04A0" w:firstRow="1" w:lastRow="0" w:firstColumn="1" w:lastColumn="0" w:noHBand="0" w:noVBand="1"/>
      </w:tblPr>
      <w:tblGrid>
        <w:gridCol w:w="9322"/>
      </w:tblGrid>
      <w:tr>
        <w:trPr>
          <w:trHeight w:val="416"/>
        </w:trP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Постигане на екологична справедливост</w:t>
            </w:r>
          </w:p>
          <w:p>
            <w:pPr>
              <w:spacing w:before="60" w:after="60"/>
              <w:ind w:right="-24"/>
              <w:jc w:val="both"/>
              <w:rPr>
                <w:rFonts w:ascii="Times New Roman" w:hAnsi="Times New Roman" w:cs="Times New Roman"/>
                <w:noProof/>
              </w:rPr>
            </w:pPr>
            <w:r>
              <w:rPr>
                <w:rFonts w:ascii="Times New Roman" w:hAnsi="Times New Roman"/>
                <w:noProof/>
              </w:rPr>
              <w:t>Екологичната дискриминация</w:t>
            </w:r>
            <w:r>
              <w:rPr>
                <w:rStyle w:val="FootnoteReference"/>
                <w:rFonts w:ascii="Times New Roman" w:hAnsi="Times New Roman" w:cs="Times New Roman"/>
                <w:smallCaps/>
                <w:noProof/>
                <w:color w:val="0070C0"/>
              </w:rPr>
              <w:footnoteReference w:id="7"/>
            </w:r>
            <w:r>
              <w:rPr>
                <w:rFonts w:ascii="Times New Roman" w:hAnsi="Times New Roman"/>
                <w:noProof/>
              </w:rPr>
              <w:t xml:space="preserve">, с която се сблъскват многобройни ромски общности, все повече привлича общественото внимание. Тази отдавна пренебрегвана действителност разкри своите диспропорционални последици по време на пандемията от коронавирус, като маргинализираните общности се оказаха по-уязвими на замърсяване и на свързаните с него здравословни проблеми. Рисковете за здравето се утежняват допълнително от лошите условия на живот и сегрегацията, в резултат на които ромите биват тласкани към още по-тежко социално-икономическо изключване. </w:t>
            </w:r>
          </w:p>
          <w:p>
            <w:pPr>
              <w:spacing w:before="60" w:after="60"/>
              <w:ind w:right="-24"/>
              <w:rPr>
                <w:rFonts w:ascii="Times New Roman" w:hAnsi="Times New Roman"/>
                <w:b/>
                <w:noProof/>
                <w:color w:val="000000" w:themeColor="text1"/>
              </w:rPr>
            </w:pPr>
            <w:r>
              <w:rPr>
                <w:rFonts w:ascii="Times New Roman" w:hAnsi="Times New Roman"/>
                <w:b/>
                <w:noProof/>
                <w:color w:val="000000" w:themeColor="text1"/>
              </w:rPr>
              <w:t>В националните стратегически рамки за ромите следва:</w:t>
            </w:r>
          </w:p>
          <w:p>
            <w:pPr>
              <w:pStyle w:val="ListParagraph"/>
              <w:numPr>
                <w:ilvl w:val="0"/>
                <w:numId w:val="3"/>
              </w:numPr>
              <w:spacing w:before="60" w:after="60" w:line="240" w:lineRule="auto"/>
              <w:ind w:right="-24"/>
              <w:contextualSpacing w:val="0"/>
              <w:rPr>
                <w:rFonts w:ascii="Times New Roman" w:hAnsi="Times New Roman"/>
                <w:b/>
                <w:smallCaps/>
                <w:noProof/>
                <w:color w:val="000000" w:themeColor="text1"/>
                <w:sz w:val="22"/>
                <w:szCs w:val="22"/>
              </w:rPr>
            </w:pPr>
            <w:r>
              <w:rPr>
                <w:rFonts w:ascii="Times New Roman" w:hAnsi="Times New Roman"/>
                <w:noProof/>
                <w:color w:val="000000" w:themeColor="text1"/>
                <w:sz w:val="22"/>
                <w:szCs w:val="22"/>
              </w:rPr>
              <w:t>да се признае екологичната дискриминация и да се предприемат действия за преодоляването ѝ, особено предвид факта, че тя засяга маргинализираните ромски общности в сегрегираните райони (като проява на антициганизма); да се способства за осъзнаването на това как в резултат на екологичната дискриминация и липсата на услуги, свързани с околната среда, маргинализираните роми са принудени да живеят на места с влошени условия на околната среда;</w:t>
            </w:r>
          </w:p>
          <w:p>
            <w:pPr>
              <w:pStyle w:val="ListParagraph"/>
              <w:numPr>
                <w:ilvl w:val="0"/>
                <w:numId w:val="3"/>
              </w:numPr>
              <w:spacing w:before="60" w:after="60" w:line="240" w:lineRule="auto"/>
              <w:ind w:right="-24"/>
              <w:contextualSpacing w:val="0"/>
              <w:rPr>
                <w:rFonts w:ascii="Times New Roman" w:hAnsi="Times New Roman"/>
                <w:b/>
                <w:smallCaps/>
                <w:noProof/>
                <w:color w:val="000000" w:themeColor="text1"/>
                <w:sz w:val="22"/>
                <w:szCs w:val="22"/>
              </w:rPr>
            </w:pPr>
            <w:r>
              <w:rPr>
                <w:rFonts w:ascii="Times New Roman" w:hAnsi="Times New Roman"/>
                <w:noProof/>
                <w:color w:val="000000" w:themeColor="text1"/>
                <w:sz w:val="22"/>
                <w:szCs w:val="22"/>
              </w:rPr>
              <w:t>да се обърне специално внимание на достъпа до вода, адекватни санитарно-хигиенни условия, услуги за събиране и управление на отпадъците и да се противодейства на трайната пространствена сегрегация като причина за екологична дискриминация в областта на жилищното настаняване и основните услуги;</w:t>
            </w:r>
          </w:p>
          <w:p>
            <w:pPr>
              <w:pStyle w:val="ListParagraph"/>
              <w:numPr>
                <w:ilvl w:val="0"/>
                <w:numId w:val="3"/>
              </w:numPr>
              <w:spacing w:before="60" w:after="60" w:line="240" w:lineRule="auto"/>
              <w:ind w:right="-24"/>
              <w:contextualSpacing w:val="0"/>
              <w:rPr>
                <w:rFonts w:ascii="Times New Roman" w:hAnsi="Times New Roman"/>
                <w:b/>
                <w:smallCaps/>
                <w:noProof/>
                <w:color w:val="000000" w:themeColor="text1"/>
                <w:sz w:val="22"/>
                <w:szCs w:val="22"/>
              </w:rPr>
            </w:pPr>
            <w:r>
              <w:rPr>
                <w:rFonts w:ascii="Times New Roman" w:hAnsi="Times New Roman"/>
                <w:noProof/>
                <w:color w:val="000000" w:themeColor="text1"/>
                <w:sz w:val="22"/>
                <w:szCs w:val="22"/>
              </w:rPr>
              <w:t>да се предвидят действия за преодоляване на недостатъчния достъп на ромите до зелени жилищни пространства, които осигуряват възможност за отмора;</w:t>
            </w:r>
          </w:p>
          <w:p>
            <w:pPr>
              <w:pStyle w:val="ListParagraph"/>
              <w:numPr>
                <w:ilvl w:val="0"/>
                <w:numId w:val="3"/>
              </w:numPr>
              <w:spacing w:before="60" w:after="60" w:line="240" w:lineRule="auto"/>
              <w:ind w:right="-24"/>
              <w:contextualSpacing w:val="0"/>
              <w:rPr>
                <w:rFonts w:ascii="Times New Roman" w:hAnsi="Times New Roman"/>
                <w:b/>
                <w:smallCaps/>
                <w:noProof/>
                <w:color w:val="000000" w:themeColor="text1"/>
                <w:sz w:val="22"/>
                <w:szCs w:val="22"/>
              </w:rPr>
            </w:pPr>
            <w:r>
              <w:rPr>
                <w:rFonts w:ascii="Times New Roman" w:hAnsi="Times New Roman"/>
                <w:noProof/>
                <w:color w:val="000000" w:themeColor="text1"/>
                <w:sz w:val="22"/>
                <w:szCs w:val="22"/>
              </w:rPr>
              <w:t>да се осигури предотвратяване на свързаните с околната среда рискове за здравето и преодоляване на последиците за здравето вследствие на замърсяване и зарази; и</w:t>
            </w:r>
          </w:p>
          <w:p>
            <w:pPr>
              <w:pStyle w:val="ListParagraph"/>
              <w:numPr>
                <w:ilvl w:val="0"/>
                <w:numId w:val="3"/>
              </w:numPr>
              <w:spacing w:before="60" w:after="60" w:line="240" w:lineRule="auto"/>
              <w:ind w:right="-24"/>
              <w:contextualSpacing w:val="0"/>
              <w:rPr>
                <w:rFonts w:ascii="Times New Roman" w:hAnsi="Times New Roman"/>
                <w:b/>
                <w:smallCaps/>
                <w:noProof/>
                <w:color w:val="000000" w:themeColor="text1"/>
                <w:sz w:val="21"/>
                <w:szCs w:val="21"/>
              </w:rPr>
            </w:pPr>
            <w:r>
              <w:rPr>
                <w:rFonts w:ascii="Times New Roman" w:hAnsi="Times New Roman"/>
                <w:noProof/>
                <w:color w:val="000000" w:themeColor="text1"/>
                <w:sz w:val="22"/>
                <w:szCs w:val="22"/>
              </w:rPr>
              <w:t>да се осигурят здравословни и безопасни условия на труд за хората, работещи в по-неблагоприятни условия на околната среда.</w:t>
            </w:r>
          </w:p>
        </w:tc>
      </w:tr>
    </w:tbl>
    <w:p>
      <w:pPr>
        <w:rPr>
          <w:noProof/>
        </w:rPr>
      </w:pPr>
      <w:r>
        <w:rPr>
          <w:noProof/>
        </w:rPr>
        <w:br w:type="page"/>
      </w:r>
    </w:p>
    <w:tbl>
      <w:tblPr>
        <w:tblStyle w:val="TableGrid"/>
        <w:tblW w:w="9322" w:type="dxa"/>
        <w:tblLayout w:type="fixed"/>
        <w:tblLook w:val="04A0" w:firstRow="1" w:lastRow="0" w:firstColumn="1" w:lastColumn="0" w:noHBand="0" w:noVBand="1"/>
      </w:tblPr>
      <w:tblGrid>
        <w:gridCol w:w="9322"/>
      </w:tblGrid>
      <w:tr>
        <w:trPr>
          <w:trHeight w:val="691"/>
        </w:trP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Насърчаване на (познаването на) изкуството, историята и културата на ромите</w:t>
            </w:r>
          </w:p>
          <w:p>
            <w:pPr>
              <w:keepNext/>
              <w:keepLines/>
              <w:shd w:val="clear" w:color="auto" w:fill="FFFFFF" w:themeFill="background1"/>
              <w:spacing w:before="60" w:after="60"/>
              <w:ind w:right="-24"/>
              <w:jc w:val="both"/>
              <w:rPr>
                <w:rFonts w:ascii="Times New Roman" w:hAnsi="Times New Roman" w:cs="Times New Roman"/>
                <w:noProof/>
              </w:rPr>
            </w:pPr>
            <w:r>
              <w:rPr>
                <w:rFonts w:ascii="Times New Roman" w:hAnsi="Times New Roman"/>
                <w:noProof/>
              </w:rPr>
              <w:t xml:space="preserve">Изкуството, историята и културата на ромите са неделима част от европейския и националния пейзаж. Векове наред обаче културата и идентичността на ромите са били идеализирани и представяни в стереотипи, което още повече задълбочи отчуждението на ромските общности от обществата като цяло. Признаването на ромската култура следва да се гради въз основа на послания на самите роми. </w:t>
            </w:r>
          </w:p>
          <w:p>
            <w:pPr>
              <w:keepNext/>
              <w:keepLines/>
              <w:shd w:val="clear" w:color="auto" w:fill="FFFFFF" w:themeFill="background1"/>
              <w:spacing w:before="60" w:after="60"/>
              <w:ind w:right="-24"/>
              <w:jc w:val="both"/>
              <w:rPr>
                <w:rFonts w:ascii="Times New Roman" w:hAnsi="Times New Roman" w:cs="Times New Roman"/>
                <w:noProof/>
              </w:rPr>
            </w:pPr>
            <w:r>
              <w:rPr>
                <w:rFonts w:ascii="Times New Roman" w:hAnsi="Times New Roman"/>
                <w:b/>
                <w:noProof/>
              </w:rPr>
              <w:t>В националните стратегически рамки за ромите следва:</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се признае приносът на ромското изкуство и култура към националното и европейското наследство, да се повиши осведомеността за него и да се засили ангажираността на ромите с този принос;</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се подкрепят платформи, способстващи за контактите между ромите и останалите хора на местно равнище, чрез насърчаване на традиционните и съвременните ромски изкуства, занаяти и култура и на познанията за историята на ромите;</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 xml:space="preserve">да се насърчават дейности за повишаване на осведомеността в сътрудничество с медиите в подкрепа на самоизградена ромска идентичност и културно наследство; </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 xml:space="preserve">да се противодейства на предразсъдъците и стереотипите, насочени срещу ромите; </w:t>
            </w:r>
          </w:p>
          <w:p>
            <w:pPr>
              <w:pStyle w:val="ListParagraph"/>
              <w:numPr>
                <w:ilvl w:val="0"/>
                <w:numId w:val="1"/>
              </w:numPr>
              <w:spacing w:before="60" w:after="60" w:line="240" w:lineRule="auto"/>
              <w:ind w:right="-24"/>
              <w:contextualSpacing w:val="0"/>
              <w:rPr>
                <w:rFonts w:ascii="Times New Roman" w:hAnsi="Times New Roman"/>
                <w:noProof/>
                <w:color w:val="000000" w:themeColor="text1"/>
                <w:spacing w:val="-4"/>
                <w:sz w:val="22"/>
                <w:szCs w:val="22"/>
              </w:rPr>
            </w:pPr>
            <w:r>
              <w:rPr>
                <w:rFonts w:ascii="Times New Roman" w:hAnsi="Times New Roman"/>
                <w:noProof/>
                <w:color w:val="000000" w:themeColor="text1"/>
                <w:spacing w:val="-4"/>
                <w:sz w:val="22"/>
                <w:szCs w:val="22"/>
              </w:rPr>
              <w:t>денят 2 август да се определи и отбелязва като Европейски ден за възпоменание на Холокоста над ромите, в памет на жертвите на геноцида над ромите през Втората световна война;</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се насърчава интегриран подход към възпоменанието на Холокоста, като на Международния ден за възпоменание на Холокоста (27 януари — денят на освобождаване на концентрационния лагер Аушвиц-Биркенау) се почита съдбата на ромите;</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ромските общности да бъдат интегрирани в националните културни послания чрез включване на изкуството, историята и културата на ромите в колекциите в националните архиви, музеи и постоянни художествени изложби; да се осигурят адекватни средства за опазване, съхранение и развитие на изкуството и културата на ромите, включително чрез насърчаване на провеждането на фестивали;</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се осигури включване на ромския език и историята на ромите в учебните планове за училищата и в учебниците — както за учащите от ромски произход, така и за останалите; да се насърчават дейности и кампании за взаимно опознаване на различните култури в училищата; и</w:t>
            </w:r>
          </w:p>
          <w:p>
            <w:pPr>
              <w:pStyle w:val="ListParagraph"/>
              <w:numPr>
                <w:ilvl w:val="0"/>
                <w:numId w:val="1"/>
              </w:numPr>
              <w:spacing w:before="60" w:after="60" w:line="240" w:lineRule="auto"/>
              <w:ind w:right="-24"/>
              <w:contextualSpacing w:val="0"/>
              <w:rPr>
                <w:rFonts w:ascii="Times New Roman" w:hAnsi="Times New Roman"/>
                <w:b/>
                <w:smallCaps/>
                <w:noProof/>
                <w:sz w:val="22"/>
                <w:szCs w:val="22"/>
              </w:rPr>
            </w:pPr>
            <w:r>
              <w:rPr>
                <w:rFonts w:ascii="Times New Roman" w:hAnsi="Times New Roman"/>
                <w:noProof/>
                <w:color w:val="000000" w:themeColor="text1"/>
                <w:sz w:val="22"/>
                <w:szCs w:val="22"/>
              </w:rPr>
              <w:t>да се създадат възможности за овластяване и подкрепа на ромските предприемачи и самостоятелно заетите лица с местна стопанска дейност, насърчаваща ромските традиции и култура.</w:t>
            </w:r>
          </w:p>
        </w:tc>
      </w:tr>
    </w:tbl>
    <w:p>
      <w:pPr>
        <w:rPr>
          <w:noProof/>
        </w:rPr>
      </w:pPr>
      <w:r>
        <w:rPr>
          <w:noProof/>
        </w:rPr>
        <w:br w:type="page"/>
      </w:r>
    </w:p>
    <w:tbl>
      <w:tblPr>
        <w:tblStyle w:val="TableGrid"/>
        <w:tblW w:w="9322" w:type="dxa"/>
        <w:tblLayout w:type="fixed"/>
        <w:tblLook w:val="04A0" w:firstRow="1" w:lastRow="0" w:firstColumn="1" w:lastColumn="0" w:noHBand="0" w:noVBand="1"/>
      </w:tblPr>
      <w:tblGrid>
        <w:gridCol w:w="9322"/>
      </w:tblGrid>
      <w:tr>
        <w:trPr>
          <w:trHeight w:val="691"/>
        </w:trP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Насърчаване на социалните иновации и експериментирането с политики</w:t>
            </w:r>
          </w:p>
          <w:p>
            <w:pPr>
              <w:keepNext/>
              <w:keepLines/>
              <w:shd w:val="clear" w:color="auto" w:fill="FFFFFF" w:themeFill="background1"/>
              <w:spacing w:before="60" w:after="60"/>
              <w:ind w:right="-24"/>
              <w:jc w:val="both"/>
              <w:rPr>
                <w:rFonts w:ascii="Times New Roman" w:hAnsi="Times New Roman" w:cs="Times New Roman"/>
                <w:noProof/>
              </w:rPr>
            </w:pPr>
            <w:r>
              <w:rPr>
                <w:rFonts w:ascii="Times New Roman" w:hAnsi="Times New Roman"/>
                <w:noProof/>
              </w:rPr>
              <w:t xml:space="preserve">Социалните иновации и експериментирането с политики представляват нови подходи в областта на социалната промяна, които обхващат идеи, практики и инициативи за намеса на различни равнища на системата с цел да се катализират дълбоки промени и трайно положително въздействие. Като такива, те могат да бъдат значими инструменти за насърчаване на равенството, приобщаването, участието и овластяването на ромите. </w:t>
            </w:r>
          </w:p>
          <w:p>
            <w:pPr>
              <w:keepNext/>
              <w:keepLines/>
              <w:shd w:val="clear" w:color="auto" w:fill="FFFFFF" w:themeFill="background1"/>
              <w:spacing w:before="60" w:after="60"/>
              <w:ind w:right="-24"/>
              <w:jc w:val="both"/>
              <w:rPr>
                <w:rFonts w:ascii="Times New Roman" w:hAnsi="Times New Roman" w:cs="Times New Roman"/>
                <w:noProof/>
              </w:rPr>
            </w:pPr>
            <w:r>
              <w:rPr>
                <w:rFonts w:ascii="Times New Roman" w:hAnsi="Times New Roman"/>
                <w:noProof/>
              </w:rPr>
              <w:t>В политиките на ЕС „социалните иновации“ са определени като дейности, които са социални както по отношение на целите, така и на средствата си, и които се отнасят до разработването и прилагането на нови идеи (относно продукти, услуги и модели), които едновременно отговарят на социални нужди и създават нови социални взаимоотношения или сътрудничества, като така се създават ползи за обществото и се увеличава способността му за действие</w:t>
            </w:r>
            <w:r>
              <w:rPr>
                <w:rStyle w:val="FootnoteReference"/>
                <w:rFonts w:ascii="Times New Roman" w:hAnsi="Times New Roman" w:cs="Times New Roman"/>
                <w:noProof/>
              </w:rPr>
              <w:footnoteReference w:id="8"/>
            </w:r>
            <w:r>
              <w:rPr>
                <w:rFonts w:ascii="Times New Roman" w:hAnsi="Times New Roman"/>
                <w:noProof/>
              </w:rPr>
              <w:t>. „Експериментиране със социални политики“ означава намеси в областта на политиката, които предлагат иновативен отговор на социални нужди, които се прилагат в малък мащаб и при условия, които дават възможност за измерване на тяхното въздействие, преди да бъдат приложени в друг контекст или по-широк мащаб, ако резултатите се окажат убедителни</w:t>
            </w:r>
            <w:r>
              <w:rPr>
                <w:rStyle w:val="FootnoteReference"/>
                <w:rFonts w:ascii="Times New Roman" w:hAnsi="Times New Roman" w:cs="Times New Roman"/>
                <w:noProof/>
              </w:rPr>
              <w:footnoteReference w:id="9"/>
            </w:r>
            <w:r>
              <w:rPr>
                <w:rFonts w:ascii="Times New Roman" w:hAnsi="Times New Roman"/>
                <w:noProof/>
              </w:rPr>
              <w:t>.</w:t>
            </w:r>
          </w:p>
          <w:p>
            <w:pPr>
              <w:keepNext/>
              <w:keepLines/>
              <w:shd w:val="clear" w:color="auto" w:fill="FFFFFF" w:themeFill="background1"/>
              <w:spacing w:before="60" w:after="60"/>
              <w:ind w:right="-24"/>
              <w:jc w:val="both"/>
              <w:rPr>
                <w:rFonts w:ascii="Times New Roman" w:hAnsi="Times New Roman" w:cs="Times New Roman"/>
                <w:noProof/>
              </w:rPr>
            </w:pPr>
            <w:r>
              <w:rPr>
                <w:rFonts w:ascii="Times New Roman" w:hAnsi="Times New Roman"/>
                <w:b/>
                <w:noProof/>
              </w:rPr>
              <w:t>Националните стратегически рамки за ромите следва:</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насърчават възникването на национални алианси за учене и иновации в подкрепа на приобщаването, които обединяват участници от цялата екосистема (съответни организации на практикуващи ромски специалисти, представители на стопанските кръгове/индустрията, социални инкубатори и мрежи за промяна, посолства, изследователски организации);</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поставят началото на съвместни процеси със заинтересовани страни, благотворителни организации и организации, преследващи социални цели, на национално или регионално равнище, за да се установят нуждите, наличните ресурси и възможностите за съвместни системни действия (включително с наличната консултантска подкрепа от ЕС);</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подкрепят развитието на ориентирани към резултатите проекти, насочени към ключови области на социалните услуги (достъп до жилищно настаняване, комунални услуги, основна обществена инфраструктура и услуги и др.);</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допринасят за катализиране и натрупване на знания за работни подходи по различни теми и в различни сектори, като същевременно насърчават активното участие и капацитета на ключови участници от различните сектори (публичен, частен, граждански) за съвместно сътрудничество;</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създават предпоставки за експериментиране със социални политики (напр. осигуряване на гарантиран основен доход) с цел разработване на модели и тестване на алтернативни механизми за предоставяне на социални помощи;</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разкриват възможности за мобилизиране на частен капитал и обединяване на средства например с благотворителни организации чрез евентуални схеми за съвместно финансиране, за да се отговори на неудовлетворени нужди на най-уязвимите;</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да създават предпоставки за проучване на нови модели на услуги или предоставяне и по-широко предоставяне посредством партньорства, ориентирани към резултатите;</w:t>
            </w:r>
          </w:p>
          <w:p>
            <w:pPr>
              <w:pStyle w:val="ListParagraph"/>
              <w:numPr>
                <w:ilvl w:val="0"/>
                <w:numId w:val="1"/>
              </w:numPr>
              <w:spacing w:before="60" w:after="60" w:line="240" w:lineRule="auto"/>
              <w:ind w:right="-24"/>
              <w:contextualSpacing w:val="0"/>
              <w:rPr>
                <w:rFonts w:ascii="Times New Roman" w:hAnsi="Times New Roman"/>
                <w:noProof/>
              </w:rPr>
            </w:pPr>
            <w:r>
              <w:rPr>
                <w:rFonts w:ascii="Times New Roman" w:hAnsi="Times New Roman"/>
                <w:noProof/>
                <w:color w:val="000000" w:themeColor="text1"/>
                <w:sz w:val="22"/>
                <w:szCs w:val="22"/>
              </w:rPr>
              <w:t>да подпомагат обединяването и</w:t>
            </w:r>
            <w:r>
              <w:rPr>
                <w:rFonts w:ascii="Times New Roman" w:hAnsi="Times New Roman"/>
                <w:noProof/>
                <w:sz w:val="22"/>
                <w:szCs w:val="22"/>
              </w:rPr>
              <w:t xml:space="preserve"> интегрирането на целево и гъвкаво финансиране; и</w:t>
            </w:r>
          </w:p>
          <w:p>
            <w:pPr>
              <w:pStyle w:val="ListParagraph"/>
              <w:numPr>
                <w:ilvl w:val="0"/>
                <w:numId w:val="1"/>
              </w:numPr>
              <w:spacing w:before="60" w:after="60" w:line="240" w:lineRule="auto"/>
              <w:ind w:right="-24"/>
              <w:contextualSpacing w:val="0"/>
              <w:rPr>
                <w:rFonts w:ascii="Times New Roman" w:hAnsi="Times New Roman"/>
                <w:noProof/>
              </w:rPr>
            </w:pPr>
            <w:r>
              <w:rPr>
                <w:rFonts w:ascii="Times New Roman" w:hAnsi="Times New Roman"/>
                <w:noProof/>
                <w:sz w:val="22"/>
                <w:szCs w:val="22"/>
              </w:rPr>
              <w:t xml:space="preserve">да подпомагат създаването на </w:t>
            </w:r>
            <w:r>
              <w:rPr>
                <w:rFonts w:ascii="Times New Roman" w:hAnsi="Times New Roman"/>
                <w:noProof/>
                <w:color w:val="000000" w:themeColor="text1"/>
                <w:sz w:val="22"/>
                <w:szCs w:val="22"/>
              </w:rPr>
              <w:t>експертни центрове за социални иновации (които да бъдат подкрепени чрез транснационални дейности по ЕСФ+) и да предвиждат мандат за предприемане на действия в подкрепа на приобщаването на ромите.</w:t>
            </w:r>
          </w:p>
        </w:tc>
      </w:tr>
    </w:tbl>
    <w:p>
      <w:pPr>
        <w:ind w:right="-24"/>
        <w:rPr>
          <w:rFonts w:cstheme="minorHAnsi"/>
          <w:noProof/>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487508"/>
      <w:docPartObj>
        <w:docPartGallery w:val="Page Numbers (Bottom of Page)"/>
        <w:docPartUnique/>
      </w:docPartObj>
    </w:sdtPr>
    <w:sdtEndPr>
      <w:rPr>
        <w:sz w:val="18"/>
        <w:szCs w:val="18"/>
      </w:rPr>
    </w:sdtEndPr>
    <w:sdtContent>
      <w:p>
        <w:pPr>
          <w:pStyle w:val="Footer"/>
          <w:jc w:val="center"/>
          <w:rPr>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noProof/>
            <w:sz w:val="18"/>
            <w:szCs w:val="18"/>
          </w:rPr>
          <w:t>1</w:t>
        </w:r>
        <w:r>
          <w:rPr>
            <w:rFonts w:ascii="Times New Roman" w:hAnsi="Times New Roman" w:cs="Times New Roman"/>
            <w:sz w:val="18"/>
            <w:szCs w:val="18"/>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spacing w:after="0" w:line="240" w:lineRule="auto"/>
        <w:ind w:left="284" w:hanging="284"/>
        <w:jc w:val="both"/>
        <w:rPr>
          <w:rFonts w:ascii="Times New Roman" w:hAnsi="Times New Roman" w:cs="Times New Roman"/>
          <w:color w:val="000000" w:themeColor="text1"/>
          <w:sz w:val="19"/>
          <w:szCs w:val="19"/>
        </w:rPr>
      </w:pPr>
      <w:r>
        <w:rPr>
          <w:rStyle w:val="FootnoteReference"/>
          <w:rFonts w:ascii="Times New Roman" w:hAnsi="Times New Roman" w:cs="Times New Roman"/>
          <w:sz w:val="19"/>
          <w:szCs w:val="19"/>
        </w:rPr>
        <w:footnoteRef/>
      </w:r>
      <w:r>
        <w:rPr>
          <w:rFonts w:ascii="Times New Roman" w:hAnsi="Times New Roman"/>
          <w:sz w:val="19"/>
          <w:szCs w:val="19"/>
        </w:rPr>
        <w:t xml:space="preserve"> </w:t>
      </w:r>
      <w:r>
        <w:tab/>
      </w:r>
      <w:hyperlink r:id="rId1" w:history="1">
        <w:r>
          <w:rPr>
            <w:rStyle w:val="Hyperlink"/>
            <w:rFonts w:ascii="Times New Roman" w:hAnsi="Times New Roman"/>
            <w:i/>
            <w:sz w:val="19"/>
            <w:szCs w:val="19"/>
          </w:rPr>
          <w:t>Antigypsyism — a reference paper [Антициганизъм — референтен документ]</w:t>
        </w:r>
      </w:hyperlink>
      <w:r>
        <w:rPr>
          <w:rFonts w:ascii="Times New Roman" w:hAnsi="Times New Roman"/>
          <w:i/>
          <w:sz w:val="19"/>
          <w:szCs w:val="19"/>
        </w:rPr>
        <w:t>,</w:t>
      </w:r>
      <w:r>
        <w:rPr>
          <w:rFonts w:ascii="Times New Roman" w:hAnsi="Times New Roman"/>
          <w:sz w:val="19"/>
          <w:szCs w:val="19"/>
        </w:rPr>
        <w:t xml:space="preserve"> </w:t>
      </w:r>
      <w:r>
        <w:rPr>
          <w:rFonts w:ascii="Times New Roman" w:hAnsi="Times New Roman" w:cs="Times New Roman"/>
          <w:sz w:val="18"/>
          <w:szCs w:val="18"/>
        </w:rPr>
        <w:t>Берлин/Будапеща, 2017 г.; Резолюция на Европейския парламент от 15 април 2015 г. по повод на Международния ден на ромите — антиромски настроения в Европа и признаване от страна на ЕС на възпоменателния ден на геноцида над ромите по време на Втората световна война;</w:t>
      </w:r>
      <w:r>
        <w:rPr>
          <w:rFonts w:ascii="Times New Roman" w:hAnsi="Times New Roman"/>
          <w:sz w:val="19"/>
          <w:szCs w:val="19"/>
        </w:rPr>
        <w:t xml:space="preserve"> </w:t>
      </w:r>
      <w:hyperlink r:id="rId2" w:history="1">
        <w:r>
          <w:rPr>
            <w:rStyle w:val="Hyperlink"/>
            <w:rFonts w:ascii="Times New Roman" w:hAnsi="Times New Roman"/>
            <w:sz w:val="19"/>
            <w:szCs w:val="19"/>
          </w:rPr>
          <w:t>Доклад на Европейския парламент относно аспектите, свързани с основните права, в контекста на интеграцията на ромите в ЕС: борба срещу антиромските настроения (2017/2038(INI))</w:t>
        </w:r>
      </w:hyperlink>
      <w:r>
        <w:rPr>
          <w:rFonts w:ascii="Times New Roman" w:hAnsi="Times New Roman"/>
          <w:sz w:val="19"/>
          <w:szCs w:val="19"/>
        </w:rPr>
        <w:t xml:space="preserve">; </w:t>
      </w:r>
      <w:hyperlink r:id="rId3" w:history="1">
        <w:r>
          <w:rPr>
            <w:rStyle w:val="Hyperlink"/>
            <w:rFonts w:ascii="Times New Roman" w:hAnsi="Times New Roman"/>
            <w:sz w:val="19"/>
            <w:szCs w:val="19"/>
          </w:rPr>
          <w:t>Резолюция на Европейския парламент от 12 февруари 2019 г. относно необходимостта от подобрена стратегическа рамка на ЕС за националните стратегии за приобщаване на ромите за периода след 2020 г. и за засилване на борбата срещу антиромските настроения</w:t>
        </w:r>
      </w:hyperlink>
      <w:r>
        <w:rPr>
          <w:rFonts w:ascii="Times New Roman" w:hAnsi="Times New Roman"/>
          <w:sz w:val="19"/>
          <w:szCs w:val="19"/>
        </w:rPr>
        <w:t xml:space="preserve">; </w:t>
      </w:r>
      <w:hyperlink r:id="rId4" w:history="1">
        <w:r>
          <w:rPr>
            <w:rStyle w:val="Hyperlink"/>
            <w:rFonts w:ascii="Times New Roman" w:hAnsi="Times New Roman"/>
            <w:sz w:val="19"/>
            <w:szCs w:val="19"/>
          </w:rPr>
          <w:t>Обща препоръка на политиката № 13 на Европейската комисия срещу расизма и нетърпимостта (ЕКРН) от 2012 г. за борба с антициганизма и дискриминацията на ромите</w:t>
        </w:r>
      </w:hyperlink>
      <w:r>
        <w:rPr>
          <w:rFonts w:ascii="Times New Roman" w:hAnsi="Times New Roman"/>
          <w:sz w:val="19"/>
          <w:szCs w:val="19"/>
        </w:rPr>
        <w:t xml:space="preserve">; </w:t>
      </w:r>
      <w:hyperlink r:id="rId5" w:history="1">
        <w:r>
          <w:rPr>
            <w:rStyle w:val="Hyperlink"/>
            <w:rFonts w:ascii="Times New Roman" w:hAnsi="Times New Roman"/>
            <w:sz w:val="19"/>
            <w:szCs w:val="19"/>
          </w:rPr>
          <w:t>Съвет на Европа, Декларация на Комитета на министрите относно разрастването на антициганизма и породеното от расизъм насилие над роми в Европа</w:t>
        </w:r>
      </w:hyperlink>
      <w:r>
        <w:rPr>
          <w:rStyle w:val="Hyperlink"/>
          <w:rFonts w:ascii="Times New Roman" w:hAnsi="Times New Roman"/>
          <w:sz w:val="19"/>
          <w:szCs w:val="19"/>
          <w:u w:val="none"/>
        </w:rPr>
        <w:t>.</w:t>
      </w:r>
    </w:p>
  </w:footnote>
  <w:footnote w:id="2">
    <w:p>
      <w:pPr>
        <w:pStyle w:val="FootnoteText"/>
        <w:ind w:left="284" w:hanging="284"/>
        <w:jc w:val="both"/>
        <w:rPr>
          <w:rFonts w:ascii="Times New Roman" w:hAnsi="Times New Roman" w:cs="Times New Roman"/>
          <w:sz w:val="19"/>
          <w:szCs w:val="19"/>
        </w:rPr>
      </w:pPr>
      <w:r>
        <w:rPr>
          <w:rStyle w:val="FootnoteReference"/>
          <w:rFonts w:ascii="Times New Roman" w:hAnsi="Times New Roman" w:cs="Times New Roman"/>
          <w:sz w:val="19"/>
          <w:szCs w:val="19"/>
        </w:rPr>
        <w:footnoteRef/>
      </w:r>
      <w:r>
        <w:rPr>
          <w:rFonts w:ascii="Times New Roman" w:hAnsi="Times New Roman"/>
          <w:sz w:val="19"/>
          <w:szCs w:val="19"/>
        </w:rPr>
        <w:t xml:space="preserve"> </w:t>
      </w:r>
      <w:r>
        <w:tab/>
      </w:r>
      <w:r>
        <w:rPr>
          <w:rFonts w:ascii="Times New Roman" w:hAnsi="Times New Roman"/>
          <w:sz w:val="19"/>
          <w:szCs w:val="19"/>
        </w:rPr>
        <w:t xml:space="preserve">Системната дискриминация произтича от неравенства, залегнали в законодателството, политиките и практиката. Често пъти те не се дължат на умисъл, а на редица институционални фактори при формулирането, изпълнението и прегледа на законодателството, политиките и практиката. Вж. </w:t>
      </w:r>
      <w:hyperlink r:id="rId6" w:history="1">
        <w:r>
          <w:rPr>
            <w:rStyle w:val="Hyperlink"/>
            <w:rFonts w:ascii="Times New Roman" w:hAnsi="Times New Roman"/>
            <w:i/>
            <w:sz w:val="19"/>
            <w:szCs w:val="19"/>
          </w:rPr>
          <w:t>Roma and traveller inclusion:</w:t>
        </w:r>
      </w:hyperlink>
      <w:r>
        <w:rPr>
          <w:rStyle w:val="Hyperlink"/>
          <w:rFonts w:ascii="Times New Roman" w:hAnsi="Times New Roman"/>
          <w:i/>
          <w:sz w:val="19"/>
          <w:szCs w:val="19"/>
        </w:rPr>
        <w:t xml:space="preserve"> </w:t>
      </w:r>
      <w:hyperlink r:id="rId7" w:history="1">
        <w:r>
          <w:rPr>
            <w:rStyle w:val="Hyperlink"/>
            <w:rFonts w:ascii="Times New Roman" w:hAnsi="Times New Roman"/>
            <w:i/>
            <w:sz w:val="19"/>
            <w:szCs w:val="19"/>
          </w:rPr>
          <w:t>towards a new EU framework, learning from the work of equality bodies [Приобщаване на ромите и странстващите общности: към нова рамка на ЕС с поуките от работата на органите по въпросите на равенството]</w:t>
        </w:r>
      </w:hyperlink>
      <w:r>
        <w:rPr>
          <w:rStyle w:val="Hyperlink"/>
          <w:rFonts w:ascii="Times New Roman" w:hAnsi="Times New Roman"/>
          <w:i/>
          <w:sz w:val="19"/>
          <w:szCs w:val="19"/>
          <w:u w:val="none"/>
        </w:rPr>
        <w:t>.</w:t>
      </w:r>
    </w:p>
  </w:footnote>
  <w:footnote w:id="3">
    <w:p>
      <w:pPr>
        <w:pStyle w:val="FootnoteText"/>
        <w:ind w:left="284" w:hanging="284"/>
        <w:jc w:val="both"/>
        <w:rPr>
          <w:rFonts w:ascii="Times New Roman" w:hAnsi="Times New Roman" w:cs="Times New Roman"/>
          <w:sz w:val="19"/>
          <w:szCs w:val="19"/>
        </w:rPr>
      </w:pPr>
      <w:r>
        <w:rPr>
          <w:rStyle w:val="FootnoteReference"/>
          <w:rFonts w:ascii="Times New Roman" w:hAnsi="Times New Roman" w:cs="Times New Roman"/>
          <w:sz w:val="19"/>
          <w:szCs w:val="19"/>
        </w:rPr>
        <w:footnoteRef/>
      </w:r>
      <w:r>
        <w:rPr>
          <w:rFonts w:ascii="Times New Roman" w:hAnsi="Times New Roman"/>
          <w:sz w:val="19"/>
          <w:szCs w:val="19"/>
        </w:rPr>
        <w:t xml:space="preserve"> </w:t>
      </w:r>
      <w:r>
        <w:tab/>
      </w:r>
      <w:r>
        <w:rPr>
          <w:rFonts w:ascii="Times New Roman" w:hAnsi="Times New Roman"/>
          <w:sz w:val="19"/>
          <w:szCs w:val="19"/>
        </w:rPr>
        <w:t xml:space="preserve">Violetta Zentai, Georgeta Munteanu, Simona Torotcoi, </w:t>
      </w:r>
      <w:hyperlink r:id="rId8" w:history="1">
        <w:r>
          <w:rPr>
            <w:rStyle w:val="Hyperlink"/>
            <w:rFonts w:ascii="Times New Roman" w:hAnsi="Times New Roman"/>
            <w:i/>
            <w:sz w:val="19"/>
            <w:szCs w:val="19"/>
          </w:rPr>
          <w:t>The quality of participation in a post-2020 EU initiative for Roma equality and inclusion [Качество на участието в инициатива на ЕС за равнопоставеност и приобщаване на ромите за периода след 2020 г.]</w:t>
        </w:r>
      </w:hyperlink>
      <w:r>
        <w:rPr>
          <w:rFonts w:ascii="Times New Roman" w:hAnsi="Times New Roman"/>
          <w:sz w:val="19"/>
          <w:szCs w:val="19"/>
        </w:rPr>
        <w:t>, експертни доклади, в които се доразвиват някои аспекти на оценяването на рамката на ЕС за национални стратегии за интегриране на ромите, ориентирани към бъдещето, 2020 г., стр. 41, 59—60.</w:t>
      </w:r>
    </w:p>
  </w:footnote>
  <w:footnote w:id="4">
    <w:p>
      <w:pPr>
        <w:pStyle w:val="FootnoteText"/>
        <w:ind w:left="284" w:hanging="284"/>
        <w:jc w:val="both"/>
        <w:rPr>
          <w:rFonts w:ascii="Times New Roman" w:hAnsi="Times New Roman" w:cs="Times New Roman"/>
          <w:sz w:val="19"/>
          <w:szCs w:val="19"/>
        </w:rPr>
      </w:pPr>
      <w:r>
        <w:rPr>
          <w:rStyle w:val="FootnoteReference"/>
          <w:rFonts w:ascii="Times New Roman" w:hAnsi="Times New Roman" w:cs="Times New Roman"/>
          <w:sz w:val="19"/>
          <w:szCs w:val="19"/>
        </w:rPr>
        <w:footnoteRef/>
      </w:r>
      <w:r>
        <w:rPr>
          <w:rFonts w:ascii="Times New Roman" w:hAnsi="Times New Roman"/>
          <w:sz w:val="19"/>
          <w:szCs w:val="19"/>
        </w:rPr>
        <w:t xml:space="preserve"> </w:t>
      </w:r>
      <w:r>
        <w:tab/>
      </w:r>
      <w:r>
        <w:rPr>
          <w:rFonts w:ascii="Times New Roman" w:hAnsi="Times New Roman"/>
          <w:sz w:val="19"/>
          <w:szCs w:val="19"/>
        </w:rPr>
        <w:t xml:space="preserve">В </w:t>
      </w:r>
      <w:hyperlink r:id="rId9" w:history="1">
        <w:r>
          <w:rPr>
            <w:rStyle w:val="Hyperlink"/>
            <w:rFonts w:ascii="Times New Roman" w:hAnsi="Times New Roman"/>
            <w:sz w:val="19"/>
            <w:szCs w:val="19"/>
          </w:rPr>
          <w:t>Директивата за питейната вода</w:t>
        </w:r>
      </w:hyperlink>
      <w:r>
        <w:rPr>
          <w:rFonts w:ascii="Times New Roman" w:hAnsi="Times New Roman"/>
          <w:sz w:val="19"/>
          <w:szCs w:val="19"/>
        </w:rPr>
        <w:t xml:space="preserve"> (съображение 31; член 16) се изисква държавите членки да вземат предвид специфичното положение на културните малцинства, като например ромите и пътуващите общности, независимо дали водят уседнал начин на живот или не, като предприемат необходимите мерки, за да подобрят достъпа им до вода, предназначена за консумация от човека.</w:t>
      </w:r>
    </w:p>
  </w:footnote>
  <w:footnote w:id="5">
    <w:p>
      <w:pPr>
        <w:pStyle w:val="FootnoteText"/>
        <w:jc w:val="both"/>
        <w:rPr>
          <w:rFonts w:ascii="Times New Roman" w:hAnsi="Times New Roman" w:cs="Times New Roman"/>
          <w:sz w:val="18"/>
          <w:szCs w:val="18"/>
        </w:rPr>
      </w:pPr>
      <w:r>
        <w:rPr>
          <w:rStyle w:val="FootnoteReference"/>
        </w:rPr>
        <w:footnoteRef/>
      </w:r>
      <w:r>
        <w:rPr>
          <w:rFonts w:ascii="Times New Roman" w:hAnsi="Times New Roman"/>
          <w:sz w:val="18"/>
          <w:szCs w:val="18"/>
        </w:rPr>
        <w:t xml:space="preserve"> В </w:t>
      </w:r>
      <w:hyperlink r:id="rId10" w:history="1">
        <w:r>
          <w:rPr>
            <w:rStyle w:val="Hyperlink"/>
            <w:rFonts w:ascii="Times New Roman" w:hAnsi="Times New Roman"/>
            <w:sz w:val="18"/>
            <w:szCs w:val="18"/>
          </w:rPr>
          <w:t>Рамката за цифрова компетентност на гражданите</w:t>
        </w:r>
      </w:hyperlink>
      <w:r>
        <w:rPr>
          <w:rFonts w:ascii="Times New Roman" w:hAnsi="Times New Roman"/>
          <w:sz w:val="18"/>
          <w:szCs w:val="18"/>
        </w:rPr>
        <w:t xml:space="preserve"> са определени пет компонента на цифровата компетентност: информационна грамотност и грамотност по отношение на данните, общуване и сътрудничество, създаване на съдържание, безопасност и решаване на проблеми.</w:t>
      </w:r>
    </w:p>
  </w:footnote>
  <w:footnote w:id="6">
    <w:p>
      <w:pPr>
        <w:pStyle w:val="FootnoteText"/>
        <w:jc w:val="both"/>
      </w:pPr>
      <w:r>
        <w:rPr>
          <w:rStyle w:val="FootnoteReference"/>
        </w:rPr>
        <w:footnoteRef/>
      </w:r>
      <w:r>
        <w:t xml:space="preserve"> </w:t>
      </w:r>
      <w:r>
        <w:rPr>
          <w:rFonts w:ascii="Times New Roman" w:hAnsi="Times New Roman"/>
          <w:sz w:val="18"/>
          <w:szCs w:val="18"/>
        </w:rPr>
        <w:t xml:space="preserve">В </w:t>
      </w:r>
      <w:hyperlink r:id="rId11" w:history="1">
        <w:r>
          <w:rPr>
            <w:rStyle w:val="Hyperlink"/>
            <w:rFonts w:ascii="Times New Roman" w:hAnsi="Times New Roman"/>
            <w:sz w:val="18"/>
            <w:szCs w:val="18"/>
          </w:rPr>
          <w:t>Рамката за цифрова компетентност на гражданите</w:t>
        </w:r>
      </w:hyperlink>
      <w:r>
        <w:rPr>
          <w:rFonts w:ascii="Times New Roman" w:hAnsi="Times New Roman"/>
          <w:sz w:val="18"/>
          <w:szCs w:val="18"/>
        </w:rPr>
        <w:t xml:space="preserve"> информационната грамотност и грамотността по отношение на данните/цифровата компетентност са определени като способност </w:t>
      </w:r>
      <w:r>
        <w:rPr>
          <w:rFonts w:ascii="Times New Roman" w:hAnsi="Times New Roman"/>
          <w:color w:val="000000"/>
          <w:sz w:val="18"/>
          <w:szCs w:val="18"/>
        </w:rPr>
        <w:t>да се артикулират информационните нужди; да се откриват и извличат цифрови данни, информация и съдържание; да се преценява релевантността на източника и на неговото съдържание; и да се съхраняват, управляват и организират цифрови данни, информация и съдържание.</w:t>
      </w:r>
    </w:p>
  </w:footnote>
  <w:footnote w:id="7">
    <w:p>
      <w:pPr>
        <w:pStyle w:val="FootnoteText"/>
        <w:ind w:left="284" w:hanging="284"/>
        <w:jc w:val="both"/>
        <w:rPr>
          <w:rFonts w:ascii="Times New Roman" w:hAnsi="Times New Roman" w:cs="Times New Roman"/>
          <w:sz w:val="19"/>
          <w:szCs w:val="19"/>
        </w:rPr>
      </w:pPr>
      <w:r>
        <w:rPr>
          <w:rStyle w:val="FootnoteReference"/>
          <w:rFonts w:ascii="Times New Roman" w:hAnsi="Times New Roman" w:cs="Times New Roman"/>
          <w:sz w:val="19"/>
          <w:szCs w:val="19"/>
        </w:rPr>
        <w:footnoteRef/>
      </w:r>
      <w:r>
        <w:rPr>
          <w:rFonts w:ascii="Times New Roman" w:hAnsi="Times New Roman"/>
          <w:sz w:val="19"/>
          <w:szCs w:val="19"/>
        </w:rPr>
        <w:t xml:space="preserve"> </w:t>
      </w:r>
      <w:r>
        <w:tab/>
      </w:r>
      <w:r>
        <w:rPr>
          <w:rFonts w:ascii="Times New Roman" w:hAnsi="Times New Roman"/>
          <w:sz w:val="19"/>
          <w:szCs w:val="19"/>
        </w:rPr>
        <w:t xml:space="preserve">Ромите страдат от екологична дискриминация, когато живеят в сегрегирани поселения в опасни екологични условия (в близост до сметища, изоставени промишлени обекти или места, застрашени от наводняване), лишени от основни предпоставки на околната среда като управление на водите и отпадъците. Вж. </w:t>
      </w:r>
      <w:hyperlink r:id="rId12" w:history="1">
        <w:r>
          <w:rPr>
            <w:rStyle w:val="Hyperlink"/>
            <w:rFonts w:ascii="Times New Roman" w:hAnsi="Times New Roman"/>
            <w:i/>
            <w:sz w:val="19"/>
            <w:szCs w:val="19"/>
          </w:rPr>
          <w:t>„Pushed to the wastelands:</w:t>
        </w:r>
      </w:hyperlink>
      <w:hyperlink r:id="rId13" w:history="1">
        <w:r>
          <w:rPr>
            <w:rStyle w:val="Hyperlink"/>
            <w:rFonts w:ascii="Times New Roman" w:hAnsi="Times New Roman"/>
            <w:i/>
            <w:sz w:val="19"/>
            <w:szCs w:val="19"/>
          </w:rPr>
          <w:t>„ environmental racism against Roma communities in Central and Eastern Europe“ [Изтласкани в пустошта: екологичен расизъм срещу ромските общности в Централна и Източна Европа]</w:t>
        </w:r>
      </w:hyperlink>
      <w:r>
        <w:rPr>
          <w:rFonts w:ascii="Times New Roman" w:hAnsi="Times New Roman"/>
          <w:sz w:val="19"/>
          <w:szCs w:val="19"/>
        </w:rPr>
        <w:t xml:space="preserve">. За обяснения и източници във връзка с понятията вж. </w:t>
      </w:r>
      <w:hyperlink r:id="rId14" w:history="1">
        <w:r>
          <w:rPr>
            <w:rStyle w:val="Hyperlink"/>
            <w:rFonts w:ascii="Times New Roman" w:hAnsi="Times New Roman"/>
            <w:sz w:val="19"/>
            <w:szCs w:val="19"/>
          </w:rPr>
          <w:t>уебсайта</w:t>
        </w:r>
      </w:hyperlink>
      <w:r>
        <w:rPr>
          <w:rFonts w:ascii="Times New Roman" w:hAnsi="Times New Roman"/>
          <w:sz w:val="19"/>
          <w:szCs w:val="19"/>
        </w:rPr>
        <w:t xml:space="preserve"> на Energy Justice Network [Мрежа за енергийна справедливост].</w:t>
      </w:r>
    </w:p>
  </w:footnote>
  <w:footnote w:id="8">
    <w:p>
      <w:pPr>
        <w:pStyle w:val="FootnoteText"/>
        <w:jc w:val="both"/>
        <w:rPr>
          <w:rFonts w:ascii="Times New Roman" w:hAnsi="Times New Roman" w:cs="Times New Roman"/>
          <w:sz w:val="19"/>
          <w:szCs w:val="19"/>
        </w:rPr>
      </w:pPr>
      <w:r>
        <w:rPr>
          <w:rStyle w:val="FootnoteReference"/>
          <w:rFonts w:ascii="Times New Roman" w:hAnsi="Times New Roman" w:cs="Times New Roman"/>
          <w:sz w:val="19"/>
          <w:szCs w:val="19"/>
        </w:rPr>
        <w:footnoteRef/>
      </w:r>
      <w:r>
        <w:rPr>
          <w:rFonts w:ascii="Times New Roman" w:hAnsi="Times New Roman"/>
          <w:sz w:val="19"/>
          <w:szCs w:val="19"/>
        </w:rPr>
        <w:t xml:space="preserve"> Вж. Предложение за Регламент на Европейския парламент и на Съвета относно Европейския социален фонд плюс (ЕСФ+) 2018/0206(COD) (</w:t>
      </w:r>
      <w:hyperlink r:id="rId15" w:history="1">
        <w:r>
          <w:rPr>
            <w:rStyle w:val="Hyperlink"/>
            <w:rFonts w:ascii="Times New Roman" w:hAnsi="Times New Roman"/>
            <w:sz w:val="19"/>
            <w:szCs w:val="19"/>
          </w:rPr>
          <w:t>COM(2018) 382 final</w:t>
        </w:r>
      </w:hyperlink>
      <w:r>
        <w:rPr>
          <w:rFonts w:ascii="Times New Roman" w:hAnsi="Times New Roman"/>
          <w:sz w:val="19"/>
          <w:szCs w:val="19"/>
        </w:rPr>
        <w:t>, 30.5.2018 г.), член 2, параграф 16.</w:t>
      </w:r>
    </w:p>
  </w:footnote>
  <w:footnote w:id="9">
    <w:p>
      <w:pPr>
        <w:pStyle w:val="FootnoteText"/>
        <w:jc w:val="both"/>
      </w:pPr>
      <w:r>
        <w:rPr>
          <w:rStyle w:val="FootnoteReference"/>
          <w:rFonts w:ascii="Times New Roman" w:hAnsi="Times New Roman" w:cs="Times New Roman"/>
          <w:sz w:val="19"/>
          <w:szCs w:val="19"/>
        </w:rPr>
        <w:footnoteRef/>
      </w:r>
      <w:r>
        <w:rPr>
          <w:rFonts w:ascii="Times New Roman" w:hAnsi="Times New Roman"/>
          <w:sz w:val="19"/>
          <w:szCs w:val="19"/>
        </w:rPr>
        <w:t xml:space="preserve"> Пак там, член 2, параграф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val="en-GB" w:eastAsia="en-GB"/>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583680" cy="1645920"/>
              <wp:effectExtent l="0" t="1771650" r="0" b="16973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83680" cy="1645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NormalWeb"/>
                            <w:spacing w:before="0" w:beforeAutospacing="0" w:after="0" w:afterAutospacing="0"/>
                            <w:jc w:val="center"/>
                          </w:pPr>
                          <w:r>
                            <w:rPr>
                              <w:rFonts w:ascii="Calibri" w:hAnsi="Calibri"/>
                              <w:color w:val="7F7F7F" w:themeColor="text1" w:themeTint="80"/>
                              <w:sz w:val="2"/>
                              <w:szCs w:val="2"/>
                              <w14:textFill>
                                <w14:solidFill>
                                  <w14:schemeClr w14:val="tx1">
                                    <w14:alpha w14:val="50000"/>
                                    <w14:lumMod w14:val="50000"/>
                                    <w14:lumOff w14:val="50000"/>
                                  </w14:schemeClr>
                                </w14:solidFill>
                              </w14:textFill>
                            </w:rPr>
                            <w:t>Вътрешен 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518.4pt;height:129.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" o:allowincell="f" filled="f" stroked="f">
              <v:stroke joinstyle="round"/>
              <o:lock v:ext="edit" shapetype="t"/>
              <v:textbox style="mso-fit-shape-to-text:t">
                <w:txbxContent>
                  <w:p>
                    <w:pPr>
                      <w:pStyle w:val="NormalWeb"/>
                      <w:spacing w:before="0" w:beforeAutospacing="0" w:after="0" w:afterAutospacing="0"/>
                      <w:jc w:val="center"/>
                    </w:pPr>
                    <w:r>
                      <w:rPr>
                        <w:rFonts w:ascii="Calibri" w:hAnsi="Calibri"/>
                        <w:color w:val="7F7F7F" w:themeColor="text1" w:themeTint="80"/>
                        <w:sz w:val="2"/>
                        <w:szCs w:val="2"/>
                        <w14:textFill>
                          <w14:solidFill>
                            <w14:schemeClr w14:val="tx1">
                              <w14:alpha w14:val="50000"/>
                              <w14:lumMod w14:val="50000"/>
                              <w14:lumOff w14:val="50000"/>
                            </w14:schemeClr>
                          </w14:solidFill>
                        </w14:textFill>
                      </w:rPr>
                      <w:t>Вътрешен проект</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val="en-GB" w:eastAsia="en-GB"/>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583680" cy="1645920"/>
              <wp:effectExtent l="0" t="1771650" r="0" b="16973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83680" cy="1645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NormalWeb"/>
                            <w:spacing w:before="0" w:beforeAutospacing="0" w:after="0" w:afterAutospacing="0"/>
                            <w:jc w:val="center"/>
                          </w:pPr>
                          <w:r>
                            <w:rPr>
                              <w:rFonts w:ascii="Calibri" w:hAnsi="Calibri"/>
                              <w:color w:val="7F7F7F" w:themeColor="text1" w:themeTint="80"/>
                              <w:sz w:val="2"/>
                              <w:szCs w:val="2"/>
                              <w14:textFill>
                                <w14:solidFill>
                                  <w14:schemeClr w14:val="tx1">
                                    <w14:alpha w14:val="50000"/>
                                    <w14:lumMod w14:val="50000"/>
                                    <w14:lumOff w14:val="50000"/>
                                  </w14:schemeClr>
                                </w14:solidFill>
                              </w14:textFill>
                            </w:rPr>
                            <w:t>Вътрешен 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518.4pt;height:129.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" o:allowincell="f" filled="f" stroked="f">
              <v:stroke joinstyle="round"/>
              <o:lock v:ext="edit" shapetype="t"/>
              <v:textbox style="mso-fit-shape-to-text:t">
                <w:txbxContent>
                  <w:p>
                    <w:pPr>
                      <w:pStyle w:val="NormalWeb"/>
                      <w:spacing w:before="0" w:beforeAutospacing="0" w:after="0" w:afterAutospacing="0"/>
                      <w:jc w:val="center"/>
                    </w:pPr>
                    <w:r>
                      <w:rPr>
                        <w:rFonts w:ascii="Calibri" w:hAnsi="Calibri"/>
                        <w:color w:val="7F7F7F" w:themeColor="text1" w:themeTint="80"/>
                        <w:sz w:val="2"/>
                        <w:szCs w:val="2"/>
                        <w14:textFill>
                          <w14:solidFill>
                            <w14:schemeClr w14:val="tx1">
                              <w14:alpha w14:val="50000"/>
                              <w14:lumMod w14:val="50000"/>
                              <w14:lumOff w14:val="50000"/>
                            </w14:schemeClr>
                          </w14:solidFill>
                        </w14:textFill>
                      </w:rPr>
                      <w:t>Вътрешен проект</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58B7"/>
    <w:multiLevelType w:val="hybridMultilevel"/>
    <w:tmpl w:val="7C508B4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nsid w:val="17F83ED7"/>
    <w:multiLevelType w:val="hybridMultilevel"/>
    <w:tmpl w:val="FC7A964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8466082"/>
    <w:multiLevelType w:val="hybridMultilevel"/>
    <w:tmpl w:val="72AC9D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nsid w:val="2CAA1ED9"/>
    <w:multiLevelType w:val="hybridMultilevel"/>
    <w:tmpl w:val="BAF8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3600B9"/>
    <w:multiLevelType w:val="hybridMultilevel"/>
    <w:tmpl w:val="F07419FA"/>
    <w:lvl w:ilvl="0" w:tplc="01EC09CE">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nsid w:val="40A365C1"/>
    <w:multiLevelType w:val="hybridMultilevel"/>
    <w:tmpl w:val="F74C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C36B5B"/>
    <w:multiLevelType w:val="hybridMultilevel"/>
    <w:tmpl w:val="85A6ADE6"/>
    <w:lvl w:ilvl="0" w:tplc="01EC09CE">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nsid w:val="6C7D5596"/>
    <w:multiLevelType w:val="hybridMultilevel"/>
    <w:tmpl w:val="4ABC6AF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nsid w:val="6E0A4F56"/>
    <w:multiLevelType w:val="hybridMultilevel"/>
    <w:tmpl w:val="A92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5"/>
  </w:num>
  <w:num w:numId="5">
    <w:abstractNumId w:val="3"/>
  </w:num>
  <w:num w:numId="6">
    <w:abstractNumId w:val="8"/>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u1082?\u1098?\u1084?"/>
    <w:docVar w:name="LW_ANNEX_NBR_FIRST" w:val="1"/>
    <w:docVar w:name="LW_ANNEX_NBR_LAST" w:val="1"/>
    <w:docVar w:name="LW_ANNEX_UNIQUE" w:val="0"/>
    <w:docVar w:name="LW_CORRIGENDUM" w:val="&lt;UNUSED&gt;"/>
    <w:docVar w:name="LW_COVERPAGE_EXISTS" w:val="True"/>
    <w:docVar w:name="LW_COVERPAGE_GUID" w:val="D5B0FBA8-644C-4E39-B92B-ACDD6CE79558"/>
    <w:docVar w:name="LW_COVERPAGE_TYPE" w:val="1"/>
    <w:docVar w:name="LW_CROSSREFERENCE" w:val="{SWD(2020) 530 final}"/>
    <w:docVar w:name="LW_DocType" w:val="NORMAL"/>
    <w:docVar w:name="LW_EMISSION" w:val="7.10.2020"/>
    <w:docVar w:name="LW_EMISSION_ISODATE" w:val="2020-10-07"/>
    <w:docVar w:name="LW_EMISSION_LOCATION" w:val="BRX"/>
    <w:docVar w:name="LW_EMISSION_PREFIX" w:val="Брюксел, "/>
    <w:docVar w:name="LW_EMISSION_SUFFIX" w:val=" \u1075?."/>
    <w:docVar w:name="LW_ID_DOCTYPE_NONLW" w:val="CP-039"/>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57?\u1098?\u1102?\u1079? \u1085?\u1072? \u1088?\u1072?\u1074?\u1077?\u1085?\u1089?\u1090?\u1074?\u1086?:_x000b__x000d__x000d__x000b_\u1089?\u1090?\u1088?\u1072?\u1090?\u1077?\u1075?\u1080?\u1095?\u1077?\u1089?\u1082?\u1072? \u1088?\u1072?\u1084?\u1082?\u1072? \u1085?\u1072? \u1045?\u1057? \u1079?\u1072? \u1088?\u1072?\u1074?\u1077?\u1085?\u1089?\u1090?\u1074?\u1086?, \u1087?\u1088?\u1080?\u1086?\u1073?\u1097?\u1072?\u1074?\u1072?\u1085?\u1077? \u1080? \u1091?\u1095?\u1072?\u1089?\u1090?\u1080?\u1077? \u1085?\u1072? \u1088?\u1086?\u1084?\u1080?\u1090?\u1077?"/>
    <w:docVar w:name="LW_PART_NBR" w:val="1"/>
    <w:docVar w:name="LW_PART_NBR_TOTAL" w:val="1"/>
    <w:docVar w:name="LW_REF.INST.NEW" w:val="COM"/>
    <w:docVar w:name="LW_REF.INST.NEW_ADOPTED" w:val="final"/>
    <w:docVar w:name="LW_REF.INST.NEW_TEXT" w:val="(2020) 6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u1055?\u1056?\u1048?\u1051?\u1054?\u1046?\u1045?\u1053?\u1048?\u1045?_x000b_"/>
    <w:docVar w:name="LW_TYPEACTEPRINCIPAL.CP" w:val="\u1057?\u1066?\u1054?\u1041?\u1065?\u1045?\u1053?\u1048?\u1045? \u1053?\u1040? \u1050?\u1054?\u1052?\u1048?\u1057?\u1048?\u1071?\u1058?\u1040? \u1044?\u1054? \u1045?\u1042?\u1056?\u1054?\u1055?\u1045?\u1049?\u1057?\u1050?\u1048?\u1071? \u1055?\u1040?\u1056?\u1051?\u1040?\u1052?\u1045?\u1053?\u1058? \u1048? \u1057?\u1066?\u1042?\u1045?\u1058?\u1040?"/>
    <w:docVar w:name="Stamp" w:val="\\dossiers.dgt.cec.eu.int\dossiers\JUST\JUST-2020-03278\JUST-2020-03278-00-01-EN-EDT-00.202007070940194183075.DOCX"/>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
    <w:basedOn w:val="Normal"/>
    <w:link w:val="ListParagraphChar"/>
    <w:uiPriority w:val="34"/>
    <w:qFormat/>
    <w:pPr>
      <w:spacing w:after="120" w:line="259" w:lineRule="auto"/>
      <w:ind w:left="720"/>
      <w:contextualSpacing/>
      <w:jc w:val="both"/>
    </w:pPr>
    <w:rPr>
      <w:rFonts w:ascii="Verdana" w:eastAsia="Times New Roman" w:hAnsi="Verdana" w:cs="Times New Roman"/>
      <w:sz w:val="20"/>
      <w:szCs w:val="20"/>
      <w:lang w:eastAsia="en-GB"/>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f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qFormat/>
    <w:rPr>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qFormat/>
    <w:pPr>
      <w:spacing w:after="160" w:line="240" w:lineRule="exact"/>
      <w:jc w:val="both"/>
    </w:pPr>
    <w:rPr>
      <w:vertAlign w:val="superscript"/>
    </w:rPr>
  </w:style>
  <w:style w:type="paragraph" w:styleId="CommentText">
    <w:name w:val="annotation text"/>
    <w:basedOn w:val="Normal"/>
    <w:link w:val="CommentTextChar"/>
    <w:uiPriority w:val="99"/>
    <w:unhideWhenUsed/>
    <w:pPr>
      <w:spacing w:after="16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rPr>
      <w:rFonts w:ascii="Verdana" w:eastAsia="Times New Roman" w:hAnsi="Verdana" w:cs="Times New Roman"/>
      <w:sz w:val="20"/>
      <w:szCs w:val="20"/>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20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
    <w:basedOn w:val="Normal"/>
    <w:link w:val="ListParagraphChar"/>
    <w:uiPriority w:val="34"/>
    <w:qFormat/>
    <w:pPr>
      <w:spacing w:after="120" w:line="259" w:lineRule="auto"/>
      <w:ind w:left="720"/>
      <w:contextualSpacing/>
      <w:jc w:val="both"/>
    </w:pPr>
    <w:rPr>
      <w:rFonts w:ascii="Verdana" w:eastAsia="Times New Roman" w:hAnsi="Verdana" w:cs="Times New Roman"/>
      <w:sz w:val="20"/>
      <w:szCs w:val="20"/>
      <w:lang w:eastAsia="en-GB"/>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f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qFormat/>
    <w:rPr>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qFormat/>
    <w:pPr>
      <w:spacing w:after="160" w:line="240" w:lineRule="exact"/>
      <w:jc w:val="both"/>
    </w:pPr>
    <w:rPr>
      <w:vertAlign w:val="superscript"/>
    </w:rPr>
  </w:style>
  <w:style w:type="paragraph" w:styleId="CommentText">
    <w:name w:val="annotation text"/>
    <w:basedOn w:val="Normal"/>
    <w:link w:val="CommentTextChar"/>
    <w:uiPriority w:val="99"/>
    <w:unhideWhenUsed/>
    <w:pPr>
      <w:spacing w:after="16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rPr>
      <w:rFonts w:ascii="Verdana" w:eastAsia="Times New Roman" w:hAnsi="Verdana" w:cs="Times New Roman"/>
      <w:sz w:val="20"/>
      <w:szCs w:val="20"/>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20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news.un.org/en/story/2020/04/1062232"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policies/justice-and-fundamental-rights/combatting-discrimination/roma-and-eu/preparing-post-2020-initiative-roma-equality-and-inclusion_en" TargetMode="External"/><Relationship Id="rId13" Type="http://schemas.openxmlformats.org/officeDocument/2006/relationships/hyperlink" Target="https://eeb.org/library/pushed-to-the-wastelands-environmental-racism-against-roma-communities-in-central-and-eastern-europe/" TargetMode="External"/><Relationship Id="rId3" Type="http://schemas.openxmlformats.org/officeDocument/2006/relationships/hyperlink" Target="http://www.europarl.europa.eu/doceo/document/TA-8-2019-0075_BG.html" TargetMode="External"/><Relationship Id="rId7" Type="http://schemas.openxmlformats.org/officeDocument/2006/relationships/hyperlink" Target="https://equineteurope.org/2020/roma-and-traveller-inclusion-towards-a-new-eu-framework/" TargetMode="External"/><Relationship Id="rId12" Type="http://schemas.openxmlformats.org/officeDocument/2006/relationships/hyperlink" Target="https://eeb.org/library/pushed-to-the-wastelands-environmental-racism-against-roma-communities-in-central-and-eastern-europe/" TargetMode="External"/><Relationship Id="rId2" Type="http://schemas.openxmlformats.org/officeDocument/2006/relationships/hyperlink" Target="https://www.europarl.europa.eu/doceo/document/A-8-2017-0294_BG.html" TargetMode="External"/><Relationship Id="rId1" Type="http://schemas.openxmlformats.org/officeDocument/2006/relationships/hyperlink" Target="https://www.antigypsyism.eu/?page_id=17" TargetMode="External"/><Relationship Id="rId6" Type="http://schemas.openxmlformats.org/officeDocument/2006/relationships/hyperlink" Target="https://equineteurope.org/2020/roma-and-traveller-inclusion-towards-a-new-eu-framework/" TargetMode="External"/><Relationship Id="rId11" Type="http://schemas.openxmlformats.org/officeDocument/2006/relationships/hyperlink" Target="https://ec.europa.eu/jrc/en/publication/eur-scientific-and-technical-research-reports/digcomp-21-digital-competence-framework-citizens-eight-proficiency-levels-and-examples-usehttps:/ec.europa.eu/jrc/en/publication/eur-scientific-and-technical-research-reports/digcomp-21-digital-competence-framework-citizens-eight-proficiency-levels-and-examples-use" TargetMode="External"/><Relationship Id="rId5" Type="http://schemas.openxmlformats.org/officeDocument/2006/relationships/hyperlink" Target="https://rm.coe.int/16800c0adc" TargetMode="External"/><Relationship Id="rId15" Type="http://schemas.openxmlformats.org/officeDocument/2006/relationships/hyperlink" Target="https://eur-lex.europa.eu/legal-content/BG/TXT/HTML/?uri=CELEX:52018PC0382" TargetMode="External"/><Relationship Id="rId10" Type="http://schemas.openxmlformats.org/officeDocument/2006/relationships/hyperlink" Target="https://ec.europa.eu/jrc/en/publication/eur-scientific-and-technical-research-reports/digcomp-21-digital-competence-framework-citizens-eight-proficiency-levels-and-examples-usehttps:/ec.europa.eu/jrc/en/publication/eur-scientific-and-technical-research-reports/digcomp-21-digital-competence-framework-citizens-eight-proficiency-levels-and-examples-use" TargetMode="External"/><Relationship Id="rId4" Type="http://schemas.openxmlformats.org/officeDocument/2006/relationships/hyperlink" Target="https://www.coe.int/en/web/european-commission-against-racism-and-intolerance/recommendation-no.13" TargetMode="External"/><Relationship Id="rId9" Type="http://schemas.openxmlformats.org/officeDocument/2006/relationships/hyperlink" Target="https://data.consilium.europa.eu/doc/document/ST-6060-2020-REV-1/BG/pdf" TargetMode="External"/><Relationship Id="rId14" Type="http://schemas.openxmlformats.org/officeDocument/2006/relationships/hyperlink" Target="https://www.ejnet.org/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758C2-40DE-46F3-890B-645AD93F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10</Pages>
  <Words>4271</Words>
  <Characters>26183</Characters>
  <Application>Microsoft Office Word</Application>
  <DocSecurity>0</DocSecurity>
  <Lines>429</Lines>
  <Paragraphs>148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GEDEI Ottilia (JUST)</dc:creator>
  <cp:keywords/>
  <dc:description/>
  <cp:lastModifiedBy>WES PDFC Administrator</cp:lastModifiedBy>
  <cp:revision>23</cp:revision>
  <cp:lastPrinted>2020-07-02T14:49:00Z</cp:lastPrinted>
  <dcterms:created xsi:type="dcterms:W3CDTF">2020-10-06T07:51:00Z</dcterms:created>
  <dcterms:modified xsi:type="dcterms:W3CDTF">2020-10-16T15:53:00Z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7.0, Build 20190717</vt:lpwstr>
  </property>
  <property fmtid="{D5CDD505-2E9C-101B-9397-08002B2CF9AE}" pid="11" name="Created using">
    <vt:lpwstr>LW 7.0, Build 20190717</vt:lpwstr>
  </property>
</Properties>
</file>