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bg-BG"/>
        </w:rPr>
      </w:pPr>
      <w:bookmarkStart w:id="0" w:name="LW_BM_COVERPAGE"/>
      <w:r>
        <w:rPr>
          <w:noProof/>
          <w:lang w:val="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0016E035-588B-48AB-B69A-5C061BAB09F0" style="width:450.75pt;height:306.75pt">
            <v:imagedata r:id="rId9" o:title=""/>
          </v:shape>
        </w:pict>
      </w:r>
    </w:p>
    <w:bookmarkEnd w:id="0"/>
    <w:p>
      <w:pPr>
        <w:rPr>
          <w:noProof/>
          <w:lang w:val="bg-BG"/>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ListParagraph"/>
        <w:numPr>
          <w:ilvl w:val="0"/>
          <w:numId w:val="2"/>
        </w:numPr>
        <w:spacing w:before="240" w:after="240"/>
        <w:ind w:left="1077"/>
        <w:contextualSpacing w:val="0"/>
        <w:jc w:val="both"/>
        <w:rPr>
          <w:rFonts w:ascii="Times New Roman" w:hAnsi="Times New Roman" w:cs="Times New Roman"/>
          <w:b/>
          <w:noProof/>
          <w:sz w:val="24"/>
          <w:lang w:val="bg-BG"/>
        </w:rPr>
      </w:pPr>
      <w:bookmarkStart w:id="1" w:name="_GoBack"/>
      <w:bookmarkEnd w:id="1"/>
      <w:r>
        <w:rPr>
          <w:rFonts w:ascii="Times New Roman" w:hAnsi="Times New Roman"/>
          <w:b/>
          <w:noProof/>
          <w:sz w:val="24"/>
          <w:lang w:val="bg-BG"/>
        </w:rPr>
        <w:lastRenderedPageBreak/>
        <w:t xml:space="preserve">ВЪВЕДЕНИЕ </w:t>
      </w:r>
    </w:p>
    <w:p>
      <w:pPr>
        <w:pStyle w:val="ListParagraph"/>
        <w:numPr>
          <w:ilvl w:val="0"/>
          <w:numId w:val="1"/>
        </w:numPr>
        <w:spacing w:before="240" w:after="240"/>
        <w:contextualSpacing w:val="0"/>
        <w:jc w:val="both"/>
        <w:rPr>
          <w:rFonts w:ascii="Times New Roman" w:hAnsi="Times New Roman" w:cs="Times New Roman"/>
          <w:noProof/>
          <w:lang w:val="bg-BG"/>
        </w:rPr>
      </w:pPr>
      <w:r>
        <w:rPr>
          <w:rFonts w:ascii="Times New Roman" w:hAnsi="Times New Roman"/>
          <w:noProof/>
          <w:lang w:val="bg-BG"/>
        </w:rPr>
        <w:t>Инициативата за военната мобилност е от ключово значение за бързите и безпроблемни придвижвания на военнослужещи, материални средства и оборудване в ЕС и извън него за извършване на рутинни дейности, както и по време на кризи и конфликти. Тя е важна също така и в условията на кризата с COVID-19, тъй като засилва цялостната готовност и устойчивост на Съюза. Освен това тя има потенциала да допринесе за икономическото възстановяване на критични сектори на ЕС, като отбрана и транспорт, след пандемията, и по-конкретно чрез публични инвестиции.</w:t>
      </w:r>
    </w:p>
    <w:p>
      <w:pPr>
        <w:pStyle w:val="ListParagraph"/>
        <w:numPr>
          <w:ilvl w:val="0"/>
          <w:numId w:val="1"/>
        </w:numPr>
        <w:spacing w:before="240" w:after="240"/>
        <w:contextualSpacing w:val="0"/>
        <w:jc w:val="both"/>
        <w:rPr>
          <w:rFonts w:ascii="Times New Roman" w:hAnsi="Times New Roman" w:cs="Times New Roman"/>
          <w:noProof/>
          <w:lang w:val="bg-BG"/>
        </w:rPr>
      </w:pPr>
      <w:r>
        <w:rPr>
          <w:rFonts w:ascii="Times New Roman" w:hAnsi="Times New Roman"/>
          <w:noProof/>
          <w:lang w:val="bg-BG"/>
        </w:rPr>
        <w:t>На 10 ноември 2017 г.</w:t>
      </w:r>
      <w:r>
        <w:rPr>
          <w:rStyle w:val="FootnoteReference"/>
          <w:rFonts w:ascii="Times New Roman" w:hAnsi="Times New Roman" w:cs="Times New Roman"/>
          <w:noProof/>
          <w:lang w:val="bg-BG"/>
        </w:rPr>
        <w:footnoteReference w:id="1"/>
      </w:r>
      <w:r>
        <w:rPr>
          <w:rFonts w:ascii="Times New Roman" w:hAnsi="Times New Roman"/>
          <w:noProof/>
          <w:lang w:val="bg-BG"/>
        </w:rPr>
        <w:t xml:space="preserve"> беше даден ход на инициативата за военната мобилност и тя беше доразвита в Плана за действие на ЕС за военната мобилност (наричан по-нататък „План за действие“) от 28 март 2018 г.</w:t>
      </w:r>
      <w:r>
        <w:rPr>
          <w:rStyle w:val="FootnoteReference"/>
          <w:rFonts w:ascii="Times New Roman" w:hAnsi="Times New Roman" w:cs="Times New Roman"/>
          <w:noProof/>
          <w:lang w:val="bg-BG"/>
        </w:rPr>
        <w:footnoteReference w:id="2"/>
      </w:r>
      <w:r>
        <w:rPr>
          <w:rFonts w:ascii="Times New Roman" w:hAnsi="Times New Roman"/>
          <w:noProof/>
          <w:lang w:val="bg-BG"/>
        </w:rPr>
        <w:t xml:space="preserve">. Тя разглежда три основни области — транспортна инфраструктура, нормативни и процедурни въпроси и други междусекторни въпроси, чрез насърчаване на полезни взаимодействия между гражданската и военната сфера и чрез използване на вече съществуващи политики и инструменти. В нея се поставя ударение върху добавената стойност за Съюза, която ще позволи на държавите — членки на ЕС, да реагират по-бързо и по-ефективно в контекста на общата политика за сигурност и отбрана, както и на националните и многонационалните дейности. </w:t>
      </w:r>
    </w:p>
    <w:p>
      <w:pPr>
        <w:pStyle w:val="ListParagraph"/>
        <w:numPr>
          <w:ilvl w:val="0"/>
          <w:numId w:val="1"/>
        </w:numPr>
        <w:spacing w:before="240" w:after="240"/>
        <w:contextualSpacing w:val="0"/>
        <w:jc w:val="both"/>
        <w:rPr>
          <w:rFonts w:ascii="Times New Roman" w:hAnsi="Times New Roman" w:cs="Times New Roman"/>
          <w:noProof/>
          <w:lang w:val="bg-BG"/>
        </w:rPr>
      </w:pPr>
      <w:r>
        <w:rPr>
          <w:rFonts w:ascii="Times New Roman" w:hAnsi="Times New Roman"/>
          <w:noProof/>
          <w:lang w:val="bg-BG"/>
        </w:rPr>
        <w:t>Председателят Урсула фон дер Лайен подчерта необходимостта от установяване в ЕС на истински Европейски съюз за отбрана</w:t>
      </w:r>
      <w:r>
        <w:rPr>
          <w:rStyle w:val="FootnoteReference"/>
          <w:rFonts w:ascii="Times New Roman" w:hAnsi="Times New Roman" w:cs="Times New Roman"/>
          <w:noProof/>
          <w:lang w:val="bg-BG"/>
        </w:rPr>
        <w:footnoteReference w:id="3"/>
      </w:r>
      <w:r>
        <w:rPr>
          <w:rFonts w:ascii="Times New Roman" w:hAnsi="Times New Roman"/>
          <w:noProof/>
          <w:lang w:val="bg-BG"/>
        </w:rPr>
        <w:t>. Планът за действие, представен от върховния представител и от Комисията, е един от възможните елементи за неговото изграждане. Освен това той допринася за реализирането на амбициозните цели в областта на сигурността и отбраната, договорени от Съвета на 14 ноември 2016 г.</w:t>
      </w:r>
      <w:r>
        <w:rPr>
          <w:rStyle w:val="FootnoteReference"/>
          <w:rFonts w:ascii="Times New Roman" w:hAnsi="Times New Roman" w:cs="Times New Roman"/>
          <w:noProof/>
          <w:lang w:val="bg-BG"/>
        </w:rPr>
        <w:footnoteReference w:id="4"/>
      </w:r>
      <w:r>
        <w:rPr>
          <w:rFonts w:ascii="Times New Roman" w:hAnsi="Times New Roman"/>
          <w:noProof/>
          <w:lang w:val="bg-BG"/>
        </w:rPr>
        <w:t>, след представянето през юни 2016 г. на Глобалната стратегия за външната политика и политиката на сигурност на ЕС</w:t>
      </w:r>
      <w:r>
        <w:rPr>
          <w:rStyle w:val="FootnoteReference"/>
          <w:rFonts w:ascii="Times New Roman" w:hAnsi="Times New Roman" w:cs="Times New Roman"/>
          <w:noProof/>
          <w:lang w:val="bg-BG"/>
        </w:rPr>
        <w:footnoteReference w:id="5"/>
      </w:r>
      <w:r>
        <w:rPr>
          <w:rFonts w:ascii="Times New Roman" w:hAnsi="Times New Roman"/>
          <w:noProof/>
          <w:lang w:val="bg-BG"/>
        </w:rPr>
        <w:t>.</w:t>
      </w:r>
    </w:p>
    <w:p>
      <w:pPr>
        <w:pStyle w:val="ListParagraph"/>
        <w:numPr>
          <w:ilvl w:val="0"/>
          <w:numId w:val="1"/>
        </w:numPr>
        <w:spacing w:before="240" w:after="240"/>
        <w:contextualSpacing w:val="0"/>
        <w:jc w:val="both"/>
        <w:rPr>
          <w:rFonts w:ascii="Times New Roman" w:hAnsi="Times New Roman" w:cs="Times New Roman"/>
          <w:noProof/>
          <w:lang w:val="bg-BG"/>
        </w:rPr>
      </w:pPr>
      <w:r>
        <w:rPr>
          <w:rFonts w:ascii="Times New Roman" w:hAnsi="Times New Roman"/>
          <w:noProof/>
          <w:lang w:val="bg-BG"/>
        </w:rPr>
        <w:t>Практическото осъществяване на Плана за действие е съгласувано в рамките на постоянното структурирано сътрудничество, включително на равнище проекти, както и с конкретните мерки, договорени от държавите — членки на ЕС, на 25 юни 2018 г.</w:t>
      </w:r>
      <w:r>
        <w:rPr>
          <w:rStyle w:val="FootnoteReference"/>
          <w:rFonts w:ascii="Times New Roman" w:hAnsi="Times New Roman" w:cs="Times New Roman"/>
          <w:noProof/>
          <w:lang w:val="bg-BG"/>
        </w:rPr>
        <w:footnoteReference w:id="6"/>
      </w:r>
      <w:r>
        <w:rPr>
          <w:rFonts w:ascii="Times New Roman" w:hAnsi="Times New Roman"/>
          <w:noProof/>
          <w:lang w:val="bg-BG"/>
        </w:rPr>
        <w:t>. Като „водеща инициатива“ в сътрудничеството между ЕС и НАТО, ефективните взаимодействия в областта на военната мобилност между персонала на ЕС и НАТО продължават с конкретни резултати, надграждайки вече постигнатите резултати, особено по отношение на съгласуваността между съответните набори от военни изисквания, които са в основата на свършената работа от двете организации в тази насока. Сътрудничеството продължава в рамките на изпълнението на Съвместните декларации от Варшава и Брюксел</w:t>
      </w:r>
      <w:r>
        <w:rPr>
          <w:rStyle w:val="FootnoteReference"/>
          <w:rFonts w:ascii="Times New Roman" w:hAnsi="Times New Roman" w:cs="Times New Roman"/>
          <w:noProof/>
          <w:lang w:val="bg-BG"/>
        </w:rPr>
        <w:footnoteReference w:id="7"/>
      </w:r>
      <w:r>
        <w:rPr>
          <w:rFonts w:ascii="Times New Roman" w:hAnsi="Times New Roman"/>
          <w:noProof/>
          <w:lang w:val="bg-BG"/>
        </w:rPr>
        <w:t>, свързания с тях общ набор от предложения</w:t>
      </w:r>
      <w:r>
        <w:rPr>
          <w:rStyle w:val="FootnoteReference"/>
          <w:rFonts w:ascii="Times New Roman" w:hAnsi="Times New Roman" w:cs="Times New Roman"/>
          <w:noProof/>
          <w:lang w:val="bg-BG"/>
        </w:rPr>
        <w:footnoteReference w:id="8"/>
      </w:r>
      <w:r>
        <w:rPr>
          <w:rFonts w:ascii="Times New Roman" w:hAnsi="Times New Roman"/>
          <w:noProof/>
          <w:lang w:val="bg-BG"/>
        </w:rPr>
        <w:t xml:space="preserve"> и установения структуриран диалог за военната мобилност на равнище служители. Структурираният диалог относно военната мобилност е разгледан по-подробно в последния, 5-ти доклад за напредъка относно сътрудничеството между ЕС и НАТО</w:t>
      </w:r>
      <w:r>
        <w:rPr>
          <w:rStyle w:val="FootnoteReference"/>
          <w:rFonts w:ascii="Times New Roman" w:hAnsi="Times New Roman" w:cs="Times New Roman"/>
          <w:noProof/>
          <w:lang w:val="bg-BG"/>
        </w:rPr>
        <w:footnoteReference w:id="9"/>
      </w:r>
      <w:r>
        <w:rPr>
          <w:rFonts w:ascii="Times New Roman" w:hAnsi="Times New Roman"/>
          <w:noProof/>
          <w:lang w:val="bg-BG"/>
        </w:rPr>
        <w:t>.</w:t>
      </w:r>
    </w:p>
    <w:p>
      <w:pPr>
        <w:pStyle w:val="ListParagraph"/>
        <w:numPr>
          <w:ilvl w:val="0"/>
          <w:numId w:val="1"/>
        </w:numPr>
        <w:contextualSpacing w:val="0"/>
        <w:jc w:val="both"/>
        <w:rPr>
          <w:rFonts w:ascii="Times New Roman" w:hAnsi="Times New Roman" w:cs="Times New Roman"/>
          <w:noProof/>
          <w:lang w:val="bg-BG"/>
        </w:rPr>
      </w:pPr>
      <w:r>
        <w:rPr>
          <w:rFonts w:ascii="Times New Roman" w:hAnsi="Times New Roman"/>
          <w:noProof/>
          <w:lang w:val="bg-BG"/>
        </w:rPr>
        <w:t>Беше постигнат добър напредък в изпълнението на Плана за действие посредством тясното и продължително сътрудничество между службите на Комисията, Европейската служба за външна дейност, включително Военния секретариат на ЕС, и Европейската агенция по отбрана, както и благодарение на безрезервната ангажираност на държавите — членки на ЕС, участващи на всички нива на управление, при зачитане на техния национален суверенитет и ред на вземане на решения.</w:t>
      </w:r>
    </w:p>
    <w:p>
      <w:pPr>
        <w:pStyle w:val="ListParagraph"/>
        <w:numPr>
          <w:ilvl w:val="0"/>
          <w:numId w:val="1"/>
        </w:numPr>
        <w:contextualSpacing w:val="0"/>
        <w:jc w:val="both"/>
        <w:rPr>
          <w:rFonts w:ascii="Times New Roman" w:hAnsi="Times New Roman" w:cs="Times New Roman"/>
          <w:noProof/>
          <w:lang w:val="bg-BG"/>
        </w:rPr>
      </w:pPr>
      <w:r>
        <w:rPr>
          <w:rFonts w:ascii="Times New Roman" w:hAnsi="Times New Roman"/>
          <w:noProof/>
          <w:lang w:val="bg-BG"/>
        </w:rPr>
        <w:t>В Плана за действие се предвижда върховният представител и Комисията да представят периодични доклади за напредъка</w:t>
      </w:r>
      <w:r>
        <w:rPr>
          <w:rStyle w:val="FootnoteReference"/>
          <w:rFonts w:ascii="Times New Roman" w:hAnsi="Times New Roman" w:cs="Times New Roman"/>
          <w:noProof/>
          <w:lang w:val="bg-BG"/>
        </w:rPr>
        <w:footnoteReference w:id="10"/>
      </w:r>
      <w:r>
        <w:rPr>
          <w:rFonts w:ascii="Times New Roman" w:hAnsi="Times New Roman"/>
          <w:noProof/>
          <w:lang w:val="bg-BG"/>
        </w:rPr>
        <w:t>. Първият съвместен доклад за напредъка в изпълнението на Плана за действие за военната мобилност (наричан по-нататък „Докладът“) беше представен на 3 юни 2019 г.</w:t>
      </w:r>
      <w:r>
        <w:rPr>
          <w:rStyle w:val="FootnoteReference"/>
          <w:rFonts w:ascii="Times New Roman" w:hAnsi="Times New Roman" w:cs="Times New Roman"/>
          <w:noProof/>
          <w:lang w:val="bg-BG"/>
        </w:rPr>
        <w:footnoteReference w:id="11"/>
      </w:r>
      <w:r>
        <w:rPr>
          <w:rFonts w:ascii="Times New Roman" w:hAnsi="Times New Roman"/>
          <w:noProof/>
          <w:lang w:val="bg-BG"/>
        </w:rPr>
        <w:t>. Заключенията му са, че е постигнат значителен и осезаем напредък във всички области и че до края на лятото на 2020 г. ще бъде представен нов доклад за напредъка. Съветът приветства Доклада и факта, че е постигнат добър напредък и осезаеми резултати в ключови области</w:t>
      </w:r>
      <w:r>
        <w:rPr>
          <w:rStyle w:val="FootnoteReference"/>
          <w:rFonts w:ascii="Times New Roman" w:hAnsi="Times New Roman" w:cs="Times New Roman"/>
          <w:noProof/>
          <w:lang w:val="bg-BG"/>
        </w:rPr>
        <w:footnoteReference w:id="12"/>
      </w:r>
      <w:r>
        <w:rPr>
          <w:rFonts w:ascii="Times New Roman" w:hAnsi="Times New Roman"/>
          <w:noProof/>
          <w:lang w:val="bg-BG"/>
        </w:rPr>
        <w:t>.</w:t>
      </w:r>
    </w:p>
    <w:p>
      <w:pPr>
        <w:pStyle w:val="ListParagraph"/>
        <w:numPr>
          <w:ilvl w:val="0"/>
          <w:numId w:val="1"/>
        </w:numPr>
        <w:contextualSpacing w:val="0"/>
        <w:jc w:val="both"/>
        <w:rPr>
          <w:rFonts w:ascii="Times New Roman" w:hAnsi="Times New Roman" w:cs="Times New Roman"/>
          <w:noProof/>
          <w:lang w:val="bg-BG"/>
        </w:rPr>
      </w:pPr>
      <w:r>
        <w:rPr>
          <w:rFonts w:ascii="Times New Roman" w:hAnsi="Times New Roman"/>
          <w:noProof/>
          <w:lang w:val="bg-BG"/>
        </w:rPr>
        <w:t>Този втори доклад е представен в допълнение на втория годишен доклад за военната мобилност на Европейската агенция по отбрана</w:t>
      </w:r>
      <w:r>
        <w:rPr>
          <w:rStyle w:val="FootnoteReference"/>
          <w:rFonts w:ascii="Times New Roman" w:hAnsi="Times New Roman" w:cs="Times New Roman"/>
          <w:noProof/>
          <w:lang w:val="bg-BG"/>
        </w:rPr>
        <w:footnoteReference w:id="13"/>
      </w:r>
      <w:r>
        <w:rPr>
          <w:rFonts w:ascii="Times New Roman" w:hAnsi="Times New Roman"/>
          <w:noProof/>
          <w:lang w:val="bg-BG"/>
        </w:rPr>
        <w:t>, който беше приветстван от Управителния съвет на Агенцията на 25 май 2020 г.</w:t>
      </w:r>
    </w:p>
    <w:p>
      <w:pPr>
        <w:pStyle w:val="ListParagraph"/>
        <w:rPr>
          <w:noProof/>
          <w:lang w:val="bg-BG"/>
        </w:rPr>
      </w:pPr>
    </w:p>
    <w:p>
      <w:pPr>
        <w:pStyle w:val="ListParagraph"/>
        <w:numPr>
          <w:ilvl w:val="0"/>
          <w:numId w:val="2"/>
        </w:numPr>
        <w:spacing w:before="240" w:after="240"/>
        <w:ind w:left="1077"/>
        <w:contextualSpacing w:val="0"/>
        <w:jc w:val="both"/>
        <w:rPr>
          <w:rFonts w:ascii="Times New Roman" w:hAnsi="Times New Roman" w:cs="Times New Roman"/>
          <w:b/>
          <w:noProof/>
          <w:sz w:val="24"/>
          <w:lang w:val="bg-BG"/>
        </w:rPr>
      </w:pPr>
      <w:r>
        <w:rPr>
          <w:rFonts w:ascii="Times New Roman" w:hAnsi="Times New Roman"/>
          <w:b/>
          <w:noProof/>
          <w:sz w:val="24"/>
          <w:lang w:val="bg-BG"/>
        </w:rPr>
        <w:t>ВОЕННИ ИЗИСКВАНИЯ ЗА ВОЕННА МОБИЛНОСТ В ЕС И ИЗВЪН НЕГО</w:t>
      </w:r>
    </w:p>
    <w:p>
      <w:pPr>
        <w:pStyle w:val="ListParagraph"/>
        <w:numPr>
          <w:ilvl w:val="0"/>
          <w:numId w:val="3"/>
        </w:numPr>
        <w:spacing w:before="240" w:after="240"/>
        <w:ind w:left="1434" w:hanging="357"/>
        <w:contextualSpacing w:val="0"/>
        <w:jc w:val="both"/>
        <w:rPr>
          <w:rFonts w:ascii="Times New Roman" w:hAnsi="Times New Roman" w:cs="Times New Roman"/>
          <w:b/>
          <w:noProof/>
          <w:sz w:val="24"/>
          <w:lang w:val="bg-BG"/>
        </w:rPr>
      </w:pPr>
      <w:r>
        <w:rPr>
          <w:rFonts w:ascii="Times New Roman" w:hAnsi="Times New Roman"/>
          <w:b/>
          <w:noProof/>
          <w:sz w:val="24"/>
          <w:lang w:val="bg-BG"/>
        </w:rPr>
        <w:t>Актуализиране на военните изисквания</w:t>
      </w:r>
    </w:p>
    <w:p>
      <w:pPr>
        <w:pStyle w:val="ListParagraph"/>
        <w:numPr>
          <w:ilvl w:val="0"/>
          <w:numId w:val="1"/>
        </w:numPr>
        <w:contextualSpacing w:val="0"/>
        <w:jc w:val="both"/>
        <w:rPr>
          <w:rFonts w:ascii="Times New Roman" w:hAnsi="Times New Roman" w:cs="Times New Roman"/>
          <w:noProof/>
          <w:lang w:val="bg-BG"/>
        </w:rPr>
      </w:pPr>
      <w:r>
        <w:rPr>
          <w:rFonts w:ascii="Times New Roman" w:hAnsi="Times New Roman"/>
          <w:noProof/>
          <w:lang w:val="bg-BG"/>
        </w:rPr>
        <w:t>На 8 май 2019 г. Комитетът по политика и сигурност прикани Европейската служба за външна дейност/Военния секретариат на ЕС да представят актуализация на параметрите за транспортната инфраструктура и географските данни във връзка с военните изисквания за военна мобилност в ЕС и извън него</w:t>
      </w:r>
      <w:r>
        <w:rPr>
          <w:rStyle w:val="FootnoteReference"/>
          <w:rFonts w:ascii="Times New Roman" w:hAnsi="Times New Roman" w:cs="Times New Roman"/>
          <w:noProof/>
          <w:lang w:val="bg-BG"/>
        </w:rPr>
        <w:footnoteReference w:id="14"/>
      </w:r>
      <w:r>
        <w:rPr>
          <w:rFonts w:ascii="Times New Roman" w:hAnsi="Times New Roman"/>
          <w:noProof/>
          <w:lang w:val="bg-BG"/>
        </w:rPr>
        <w:t xml:space="preserve"> (наричани по-нататък „военни изисквания“). На 15 юли 2019 г. Съветът одобри актуализираните военни изисквания, изготвени от Военния секретариат на ЕС в тясно сътрудничество със службите на Комисията, Европейската агенция по отбрана и държавите — членки на ЕС. Актуализирането на географските данни даде възможност на държавите — членки на ЕС, да преразгледат и коригират информацията, свързана с определени части на военнотранспортната мрежа (например липсващи връзки и трансгранични елементи), както и да разгледат по-подробно техническите изисквания, придържайки се към подхода с участие на всички нива на управление, включително съответните компетентни национални органи, а не само министерствата на отбраната. Информацията за цялостната работа и резултатите беше предоставена на служителите в сътрудничество с НАТО, когато това беше необходимо</w:t>
      </w:r>
      <w:r>
        <w:rPr>
          <w:rFonts w:ascii="Times New Roman" w:hAnsi="Times New Roman" w:cs="Times New Roman"/>
          <w:noProof/>
          <w:vertAlign w:val="superscript"/>
          <w:lang w:val="bg-BG"/>
        </w:rPr>
        <w:footnoteReference w:id="15"/>
      </w:r>
      <w:r>
        <w:rPr>
          <w:rFonts w:ascii="Times New Roman" w:hAnsi="Times New Roman"/>
          <w:noProof/>
          <w:lang w:val="bg-BG"/>
        </w:rPr>
        <w:t>.</w:t>
      </w:r>
    </w:p>
    <w:p>
      <w:pPr>
        <w:pStyle w:val="ListParagraph"/>
        <w:numPr>
          <w:ilvl w:val="0"/>
          <w:numId w:val="1"/>
        </w:numPr>
        <w:contextualSpacing w:val="0"/>
        <w:jc w:val="both"/>
        <w:rPr>
          <w:rFonts w:ascii="Times New Roman" w:hAnsi="Times New Roman" w:cs="Times New Roman"/>
          <w:noProof/>
          <w:lang w:val="bg-BG"/>
        </w:rPr>
      </w:pPr>
      <w:r>
        <w:rPr>
          <w:rFonts w:ascii="Times New Roman" w:hAnsi="Times New Roman"/>
          <w:noProof/>
          <w:lang w:val="bg-BG"/>
        </w:rPr>
        <w:t>Актуализираните военни изисквания предоставиха стабилна основа за следващите стъпки в изпълнението на Плана за действие в областта на инфраструктурата, особено относно актуализацията на анализа на несъответствията и изискванията при двойна употреба, приложими за финансирането на транспортната инфраструктура с двойна употреба от Механизма за свързване на Европа 2021 г.—2027 г. (вж. точки 14—20 по-долу).</w:t>
      </w:r>
    </w:p>
    <w:p>
      <w:pPr>
        <w:jc w:val="both"/>
        <w:rPr>
          <w:rFonts w:ascii="Times New Roman" w:hAnsi="Times New Roman" w:cs="Times New Roman"/>
          <w:noProof/>
          <w:lang w:val="bg-BG"/>
        </w:rPr>
      </w:pPr>
    </w:p>
    <w:p>
      <w:pPr>
        <w:pStyle w:val="ListParagraph"/>
        <w:numPr>
          <w:ilvl w:val="0"/>
          <w:numId w:val="2"/>
        </w:numPr>
        <w:spacing w:before="240" w:after="240"/>
        <w:ind w:left="1077"/>
        <w:contextualSpacing w:val="0"/>
        <w:jc w:val="both"/>
        <w:rPr>
          <w:rFonts w:ascii="Times New Roman" w:hAnsi="Times New Roman" w:cs="Times New Roman"/>
          <w:b/>
          <w:noProof/>
          <w:sz w:val="24"/>
          <w:lang w:val="bg-BG"/>
        </w:rPr>
      </w:pPr>
      <w:r>
        <w:rPr>
          <w:rFonts w:ascii="Times New Roman" w:hAnsi="Times New Roman"/>
          <w:b/>
          <w:noProof/>
          <w:sz w:val="24"/>
          <w:lang w:val="bg-BG"/>
        </w:rPr>
        <w:t>ТРАНСПОРТНА ИНФРАСТРУКТУРА</w:t>
      </w:r>
    </w:p>
    <w:p>
      <w:pPr>
        <w:numPr>
          <w:ilvl w:val="0"/>
          <w:numId w:val="1"/>
        </w:numPr>
        <w:spacing w:after="160" w:line="259" w:lineRule="auto"/>
        <w:jc w:val="both"/>
        <w:rPr>
          <w:rFonts w:ascii="Times New Roman" w:hAnsi="Times New Roman" w:cs="Times New Roman"/>
          <w:noProof/>
          <w:lang w:val="bg-BG"/>
        </w:rPr>
      </w:pPr>
      <w:r>
        <w:rPr>
          <w:rFonts w:ascii="Times New Roman" w:hAnsi="Times New Roman"/>
          <w:noProof/>
          <w:lang w:val="bg-BG"/>
        </w:rPr>
        <w:t>Като се има предвид, че военните сили зависят от гражданската транспортна инфраструктура за своите придвижвания, повишаването на взаимодействията между трансевропейската мрежа и военните нужди е основен стълб на Плана за действие.</w:t>
      </w:r>
    </w:p>
    <w:p>
      <w:pPr>
        <w:numPr>
          <w:ilvl w:val="0"/>
          <w:numId w:val="5"/>
        </w:numPr>
        <w:spacing w:before="240" w:after="240" w:line="259" w:lineRule="auto"/>
        <w:jc w:val="both"/>
        <w:rPr>
          <w:rFonts w:ascii="Times New Roman" w:hAnsi="Times New Roman" w:cs="Times New Roman"/>
          <w:b/>
          <w:noProof/>
          <w:sz w:val="24"/>
          <w:lang w:val="bg-BG"/>
        </w:rPr>
      </w:pPr>
      <w:r>
        <w:rPr>
          <w:rFonts w:ascii="Times New Roman" w:hAnsi="Times New Roman"/>
          <w:b/>
          <w:noProof/>
          <w:sz w:val="24"/>
          <w:lang w:val="bg-BG"/>
        </w:rPr>
        <w:t>Финансиране на транспортната инфраструктура с двойна употреба</w:t>
      </w:r>
    </w:p>
    <w:p>
      <w:pPr>
        <w:numPr>
          <w:ilvl w:val="0"/>
          <w:numId w:val="1"/>
        </w:numPr>
        <w:spacing w:after="160" w:line="259" w:lineRule="auto"/>
        <w:jc w:val="both"/>
        <w:rPr>
          <w:rFonts w:ascii="Times New Roman" w:hAnsi="Times New Roman" w:cs="Times New Roman"/>
          <w:noProof/>
          <w:lang w:val="bg-BG"/>
        </w:rPr>
      </w:pPr>
      <w:r>
        <w:rPr>
          <w:rFonts w:ascii="Times New Roman" w:hAnsi="Times New Roman"/>
          <w:noProof/>
          <w:lang w:val="bg-BG"/>
        </w:rPr>
        <w:t>До пролетта на 2019 г. съзаконодателите постигнаха общо разбиране и одобриха предложения текст на Регламента относно Механизма за свързване на Европа 2021 г.—2027 г., който включваше необходимите разпоредби за финансиране на проекти за транспортна инфраструктура с двойна употреба (надграждане на съществуваща и изграждане на нова инфраструктура)</w:t>
      </w:r>
      <w:r>
        <w:rPr>
          <w:rFonts w:ascii="Times New Roman" w:hAnsi="Times New Roman" w:cs="Times New Roman"/>
          <w:noProof/>
          <w:vertAlign w:val="superscript"/>
          <w:lang w:val="bg-BG"/>
        </w:rPr>
        <w:footnoteReference w:id="16"/>
      </w:r>
      <w:r>
        <w:rPr>
          <w:rFonts w:ascii="Times New Roman" w:hAnsi="Times New Roman"/>
          <w:noProof/>
          <w:lang w:val="bg-BG"/>
        </w:rPr>
        <w:t>. Разпределението на финансовите средства за Механизма за свързване на Европа 2021 г.—2027 г. ще завърши в рамките на преговорите за многогодишната финансова рамка за периода 2021 г.—2027 г.</w:t>
      </w:r>
    </w:p>
    <w:p>
      <w:pPr>
        <w:numPr>
          <w:ilvl w:val="0"/>
          <w:numId w:val="1"/>
        </w:numPr>
        <w:spacing w:after="160" w:line="259" w:lineRule="auto"/>
        <w:jc w:val="both"/>
        <w:rPr>
          <w:rFonts w:ascii="Times New Roman" w:hAnsi="Times New Roman" w:cs="Times New Roman"/>
          <w:noProof/>
          <w:lang w:val="bg-BG"/>
        </w:rPr>
      </w:pPr>
      <w:r>
        <w:rPr>
          <w:rFonts w:ascii="Times New Roman" w:hAnsi="Times New Roman"/>
          <w:noProof/>
          <w:lang w:val="bg-BG"/>
        </w:rPr>
        <w:t>На 21 юли 2020 г. Европейският съвет постигна споразумение относно новия дългосрочен бюджет на ЕС. В него се предвиждат 1,5 милиарда евро (1,69 милиарда евро по текущи цени) за военната мобилност в рамките на Механизма за свързване на Европа 2021 г.—2027 г.</w:t>
      </w:r>
      <w:r>
        <w:rPr>
          <w:rFonts w:ascii="Times New Roman" w:hAnsi="Times New Roman" w:cs="Times New Roman"/>
          <w:noProof/>
          <w:vertAlign w:val="superscript"/>
          <w:lang w:val="bg-BG"/>
        </w:rPr>
        <w:footnoteReference w:id="17"/>
      </w:r>
      <w:r>
        <w:rPr>
          <w:rFonts w:ascii="Times New Roman" w:hAnsi="Times New Roman"/>
          <w:noProof/>
          <w:lang w:val="bg-BG"/>
        </w:rPr>
        <w:t xml:space="preserve">. Към септември 2020 г. споразумението очаква одобрението на Европейския парламент. </w:t>
      </w:r>
    </w:p>
    <w:p>
      <w:pPr>
        <w:ind w:firstLine="357"/>
        <w:jc w:val="both"/>
        <w:rPr>
          <w:rFonts w:ascii="Times New Roman" w:hAnsi="Times New Roman" w:cs="Times New Roman"/>
          <w:i/>
          <w:noProof/>
          <w:u w:val="single"/>
          <w:lang w:val="bg-BG"/>
        </w:rPr>
      </w:pPr>
      <w:r>
        <w:rPr>
          <w:rFonts w:ascii="Times New Roman" w:hAnsi="Times New Roman"/>
          <w:i/>
          <w:noProof/>
          <w:u w:val="single"/>
          <w:lang w:val="bg-BG"/>
        </w:rPr>
        <w:t>Актуализиране на военните изисквания</w:t>
      </w:r>
    </w:p>
    <w:p>
      <w:pPr>
        <w:numPr>
          <w:ilvl w:val="0"/>
          <w:numId w:val="1"/>
        </w:numPr>
        <w:spacing w:after="160" w:line="259" w:lineRule="auto"/>
        <w:jc w:val="both"/>
        <w:rPr>
          <w:rFonts w:ascii="Times New Roman" w:hAnsi="Times New Roman" w:cs="Times New Roman"/>
          <w:noProof/>
          <w:lang w:val="bg-BG"/>
        </w:rPr>
      </w:pPr>
      <w:r>
        <w:rPr>
          <w:rFonts w:ascii="Times New Roman" w:hAnsi="Times New Roman"/>
          <w:noProof/>
          <w:lang w:val="bg-BG"/>
        </w:rPr>
        <w:t>Първоначалният анализ на несъответствията между военните изисквания и изискванията на трансевропейската транспортна мрежа установи несъответствия между гражданските и военните набори от инфраструктурни изисквания, както и липсващи връзки във военнотранспортната мрежа</w:t>
      </w:r>
      <w:r>
        <w:rPr>
          <w:rFonts w:ascii="Times New Roman" w:hAnsi="Times New Roman" w:cs="Times New Roman"/>
          <w:noProof/>
          <w:vertAlign w:val="superscript"/>
          <w:lang w:val="bg-BG"/>
        </w:rPr>
        <w:footnoteReference w:id="18"/>
      </w:r>
      <w:r>
        <w:rPr>
          <w:rFonts w:ascii="Times New Roman" w:hAnsi="Times New Roman"/>
          <w:noProof/>
          <w:lang w:val="bg-BG"/>
        </w:rPr>
        <w:t>. Заключенията от първоначалния анализ на несъответствията доведоха до решението за актуализация на военните изисквания. Документът с актуализираните военни изисквания, одобрен от Съвета на 15 юли 2019 г.</w:t>
      </w:r>
      <w:r>
        <w:rPr>
          <w:rFonts w:ascii="Times New Roman" w:hAnsi="Times New Roman" w:cs="Times New Roman"/>
          <w:noProof/>
          <w:vertAlign w:val="superscript"/>
          <w:lang w:val="bg-BG"/>
        </w:rPr>
        <w:footnoteReference w:id="19"/>
      </w:r>
      <w:r>
        <w:rPr>
          <w:rFonts w:ascii="Times New Roman" w:hAnsi="Times New Roman"/>
          <w:noProof/>
          <w:lang w:val="bg-BG"/>
        </w:rPr>
        <w:t>, съдържа изменения на общите изисквания за инфраструктурата и на стратегическите географски данни (вж. точки 8—9 по-горе).</w:t>
      </w:r>
    </w:p>
    <w:p>
      <w:pPr>
        <w:ind w:firstLine="357"/>
        <w:jc w:val="both"/>
        <w:rPr>
          <w:rFonts w:ascii="Times New Roman" w:hAnsi="Times New Roman" w:cs="Times New Roman"/>
          <w:i/>
          <w:noProof/>
          <w:u w:val="single"/>
          <w:lang w:val="bg-BG"/>
        </w:rPr>
      </w:pPr>
      <w:r>
        <w:rPr>
          <w:rFonts w:ascii="Times New Roman" w:hAnsi="Times New Roman"/>
          <w:i/>
          <w:noProof/>
          <w:u w:val="single"/>
          <w:lang w:val="bg-BG"/>
        </w:rPr>
        <w:t>Актуализиран анализ на несъответствията</w:t>
      </w:r>
    </w:p>
    <w:p>
      <w:pPr>
        <w:numPr>
          <w:ilvl w:val="0"/>
          <w:numId w:val="1"/>
        </w:numPr>
        <w:spacing w:after="160" w:line="259" w:lineRule="auto"/>
        <w:jc w:val="both"/>
        <w:rPr>
          <w:rFonts w:ascii="Times New Roman" w:hAnsi="Times New Roman" w:cs="Times New Roman"/>
          <w:noProof/>
          <w:lang w:val="bg-BG"/>
        </w:rPr>
      </w:pPr>
      <w:r>
        <w:rPr>
          <w:rFonts w:ascii="Times New Roman" w:hAnsi="Times New Roman"/>
          <w:noProof/>
          <w:lang w:val="bg-BG"/>
        </w:rPr>
        <w:t>След актуализацията на военните изисквания и във връзка с оттеглянето от ЕС на Обединеното кралство на 31 януари 2020 г. службите на Комисията и ЕСВД</w:t>
      </w:r>
      <w:r>
        <w:rPr>
          <w:noProof/>
          <w:lang w:val="bg-BG"/>
        </w:rPr>
        <w:t xml:space="preserve"> </w:t>
      </w:r>
      <w:r>
        <w:rPr>
          <w:rFonts w:ascii="Times New Roman" w:hAnsi="Times New Roman"/>
          <w:noProof/>
          <w:lang w:val="bg-BG"/>
        </w:rPr>
        <w:t>представиха на Съвета актуализиран анализ на несъответствията между военните изисквания и изискванията за трансевропейската транспортна мрежа на 17 юли 2020 г.</w:t>
      </w:r>
      <w:r>
        <w:rPr>
          <w:rFonts w:ascii="Times New Roman" w:hAnsi="Times New Roman" w:cs="Times New Roman"/>
          <w:noProof/>
          <w:vertAlign w:val="superscript"/>
          <w:lang w:val="bg-BG"/>
        </w:rPr>
        <w:footnoteReference w:id="20"/>
      </w:r>
      <w:r>
        <w:rPr>
          <w:rFonts w:ascii="Times New Roman" w:hAnsi="Times New Roman"/>
          <w:noProof/>
          <w:lang w:val="bg-BG"/>
        </w:rPr>
        <w:t>.</w:t>
      </w:r>
    </w:p>
    <w:p>
      <w:pPr>
        <w:numPr>
          <w:ilvl w:val="0"/>
          <w:numId w:val="1"/>
        </w:numPr>
        <w:spacing w:after="160" w:line="259" w:lineRule="auto"/>
        <w:jc w:val="both"/>
        <w:rPr>
          <w:rFonts w:ascii="Times New Roman" w:hAnsi="Times New Roman" w:cs="Times New Roman"/>
          <w:noProof/>
          <w:lang w:val="bg-BG"/>
        </w:rPr>
      </w:pPr>
      <w:r>
        <w:rPr>
          <w:rFonts w:ascii="Times New Roman" w:hAnsi="Times New Roman"/>
          <w:noProof/>
          <w:lang w:val="bg-BG"/>
        </w:rPr>
        <w:t>Заключението в актуализирания анализ на несъответствията е, че актуализацията на военните изисквания е довела до положителни последици за военната мобилност в ЕС и извън него. На първо място, понастоящем има по-малко несъответствия между гражданските и военните набори от изисквания за техническа инфраструктура, а когато са останали несъответствия, в някои случаи те са по-малки. Вследствие на това са необходими по-малко смекчаващи мерки за военните придвижвания. На второ място, общата дължина и броят на възлите на военнотранспортната мрежа са се увеличили. Някои от тези разширения на военнотранспортната мрежа помогнаха за намаляване на броя на липсващите трансгранични връзки. Въпреки че препокриването между военнотранспортната мрежа и трансевропейската транспортна мрежа намалява незначително — от 94 % на 93 %, то остава много високо.</w:t>
      </w:r>
    </w:p>
    <w:p>
      <w:pPr>
        <w:numPr>
          <w:ilvl w:val="0"/>
          <w:numId w:val="1"/>
        </w:numPr>
        <w:spacing w:after="160" w:line="259" w:lineRule="auto"/>
        <w:jc w:val="both"/>
        <w:rPr>
          <w:rFonts w:ascii="Times New Roman" w:hAnsi="Times New Roman" w:cs="Times New Roman"/>
          <w:noProof/>
          <w:lang w:val="bg-BG"/>
        </w:rPr>
      </w:pPr>
      <w:r>
        <w:rPr>
          <w:rFonts w:ascii="Times New Roman" w:hAnsi="Times New Roman"/>
          <w:noProof/>
          <w:lang w:val="bg-BG"/>
        </w:rPr>
        <w:t>Освен това понастоящем по-голям брой транспортни инфраструктурни проекти биха били допустими за финансиране при бъдещи покани за представяне на предложения за военната мобилност в рамките на Механизма за свързване на Европа поради разрастването на общата военнотранспортна мрежа.</w:t>
      </w:r>
    </w:p>
    <w:p>
      <w:pPr>
        <w:ind w:firstLine="357"/>
        <w:jc w:val="both"/>
        <w:rPr>
          <w:rFonts w:ascii="Times New Roman" w:hAnsi="Times New Roman" w:cs="Times New Roman"/>
          <w:i/>
          <w:noProof/>
          <w:u w:val="single"/>
          <w:lang w:val="bg-BG"/>
        </w:rPr>
      </w:pPr>
      <w:r>
        <w:rPr>
          <w:rFonts w:ascii="Times New Roman" w:hAnsi="Times New Roman"/>
          <w:i/>
          <w:noProof/>
          <w:u w:val="single"/>
          <w:lang w:val="bg-BG"/>
        </w:rPr>
        <w:t>Изисквания при двойна употреба</w:t>
      </w:r>
    </w:p>
    <w:p>
      <w:pPr>
        <w:numPr>
          <w:ilvl w:val="0"/>
          <w:numId w:val="1"/>
        </w:numPr>
        <w:spacing w:after="160" w:line="259" w:lineRule="auto"/>
        <w:jc w:val="both"/>
        <w:rPr>
          <w:rFonts w:ascii="Times New Roman" w:hAnsi="Times New Roman" w:cs="Times New Roman"/>
          <w:noProof/>
          <w:lang w:val="bg-BG"/>
        </w:rPr>
      </w:pPr>
      <w:r>
        <w:rPr>
          <w:rFonts w:ascii="Times New Roman" w:hAnsi="Times New Roman"/>
          <w:noProof/>
          <w:lang w:val="bg-BG"/>
        </w:rPr>
        <w:t xml:space="preserve">Текстът на Регламента относно Механизма за свързване на Европа 2021 г.—2027 г., одобрен от съзаконодателите, предвижда Комисията да приеме регламент за изпълнение, в който ще се определят изискванията за инфраструктурата, приложими за действия в областта на инфраструктурата с двойна употреба. Въпреки че Регламентът относно Механизма за свързване на Европа 2021 г.—2027 г. все още не е приет, службите на Комисията започнаха процеса по разработване на Регламента за изпълнение относно изискванията при двойна употреба, за да могат да започнат финансирането на проекти възможно най-бързо от 2021 г. нататък. </w:t>
      </w:r>
    </w:p>
    <w:p>
      <w:pPr>
        <w:numPr>
          <w:ilvl w:val="0"/>
          <w:numId w:val="1"/>
        </w:numPr>
        <w:spacing w:after="160" w:line="259" w:lineRule="auto"/>
        <w:jc w:val="both"/>
        <w:rPr>
          <w:rFonts w:ascii="Times New Roman" w:hAnsi="Times New Roman" w:cs="Times New Roman"/>
          <w:noProof/>
          <w:lang w:val="bg-BG"/>
        </w:rPr>
      </w:pPr>
      <w:r>
        <w:rPr>
          <w:rFonts w:ascii="Times New Roman" w:hAnsi="Times New Roman"/>
          <w:noProof/>
          <w:lang w:val="bg-BG"/>
        </w:rPr>
        <w:t>От средата на април до края на лятото на 2019 г. службите на Комисията се консултираха със съответните асоциации на всички видове транспорт, за да определят горните граници на изискванията към инфраструктурата, които биха били полезни за граждански цели. След като получиха становищата на транспортните асоциации, службите на Комисията, в тясно сътрудничество с Европейската служба за външна дейност, включително с Военния секретариат на ЕС, и след консултация с Европейската агенция по въздушна безопасност, Европейската агенция по отбрана, както и с Изпълнителната агенция за иновации и мрежи, изготвиха първия проект на изискванията при двойна употреба. Той се основава на препокриването между инфраструктурните параметри, посочени във военните изисквания, и данните на транспортните асоциации.</w:t>
      </w:r>
    </w:p>
    <w:p>
      <w:pPr>
        <w:numPr>
          <w:ilvl w:val="0"/>
          <w:numId w:val="1"/>
        </w:numPr>
        <w:spacing w:after="160" w:line="259" w:lineRule="auto"/>
        <w:jc w:val="both"/>
        <w:rPr>
          <w:rFonts w:ascii="Times New Roman" w:hAnsi="Times New Roman" w:cs="Times New Roman"/>
          <w:noProof/>
          <w:lang w:val="bg-BG"/>
        </w:rPr>
      </w:pPr>
      <w:r>
        <w:rPr>
          <w:rFonts w:ascii="Times New Roman" w:hAnsi="Times New Roman"/>
          <w:noProof/>
          <w:lang w:val="bg-BG"/>
        </w:rPr>
        <w:t xml:space="preserve">Проектът на изискванията при двойна употреба беше доусъвършенстван в продължение на три срещи, на които присъстваха членове на Комитета на трансевропейската транспортна мрежа и експерти от министерствата на отбраната на държавите — членки на ЕС, които се състояха между септември 2019 г. и януари 2020 г. На окончателната среща бе изработен проект, който бе приет неофициално от държавите — членки на ЕС. На 17 юли 2020 г. службите на Комисията изпратиха проект на регламент за изпълнение на държавите — членки на ЕС, за коментари, за да ускорят неговото приемане веднага след влизането в сила на Механизма за свързване на Европа 2021 г.—2027 г. </w:t>
      </w:r>
    </w:p>
    <w:p>
      <w:pPr>
        <w:numPr>
          <w:ilvl w:val="0"/>
          <w:numId w:val="1"/>
        </w:numPr>
        <w:spacing w:after="160" w:line="259" w:lineRule="auto"/>
        <w:jc w:val="both"/>
        <w:rPr>
          <w:rFonts w:ascii="Times New Roman" w:hAnsi="Times New Roman" w:cs="Times New Roman"/>
          <w:noProof/>
          <w:lang w:val="bg-BG"/>
        </w:rPr>
      </w:pPr>
      <w:r>
        <w:rPr>
          <w:rFonts w:ascii="Times New Roman" w:hAnsi="Times New Roman"/>
          <w:noProof/>
          <w:lang w:val="bg-BG"/>
        </w:rPr>
        <w:t>Изискванията при двойна употреба ще станат отправната точка на бъдещото инфраструктурно планиране на държавите — членки на ЕС, които желаят да се възползват от взаимодействията между гражданската и военната мобилност.</w:t>
      </w:r>
    </w:p>
    <w:p>
      <w:pPr>
        <w:ind w:firstLine="357"/>
        <w:jc w:val="both"/>
        <w:rPr>
          <w:rFonts w:ascii="Times New Roman" w:hAnsi="Times New Roman" w:cs="Times New Roman"/>
          <w:i/>
          <w:noProof/>
          <w:u w:val="single"/>
          <w:lang w:val="bg-BG"/>
        </w:rPr>
      </w:pPr>
      <w:r>
        <w:rPr>
          <w:rFonts w:ascii="Times New Roman" w:hAnsi="Times New Roman"/>
          <w:i/>
          <w:noProof/>
          <w:u w:val="single"/>
          <w:lang w:val="bg-BG"/>
        </w:rPr>
        <w:t>Поредица от проекти с двойна употреба</w:t>
      </w:r>
    </w:p>
    <w:p>
      <w:pPr>
        <w:numPr>
          <w:ilvl w:val="0"/>
          <w:numId w:val="1"/>
        </w:numPr>
        <w:spacing w:after="160" w:line="259" w:lineRule="auto"/>
        <w:jc w:val="both"/>
        <w:rPr>
          <w:rFonts w:ascii="Times New Roman" w:hAnsi="Times New Roman" w:cs="Times New Roman"/>
          <w:noProof/>
          <w:lang w:val="bg-BG"/>
        </w:rPr>
      </w:pPr>
      <w:r>
        <w:rPr>
          <w:rFonts w:ascii="Times New Roman" w:hAnsi="Times New Roman"/>
          <w:noProof/>
          <w:lang w:val="bg-BG"/>
        </w:rPr>
        <w:t>Службите на Комисията приканиха държавите — членки на ЕС, да определят своите приоритетни проекти с двойна употреба и да ги представят през първото полугодие на 2020 г., така че службите на Комисията да могат, в тясно сътрудничество с Европейската служба за външна дейност, включително с Военния секретариат на ЕС, да изготвят поредица от проекти, съответстващи на нуждите на европейско равнище по отношение на двойната употреба.</w:t>
      </w:r>
    </w:p>
    <w:p>
      <w:pPr>
        <w:numPr>
          <w:ilvl w:val="0"/>
          <w:numId w:val="1"/>
        </w:numPr>
        <w:spacing w:after="160" w:line="259" w:lineRule="auto"/>
        <w:jc w:val="both"/>
        <w:rPr>
          <w:rFonts w:ascii="Times New Roman" w:hAnsi="Times New Roman" w:cs="Times New Roman"/>
          <w:noProof/>
          <w:lang w:val="bg-BG"/>
        </w:rPr>
      </w:pPr>
      <w:r>
        <w:rPr>
          <w:rFonts w:ascii="Times New Roman" w:hAnsi="Times New Roman"/>
          <w:noProof/>
          <w:lang w:val="bg-BG"/>
        </w:rPr>
        <w:t>Въпреки набраната силно положителна инерция през 2019 г., включително неформалното завършване на изискванията при двойна употреба през януари 2020 г., процесът на подготовка на поредицата от проекти през 2020 г. се забави след избухването на COVID-19. Независимо от това работата продължава, за да се гарантира, че службите на Комисията ще приключат поредицата от проекти до края на 2020 г. в съответствие с плана. Досега са проведени няколко срещи и първите тенденции показват висок интерес от страна на държавите — членки на ЕС.</w:t>
      </w:r>
    </w:p>
    <w:p>
      <w:pPr>
        <w:keepNext/>
        <w:numPr>
          <w:ilvl w:val="0"/>
          <w:numId w:val="1"/>
        </w:numPr>
        <w:spacing w:after="160" w:line="259" w:lineRule="auto"/>
        <w:ind w:left="714" w:hanging="357"/>
        <w:jc w:val="both"/>
        <w:rPr>
          <w:rFonts w:ascii="Times New Roman" w:hAnsi="Times New Roman" w:cs="Times New Roman"/>
          <w:noProof/>
          <w:lang w:val="bg-BG"/>
        </w:rPr>
      </w:pPr>
      <w:r>
        <w:rPr>
          <w:rFonts w:ascii="Times New Roman" w:hAnsi="Times New Roman"/>
          <w:noProof/>
          <w:lang w:val="bg-BG"/>
        </w:rPr>
        <w:t>Както вече беше споменато, Европейският съвет постигна съгласие по бюджет за финансиране на транспортна инфраструктура с двойна употреба в размер на 1,69 милиарда евро</w:t>
      </w:r>
      <w:r>
        <w:rPr>
          <w:rStyle w:val="FootnoteReference"/>
          <w:rFonts w:ascii="Times New Roman" w:hAnsi="Times New Roman" w:cs="Times New Roman"/>
          <w:noProof/>
          <w:lang w:val="bg-BG"/>
        </w:rPr>
        <w:footnoteReference w:id="21"/>
      </w:r>
      <w:r>
        <w:rPr>
          <w:rFonts w:ascii="Times New Roman" w:hAnsi="Times New Roman"/>
          <w:noProof/>
          <w:lang w:val="bg-BG"/>
        </w:rPr>
        <w:t>. С оглед на големия интерес и готовност за инвестиране от страна на държавите членки бюджетът ще помогне за стимулиране на икономиката, като по този начин ще допринесе и за възстановяването от кризата с COVID-19, особено ако финансирането на проектите бъде заложено предварително.</w:t>
      </w:r>
    </w:p>
    <w:p>
      <w:pPr>
        <w:numPr>
          <w:ilvl w:val="0"/>
          <w:numId w:val="5"/>
        </w:numPr>
        <w:spacing w:before="240" w:after="240" w:line="259" w:lineRule="auto"/>
        <w:ind w:left="1434" w:hanging="357"/>
        <w:jc w:val="both"/>
        <w:rPr>
          <w:rFonts w:ascii="Times New Roman" w:hAnsi="Times New Roman" w:cs="Times New Roman"/>
          <w:b/>
          <w:noProof/>
          <w:sz w:val="24"/>
          <w:lang w:val="bg-BG"/>
        </w:rPr>
      </w:pPr>
      <w:r>
        <w:rPr>
          <w:rFonts w:ascii="Times New Roman" w:hAnsi="Times New Roman"/>
          <w:b/>
          <w:noProof/>
          <w:sz w:val="24"/>
          <w:lang w:val="bg-BG"/>
        </w:rPr>
        <w:t>Преразглеждане на Регламента относно трансевропейската транспортна мрежа</w:t>
      </w:r>
      <w:r>
        <w:rPr>
          <w:rFonts w:ascii="Times New Roman" w:hAnsi="Times New Roman" w:cs="Times New Roman"/>
          <w:b/>
          <w:noProof/>
          <w:sz w:val="24"/>
          <w:vertAlign w:val="superscript"/>
          <w:lang w:val="bg-BG"/>
        </w:rPr>
        <w:footnoteReference w:id="22"/>
      </w:r>
    </w:p>
    <w:p>
      <w:pPr>
        <w:numPr>
          <w:ilvl w:val="0"/>
          <w:numId w:val="1"/>
        </w:numPr>
        <w:spacing w:after="160" w:line="259" w:lineRule="auto"/>
        <w:jc w:val="both"/>
        <w:rPr>
          <w:rFonts w:ascii="Times New Roman" w:hAnsi="Times New Roman" w:cs="Times New Roman"/>
          <w:noProof/>
          <w:lang w:val="bg-BG"/>
        </w:rPr>
      </w:pPr>
      <w:r>
        <w:rPr>
          <w:rFonts w:ascii="Times New Roman" w:hAnsi="Times New Roman"/>
          <w:noProof/>
          <w:lang w:val="bg-BG"/>
        </w:rPr>
        <w:t>Службите на Комисията работят по приключване на процеса на преразглеждане на Регламента относно трансевропейската транспортна мрежа до ноември 2020 г. Както е посочено в Плана за действие</w:t>
      </w:r>
      <w:r>
        <w:rPr>
          <w:rStyle w:val="FootnoteReference"/>
          <w:rFonts w:ascii="Times New Roman" w:hAnsi="Times New Roman" w:cs="Times New Roman"/>
          <w:noProof/>
          <w:lang w:val="bg-BG"/>
        </w:rPr>
        <w:footnoteReference w:id="23"/>
      </w:r>
      <w:r>
        <w:rPr>
          <w:rFonts w:ascii="Times New Roman" w:hAnsi="Times New Roman"/>
          <w:noProof/>
          <w:lang w:val="bg-BG"/>
        </w:rPr>
        <w:t>, те ще направят оценка на необходимостта от включване в преразгледания регламент на някои изисквания при двойна употреба, както и от прибавяне на определени части от военнотранспортната мрежа към трансевропейската транспортна мрежа в случаите, когато могат да се наблюдават значителни граждански потоци.</w:t>
      </w:r>
    </w:p>
    <w:p>
      <w:pPr>
        <w:numPr>
          <w:ilvl w:val="0"/>
          <w:numId w:val="5"/>
        </w:numPr>
        <w:spacing w:before="240" w:after="240" w:line="259" w:lineRule="auto"/>
        <w:ind w:left="1434" w:hanging="357"/>
        <w:jc w:val="both"/>
        <w:rPr>
          <w:rFonts w:ascii="Times New Roman" w:hAnsi="Times New Roman" w:cs="Times New Roman"/>
          <w:b/>
          <w:noProof/>
          <w:sz w:val="24"/>
          <w:lang w:val="bg-BG"/>
        </w:rPr>
      </w:pPr>
      <w:r>
        <w:rPr>
          <w:rFonts w:ascii="Times New Roman" w:hAnsi="Times New Roman"/>
          <w:b/>
          <w:noProof/>
          <w:sz w:val="24"/>
          <w:lang w:val="bg-BG"/>
        </w:rPr>
        <w:t>Информационната система TENtec</w:t>
      </w:r>
    </w:p>
    <w:p>
      <w:pPr>
        <w:numPr>
          <w:ilvl w:val="0"/>
          <w:numId w:val="1"/>
        </w:numPr>
        <w:spacing w:after="160" w:line="259" w:lineRule="auto"/>
        <w:jc w:val="both"/>
        <w:rPr>
          <w:rFonts w:ascii="Times New Roman" w:hAnsi="Times New Roman" w:cs="Times New Roman"/>
          <w:noProof/>
          <w:lang w:val="bg-BG"/>
        </w:rPr>
      </w:pPr>
      <w:r>
        <w:rPr>
          <w:rFonts w:ascii="Times New Roman" w:hAnsi="Times New Roman"/>
          <w:noProof/>
          <w:lang w:val="bg-BG"/>
        </w:rPr>
        <w:t>След като Съветът одобри първоначалния вариант на военните изисквания през ноември 2018 г., службите на Комисията насложиха данните за военнотранспортната мрежа върху програмата за преглед на интерактивната карта на системата TENtec</w:t>
      </w:r>
      <w:r>
        <w:rPr>
          <w:rFonts w:ascii="Times New Roman" w:hAnsi="Times New Roman" w:cs="Times New Roman"/>
          <w:noProof/>
          <w:vertAlign w:val="superscript"/>
          <w:lang w:val="bg-BG"/>
        </w:rPr>
        <w:footnoteReference w:id="24"/>
      </w:r>
      <w:r>
        <w:rPr>
          <w:rFonts w:ascii="Times New Roman" w:hAnsi="Times New Roman"/>
          <w:noProof/>
          <w:lang w:val="bg-BG"/>
        </w:rPr>
        <w:t xml:space="preserve">, което позволи удобното визуализиране на военнотранспортната мрежа на ЕС. След като военните изисквания бяха актуализирани през юли 2019 г., службите на Комисията актуализираха и програмата за преглед на интерактивната карта. Службите на Комисията актуализираха още веднъж програмата за преглед, след като Обединеното кралство напусна ЕС през януари 2020 г. Службите на Комисията продължават да търсят начини за подобряването ѝ. </w:t>
      </w:r>
    </w:p>
    <w:p>
      <w:pPr>
        <w:numPr>
          <w:ilvl w:val="0"/>
          <w:numId w:val="1"/>
        </w:numPr>
        <w:spacing w:after="160" w:line="259" w:lineRule="auto"/>
        <w:jc w:val="both"/>
        <w:rPr>
          <w:rFonts w:ascii="Times New Roman" w:hAnsi="Times New Roman" w:cs="Times New Roman"/>
          <w:noProof/>
          <w:lang w:val="bg-BG"/>
        </w:rPr>
      </w:pPr>
      <w:r>
        <w:rPr>
          <w:rFonts w:ascii="Times New Roman" w:hAnsi="Times New Roman"/>
          <w:noProof/>
          <w:lang w:val="bg-BG"/>
        </w:rPr>
        <w:t xml:space="preserve">Програмата за преглед на системата TENtec получи положителна обратна информация и остава основното средство на персонала на институциите на ЕС и на представителите на държавите — членки на ЕС, за достъп и анализ на военнотранспортната мрежа на ЕС. </w:t>
      </w:r>
    </w:p>
    <w:p>
      <w:pPr>
        <w:numPr>
          <w:ilvl w:val="0"/>
          <w:numId w:val="1"/>
        </w:numPr>
        <w:spacing w:after="160" w:line="259" w:lineRule="auto"/>
        <w:jc w:val="both"/>
        <w:rPr>
          <w:rFonts w:ascii="Times New Roman" w:hAnsi="Times New Roman" w:cs="Times New Roman"/>
          <w:noProof/>
          <w:lang w:val="bg-BG"/>
        </w:rPr>
      </w:pPr>
      <w:r>
        <w:rPr>
          <w:rFonts w:ascii="Times New Roman" w:hAnsi="Times New Roman"/>
          <w:noProof/>
          <w:lang w:val="bg-BG"/>
        </w:rPr>
        <w:t>Накрая, във връзка с потенциалното свързване на военните и гражданските бази данни, както е предвидено в Плана за действие, консултациите със съответните страни се очаква да започнат през второто полугодие на 2020 г.</w:t>
      </w:r>
    </w:p>
    <w:p>
      <w:pPr>
        <w:spacing w:after="160" w:line="259" w:lineRule="auto"/>
        <w:jc w:val="both"/>
        <w:rPr>
          <w:rFonts w:ascii="Times New Roman" w:hAnsi="Times New Roman" w:cs="Times New Roman"/>
          <w:noProof/>
          <w:lang w:val="bg-BG"/>
        </w:rPr>
      </w:pPr>
    </w:p>
    <w:p>
      <w:pPr>
        <w:pStyle w:val="ListParagraph"/>
        <w:numPr>
          <w:ilvl w:val="0"/>
          <w:numId w:val="2"/>
        </w:numPr>
        <w:spacing w:before="240" w:after="240"/>
        <w:ind w:left="1077"/>
        <w:contextualSpacing w:val="0"/>
        <w:jc w:val="both"/>
        <w:rPr>
          <w:rFonts w:ascii="Times New Roman" w:hAnsi="Times New Roman" w:cs="Times New Roman"/>
          <w:b/>
          <w:noProof/>
          <w:sz w:val="24"/>
          <w:lang w:val="bg-BG"/>
        </w:rPr>
      </w:pPr>
      <w:r>
        <w:rPr>
          <w:rFonts w:ascii="Times New Roman" w:hAnsi="Times New Roman"/>
          <w:b/>
          <w:noProof/>
          <w:sz w:val="24"/>
          <w:lang w:val="bg-BG"/>
        </w:rPr>
        <w:t>ПРЕВОЗ НА ОПАСНИ ТОВАРИ</w:t>
      </w:r>
    </w:p>
    <w:p>
      <w:pPr>
        <w:pStyle w:val="ListParagraph"/>
        <w:numPr>
          <w:ilvl w:val="0"/>
          <w:numId w:val="1"/>
        </w:numPr>
        <w:contextualSpacing w:val="0"/>
        <w:jc w:val="both"/>
        <w:rPr>
          <w:rFonts w:ascii="Times New Roman" w:hAnsi="Times New Roman" w:cs="Times New Roman"/>
          <w:noProof/>
          <w:lang w:val="bg-BG"/>
        </w:rPr>
      </w:pPr>
      <w:r>
        <w:rPr>
          <w:rFonts w:ascii="Times New Roman" w:hAnsi="Times New Roman"/>
          <w:noProof/>
          <w:lang w:val="bg-BG"/>
        </w:rPr>
        <w:t>Ако бъде реализирано по-нататъшно хармонизиране в областта на транспорта на опасни товари на равнището на ЕС, това ще донесе ползи за военната област. През 2019 г. Европейската агенция по отбрана представи резултатите от свое проучване относно съществуващите правила и разпоредби, приложими за транспорта на опасни товари във военния сектор, в рамките на което беше направен преглед на националните законодателни рамки и беше поставен акцент върху пречките и ограниченията за придвижването на опасни товари.</w:t>
      </w:r>
      <w:r>
        <w:rPr>
          <w:noProof/>
          <w:lang w:val="bg-BG"/>
        </w:rPr>
        <w:t xml:space="preserve"> </w:t>
      </w:r>
      <w:r>
        <w:rPr>
          <w:rFonts w:ascii="Times New Roman" w:hAnsi="Times New Roman"/>
          <w:noProof/>
          <w:lang w:val="bg-BG"/>
        </w:rPr>
        <w:t>Докато се изготвят съответните заключения на национално равнище, бе решено да се разгледат констатациите от проучването в сферата на програмата на Европейската агенция по отбрана относно „Оптимизиране на процедурите за разрешаване на трансграничното придвижване в Европа“.</w:t>
      </w:r>
    </w:p>
    <w:p>
      <w:pPr>
        <w:pStyle w:val="ListParagraph"/>
        <w:numPr>
          <w:ilvl w:val="0"/>
          <w:numId w:val="1"/>
        </w:numPr>
        <w:contextualSpacing w:val="0"/>
        <w:jc w:val="both"/>
        <w:rPr>
          <w:rFonts w:ascii="Times New Roman" w:hAnsi="Times New Roman" w:cs="Times New Roman"/>
          <w:noProof/>
          <w:lang w:val="bg-BG"/>
        </w:rPr>
      </w:pPr>
      <w:r>
        <w:rPr>
          <w:rFonts w:ascii="Times New Roman" w:hAnsi="Times New Roman"/>
          <w:noProof/>
          <w:lang w:val="bg-BG"/>
        </w:rPr>
        <w:t xml:space="preserve">Службите на Комисията и Европейската агенция по отбрана създадоха платформа за обмен на знания между граждански и военни експерти относно транспорта на опасни товари. Този обмен се осъществи чрез участие в срещи на съответните общности и чрез контакти между съответните служители. Експертите продължават тясното си сътрудничество, особено по отношение на техническите договорености относно наземния и въздушния превоз, които се обсъждат понастоящем в контекста на програмата за разрешаване на трансграничното придвижване. Освен това през февруари 2020 г. беше организиран специализиран семинар относно превоза на опасни товари за насърчаване на общото разбиране сред всички участващи членове в програмата относно „Оптимизиране на процедурите за разрешаване на трансграничното придвижване в Европа“. </w:t>
      </w:r>
    </w:p>
    <w:p>
      <w:pPr>
        <w:pStyle w:val="ListParagraph"/>
        <w:numPr>
          <w:ilvl w:val="0"/>
          <w:numId w:val="1"/>
        </w:numPr>
        <w:contextualSpacing w:val="0"/>
        <w:jc w:val="both"/>
        <w:rPr>
          <w:rFonts w:ascii="Times New Roman" w:hAnsi="Times New Roman" w:cs="Times New Roman"/>
          <w:noProof/>
          <w:lang w:val="bg-BG"/>
        </w:rPr>
      </w:pPr>
      <w:r>
        <w:rPr>
          <w:rFonts w:ascii="Times New Roman" w:hAnsi="Times New Roman"/>
          <w:noProof/>
          <w:lang w:val="bg-BG"/>
        </w:rPr>
        <w:t xml:space="preserve">Службите на Комисията продължиха да подкрепят Европейската служба за външна дейност (и по-специално Военния секретариат на ЕС) и Европейската агенция по отбрана в създаването на последователни доброволни практики на равнището на държавите членки въз основа на гражданските правила, които са приложими за транспорта на опасни товари. В тази връзка в рамките на структурирания диалог между ЕС и НАТО за военната мобилност институциите и органите на ЕС продължиха да оценяват възможността за позоваване на Споразумението за стандартизация на НАТО AMovP6 като отправен набор от правила за превоза на опасни товари за военни цели с оглед извличане на ползи от неговото разсекретяване през 2019 г. </w:t>
      </w:r>
    </w:p>
    <w:p>
      <w:pPr>
        <w:pStyle w:val="ListParagraph"/>
        <w:numPr>
          <w:ilvl w:val="0"/>
          <w:numId w:val="1"/>
        </w:numPr>
        <w:contextualSpacing w:val="0"/>
        <w:jc w:val="both"/>
        <w:rPr>
          <w:rFonts w:ascii="Times New Roman" w:hAnsi="Times New Roman" w:cs="Times New Roman"/>
          <w:noProof/>
          <w:lang w:val="bg-BG"/>
        </w:rPr>
      </w:pPr>
      <w:r>
        <w:rPr>
          <w:rFonts w:ascii="Times New Roman" w:hAnsi="Times New Roman"/>
          <w:noProof/>
          <w:lang w:val="bg-BG"/>
        </w:rPr>
        <w:t>Извършената работа от Европейската агенция по отбрана в рамките на Техническата договореност относно разрешаването на трансграничното придвижване (CBMP TA) по земя ясно показва, че засиленото сътрудничество и взаимното доверие между държавите — членки на ЕС, във военния сектор биха били от полза за усилията за преодоляване на различията в националните подходи. Мярка, комбинираща прилагането на граждански правила като стандартен подход, и когато е необходимо, допълнена с разпоредбите на Споразумението за стандартизация на НАТО AMovP6, принципно следва да е достатъчна, за да позволи бърз и безпрепятствен международен превоз на опасни товари за военни цели в рамките на ЕС.</w:t>
      </w:r>
    </w:p>
    <w:p>
      <w:pPr>
        <w:pStyle w:val="ListParagraph"/>
        <w:numPr>
          <w:ilvl w:val="0"/>
          <w:numId w:val="1"/>
        </w:numPr>
        <w:contextualSpacing w:val="0"/>
        <w:jc w:val="both"/>
        <w:rPr>
          <w:rFonts w:ascii="Times New Roman" w:hAnsi="Times New Roman" w:cs="Times New Roman"/>
          <w:noProof/>
          <w:lang w:val="bg-BG"/>
        </w:rPr>
      </w:pPr>
      <w:r>
        <w:rPr>
          <w:rFonts w:ascii="Times New Roman" w:hAnsi="Times New Roman"/>
          <w:noProof/>
          <w:lang w:val="bg-BG"/>
        </w:rPr>
        <w:t xml:space="preserve">В контекста на оценката на осъществимостта и необходимостта от допълнителни действия на равнището на ЕС службите на Комисията анализираха няколко варианта с цел да определят референтна рамка на правилата, които ще се прилагат за превоза на опасни товари за военни цели. Правното основание за допълнителни действия продължава да се определя в тясна консултация между службите на Комисията и Европейската служба за външна дейност, както и със съдействието на Европейската агенция по отбрана. </w:t>
      </w:r>
    </w:p>
    <w:p>
      <w:pPr>
        <w:jc w:val="both"/>
        <w:rPr>
          <w:rFonts w:ascii="Times New Roman" w:hAnsi="Times New Roman" w:cs="Times New Roman"/>
          <w:noProof/>
          <w:lang w:val="bg-BG"/>
        </w:rPr>
      </w:pPr>
    </w:p>
    <w:p>
      <w:pPr>
        <w:pStyle w:val="ListParagraph"/>
        <w:numPr>
          <w:ilvl w:val="0"/>
          <w:numId w:val="2"/>
        </w:numPr>
        <w:spacing w:before="240" w:after="240"/>
        <w:ind w:left="1077"/>
        <w:contextualSpacing w:val="0"/>
        <w:jc w:val="both"/>
        <w:rPr>
          <w:rFonts w:ascii="Times New Roman" w:hAnsi="Times New Roman" w:cs="Times New Roman"/>
          <w:b/>
          <w:noProof/>
          <w:sz w:val="24"/>
          <w:lang w:val="bg-BG"/>
        </w:rPr>
      </w:pPr>
      <w:r>
        <w:rPr>
          <w:rFonts w:ascii="Times New Roman" w:hAnsi="Times New Roman"/>
          <w:b/>
          <w:noProof/>
          <w:sz w:val="24"/>
          <w:lang w:val="bg-BG"/>
        </w:rPr>
        <w:t>МИТНИЦИ И ДАНЪК ВЪРХУ ДОБАВЕНАТА СТОЙНОСТ</w:t>
      </w:r>
    </w:p>
    <w:p>
      <w:pPr>
        <w:pStyle w:val="ListParagraph"/>
        <w:numPr>
          <w:ilvl w:val="0"/>
          <w:numId w:val="4"/>
        </w:numPr>
        <w:spacing w:before="240" w:after="240"/>
        <w:contextualSpacing w:val="0"/>
        <w:jc w:val="both"/>
        <w:rPr>
          <w:rFonts w:ascii="Times New Roman" w:hAnsi="Times New Roman" w:cs="Times New Roman"/>
          <w:b/>
          <w:noProof/>
          <w:sz w:val="24"/>
          <w:lang w:val="bg-BG"/>
        </w:rPr>
      </w:pPr>
      <w:r>
        <w:rPr>
          <w:rFonts w:ascii="Times New Roman" w:hAnsi="Times New Roman"/>
          <w:b/>
          <w:noProof/>
          <w:sz w:val="24"/>
          <w:lang w:val="bg-BG"/>
        </w:rPr>
        <w:t>Митници</w:t>
      </w:r>
    </w:p>
    <w:p>
      <w:pPr>
        <w:pStyle w:val="ListParagraph"/>
        <w:numPr>
          <w:ilvl w:val="0"/>
          <w:numId w:val="1"/>
        </w:numPr>
        <w:contextualSpacing w:val="0"/>
        <w:jc w:val="both"/>
        <w:rPr>
          <w:rFonts w:ascii="Times New Roman" w:hAnsi="Times New Roman" w:cs="Times New Roman"/>
          <w:noProof/>
          <w:lang w:val="bg-BG"/>
        </w:rPr>
      </w:pPr>
      <w:r>
        <w:rPr>
          <w:rFonts w:ascii="Times New Roman" w:hAnsi="Times New Roman"/>
          <w:noProof/>
          <w:lang w:val="bg-BG"/>
        </w:rPr>
        <w:t>Конкретните действия, определени в Плана за действие с оглед оптимизиране и опростяване на митническите формалности за трансгранични военни придвижвания и гарантиране на взаимодействия с НАТО, включват по-конкретно изменения на два регламента на Комисията</w:t>
      </w:r>
      <w:r>
        <w:rPr>
          <w:rStyle w:val="FootnoteReference"/>
          <w:rFonts w:ascii="Times New Roman" w:hAnsi="Times New Roman" w:cs="Times New Roman"/>
          <w:noProof/>
          <w:lang w:val="bg-BG"/>
        </w:rPr>
        <w:footnoteReference w:id="25"/>
      </w:r>
      <w:r>
        <w:rPr>
          <w:rFonts w:ascii="Times New Roman" w:hAnsi="Times New Roman"/>
          <w:noProof/>
          <w:lang w:val="bg-BG"/>
        </w:rPr>
        <w:t>, свързани с митническото законодателство на Съюза.</w:t>
      </w:r>
    </w:p>
    <w:p>
      <w:pPr>
        <w:pStyle w:val="ListParagraph"/>
        <w:numPr>
          <w:ilvl w:val="0"/>
          <w:numId w:val="1"/>
        </w:numPr>
        <w:contextualSpacing w:val="0"/>
        <w:jc w:val="both"/>
        <w:rPr>
          <w:rFonts w:ascii="Times New Roman" w:hAnsi="Times New Roman" w:cs="Times New Roman"/>
          <w:noProof/>
          <w:lang w:val="bg-BG"/>
        </w:rPr>
      </w:pPr>
      <w:r>
        <w:rPr>
          <w:rFonts w:ascii="Times New Roman" w:hAnsi="Times New Roman"/>
          <w:noProof/>
          <w:lang w:val="bg-BG"/>
        </w:rPr>
        <w:t>На 3 април 2020 г. Комисията прие изменение на Делегиран регламент (ЕС) 2015/2446, което влезе в сила на 16 юли 2020 г.</w:t>
      </w:r>
      <w:r>
        <w:rPr>
          <w:rStyle w:val="FootnoteReference"/>
          <w:rFonts w:ascii="Times New Roman" w:hAnsi="Times New Roman" w:cs="Times New Roman"/>
          <w:noProof/>
          <w:lang w:val="bg-BG"/>
        </w:rPr>
        <w:footnoteReference w:id="26"/>
      </w:r>
      <w:r>
        <w:rPr>
          <w:rFonts w:ascii="Times New Roman" w:hAnsi="Times New Roman"/>
          <w:noProof/>
          <w:lang w:val="bg-BG"/>
        </w:rPr>
        <w:t>. В него се определя понятието „стоки, които се придвижват или използват в контекста на военни дейности“ и се определя формуляр 302 на ЕС като митнически документ, който следва да бъде използван от държавите — членки на ЕС, включително в контекста на военните дейности, свързани с общата политика за сигурност и отбрана на Съюза. Изменението дава възможност за използването на формуляр 302 на ЕС, заедно със съществуващия формуляр 302 на НАТО, като митническа декларация при различни трансгранични придвижвания.</w:t>
      </w:r>
    </w:p>
    <w:p>
      <w:pPr>
        <w:pStyle w:val="ListParagraph"/>
        <w:numPr>
          <w:ilvl w:val="0"/>
          <w:numId w:val="1"/>
        </w:numPr>
        <w:contextualSpacing w:val="0"/>
        <w:jc w:val="both"/>
        <w:rPr>
          <w:rFonts w:ascii="Times New Roman" w:hAnsi="Times New Roman" w:cs="Times New Roman"/>
          <w:noProof/>
          <w:lang w:val="bg-BG"/>
        </w:rPr>
      </w:pPr>
      <w:r>
        <w:rPr>
          <w:rFonts w:ascii="Times New Roman" w:hAnsi="Times New Roman"/>
          <w:noProof/>
          <w:lang w:val="bg-BG"/>
        </w:rPr>
        <w:t>Образецът на формуляр 302 на ЕС е разработен заедно с държавите — членки на ЕС, в рамките на програмата за митниците на Европейската агенция по отбрана. След съгласуването му от нейния управителен съвет през август 2019 г. Агенцията предостави образеца на формуляр 302 на ЕС на Комисията през септември 2019 г. с оглед неговото включване в прегледа на митническото законодателство на Съюза.</w:t>
      </w:r>
    </w:p>
    <w:p>
      <w:pPr>
        <w:pStyle w:val="ListParagraph"/>
        <w:numPr>
          <w:ilvl w:val="0"/>
          <w:numId w:val="1"/>
        </w:numPr>
        <w:contextualSpacing w:val="0"/>
        <w:jc w:val="both"/>
        <w:rPr>
          <w:rFonts w:ascii="Times New Roman" w:hAnsi="Times New Roman" w:cs="Times New Roman"/>
          <w:noProof/>
          <w:lang w:val="bg-BG"/>
        </w:rPr>
      </w:pPr>
      <w:r>
        <w:rPr>
          <w:rFonts w:ascii="Times New Roman" w:hAnsi="Times New Roman"/>
          <w:noProof/>
          <w:lang w:val="bg-BG"/>
        </w:rPr>
        <w:t>Успоредно с работата по делегирания регламент на 29 юни 2020 г. Комисията прие изменение на Регламент за изпълнение (ЕС) 2015/2447, което влезе в сила на 20 юли 2020 г.</w:t>
      </w:r>
      <w:r>
        <w:rPr>
          <w:rStyle w:val="FootnoteReference"/>
          <w:rFonts w:ascii="Times New Roman" w:hAnsi="Times New Roman" w:cs="Times New Roman"/>
          <w:noProof/>
          <w:lang w:val="bg-BG"/>
        </w:rPr>
        <w:footnoteReference w:id="27"/>
      </w:r>
      <w:r>
        <w:rPr>
          <w:rFonts w:ascii="Times New Roman" w:hAnsi="Times New Roman"/>
          <w:noProof/>
          <w:lang w:val="bg-BG"/>
        </w:rPr>
        <w:t xml:space="preserve"> и включва по-конкретно процедурни правила за използването на формуляр 302 на ЕС и на формуляр 302 на НАТО.</w:t>
      </w:r>
    </w:p>
    <w:p>
      <w:pPr>
        <w:pStyle w:val="ListParagraph"/>
        <w:numPr>
          <w:ilvl w:val="0"/>
          <w:numId w:val="1"/>
        </w:numPr>
        <w:contextualSpacing w:val="0"/>
        <w:jc w:val="both"/>
        <w:rPr>
          <w:rFonts w:ascii="Times New Roman" w:hAnsi="Times New Roman" w:cs="Times New Roman"/>
          <w:noProof/>
          <w:lang w:val="bg-BG"/>
        </w:rPr>
      </w:pPr>
      <w:r>
        <w:rPr>
          <w:rFonts w:ascii="Times New Roman" w:hAnsi="Times New Roman"/>
          <w:noProof/>
          <w:lang w:val="bg-BG"/>
        </w:rPr>
        <w:t>Горепосочените изменения, които се очаква да бъдат приложени ефективно след лятото на 2020 г., ще допринесат съществено за постигане на целите, заложени в Плана за действие, по отношение на опростяването и оптимизирането на свързаните с тях митнически процеси в целия ЕС и на гарантирането на еднакво третиране на трансграничните военни придвижвания във всички държави — членки на ЕС. Наред с това, с цел да се гарантира еднакво третиране, службите на Комисията са в процес на изготвяне на специални насоки за военните потребители и митниците относно използването на формуляр 302 на ЕС. За целта те ще доразвият насоките, разработени от Европейската агенция по отбрана, и ще се консултират също така с Европейската служба за външна дейност. Първата версия на тези насоки се очаква да бъде на разположение до края на 2020 г.</w:t>
      </w:r>
    </w:p>
    <w:p>
      <w:pPr>
        <w:pStyle w:val="ListParagraph"/>
        <w:numPr>
          <w:ilvl w:val="0"/>
          <w:numId w:val="1"/>
        </w:numPr>
        <w:contextualSpacing w:val="0"/>
        <w:jc w:val="both"/>
        <w:rPr>
          <w:rFonts w:ascii="Times New Roman" w:hAnsi="Times New Roman" w:cs="Times New Roman"/>
          <w:noProof/>
          <w:lang w:val="bg-BG"/>
        </w:rPr>
      </w:pPr>
      <w:r>
        <w:rPr>
          <w:rFonts w:ascii="Times New Roman" w:hAnsi="Times New Roman"/>
          <w:noProof/>
          <w:lang w:val="bg-BG"/>
        </w:rPr>
        <w:t>Формуляр 302 на ЕС беше разработен при пълна прозрачност и в диалог с НАТО. Пълното съгласуване на образците на формуляр 302 на ЕС и на формуляр 302 на НАТО ще изисква адаптация от страна на НАТО.</w:t>
      </w:r>
      <w:r>
        <w:rPr>
          <w:noProof/>
          <w:lang w:val="bg-BG"/>
        </w:rPr>
        <w:t xml:space="preserve"> </w:t>
      </w:r>
      <w:r>
        <w:rPr>
          <w:rFonts w:ascii="Times New Roman" w:hAnsi="Times New Roman"/>
          <w:noProof/>
          <w:lang w:val="bg-BG"/>
        </w:rPr>
        <w:t>За да се опрости митническият процес, предпочитаният краен вариант за военните потребители остава ЕС и НАТО да използват идентични образци 302, като и двете институции запазят своите отделни правни основания.</w:t>
      </w:r>
    </w:p>
    <w:p>
      <w:pPr>
        <w:pStyle w:val="ListParagraph"/>
        <w:numPr>
          <w:ilvl w:val="0"/>
          <w:numId w:val="1"/>
        </w:numPr>
        <w:contextualSpacing w:val="0"/>
        <w:jc w:val="both"/>
        <w:rPr>
          <w:rFonts w:ascii="Times New Roman" w:hAnsi="Times New Roman" w:cs="Times New Roman"/>
          <w:noProof/>
          <w:lang w:val="bg-BG"/>
        </w:rPr>
      </w:pPr>
      <w:r>
        <w:rPr>
          <w:rFonts w:ascii="Times New Roman" w:hAnsi="Times New Roman"/>
          <w:noProof/>
          <w:lang w:val="bg-BG"/>
        </w:rPr>
        <w:t>Що се отнася до възможното използване на формуляр 302 на ЕС в цифров формат, Европейската агенция по отбрана</w:t>
      </w:r>
      <w:r>
        <w:rPr>
          <w:noProof/>
          <w:lang w:val="bg-BG"/>
        </w:rPr>
        <w:t xml:space="preserve"> </w:t>
      </w:r>
      <w:r>
        <w:rPr>
          <w:rFonts w:ascii="Times New Roman" w:hAnsi="Times New Roman"/>
          <w:noProof/>
          <w:lang w:val="bg-BG"/>
        </w:rPr>
        <w:t>е разработила, заедно с участващите държави членки, програмна договореност. Първата стъпка е оценка на необходимостта от цифровизация на формуляр 302 и на потенциалните рискове и ползи от подобно действие. В зависимост от резултата от оценката се очаква проучване на техническите спецификации на подходящата военномитническа система, с които да се определи рамката на бъдещите стъпки в цифровизацията. Очаква се програмната договореност да бъде подписана до края на 2020 г.</w:t>
      </w:r>
    </w:p>
    <w:p>
      <w:pPr>
        <w:pStyle w:val="ListParagraph"/>
        <w:numPr>
          <w:ilvl w:val="0"/>
          <w:numId w:val="4"/>
        </w:numPr>
        <w:spacing w:before="240" w:after="240"/>
        <w:contextualSpacing w:val="0"/>
        <w:jc w:val="both"/>
        <w:rPr>
          <w:rFonts w:ascii="Times New Roman" w:hAnsi="Times New Roman" w:cs="Times New Roman"/>
          <w:b/>
          <w:noProof/>
          <w:sz w:val="24"/>
          <w:lang w:val="bg-BG"/>
        </w:rPr>
      </w:pPr>
      <w:r>
        <w:rPr>
          <w:rFonts w:ascii="Times New Roman" w:hAnsi="Times New Roman"/>
          <w:b/>
          <w:noProof/>
          <w:sz w:val="24"/>
          <w:lang w:val="bg-BG"/>
        </w:rPr>
        <w:t>Данък върху добавената стойност</w:t>
      </w:r>
    </w:p>
    <w:p>
      <w:pPr>
        <w:pStyle w:val="ListParagraph"/>
        <w:numPr>
          <w:ilvl w:val="0"/>
          <w:numId w:val="1"/>
        </w:numPr>
        <w:contextualSpacing w:val="0"/>
        <w:jc w:val="both"/>
        <w:rPr>
          <w:rFonts w:ascii="Times New Roman" w:hAnsi="Times New Roman" w:cs="Times New Roman"/>
          <w:noProof/>
          <w:lang w:val="bg-BG"/>
        </w:rPr>
      </w:pPr>
      <w:r>
        <w:rPr>
          <w:rFonts w:ascii="Times New Roman" w:hAnsi="Times New Roman"/>
          <w:noProof/>
          <w:lang w:val="bg-BG"/>
        </w:rPr>
        <w:t>Друг важен резултат, постигнат след доклада от миналата година, е приемането на Директива (ЕС) 2019/2235 на Съвета</w:t>
      </w:r>
      <w:r>
        <w:rPr>
          <w:rStyle w:val="FootnoteReference"/>
          <w:rFonts w:ascii="Times New Roman" w:hAnsi="Times New Roman" w:cs="Times New Roman"/>
          <w:noProof/>
          <w:lang w:val="bg-BG"/>
        </w:rPr>
        <w:footnoteReference w:id="28"/>
      </w:r>
      <w:r>
        <w:rPr>
          <w:rFonts w:ascii="Times New Roman" w:hAnsi="Times New Roman"/>
          <w:noProof/>
          <w:lang w:val="bg-BG"/>
        </w:rPr>
        <w:t xml:space="preserve"> на 16 декември 2019 г. Директивата гарантира еднакво третиране на дейностите по отбрана в рамките на НАТО и на ЕС от фискална гледна точка, като освобождава доставките за въоръжените сили от данък добавена стойност и акцизи, когато тези сили са разгърнати извън изпращащата държава членка и участват в отбранителни дейности в рамките на общата политика за сигурност и отбрана. Такова освобождаване вече се прилага по отношение на въоръжените сили, участващи в отбранителни дейности на НАТО извън съответната държава. Чрез уеднаквяване на непрякото данъчно облагане на двете отбранителни дейности с изменението се признава нарастващото значение на общата политика за сигурност и отбрана и военната мобилност.</w:t>
      </w:r>
    </w:p>
    <w:p>
      <w:pPr>
        <w:pStyle w:val="ListParagraph"/>
        <w:numPr>
          <w:ilvl w:val="0"/>
          <w:numId w:val="1"/>
        </w:numPr>
        <w:contextualSpacing w:val="0"/>
        <w:jc w:val="both"/>
        <w:rPr>
          <w:rFonts w:ascii="Times New Roman" w:hAnsi="Times New Roman" w:cs="Times New Roman"/>
          <w:noProof/>
          <w:lang w:val="bg-BG"/>
        </w:rPr>
      </w:pPr>
      <w:r>
        <w:rPr>
          <w:rFonts w:ascii="Times New Roman" w:hAnsi="Times New Roman"/>
          <w:noProof/>
          <w:lang w:val="bg-BG"/>
        </w:rPr>
        <w:t>Държавите — членки на ЕС, трябва да приемат законовите, подзаконовите и административните разпоредби, които са необходими, за да се съобразят с тази директива, така че мерките да могат да се прилагат от 1 юли 2022 г.</w:t>
      </w:r>
    </w:p>
    <w:p>
      <w:pPr>
        <w:ind w:left="360"/>
        <w:jc w:val="both"/>
        <w:rPr>
          <w:rFonts w:ascii="Times New Roman" w:hAnsi="Times New Roman" w:cs="Times New Roman"/>
          <w:noProof/>
          <w:lang w:val="bg-BG"/>
        </w:rPr>
      </w:pPr>
    </w:p>
    <w:p>
      <w:pPr>
        <w:pStyle w:val="ListParagraph"/>
        <w:numPr>
          <w:ilvl w:val="0"/>
          <w:numId w:val="2"/>
        </w:numPr>
        <w:spacing w:before="240" w:after="240"/>
        <w:ind w:left="1077"/>
        <w:contextualSpacing w:val="0"/>
        <w:jc w:val="both"/>
        <w:rPr>
          <w:rFonts w:ascii="Times New Roman" w:hAnsi="Times New Roman" w:cs="Times New Roman"/>
          <w:b/>
          <w:caps/>
          <w:noProof/>
          <w:lang w:val="bg-BG"/>
        </w:rPr>
      </w:pPr>
      <w:r>
        <w:rPr>
          <w:rFonts w:ascii="Times New Roman" w:hAnsi="Times New Roman"/>
          <w:b/>
          <w:caps/>
          <w:noProof/>
          <w:lang w:val="bg-BG"/>
        </w:rPr>
        <w:t>Разрешаване на трансграничното придвижване</w:t>
      </w:r>
    </w:p>
    <w:p>
      <w:pPr>
        <w:pStyle w:val="ListParagraph"/>
        <w:numPr>
          <w:ilvl w:val="0"/>
          <w:numId w:val="1"/>
        </w:numPr>
        <w:contextualSpacing w:val="0"/>
        <w:jc w:val="both"/>
        <w:rPr>
          <w:rFonts w:ascii="Times New Roman" w:hAnsi="Times New Roman" w:cs="Times New Roman"/>
          <w:noProof/>
          <w:lang w:val="bg-BG"/>
        </w:rPr>
      </w:pPr>
      <w:r>
        <w:rPr>
          <w:rFonts w:ascii="Times New Roman" w:hAnsi="Times New Roman"/>
          <w:noProof/>
          <w:lang w:val="bg-BG"/>
        </w:rPr>
        <w:t>Дейностите в тази област бяха доразработени от Европейската агенция по отбрана в рамките на програмата за „Оптимизиране на процедурите за разрешаване на трансграничното придвижване в Европа“, към която се присъединиха 25 участващи държави членки, както и Норвегия, под административната организация на Европейската агенция по отбрана. Целта на програмата за „Оптимизиране на процедурите за разрешаване на трансграничното придвижване в Европа“ е да служи като рамкова програма за разработването на две технически договорености — една за наземната и друга за въздушната област. Програмата се развива много добре благодарение на активното участие на всички съответни заинтересовани страни в различни ad hoc работни групи, подпомагани от службите на Комисията и от Европейската служба за външна дейност, включително от Военния секретариат на ЕС. Допринасящите държави членки вече са разработили първия проект на двете технически договорености, които ще бъдат доразвити от експерти от всички допринасящи държави членки с оглед премахване на съществуващите ограничения в националното законодателство. Поддържането на силен ангажимент от страна на държавите — членки на ЕС, към целта на програмата е основополагащо за създаването на хармонизиран процес на одобряване на придвижването в рамките на Европа.</w:t>
      </w:r>
    </w:p>
    <w:p>
      <w:pPr>
        <w:pStyle w:val="ListParagraph"/>
        <w:numPr>
          <w:ilvl w:val="0"/>
          <w:numId w:val="1"/>
        </w:numPr>
        <w:contextualSpacing w:val="0"/>
        <w:jc w:val="both"/>
        <w:rPr>
          <w:rFonts w:ascii="Times New Roman" w:hAnsi="Times New Roman" w:cs="Times New Roman"/>
          <w:noProof/>
          <w:lang w:val="bg-BG"/>
        </w:rPr>
      </w:pPr>
      <w:r>
        <w:rPr>
          <w:rFonts w:ascii="Times New Roman" w:hAnsi="Times New Roman"/>
          <w:noProof/>
          <w:lang w:val="bg-BG"/>
        </w:rPr>
        <w:t>Програмата относно „Оптимизиране на процедурите за разрешаване на трансграничното придвижване в Европа“ се основава също така на вече съществуващи проекти и дейности на ЕАО. Един от тези проекти е техническата договореност относно европейското трансгранично и транзитно наземно придвижване в контекста на проекта на Европейската агенция по отбрана за мултимодален транспортен център на ЕС, към който са се присъединили 17 държави — членки на ЕС. Втори пример е включването на извлечените поуки в контекста на техническата договореност за дипломатическите разрешения, разработена през 2012 г. и подписана от 20 държави — членки на ЕС. Техническата договореност позволява на участниците да прелитат и/или да приземяват военнотранспортни въздухоплавателни средства на територията на всяка участваща държава.</w:t>
      </w:r>
    </w:p>
    <w:p>
      <w:pPr>
        <w:jc w:val="both"/>
        <w:rPr>
          <w:rFonts w:ascii="Times New Roman" w:hAnsi="Times New Roman" w:cs="Times New Roman"/>
          <w:noProof/>
          <w:lang w:val="bg-BG"/>
        </w:rPr>
      </w:pPr>
    </w:p>
    <w:p>
      <w:pPr>
        <w:pStyle w:val="ListParagraph"/>
        <w:numPr>
          <w:ilvl w:val="0"/>
          <w:numId w:val="2"/>
        </w:numPr>
        <w:spacing w:before="240" w:after="240"/>
        <w:ind w:left="1077"/>
        <w:contextualSpacing w:val="0"/>
        <w:jc w:val="both"/>
        <w:rPr>
          <w:rFonts w:ascii="Times New Roman" w:hAnsi="Times New Roman" w:cs="Times New Roman"/>
          <w:b/>
          <w:caps/>
          <w:noProof/>
          <w:lang w:val="bg-BG"/>
        </w:rPr>
      </w:pPr>
      <w:r>
        <w:rPr>
          <w:rFonts w:ascii="Times New Roman" w:hAnsi="Times New Roman"/>
          <w:b/>
          <w:caps/>
          <w:noProof/>
          <w:lang w:val="bg-BG"/>
        </w:rPr>
        <w:t>Други въпроси</w:t>
      </w:r>
    </w:p>
    <w:p>
      <w:pPr>
        <w:pStyle w:val="ListParagraph"/>
        <w:numPr>
          <w:ilvl w:val="0"/>
          <w:numId w:val="1"/>
        </w:numPr>
        <w:contextualSpacing w:val="0"/>
        <w:jc w:val="both"/>
        <w:rPr>
          <w:rFonts w:ascii="Times New Roman" w:hAnsi="Times New Roman" w:cs="Times New Roman"/>
          <w:noProof/>
          <w:lang w:val="bg-BG"/>
        </w:rPr>
      </w:pPr>
      <w:r>
        <w:rPr>
          <w:rFonts w:ascii="Times New Roman" w:hAnsi="Times New Roman"/>
          <w:noProof/>
          <w:lang w:val="bg-BG"/>
        </w:rPr>
        <w:t>Както е очертано в Плана за действие, няколко трансгранични въпроса, като дезинформация, киберсигурност и защита на критична инфраструктура, са счетени за важни за военната мобилност. Тези области са част от 22-те действия от съвместната рамка за борба с хибридните заплахи от 2016 г.</w:t>
      </w:r>
      <w:r>
        <w:rPr>
          <w:rStyle w:val="FootnoteReference"/>
          <w:rFonts w:ascii="Times New Roman" w:hAnsi="Times New Roman" w:cs="Times New Roman"/>
          <w:noProof/>
          <w:lang w:val="bg-BG"/>
        </w:rPr>
        <w:footnoteReference w:id="29"/>
      </w:r>
      <w:r>
        <w:rPr>
          <w:rFonts w:ascii="Times New Roman" w:hAnsi="Times New Roman"/>
          <w:noProof/>
          <w:lang w:val="bg-BG"/>
        </w:rPr>
        <w:t xml:space="preserve"> и тяхното прилагане предстои. 4-ият доклад относно изпълнението на съвместната рамка за борба с хибридните заплахи от 2016 г. и съвместното съобщение от 2018 г. относно повишаването на устойчивостта и укрепването на способностите за преодоляване на хибридните заплахи бяха публикувани на 24 юли 2020 г.</w:t>
      </w:r>
      <w:r>
        <w:rPr>
          <w:rFonts w:ascii="Times New Roman" w:hAnsi="Times New Roman" w:cs="Times New Roman"/>
          <w:noProof/>
          <w:vertAlign w:val="superscript"/>
          <w:lang w:val="bg-BG"/>
        </w:rPr>
        <w:footnoteReference w:id="30"/>
      </w:r>
      <w:r>
        <w:rPr>
          <w:rFonts w:ascii="Times New Roman" w:hAnsi="Times New Roman"/>
          <w:noProof/>
          <w:lang w:val="bg-BG"/>
        </w:rPr>
        <w:t>.</w:t>
      </w:r>
    </w:p>
    <w:p>
      <w:pPr>
        <w:jc w:val="both"/>
        <w:rPr>
          <w:rFonts w:ascii="Times New Roman" w:hAnsi="Times New Roman" w:cs="Times New Roman"/>
          <w:noProof/>
          <w:lang w:val="bg-BG"/>
        </w:rPr>
      </w:pPr>
    </w:p>
    <w:p>
      <w:pPr>
        <w:pStyle w:val="ListParagraph"/>
        <w:numPr>
          <w:ilvl w:val="0"/>
          <w:numId w:val="2"/>
        </w:numPr>
        <w:spacing w:before="240" w:after="240"/>
        <w:ind w:left="1077"/>
        <w:contextualSpacing w:val="0"/>
        <w:jc w:val="both"/>
        <w:rPr>
          <w:rFonts w:ascii="Times New Roman" w:hAnsi="Times New Roman" w:cs="Times New Roman"/>
          <w:b/>
          <w:caps/>
          <w:noProof/>
          <w:lang w:val="bg-BG"/>
        </w:rPr>
      </w:pPr>
      <w:r>
        <w:rPr>
          <w:rFonts w:ascii="Times New Roman" w:hAnsi="Times New Roman"/>
          <w:b/>
          <w:caps/>
          <w:noProof/>
          <w:lang w:val="bg-BG"/>
        </w:rPr>
        <w:t>ЗАКЛЮЧЕНИЯ И ПРЕДСТОЯЩИ СТЪПКИ</w:t>
      </w:r>
    </w:p>
    <w:p>
      <w:pPr>
        <w:pStyle w:val="ListParagraph"/>
        <w:numPr>
          <w:ilvl w:val="0"/>
          <w:numId w:val="1"/>
        </w:numPr>
        <w:spacing w:line="256" w:lineRule="auto"/>
        <w:jc w:val="both"/>
        <w:rPr>
          <w:rFonts w:ascii="Times New Roman" w:hAnsi="Times New Roman" w:cs="Times New Roman"/>
          <w:noProof/>
          <w:lang w:val="bg-BG"/>
        </w:rPr>
      </w:pPr>
      <w:r>
        <w:rPr>
          <w:rFonts w:ascii="Times New Roman" w:hAnsi="Times New Roman"/>
          <w:noProof/>
          <w:lang w:val="bg-BG"/>
        </w:rPr>
        <w:t>След първия доклад за напредъка изпълнението на Плана за действие продължава с конкретни и осезаеми резултати, а именно актуализацията на военните изисквания, актуализацията на анализа на несъответствията, споразумението за изискванията при двойна употреба, както и приемането на формуляр 302 на ЕС и на директивата, гарантираща еднакво третиране на дейностите по отбрана в рамките на НАТО и на ЕС от фискална гледна точка.</w:t>
      </w:r>
    </w:p>
    <w:p>
      <w:pPr>
        <w:pStyle w:val="ListParagraph"/>
        <w:spacing w:line="256" w:lineRule="auto"/>
        <w:jc w:val="both"/>
        <w:rPr>
          <w:rFonts w:ascii="Times New Roman" w:hAnsi="Times New Roman" w:cs="Times New Roman"/>
          <w:noProof/>
          <w:lang w:val="bg-BG"/>
        </w:rPr>
      </w:pPr>
    </w:p>
    <w:p>
      <w:pPr>
        <w:pStyle w:val="ListParagraph"/>
        <w:numPr>
          <w:ilvl w:val="0"/>
          <w:numId w:val="1"/>
        </w:numPr>
        <w:spacing w:line="256" w:lineRule="auto"/>
        <w:jc w:val="both"/>
        <w:rPr>
          <w:rFonts w:ascii="Times New Roman" w:hAnsi="Times New Roman" w:cs="Times New Roman"/>
          <w:noProof/>
          <w:lang w:val="bg-BG"/>
        </w:rPr>
      </w:pPr>
      <w:r>
        <w:rPr>
          <w:rFonts w:ascii="Times New Roman" w:hAnsi="Times New Roman"/>
          <w:noProof/>
          <w:lang w:val="bg-BG"/>
        </w:rPr>
        <w:t>Освен това службите на Комисията, Европейската служба за външна дейност и Европейската агенция по отбрана ще продължат да изпълняват Плана за действие и да оценяват неговия напредък. Това ще бъде извършвано координирано на равнището на ЕС в тясно сътрудничество с държавите — членки на ЕС, и при пълно зачитане на техния национален суверенитет и процеса на вземане на решения, както и в сътрудничество между службите на Комисията, Европейската служба за външна дейност и Европейската агенция по отбрана. Освен това дейностите под ръководството на държавите — членки на ЕС, особено в рамките на постоянното структурирано сътрудничество и свързаните с него проекти, както и изпълнението на националните ангажименти от 2018 г. допринасят пряко за подобряване на военната мобилност. Установеният структуриран диалог между ЕС и НАТО на равнище служители допълнително укрепва сътрудничеството в тази област. Комисията и върховният представител приветстват този подход и са готови да продължат да работят по приобщаващ и ефективен начин.</w:t>
      </w:r>
    </w:p>
    <w:p>
      <w:pPr>
        <w:pStyle w:val="ListParagraph"/>
        <w:spacing w:line="256" w:lineRule="auto"/>
        <w:jc w:val="both"/>
        <w:rPr>
          <w:rFonts w:ascii="Times New Roman" w:hAnsi="Times New Roman" w:cs="Times New Roman"/>
          <w:noProof/>
          <w:lang w:val="bg-BG"/>
        </w:rPr>
      </w:pPr>
    </w:p>
    <w:p>
      <w:pPr>
        <w:pStyle w:val="ListParagraph"/>
        <w:numPr>
          <w:ilvl w:val="0"/>
          <w:numId w:val="1"/>
        </w:numPr>
        <w:spacing w:line="256" w:lineRule="auto"/>
        <w:jc w:val="both"/>
        <w:rPr>
          <w:rFonts w:ascii="Times New Roman" w:hAnsi="Times New Roman" w:cs="Times New Roman"/>
          <w:noProof/>
          <w:lang w:val="bg-BG"/>
        </w:rPr>
      </w:pPr>
      <w:r>
        <w:rPr>
          <w:rFonts w:ascii="Times New Roman" w:hAnsi="Times New Roman"/>
          <w:noProof/>
          <w:lang w:val="bg-BG"/>
        </w:rPr>
        <w:t xml:space="preserve">Следващият доклад за напредъка ще бъде представен от върховния представител и Комисията до края на лятото на 2021 г. </w:t>
      </w: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766074699"/>
      <w:docPartObj>
        <w:docPartGallery w:val="Page Numbers (Bottom of Page)"/>
        <w:docPartUnique/>
      </w:docPartObj>
    </w:sdtPr>
    <w:sdtEndPr>
      <w:rPr>
        <w:noProof/>
      </w:rPr>
    </w:sdtEndPr>
    <w:sdtContent>
      <w:p>
        <w:pPr>
          <w:pStyle w:val="Footer"/>
          <w:jc w:val="center"/>
          <w:rPr>
            <w:rFonts w:ascii="Times New Roman" w:hAnsi="Times New Roman" w:cs="Times New Roman"/>
            <w:noProof/>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ascii="Times New Roman" w:hAnsi="Times New Roman" w:cs="Times New Roman"/>
          <w:lang w:val="bg-BG"/>
        </w:rPr>
      </w:pPr>
      <w:r>
        <w:rPr>
          <w:rStyle w:val="FootnoteReference"/>
          <w:rFonts w:ascii="Times New Roman" w:hAnsi="Times New Roman" w:cs="Times New Roman"/>
          <w:lang w:val="bg-BG"/>
        </w:rPr>
        <w:footnoteRef/>
      </w:r>
      <w:r>
        <w:rPr>
          <w:rFonts w:ascii="Times New Roman" w:hAnsi="Times New Roman"/>
          <w:lang w:val="bg-BG"/>
        </w:rPr>
        <w:t xml:space="preserve"> Съвместно съобщение до Европейския парламент и Съвета относно подобряване на военната мобилност в Европейския съюз {JOIN(2017) 41 final}.</w:t>
      </w:r>
    </w:p>
  </w:footnote>
  <w:footnote w:id="2">
    <w:p>
      <w:pPr>
        <w:pStyle w:val="FootnoteText"/>
        <w:rPr>
          <w:rFonts w:ascii="Times New Roman" w:hAnsi="Times New Roman" w:cs="Times New Roman"/>
          <w:lang w:val="bg-BG"/>
        </w:rPr>
      </w:pPr>
      <w:r>
        <w:rPr>
          <w:rStyle w:val="FootnoteReference"/>
          <w:rFonts w:ascii="Times New Roman" w:hAnsi="Times New Roman" w:cs="Times New Roman"/>
          <w:lang w:val="bg-BG"/>
        </w:rPr>
        <w:footnoteRef/>
      </w:r>
      <w:r>
        <w:rPr>
          <w:rFonts w:ascii="Times New Roman" w:hAnsi="Times New Roman"/>
          <w:lang w:val="bg-BG"/>
        </w:rPr>
        <w:t xml:space="preserve"> Съвместно съобщение до Европейския парламент и Съвета относно план за действие за военната мобилност {JOIN(2018)05 final}.</w:t>
      </w:r>
    </w:p>
  </w:footnote>
  <w:footnote w:id="3">
    <w:p>
      <w:pPr>
        <w:pStyle w:val="FootnoteText"/>
        <w:rPr>
          <w:rFonts w:ascii="Times New Roman" w:hAnsi="Times New Roman" w:cs="Times New Roman"/>
          <w:lang w:val="bg-BG"/>
        </w:rPr>
      </w:pPr>
      <w:r>
        <w:rPr>
          <w:rStyle w:val="FootnoteReference"/>
          <w:rFonts w:ascii="Times New Roman" w:hAnsi="Times New Roman" w:cs="Times New Roman"/>
          <w:lang w:val="bg-BG"/>
        </w:rPr>
        <w:footnoteRef/>
      </w:r>
      <w:r>
        <w:rPr>
          <w:rFonts w:ascii="Times New Roman" w:hAnsi="Times New Roman"/>
          <w:lang w:val="bg-BG"/>
        </w:rPr>
        <w:t xml:space="preserve"> Например: „Съюз с по-големи амбиции. Моята програма за Европа: политически насоки за следващата Европейска комисия 2019 г.—2024 г., У. фон дер Лайен, 10 септември 2019 г., </w:t>
      </w:r>
      <w:hyperlink r:id="rId1" w:history="1">
        <w:r>
          <w:rPr>
            <w:rStyle w:val="Hyperlink"/>
            <w:rFonts w:ascii="Times New Roman" w:hAnsi="Times New Roman"/>
            <w:lang w:val="bg-BG"/>
          </w:rPr>
          <w:t>https://op.europa.eu/bg/publication-detail/-/publication/43a17056-ebf1-11e9-9c4e-01aa75ed71a1</w:t>
        </w:r>
      </w:hyperlink>
      <w:r>
        <w:rPr>
          <w:rFonts w:ascii="Times New Roman" w:hAnsi="Times New Roman"/>
          <w:lang w:val="bg-BG"/>
        </w:rPr>
        <w:t xml:space="preserve">; програмно изказване от председателя фон дер Лайен на Световния икономически форум, 22 януари 2020 г., </w:t>
      </w:r>
      <w:hyperlink r:id="rId2" w:history="1">
        <w:r>
          <w:rPr>
            <w:rStyle w:val="Hyperlink"/>
            <w:rFonts w:ascii="Times New Roman" w:hAnsi="Times New Roman"/>
            <w:lang w:val="bg-BG"/>
          </w:rPr>
          <w:t>https://ec.europa.eu/commission/presscorner/detail/bg/SPEECH_20_102</w:t>
        </w:r>
      </w:hyperlink>
      <w:r>
        <w:rPr>
          <w:lang w:val="bg-BG"/>
        </w:rPr>
        <w:t>.</w:t>
      </w:r>
    </w:p>
  </w:footnote>
  <w:footnote w:id="4">
    <w:p>
      <w:pPr>
        <w:pStyle w:val="FootnoteText"/>
        <w:rPr>
          <w:rFonts w:ascii="Times New Roman" w:hAnsi="Times New Roman" w:cs="Times New Roman"/>
          <w:lang w:val="bg-BG"/>
        </w:rPr>
      </w:pPr>
      <w:r>
        <w:rPr>
          <w:rStyle w:val="FootnoteReference"/>
          <w:rFonts w:ascii="Times New Roman" w:hAnsi="Times New Roman" w:cs="Times New Roman"/>
          <w:lang w:val="bg-BG"/>
        </w:rPr>
        <w:footnoteRef/>
      </w:r>
      <w:r>
        <w:rPr>
          <w:rFonts w:ascii="Times New Roman" w:hAnsi="Times New Roman"/>
          <w:lang w:val="bg-BG"/>
        </w:rPr>
        <w:t xml:space="preserve"> Заключения на Съвета относно прилагането на Глобалната стратегия на ЕС в областта на сигурността и отбраната, 14 ноември 2016 г., </w:t>
      </w:r>
      <w:hyperlink r:id="rId3" w:history="1">
        <w:r>
          <w:rPr>
            <w:rStyle w:val="Hyperlink"/>
            <w:rFonts w:ascii="Times New Roman" w:hAnsi="Times New Roman"/>
            <w:lang w:val="bg-BG"/>
          </w:rPr>
          <w:t>https://www.consilium.europa.eu/media/22459/eugs-conclusions-st14149en16.pdf</w:t>
        </w:r>
      </w:hyperlink>
      <w:r>
        <w:rPr>
          <w:lang w:val="bg-BG"/>
        </w:rPr>
        <w:t>.</w:t>
      </w:r>
    </w:p>
  </w:footnote>
  <w:footnote w:id="5">
    <w:p>
      <w:pPr>
        <w:pStyle w:val="FootnoteText"/>
        <w:rPr>
          <w:rFonts w:ascii="Times New Roman" w:hAnsi="Times New Roman" w:cs="Times New Roman"/>
          <w:lang w:val="bg-BG"/>
        </w:rPr>
      </w:pPr>
      <w:r>
        <w:rPr>
          <w:rStyle w:val="FootnoteReference"/>
          <w:rFonts w:ascii="Times New Roman" w:hAnsi="Times New Roman" w:cs="Times New Roman"/>
          <w:lang w:val="bg-BG"/>
        </w:rPr>
        <w:footnoteRef/>
      </w:r>
      <w:r>
        <w:rPr>
          <w:rFonts w:ascii="Times New Roman" w:hAnsi="Times New Roman"/>
          <w:lang w:val="bg-BG"/>
        </w:rPr>
        <w:t xml:space="preserve"> „Обща визия, общи действия: по-силна Европа. Глобална стратегия за външната политика и</w:t>
      </w:r>
    </w:p>
    <w:p>
      <w:pPr>
        <w:pStyle w:val="FootnoteText"/>
        <w:jc w:val="both"/>
        <w:rPr>
          <w:rFonts w:ascii="Times New Roman" w:hAnsi="Times New Roman" w:cs="Times New Roman"/>
          <w:lang w:val="bg-BG"/>
        </w:rPr>
      </w:pPr>
      <w:r>
        <w:rPr>
          <w:rFonts w:ascii="Times New Roman" w:hAnsi="Times New Roman"/>
          <w:lang w:val="bg-BG"/>
        </w:rPr>
        <w:t xml:space="preserve">политиката на сигурност на Европейския съюз, юни 2016 г., </w:t>
      </w:r>
      <w:hyperlink r:id="rId4" w:history="1">
        <w:r>
          <w:rPr>
            <w:rStyle w:val="Hyperlink"/>
            <w:rFonts w:ascii="Times New Roman" w:hAnsi="Times New Roman"/>
            <w:lang w:val="bg-BG"/>
          </w:rPr>
          <w:t>http://eeas.europa.eu/archives/docs/top_stories/pdf/eugs_review_web.pdf</w:t>
        </w:r>
      </w:hyperlink>
      <w:r>
        <w:rPr>
          <w:lang w:val="bg-BG"/>
        </w:rPr>
        <w:t>.</w:t>
      </w:r>
    </w:p>
  </w:footnote>
  <w:footnote w:id="6">
    <w:p>
      <w:pPr>
        <w:pStyle w:val="FootnoteText"/>
        <w:rPr>
          <w:lang w:val="bg-BG"/>
        </w:rPr>
      </w:pPr>
      <w:r>
        <w:rPr>
          <w:rStyle w:val="FootnoteReference"/>
          <w:rFonts w:ascii="Times New Roman" w:hAnsi="Times New Roman" w:cs="Times New Roman"/>
          <w:lang w:val="bg-BG"/>
        </w:rPr>
        <w:footnoteRef/>
      </w:r>
      <w:r>
        <w:rPr>
          <w:lang w:val="bg-BG"/>
        </w:rPr>
        <w:t xml:space="preserve"> </w:t>
      </w:r>
      <w:r>
        <w:rPr>
          <w:rFonts w:ascii="Times New Roman" w:hAnsi="Times New Roman"/>
          <w:lang w:val="bg-BG"/>
        </w:rPr>
        <w:t xml:space="preserve">Заключения на Съвета относно сигурността и отбраната в рамките на Глобалната стратегия на ЕС, 25 юни 2018 г., точка 18, </w:t>
      </w:r>
      <w:hyperlink r:id="rId5" w:history="1">
        <w:r>
          <w:rPr>
            <w:rStyle w:val="Hyperlink"/>
            <w:rFonts w:ascii="Times New Roman" w:hAnsi="Times New Roman"/>
            <w:lang w:val="bg-BG"/>
          </w:rPr>
          <w:t>http://data.consilium.europa.eu/doc/document/ST-10246-2018-INIT/bg/pdf</w:t>
        </w:r>
      </w:hyperlink>
      <w:r>
        <w:rPr>
          <w:lang w:val="bg-BG"/>
        </w:rPr>
        <w:t>.</w:t>
      </w:r>
    </w:p>
  </w:footnote>
  <w:footnote w:id="7">
    <w:p>
      <w:pPr>
        <w:pStyle w:val="FootnoteText"/>
        <w:rPr>
          <w:rFonts w:ascii="Times New Roman" w:hAnsi="Times New Roman" w:cs="Times New Roman"/>
          <w:lang w:val="bg-BG"/>
        </w:rPr>
      </w:pPr>
      <w:r>
        <w:rPr>
          <w:rStyle w:val="FootnoteReference"/>
          <w:rFonts w:ascii="Times New Roman" w:hAnsi="Times New Roman" w:cs="Times New Roman"/>
          <w:lang w:val="bg-BG"/>
        </w:rPr>
        <w:footnoteRef/>
      </w:r>
      <w:r>
        <w:rPr>
          <w:rFonts w:ascii="Times New Roman" w:hAnsi="Times New Roman"/>
          <w:lang w:val="bg-BG"/>
        </w:rPr>
        <w:t xml:space="preserve"> Съвместна декларация на председателя на Европейския съвет, председателя на Европейската комисия и генералния секретар на Организацията на Северноатлантическия договор, 8 юли 2016 г. </w:t>
      </w:r>
      <w:hyperlink r:id="rId6" w:history="1">
        <w:r>
          <w:rPr>
            <w:rStyle w:val="Hyperlink"/>
            <w:rFonts w:ascii="Times New Roman" w:hAnsi="Times New Roman"/>
            <w:lang w:val="bg-BG"/>
          </w:rPr>
          <w:t>https://www.consilium.europa.eu/media/21481/nato-eu-declaration-8-july-en-final.pdf</w:t>
        </w:r>
      </w:hyperlink>
      <w:r>
        <w:rPr>
          <w:rFonts w:ascii="Times New Roman" w:hAnsi="Times New Roman"/>
          <w:lang w:val="bg-BG"/>
        </w:rPr>
        <w:t>; съвместна декларация относно сътрудничеството между ЕС и НАТО на председателя на Европейския съвет, председателя на Европейската комисия и генералния секретар на Организацията на Северноатлантическия договор,</w:t>
      </w:r>
      <w:r>
        <w:rPr>
          <w:rStyle w:val="FootnoteReference"/>
          <w:rFonts w:ascii="Times New Roman" w:hAnsi="Times New Roman"/>
          <w:lang w:val="bg-BG"/>
        </w:rPr>
        <w:t xml:space="preserve"> </w:t>
      </w:r>
      <w:r>
        <w:rPr>
          <w:rFonts w:ascii="Times New Roman" w:hAnsi="Times New Roman"/>
          <w:lang w:val="bg-BG"/>
        </w:rPr>
        <w:t xml:space="preserve">10 юли 2018 г., </w:t>
      </w:r>
      <w:hyperlink r:id="rId7" w:history="1">
        <w:r>
          <w:rPr>
            <w:rStyle w:val="Hyperlink"/>
            <w:rFonts w:ascii="Times New Roman" w:hAnsi="Times New Roman"/>
            <w:lang w:val="bg-BG"/>
          </w:rPr>
          <w:t>https://www.consilium.europa.eu/media/36096/nato_eu_final_eng.pdf</w:t>
        </w:r>
      </w:hyperlink>
      <w:r>
        <w:rPr>
          <w:lang w:val="bg-BG"/>
        </w:rPr>
        <w:t>.</w:t>
      </w:r>
    </w:p>
  </w:footnote>
  <w:footnote w:id="8">
    <w:p>
      <w:pPr>
        <w:pStyle w:val="FootnoteText"/>
        <w:rPr>
          <w:rFonts w:ascii="Times New Roman" w:hAnsi="Times New Roman" w:cs="Times New Roman"/>
          <w:lang w:val="bg-BG"/>
        </w:rPr>
      </w:pPr>
      <w:r>
        <w:rPr>
          <w:rStyle w:val="FootnoteReference"/>
          <w:rFonts w:ascii="Times New Roman" w:hAnsi="Times New Roman" w:cs="Times New Roman"/>
          <w:lang w:val="bg-BG"/>
        </w:rPr>
        <w:footnoteRef/>
      </w:r>
      <w:r>
        <w:rPr>
          <w:rFonts w:ascii="Times New Roman" w:hAnsi="Times New Roman"/>
          <w:lang w:val="bg-BG"/>
        </w:rPr>
        <w:t xml:space="preserve">Заключения на Съвета относно прилагането на Съвместната декларация на председателите на Европейския съвет и Европейската комисия и на генералния секретар на Организацията на Северноатлантическия договор, 6 декември 2016 г., </w:t>
      </w:r>
      <w:hyperlink r:id="rId8" w:history="1">
        <w:r>
          <w:rPr>
            <w:rStyle w:val="Hyperlink"/>
            <w:rFonts w:ascii="Times New Roman" w:hAnsi="Times New Roman"/>
            <w:lang w:val="bg-BG"/>
          </w:rPr>
          <w:t>http://data.consilium.europa.eu/doc/document/ST-15283-2016-INIT/bg/pdf</w:t>
        </w:r>
      </w:hyperlink>
      <w:r>
        <w:rPr>
          <w:rFonts w:ascii="Times New Roman" w:hAnsi="Times New Roman"/>
          <w:lang w:val="bg-BG"/>
        </w:rPr>
        <w:t xml:space="preserve">; заключения на Съвета относно прилагането на Съвместната декларация на председателите на Европейския съвет и Европейската комисия и на генералния секретар на Организацията на Северноатлантическия договор, 5 декември 2017 г., </w:t>
      </w:r>
      <w:hyperlink r:id="rId9" w:history="1">
        <w:r>
          <w:rPr>
            <w:rStyle w:val="Hyperlink"/>
            <w:rFonts w:ascii="Times New Roman" w:hAnsi="Times New Roman"/>
            <w:lang w:val="bg-BG"/>
          </w:rPr>
          <w:t>https://www.consilium.europa.eu/media/31947/st14802en17.pdf</w:t>
        </w:r>
      </w:hyperlink>
      <w:r>
        <w:rPr>
          <w:lang w:val="bg-BG"/>
        </w:rPr>
        <w:t>.</w:t>
      </w:r>
    </w:p>
  </w:footnote>
  <w:footnote w:id="9">
    <w:p>
      <w:pPr>
        <w:pStyle w:val="FootnoteText"/>
        <w:rPr>
          <w:rFonts w:ascii="Times New Roman" w:hAnsi="Times New Roman" w:cs="Times New Roman"/>
          <w:lang w:val="bg-BG"/>
        </w:rPr>
      </w:pPr>
      <w:r>
        <w:rPr>
          <w:rStyle w:val="FootnoteReference"/>
          <w:rFonts w:ascii="Times New Roman" w:hAnsi="Times New Roman" w:cs="Times New Roman"/>
          <w:lang w:val="bg-BG"/>
        </w:rPr>
        <w:footnoteRef/>
      </w:r>
      <w:r>
        <w:rPr>
          <w:rFonts w:ascii="Times New Roman" w:hAnsi="Times New Roman"/>
          <w:lang w:val="bg-BG"/>
        </w:rPr>
        <w:t xml:space="preserve"> Пети доклад за напредъка в прилагането на общия пакет от предложения, одобрен от министрите от ЕС и НАТО на 6 декември 2016 г. и на 5 декември 2017 г., 16 юни 2020 г., </w:t>
      </w:r>
      <w:hyperlink r:id="rId10" w:history="1">
        <w:r>
          <w:rPr>
            <w:rStyle w:val="Hyperlink"/>
            <w:rFonts w:ascii="Times New Roman" w:hAnsi="Times New Roman"/>
            <w:lang w:val="bg-BG"/>
          </w:rPr>
          <w:t>https://www.consilium.europa.eu/media/44451/200616-progress-report-nr5-eu-nato-eng.pdf</w:t>
        </w:r>
      </w:hyperlink>
      <w:r>
        <w:rPr>
          <w:lang w:val="bg-BG"/>
        </w:rPr>
        <w:t>.</w:t>
      </w:r>
    </w:p>
  </w:footnote>
  <w:footnote w:id="10">
    <w:p>
      <w:pPr>
        <w:pStyle w:val="FootnoteText"/>
        <w:rPr>
          <w:rFonts w:ascii="Times New Roman" w:hAnsi="Times New Roman" w:cs="Times New Roman"/>
          <w:lang w:val="bg-BG"/>
        </w:rPr>
      </w:pPr>
      <w:r>
        <w:rPr>
          <w:rStyle w:val="FootnoteReference"/>
          <w:rFonts w:ascii="Times New Roman" w:hAnsi="Times New Roman" w:cs="Times New Roman"/>
          <w:lang w:val="bg-BG"/>
        </w:rPr>
        <w:footnoteRef/>
      </w:r>
      <w:r>
        <w:rPr>
          <w:rFonts w:ascii="Times New Roman" w:hAnsi="Times New Roman"/>
          <w:lang w:val="bg-BG"/>
        </w:rPr>
        <w:t xml:space="preserve"> Съвместно съобщение до Европейския парламент и Съвета относно план за действие за военната мобилност, 28 март 2018 г. {JOIN(2018)05 final}, стр. 10.</w:t>
      </w:r>
    </w:p>
  </w:footnote>
  <w:footnote w:id="11">
    <w:p>
      <w:pPr>
        <w:pStyle w:val="FootnoteText"/>
        <w:rPr>
          <w:rFonts w:ascii="Times New Roman" w:hAnsi="Times New Roman" w:cs="Times New Roman"/>
          <w:lang w:val="bg-BG"/>
        </w:rPr>
      </w:pPr>
      <w:r>
        <w:rPr>
          <w:rStyle w:val="FootnoteReference"/>
          <w:rFonts w:ascii="Times New Roman" w:hAnsi="Times New Roman" w:cs="Times New Roman"/>
          <w:lang w:val="bg-BG"/>
        </w:rPr>
        <w:footnoteRef/>
      </w:r>
      <w:r>
        <w:rPr>
          <w:rFonts w:ascii="Times New Roman" w:hAnsi="Times New Roman"/>
          <w:lang w:val="bg-BG"/>
        </w:rPr>
        <w:t xml:space="preserve"> Съвместно съобщение до Европейския парламент и Съвета относно изпълнението на плана за действие за военната мобилност, (JOIN(2019)11 final).</w:t>
      </w:r>
    </w:p>
  </w:footnote>
  <w:footnote w:id="12">
    <w:p>
      <w:pPr>
        <w:pStyle w:val="FootnoteText"/>
        <w:rPr>
          <w:rFonts w:ascii="Times New Roman" w:hAnsi="Times New Roman" w:cs="Times New Roman"/>
          <w:lang w:val="bg-BG"/>
        </w:rPr>
      </w:pPr>
      <w:r>
        <w:rPr>
          <w:rStyle w:val="FootnoteReference"/>
          <w:lang w:val="bg-BG"/>
        </w:rPr>
        <w:footnoteRef/>
      </w:r>
      <w:r>
        <w:rPr>
          <w:lang w:val="bg-BG"/>
        </w:rPr>
        <w:t xml:space="preserve"> </w:t>
      </w:r>
      <w:r>
        <w:rPr>
          <w:rFonts w:ascii="Times New Roman" w:hAnsi="Times New Roman"/>
          <w:lang w:val="bg-BG"/>
        </w:rPr>
        <w:t xml:space="preserve">Заключения на Съвета относно сигурността и отбраната в рамките на Глобалната стратегия на ЕС, 17 юни 2019 г., точка 52, </w:t>
      </w:r>
      <w:hyperlink r:id="rId11" w:history="1">
        <w:r>
          <w:rPr>
            <w:rStyle w:val="Hyperlink"/>
            <w:rFonts w:ascii="Times New Roman" w:hAnsi="Times New Roman"/>
            <w:lang w:val="bg-BG"/>
          </w:rPr>
          <w:t>https://www.consilium.europa.eu/media/39786/st10048-en19.pdf</w:t>
        </w:r>
      </w:hyperlink>
      <w:r>
        <w:rPr>
          <w:lang w:val="bg-BG"/>
        </w:rPr>
        <w:t>.</w:t>
      </w:r>
    </w:p>
  </w:footnote>
  <w:footnote w:id="13">
    <w:p>
      <w:pPr>
        <w:pStyle w:val="FootnoteText"/>
        <w:jc w:val="both"/>
        <w:rPr>
          <w:lang w:val="bg-BG"/>
        </w:rPr>
      </w:pPr>
      <w:r>
        <w:rPr>
          <w:rStyle w:val="FootnoteReference"/>
          <w:lang w:val="bg-BG"/>
        </w:rPr>
        <w:footnoteRef/>
      </w:r>
      <w:r>
        <w:rPr>
          <w:lang w:val="bg-BG"/>
        </w:rPr>
        <w:t xml:space="preserve"> </w:t>
      </w:r>
      <w:r>
        <w:rPr>
          <w:rFonts w:ascii="Times New Roman" w:hAnsi="Times New Roman"/>
          <w:lang w:val="bg-BG"/>
        </w:rPr>
        <w:t>Приложение към Документ SB 2020/023, 25 май 2020 г.</w:t>
      </w:r>
    </w:p>
  </w:footnote>
  <w:footnote w:id="14">
    <w:p>
      <w:pPr>
        <w:pStyle w:val="FootnoteText"/>
        <w:rPr>
          <w:rFonts w:ascii="Times New Roman" w:hAnsi="Times New Roman" w:cs="Times New Roman"/>
          <w:lang w:val="bg-BG"/>
        </w:rPr>
      </w:pPr>
      <w:r>
        <w:rPr>
          <w:rStyle w:val="FootnoteReference"/>
          <w:rFonts w:ascii="Times New Roman" w:hAnsi="Times New Roman" w:cs="Times New Roman"/>
          <w:lang w:val="bg-BG"/>
        </w:rPr>
        <w:footnoteRef/>
      </w:r>
      <w:r>
        <w:rPr>
          <w:rFonts w:ascii="Times New Roman" w:hAnsi="Times New Roman"/>
          <w:lang w:val="bg-BG"/>
        </w:rPr>
        <w:t xml:space="preserve"> Военни изисквания за военна мобилност в ЕС и извън него (ST 14770/18), 28 ноември 2018 г.</w:t>
      </w:r>
    </w:p>
  </w:footnote>
  <w:footnote w:id="15">
    <w:p>
      <w:pPr>
        <w:pStyle w:val="FootnoteText"/>
        <w:rPr>
          <w:rFonts w:ascii="Times New Roman" w:hAnsi="Times New Roman" w:cs="Times New Roman"/>
          <w:lang w:val="bg-BG"/>
        </w:rPr>
      </w:pPr>
      <w:r>
        <w:rPr>
          <w:rStyle w:val="FootnoteReference"/>
          <w:rFonts w:ascii="Times New Roman" w:hAnsi="Times New Roman" w:cs="Times New Roman"/>
          <w:lang w:val="bg-BG"/>
        </w:rPr>
        <w:footnoteRef/>
      </w:r>
      <w:r>
        <w:rPr>
          <w:rFonts w:ascii="Times New Roman" w:hAnsi="Times New Roman"/>
          <w:lang w:val="bg-BG"/>
        </w:rPr>
        <w:t xml:space="preserve"> Военни изисквания за военна мобилност в ЕС и извън него, актуализация (ST 10921/19), 4 юли 2019 г., одобрени от Съвета на 15 юли и консолидирани в останалата част на 19 юли (ST 11373/19).</w:t>
      </w:r>
    </w:p>
  </w:footnote>
  <w:footnote w:id="16">
    <w:p>
      <w:pPr>
        <w:pStyle w:val="FootnoteText"/>
        <w:rPr>
          <w:rFonts w:ascii="Times New Roman" w:hAnsi="Times New Roman" w:cs="Times New Roman"/>
          <w:lang w:val="bg-BG"/>
        </w:rPr>
      </w:pPr>
      <w:r>
        <w:rPr>
          <w:rStyle w:val="FootnoteReference"/>
          <w:rFonts w:ascii="Times New Roman" w:hAnsi="Times New Roman" w:cs="Times New Roman"/>
          <w:lang w:val="bg-BG"/>
        </w:rPr>
        <w:footnoteRef/>
      </w:r>
      <w:r>
        <w:rPr>
          <w:rFonts w:ascii="Times New Roman" w:hAnsi="Times New Roman"/>
          <w:lang w:val="bg-BG"/>
        </w:rPr>
        <w:t xml:space="preserve"> Предложение за регламент на Европейския парламент и на Съвета за създаване на Механизъм за свързване на Европа и за отмяна на Регламент (ЕС) № 1316/2013 и Регламент (ЕС) № 283/2014 — Доклад за напредъка, Съвет на Европейския съюз, 2018/0228(COD), 13 март 2019 г.</w:t>
      </w:r>
      <w:hyperlink r:id="rId12" w:history="1">
        <w:r>
          <w:rPr>
            <w:rStyle w:val="Hyperlink"/>
            <w:rFonts w:ascii="Times New Roman" w:hAnsi="Times New Roman"/>
            <w:lang w:val="bg-BG"/>
          </w:rPr>
          <w:t xml:space="preserve"> https://www.consilium.europa.eu/media/38507/st07207-re01-en19.pdf</w:t>
        </w:r>
      </w:hyperlink>
      <w:r>
        <w:rPr>
          <w:lang w:val="bg-BG"/>
        </w:rPr>
        <w:t>.</w:t>
      </w:r>
    </w:p>
  </w:footnote>
  <w:footnote w:id="17">
    <w:p>
      <w:pPr>
        <w:pStyle w:val="FootnoteText"/>
        <w:rPr>
          <w:rFonts w:ascii="Times New Roman" w:hAnsi="Times New Roman" w:cs="Times New Roman"/>
          <w:lang w:val="bg-BG"/>
        </w:rPr>
      </w:pPr>
      <w:r>
        <w:rPr>
          <w:rStyle w:val="FootnoteReference"/>
          <w:rFonts w:ascii="Times New Roman" w:hAnsi="Times New Roman" w:cs="Times New Roman"/>
          <w:lang w:val="bg-BG"/>
        </w:rPr>
        <w:footnoteRef/>
      </w:r>
      <w:r>
        <w:rPr>
          <w:rFonts w:ascii="Times New Roman" w:hAnsi="Times New Roman"/>
          <w:lang w:val="bg-BG"/>
        </w:rPr>
        <w:t xml:space="preserve"> Извънредно заседание на Европейския съвет (17—21 юли 2020 г.) — заключения, 21 юли 2020 г., стр. 53, https://www.consilium.europa.eu/media/45109/210720-euco-final-conclusions-en.pdf</w:t>
      </w:r>
      <w:r>
        <w:rPr>
          <w:lang w:val="bg-BG"/>
        </w:rPr>
        <w:t>.</w:t>
      </w:r>
    </w:p>
  </w:footnote>
  <w:footnote w:id="18">
    <w:p>
      <w:pPr>
        <w:pStyle w:val="FootnoteText"/>
        <w:rPr>
          <w:rFonts w:ascii="Times New Roman" w:hAnsi="Times New Roman" w:cs="Times New Roman"/>
          <w:lang w:val="bg-BG"/>
        </w:rPr>
      </w:pPr>
      <w:r>
        <w:rPr>
          <w:rStyle w:val="FootnoteReference"/>
          <w:rFonts w:ascii="Times New Roman" w:hAnsi="Times New Roman" w:cs="Times New Roman"/>
          <w:lang w:val="bg-BG"/>
        </w:rPr>
        <w:footnoteRef/>
      </w:r>
      <w:r>
        <w:rPr>
          <w:rFonts w:ascii="Times New Roman" w:hAnsi="Times New Roman"/>
          <w:lang w:val="bg-BG"/>
        </w:rPr>
        <w:t xml:space="preserve"> Съвместен работен документ на службите на Комисията, Военни изисквания и трансевропейската транспортна мрежа: анализ на несъответствията, 3 май 2019 г., {SWD(2019) 175 final}.</w:t>
      </w:r>
    </w:p>
  </w:footnote>
  <w:footnote w:id="19">
    <w:p>
      <w:pPr>
        <w:pStyle w:val="FootnoteText"/>
        <w:rPr>
          <w:rFonts w:ascii="Times New Roman" w:hAnsi="Times New Roman" w:cs="Times New Roman"/>
          <w:lang w:val="bg-BG"/>
        </w:rPr>
      </w:pPr>
      <w:r>
        <w:rPr>
          <w:rStyle w:val="FootnoteReference"/>
          <w:rFonts w:ascii="Times New Roman" w:hAnsi="Times New Roman" w:cs="Times New Roman"/>
          <w:lang w:val="bg-BG"/>
        </w:rPr>
        <w:footnoteRef/>
      </w:r>
      <w:r>
        <w:rPr>
          <w:rFonts w:ascii="Times New Roman" w:hAnsi="Times New Roman"/>
          <w:lang w:val="bg-BG"/>
        </w:rPr>
        <w:t xml:space="preserve"> Военни изисквания за военна мобилност в ЕС и извън него, актуализация (ST 10921/19), 4 юли 2019 г., одобрени от Съвета на 15 юли и консолидирани в останалата част на 19 юли (ST 11373/19).</w:t>
      </w:r>
    </w:p>
  </w:footnote>
  <w:footnote w:id="20">
    <w:p>
      <w:pPr>
        <w:pStyle w:val="FootnoteText"/>
        <w:rPr>
          <w:rFonts w:ascii="Times New Roman" w:hAnsi="Times New Roman" w:cs="Times New Roman"/>
          <w:lang w:val="bg-BG"/>
        </w:rPr>
      </w:pPr>
      <w:r>
        <w:rPr>
          <w:rStyle w:val="FootnoteReference"/>
          <w:rFonts w:ascii="Times New Roman" w:hAnsi="Times New Roman" w:cs="Times New Roman"/>
          <w:lang w:val="bg-BG"/>
        </w:rPr>
        <w:footnoteRef/>
      </w:r>
      <w:r>
        <w:rPr>
          <w:rFonts w:ascii="Times New Roman" w:hAnsi="Times New Roman"/>
          <w:lang w:val="bg-BG"/>
        </w:rPr>
        <w:t xml:space="preserve"> Съвместен работен документ на службите на Комисията относно актуализирания анализ на несъответствията между военните изисквания и изискванията за трансевропейската транспортна мрежа, 17 юли 2020 г., {SWD(2020) 144 final}.</w:t>
      </w:r>
    </w:p>
    <w:p>
      <w:pPr>
        <w:pStyle w:val="FootnoteText"/>
        <w:jc w:val="both"/>
        <w:rPr>
          <w:rFonts w:ascii="Times New Roman" w:hAnsi="Times New Roman" w:cs="Times New Roman"/>
          <w:lang w:val="bg-BG"/>
        </w:rPr>
      </w:pPr>
    </w:p>
  </w:footnote>
  <w:footnote w:id="21">
    <w:p>
      <w:pPr>
        <w:pStyle w:val="FootnoteText"/>
        <w:jc w:val="both"/>
        <w:rPr>
          <w:lang w:val="bg-BG"/>
        </w:rPr>
      </w:pPr>
      <w:r>
        <w:rPr>
          <w:rStyle w:val="FootnoteReference"/>
          <w:rFonts w:ascii="Times New Roman" w:hAnsi="Times New Roman" w:cs="Times New Roman"/>
          <w:lang w:val="bg-BG"/>
        </w:rPr>
        <w:footnoteRef/>
      </w:r>
      <w:r>
        <w:rPr>
          <w:rFonts w:ascii="Times New Roman" w:hAnsi="Times New Roman"/>
          <w:lang w:val="bg-BG"/>
        </w:rPr>
        <w:t xml:space="preserve"> Вж. бележка под линия 17 по-горе.</w:t>
      </w:r>
    </w:p>
  </w:footnote>
  <w:footnote w:id="22">
    <w:p>
      <w:pPr>
        <w:pStyle w:val="FootnoteText"/>
        <w:rPr>
          <w:lang w:val="bg-BG"/>
        </w:rPr>
      </w:pPr>
      <w:r>
        <w:rPr>
          <w:rStyle w:val="FootnoteReference"/>
          <w:lang w:val="bg-BG"/>
        </w:rPr>
        <w:footnoteRef/>
      </w:r>
      <w:r>
        <w:rPr>
          <w:lang w:val="bg-BG"/>
        </w:rPr>
        <w:t xml:space="preserve"> </w:t>
      </w:r>
      <w:r>
        <w:rPr>
          <w:rFonts w:ascii="Times New Roman" w:hAnsi="Times New Roman"/>
          <w:lang w:val="bg-BG"/>
        </w:rPr>
        <w:t>Регламент (ЕС) № 1315/2013 на Европейския парламент и на Съвета от 11 декември 2013 г. относно насоките на Съюза за развитието на трансевропейската транспортна мрежа и за отмяна на Решение № 661/2010/ЕС</w:t>
      </w:r>
      <w:r>
        <w:rPr>
          <w:rFonts w:ascii="Times New Roman" w:hAnsi="Times New Roman"/>
          <w:i/>
          <w:lang w:val="bg-BG"/>
        </w:rPr>
        <w:t>, ОВ L 348, 20.12.2013 г., стр. 1.</w:t>
      </w:r>
    </w:p>
  </w:footnote>
  <w:footnote w:id="23">
    <w:p>
      <w:pPr>
        <w:pStyle w:val="FootnoteText"/>
        <w:rPr>
          <w:lang w:val="bg-BG"/>
        </w:rPr>
      </w:pPr>
      <w:r>
        <w:rPr>
          <w:rStyle w:val="FootnoteReference"/>
          <w:rFonts w:ascii="Times New Roman" w:hAnsi="Times New Roman" w:cs="Times New Roman"/>
          <w:lang w:val="bg-BG"/>
        </w:rPr>
        <w:footnoteRef/>
      </w:r>
      <w:r>
        <w:rPr>
          <w:rFonts w:ascii="Times New Roman" w:hAnsi="Times New Roman"/>
          <w:lang w:val="bg-BG"/>
        </w:rPr>
        <w:t xml:space="preserve"> Съвместно съобщение до Европейския парламент и Съвета относно план за действие за военната мобилност, {JOIN(2018)05 final}, стр. 5.</w:t>
      </w:r>
    </w:p>
  </w:footnote>
  <w:footnote w:id="24">
    <w:p>
      <w:pPr>
        <w:pStyle w:val="FootnoteText"/>
        <w:rPr>
          <w:rFonts w:ascii="Times New Roman" w:hAnsi="Times New Roman" w:cs="Times New Roman"/>
          <w:lang w:val="bg-BG"/>
        </w:rPr>
      </w:pPr>
      <w:r>
        <w:rPr>
          <w:rStyle w:val="FootnoteReference"/>
          <w:rFonts w:ascii="Times New Roman" w:hAnsi="Times New Roman" w:cs="Times New Roman"/>
          <w:lang w:val="bg-BG"/>
        </w:rPr>
        <w:footnoteRef/>
      </w:r>
      <w:r>
        <w:rPr>
          <w:rFonts w:ascii="Times New Roman" w:hAnsi="Times New Roman"/>
          <w:lang w:val="bg-BG"/>
        </w:rPr>
        <w:t xml:space="preserve"> Достъп до интерактивната програма за преглед се предоставя на принципа „необходимост да се знае“ при контакт на </w:t>
      </w:r>
      <w:hyperlink r:id="rId13" w:history="1">
        <w:r>
          <w:rPr>
            <w:rStyle w:val="Hyperlink"/>
            <w:rFonts w:ascii="Times New Roman" w:hAnsi="Times New Roman"/>
            <w:lang w:val="bg-BG"/>
          </w:rPr>
          <w:t>move-tentec@ec.europa.eu</w:t>
        </w:r>
      </w:hyperlink>
      <w:r>
        <w:rPr>
          <w:lang w:val="bg-BG"/>
        </w:rPr>
        <w:t>.</w:t>
      </w:r>
    </w:p>
  </w:footnote>
  <w:footnote w:id="25">
    <w:p>
      <w:pPr>
        <w:pStyle w:val="FootnoteText"/>
        <w:rPr>
          <w:rFonts w:ascii="Times New Roman" w:hAnsi="Times New Roman" w:cs="Times New Roman"/>
          <w:lang w:val="bg-BG"/>
        </w:rPr>
      </w:pPr>
      <w:r>
        <w:rPr>
          <w:rStyle w:val="FootnoteReference"/>
          <w:rFonts w:ascii="Times New Roman" w:hAnsi="Times New Roman" w:cs="Times New Roman"/>
          <w:lang w:val="bg-BG"/>
        </w:rPr>
        <w:footnoteRef/>
      </w:r>
      <w:r>
        <w:rPr>
          <w:rFonts w:ascii="Times New Roman" w:hAnsi="Times New Roman"/>
          <w:lang w:val="bg-BG"/>
        </w:rPr>
        <w:t xml:space="preserve"> Делегиран регламент (ЕС) 2015/2446 на Комисията от 28 юли 2015 г. за допълнение на Регламент (ЕС) № 952/2013 на Европейския парламент и на Съвета за определяне на подробни правила за някои от разпоредбите на Митническия кодекс на Съюза, </w:t>
      </w:r>
      <w:r>
        <w:rPr>
          <w:rStyle w:val="Emphasis"/>
          <w:rFonts w:ascii="Times New Roman" w:hAnsi="Times New Roman"/>
          <w:lang w:val="bg-BG"/>
        </w:rPr>
        <w:t>OВ L 343, 29.12.2015 г., стр. 1;</w:t>
      </w:r>
      <w:r>
        <w:rPr>
          <w:rFonts w:ascii="Times New Roman" w:hAnsi="Times New Roman"/>
          <w:lang w:val="bg-BG"/>
        </w:rPr>
        <w:t xml:space="preserve"> Регламент за изпълнение (ЕС) 2015/2447 на Комисията от 24 ноември 2015 г. за определяне на подробни правила за прилагането на някои разпоредби на Регламент (ЕС) № 952/2013 на Европейския парламент и на Съвета за създаване на Митнически кодекс на Съюза, </w:t>
      </w:r>
      <w:r>
        <w:rPr>
          <w:rStyle w:val="Emphasis"/>
          <w:rFonts w:ascii="Times New Roman" w:hAnsi="Times New Roman"/>
          <w:lang w:val="bg-BG"/>
        </w:rPr>
        <w:t>OВ L 343, 29.12.2015 г., стр. 558.</w:t>
      </w:r>
    </w:p>
  </w:footnote>
  <w:footnote w:id="26">
    <w:p>
      <w:pPr>
        <w:pStyle w:val="FootnoteText"/>
        <w:rPr>
          <w:lang w:val="bg-BG"/>
        </w:rPr>
      </w:pPr>
      <w:r>
        <w:rPr>
          <w:rStyle w:val="FootnoteReference"/>
          <w:lang w:val="bg-BG"/>
        </w:rPr>
        <w:footnoteRef/>
      </w:r>
      <w:r>
        <w:rPr>
          <w:lang w:val="bg-BG"/>
        </w:rPr>
        <w:t xml:space="preserve"> </w:t>
      </w:r>
      <w:r>
        <w:rPr>
          <w:rFonts w:ascii="Times New Roman" w:hAnsi="Times New Roman"/>
          <w:lang w:val="bg-BG"/>
        </w:rPr>
        <w:t xml:space="preserve">Делегиран регламент (ЕС) 2020/877 на Комисията от 3.4.2020 г. за изменение и поправка на Делегиран регламент 2015/2446 на Комисията за допълнение на Регламент (ЕС) № 952/2013 и за изменение на Делегиран регламент (ЕС) 2016/341 за допълнение на Регламент (ЕС) № 952/2013 чрез преходни правила за някои разпоредби от Митническия кодекс на Съюза, </w:t>
      </w:r>
      <w:r>
        <w:rPr>
          <w:rFonts w:ascii="Times New Roman" w:hAnsi="Times New Roman"/>
          <w:i/>
          <w:iCs/>
          <w:lang w:val="bg-BG"/>
        </w:rPr>
        <w:t>OВ L 203, 26.6.2020 г., стр. 1.</w:t>
      </w:r>
    </w:p>
  </w:footnote>
  <w:footnote w:id="27">
    <w:p>
      <w:pPr>
        <w:pStyle w:val="FootnoteText"/>
        <w:rPr>
          <w:lang w:val="bg-BG"/>
        </w:rPr>
      </w:pPr>
      <w:r>
        <w:rPr>
          <w:rStyle w:val="FootnoteReference"/>
          <w:lang w:val="bg-BG"/>
        </w:rPr>
        <w:footnoteRef/>
      </w:r>
      <w:r>
        <w:rPr>
          <w:lang w:val="bg-BG"/>
        </w:rPr>
        <w:t xml:space="preserve"> </w:t>
      </w:r>
      <w:r>
        <w:rPr>
          <w:rFonts w:ascii="Times New Roman" w:hAnsi="Times New Roman"/>
          <w:lang w:val="bg-BG"/>
        </w:rPr>
        <w:t xml:space="preserve">Регламент за изпълнение (ЕС) 893/2020 на Комисията 29.6.2020 г. за изменение на Регламент за изпълнение (ЕС) 2015/2447 за определяне на подробни правила за прилагането на някои разпоредби на Регламент (ЕС) № 952/2013 на Европейския парламент и на Съвета за създаване на Митнически кодекс на Съюза, </w:t>
      </w:r>
      <w:r>
        <w:rPr>
          <w:rFonts w:ascii="Times New Roman" w:hAnsi="Times New Roman"/>
          <w:i/>
          <w:lang w:val="bg-BG"/>
        </w:rPr>
        <w:t>OВ L 206, 30.6.2020 г., стр. 8</w:t>
      </w:r>
      <w:r>
        <w:rPr>
          <w:rFonts w:ascii="Times New Roman" w:hAnsi="Times New Roman"/>
          <w:lang w:val="bg-BG"/>
        </w:rPr>
        <w:t>.</w:t>
      </w:r>
    </w:p>
  </w:footnote>
  <w:footnote w:id="28">
    <w:p>
      <w:pPr>
        <w:pStyle w:val="FootnoteText"/>
        <w:rPr>
          <w:rFonts w:ascii="Times New Roman" w:hAnsi="Times New Roman" w:cs="Times New Roman"/>
          <w:lang w:val="bg-BG"/>
        </w:rPr>
      </w:pPr>
      <w:r>
        <w:rPr>
          <w:rStyle w:val="FootnoteReference"/>
          <w:rFonts w:ascii="Times New Roman" w:hAnsi="Times New Roman" w:cs="Times New Roman"/>
          <w:lang w:val="bg-BG"/>
        </w:rPr>
        <w:footnoteRef/>
      </w:r>
      <w:r>
        <w:rPr>
          <w:rFonts w:ascii="Times New Roman" w:hAnsi="Times New Roman"/>
          <w:lang w:val="bg-BG"/>
        </w:rPr>
        <w:t xml:space="preserve"> Директива (ЕС) 2019/2235 на Съвета от 16 декември 2019 г. за изменение на Директива 2006/112/ЕО относно общата система на данъка върху добавената стойност и Директива 2008/118/ЕО относно общия режим на облагане с акциз по отношение на отбранителните дейности в рамките на Съюза, ST/14126/2019/INIT, </w:t>
      </w:r>
      <w:r>
        <w:rPr>
          <w:rFonts w:ascii="Times New Roman" w:hAnsi="Times New Roman"/>
          <w:i/>
          <w:lang w:val="bg-BG"/>
        </w:rPr>
        <w:t>OВ L 336, 30.12.2019 г., стр. 10.</w:t>
      </w:r>
    </w:p>
  </w:footnote>
  <w:footnote w:id="29">
    <w:p>
      <w:pPr>
        <w:pStyle w:val="FootnoteText"/>
        <w:rPr>
          <w:rFonts w:ascii="Times New Roman" w:hAnsi="Times New Roman" w:cs="Times New Roman"/>
          <w:lang w:val="bg-BG"/>
        </w:rPr>
      </w:pPr>
      <w:r>
        <w:rPr>
          <w:rStyle w:val="FootnoteReference"/>
          <w:rFonts w:ascii="Times New Roman" w:hAnsi="Times New Roman" w:cs="Times New Roman"/>
          <w:lang w:val="bg-BG"/>
        </w:rPr>
        <w:footnoteRef/>
      </w:r>
      <w:r>
        <w:rPr>
          <w:rFonts w:ascii="Times New Roman" w:hAnsi="Times New Roman"/>
          <w:lang w:val="bg-BG"/>
        </w:rPr>
        <w:t xml:space="preserve"> Съвместно съобщение до Европейския парламент и Съвета „Съвместна рамка за борба с хибридните заплахи — ответни действия на Европейския съюз“, {JOIN/2016/018 final}.</w:t>
      </w:r>
    </w:p>
  </w:footnote>
  <w:footnote w:id="30">
    <w:p>
      <w:pPr>
        <w:pStyle w:val="FootnoteText"/>
        <w:rPr>
          <w:rFonts w:ascii="Times New Roman" w:hAnsi="Times New Roman" w:cs="Times New Roman"/>
          <w:lang w:val="bg-BG"/>
        </w:rPr>
      </w:pPr>
      <w:r>
        <w:rPr>
          <w:rStyle w:val="FootnoteReference"/>
          <w:rFonts w:ascii="Times New Roman" w:hAnsi="Times New Roman" w:cs="Times New Roman"/>
          <w:lang w:val="bg-BG"/>
        </w:rPr>
        <w:footnoteRef/>
      </w:r>
      <w:r>
        <w:rPr>
          <w:rFonts w:ascii="Times New Roman" w:hAnsi="Times New Roman"/>
          <w:lang w:val="bg-BG"/>
        </w:rPr>
        <w:t xml:space="preserve"> Съвместен работен документ на службите на Комисията: Доклад относно изпълнението на Съвместната рамка от 2016 г. за борба с хибридните заплахи и на Съвместното съобщение от 2018 г. относно повишаване на устойчивостта и укрепване на способностите за борба с хибридните заплахи, 24 юли 2020 г. {SWD(2020) 153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b/>
        <w:sz w:val="3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5339C"/>
    <w:multiLevelType w:val="hybridMultilevel"/>
    <w:tmpl w:val="EAA44FA0"/>
    <w:lvl w:ilvl="0" w:tplc="722A3768">
      <w:start w:val="1"/>
      <w:numFmt w:val="upp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86F095E"/>
    <w:multiLevelType w:val="hybridMultilevel"/>
    <w:tmpl w:val="EB5479DC"/>
    <w:lvl w:ilvl="0" w:tplc="9CE2F20C">
      <w:start w:val="1"/>
      <w:numFmt w:val="upperLetter"/>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1B891981"/>
    <w:multiLevelType w:val="hybridMultilevel"/>
    <w:tmpl w:val="6DACE96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E5D41C5"/>
    <w:multiLevelType w:val="hybridMultilevel"/>
    <w:tmpl w:val="7442A454"/>
    <w:lvl w:ilvl="0" w:tplc="9CE2F20C">
      <w:start w:val="1"/>
      <w:numFmt w:val="upperLetter"/>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796E3360"/>
    <w:multiLevelType w:val="hybridMultilevel"/>
    <w:tmpl w:val="7442A454"/>
    <w:lvl w:ilvl="0" w:tplc="9CE2F20C">
      <w:start w:val="1"/>
      <w:numFmt w:val="upperLetter"/>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2"/>
  </w:num>
  <w:num w:numId="2">
    <w:abstractNumId w:val="0"/>
  </w:num>
  <w:num w:numId="3">
    <w:abstractNumId w:val="3"/>
  </w:num>
  <w:num w:numId="4">
    <w:abstractNumId w:val="4"/>
  </w:num>
  <w:num w:numId="5">
    <w:abstractNumId w:val="1"/>
  </w:num>
  <w:num w:numId="6">
    <w:abstractNumId w:val="2"/>
    <w:lvlOverride w:ilvl="0">
      <w:startOverride w:val="4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hideSpellingErrors/>
  <w:hideGrammaticalErrors/>
  <w:revisionView w:markup="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0016E035-588B-48AB-B69A-5C061BAB09F0"/>
    <w:docVar w:name="LW_COVERPAGE_TYPE" w:val="1"/>
    <w:docVar w:name="LW_CROSSREFERENCE" w:val="&lt;UNUSED&gt;"/>
    <w:docVar w:name="LW_DocType" w:val="NORMAL"/>
    <w:docVar w:name="LW_EMISSION" w:val="19.10.2020"/>
    <w:docVar w:name="LW_EMISSION_ISODATE" w:val="2020-10-19"/>
    <w:docVar w:name="LW_EMISSION_LOCATION" w:val="BRX"/>
    <w:docVar w:name="LW_EMISSION_PREFIX" w:val="Брюксел, "/>
    <w:docVar w:name="LW_EMISSION_SUFFIX" w:val=" \u1075?."/>
    <w:docVar w:name="LW_ID_DOCTYPE_NONLW" w:val="CP-018"/>
    <w:docVar w:name="LW_LANGUE" w:val="BG"/>
    <w:docVar w:name="LW_LEVEL_OF_SENSITIVITY" w:val="Standard treatment"/>
    <w:docVar w:name="LW_NOM.INST" w:val="\u1045?\u1042?\u1056?\u1054?\u1055?\u1045?\u1049?\u1057?\u1050?\u1040? \u1050?\u1054?\u1052?\u1048?\u1057?\u1048?\u1071?"/>
    <w:docVar w:name="LW_NOM.INST_JOINTDOC" w:val="\u1042?\u1066?\u1056?\u1061?\u1054?\u1042?\u1045?\u1053? \u1055?\u1056?\u1045?\u1044?\u1057?\u1058?\u1040?\u1042?\u1048?\u1058?\u1045?\u1051? _x000b_\u1053?\u1040? \u1057?\u1066?\u1070?\u1047?A \u1055?\u1054? \u1042?\u1066?\u1055?\u1056?\u1054?\u1057?\u1048?\u1058?\u1045?_x000b_\u1053?\u1040? \u1042?\u1066?\u1053?\u1064?\u1053?\u1048?\u1058?\u1045? \u1056?\u1040?\u1041?\u1054?\u1058?\u1048? \u1048?_x000b_\u1055?\u1054?\u1051?\u1048?\u1058?\u1048?\u1050?\u1040?\u1058?\u1040? \u1053?\u1040? \u1057?\u1048?\u1043?\u1059?\u1056?\u1053?\u1054?\u1057?\u1058?"/>
    <w:docVar w:name="LW_PART_NBR" w:val="1"/>
    <w:docVar w:name="LW_PART_NBR_TOTAL" w:val="1"/>
    <w:docVar w:name="LW_REF.INST.NEW" w:val="JOIN"/>
    <w:docVar w:name="LW_REF.INST.NEW_ADOPTED" w:val="final"/>
    <w:docVar w:name="LW_REF.INST.NEW_TEXT" w:val="(2020) 1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86?\u1090?\u1085?\u1086?\u1089?\u1085?\u1086? \u1080?\u1079?\u1087?\u1098?\u1083?\u1085?\u1077?\u1085?\u1080?\u1077?\u1090?\u1086? \u1085?\u1072? \u1087?\u1083?\u1072?\u1085?\u1072? \u1079?\u1072? \u1076?\u1077?\u1081?\u1089?\u1090?\u1074?\u1080?\u1077? \u1079?\u1072? \u1074?\u1086?\u1077?\u1085?\u1085?\u1072?\u1090?\u1072? \u1084?\u1086?\u1073?\u1080?\u1083?\u1085?\u1086?\u1089?\u1090? \u1086?\u1090? \u1102?\u1085?\u1080? 2019 \u1075?. \u1076?\u1086? \u1089?\u1077?\u1087?\u1090?\u1077?\u1084?\u1074?\u1088?\u1080? 2020 \u1075?."/>
    <w:docVar w:name="LW_TYPE.DOC.CP" w:val="\u1057?\u1066?\u1042?\u1052?\u1045?\u1057?\u1058?\u1045?\u1053? \u1044?\u1054?\u1050?\u1051?\u1040?\u1044?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ListParagraph">
    <w:name w:val="List Paragraph"/>
    <w:basedOn w:val="Normal"/>
    <w:link w:val="ListParagraphChar"/>
    <w:uiPriority w:val="34"/>
    <w:qFormat/>
    <w:pPr>
      <w:spacing w:after="160" w:line="259" w:lineRule="auto"/>
      <w:ind w:left="720"/>
      <w:contextualSpacing/>
    </w:pPr>
  </w:style>
  <w:style w:type="character" w:customStyle="1" w:styleId="ListParagraphChar">
    <w:name w:val="List Paragraph Char"/>
    <w:basedOn w:val="DefaultParagraphFont"/>
    <w:link w:val="ListParagraph"/>
    <w:uiPriority w:val="34"/>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Pr>
      <w:color w:val="0000FF"/>
      <w:u w:val="single"/>
    </w:rPr>
  </w:style>
  <w:style w:type="character" w:styleId="Emphasis">
    <w:name w:val="Emphasis"/>
    <w:basedOn w:val="DefaultParagraphFont"/>
    <w:uiPriority w:val="20"/>
    <w:qFormat/>
    <w:rPr>
      <w:i/>
      <w:iCs/>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ListParagraph">
    <w:name w:val="List Paragraph"/>
    <w:basedOn w:val="Normal"/>
    <w:link w:val="ListParagraphChar"/>
    <w:uiPriority w:val="34"/>
    <w:qFormat/>
    <w:pPr>
      <w:spacing w:after="160" w:line="259" w:lineRule="auto"/>
      <w:ind w:left="720"/>
      <w:contextualSpacing/>
    </w:pPr>
  </w:style>
  <w:style w:type="character" w:customStyle="1" w:styleId="ListParagraphChar">
    <w:name w:val="List Paragraph Char"/>
    <w:basedOn w:val="DefaultParagraphFont"/>
    <w:link w:val="ListParagraph"/>
    <w:uiPriority w:val="34"/>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Pr>
      <w:color w:val="0000FF"/>
      <w:u w:val="single"/>
    </w:rPr>
  </w:style>
  <w:style w:type="character" w:styleId="Emphasis">
    <w:name w:val="Emphasis"/>
    <w:basedOn w:val="DefaultParagraphFont"/>
    <w:uiPriority w:val="20"/>
    <w:qFormat/>
    <w:rPr>
      <w:i/>
      <w:iCs/>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739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data.consilium.europa.eu/doc/document/ST-15283-2016-INIT/bg/pdf." TargetMode="External"/><Relationship Id="rId13" Type="http://schemas.openxmlformats.org/officeDocument/2006/relationships/hyperlink" Target="file:///\\net1.cec.eu.int\MOVE\B\1\700%20Military%20Mobility\Progress%20Report%202019\move-tentec@ec.europa.eu." TargetMode="External"/><Relationship Id="rId3" Type="http://schemas.openxmlformats.org/officeDocument/2006/relationships/hyperlink" Target="https://www.consilium.europa.eu/media/22459/eugs-conclusions-st14149en16.pdf." TargetMode="External"/><Relationship Id="rId7" Type="http://schemas.openxmlformats.org/officeDocument/2006/relationships/hyperlink" Target="https://www.consilium.europa.eu/media/36096/nato_eu_final_eng.pdf." TargetMode="External"/><Relationship Id="rId12" Type="http://schemas.openxmlformats.org/officeDocument/2006/relationships/hyperlink" Target="https://www.consilium.europa.eu/media/38507/st07207-re01-en19.pdf." TargetMode="External"/><Relationship Id="rId2" Type="http://schemas.openxmlformats.org/officeDocument/2006/relationships/hyperlink" Target="https://ec.europa.eu/commission/presscorner/detail/bg/SPEECH_20_102." TargetMode="External"/><Relationship Id="rId1" Type="http://schemas.openxmlformats.org/officeDocument/2006/relationships/hyperlink" Target="https://op.europa.eu/bg/publication-detail/-/publication/43a17056-ebf1-11e9-9c4e-01aa75ed71a1." TargetMode="External"/><Relationship Id="rId6" Type="http://schemas.openxmlformats.org/officeDocument/2006/relationships/hyperlink" Target="https://www.consilium.europa.eu/media/21481/nato-eu-declaration-8-july-en-final.pdf." TargetMode="External"/><Relationship Id="rId11" Type="http://schemas.openxmlformats.org/officeDocument/2006/relationships/hyperlink" Target="https://www.consilium.europa.eu/media/39786/st10048-en19.pdf." TargetMode="External"/><Relationship Id="rId5" Type="http://schemas.openxmlformats.org/officeDocument/2006/relationships/hyperlink" Target="http://data.consilium.europa.eu/doc/document/ST-10246-2018-INIT/bg/pdf." TargetMode="External"/><Relationship Id="rId10" Type="http://schemas.openxmlformats.org/officeDocument/2006/relationships/hyperlink" Target="https://www.consilium.europa.eu/media/44451/200616-progress-report-nr5-eu-nato-eng.pdf" TargetMode="External"/><Relationship Id="rId4" Type="http://schemas.openxmlformats.org/officeDocument/2006/relationships/hyperlink" Target="http://eeas.europa.eu/archives/docs/top_stories/pdf/eugs_review_web.pdf." TargetMode="External"/><Relationship Id="rId9" Type="http://schemas.openxmlformats.org/officeDocument/2006/relationships/hyperlink" Target="https://www.consilium.europa.eu/media/31947/st14802en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3EFBB-B1DC-47C7-8ACC-51F444447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10</Pages>
  <Words>3909</Words>
  <Characters>22909</Characters>
  <Application>Microsoft Office Word</Application>
  <DocSecurity>0</DocSecurity>
  <Lines>388</Lines>
  <Paragraphs>75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24</cp:revision>
  <cp:lastPrinted>2020-09-08T14:44:00Z</cp:lastPrinted>
  <dcterms:created xsi:type="dcterms:W3CDTF">2020-09-25T09:00:00Z</dcterms:created>
  <dcterms:modified xsi:type="dcterms:W3CDTF">2020-10-12T06:50:00Z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CP-018</vt:lpwstr>
  </property>
  <property fmtid="{D5CDD505-2E9C-101B-9397-08002B2CF9AE}" pid="7" name="Last edited using">
    <vt:lpwstr>LW 7.0, Build 20190717</vt:lpwstr>
  </property>
  <property fmtid="{D5CDD505-2E9C-101B-9397-08002B2CF9AE}" pid="8" name="Created using">
    <vt:lpwstr>LW 7.0, Build 20190717</vt:lpwstr>
  </property>
</Properties>
</file>