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1A" w:rsidRDefault="002F3E9A" w:rsidP="002F3E9A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B024DF3-A328-4CCF-8D4E-EF692E3D441A" style="width:450.75pt;height:389.25pt">
            <v:imagedata r:id="rId8" o:title=""/>
          </v:shape>
        </w:pict>
      </w:r>
    </w:p>
    <w:bookmarkEnd w:id="0"/>
    <w:p w:rsidR="0021651A" w:rsidRDefault="0021651A">
      <w:pPr>
        <w:rPr>
          <w:noProof/>
        </w:rPr>
        <w:sectPr w:rsidR="0021651A" w:rsidSect="002F3E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1651A" w:rsidRDefault="002F3E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Vu: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traité sur le fonctionnement de l’Union européenne, et notamment son article 314, lu en combinaison avec le traité instituant la Communauté européenne de l’énergie atomique, et notamment son article 106 </w:t>
      </w:r>
      <w:r>
        <w:rPr>
          <w:i/>
          <w:iCs/>
          <w:noProof/>
        </w:rPr>
        <w:t>bis</w:t>
      </w:r>
      <w:r>
        <w:rPr>
          <w:noProof/>
        </w:rPr>
        <w:t>,</w:t>
      </w:r>
    </w:p>
    <w:p w:rsidR="0021651A" w:rsidRDefault="002F3E9A">
      <w:pPr>
        <w:pStyle w:val="Tiret0"/>
        <w:tabs>
          <w:tab w:val="clear" w:pos="850"/>
          <w:tab w:val="num" w:pos="927"/>
        </w:tabs>
        <w:rPr>
          <w:rFonts w:cs="Arial"/>
          <w:noProof/>
          <w:szCs w:val="18"/>
        </w:rPr>
      </w:pPr>
      <w:r>
        <w:rPr>
          <w:noProof/>
        </w:rPr>
        <w:t>le règlement (UE, Euratom) 2018/1046 du Parlement européen et du Conseil du 18 juillet 2018 relatif aux règles financières applicables au budget général de l’Union [...]</w:t>
      </w:r>
      <w:r>
        <w:rPr>
          <w:rStyle w:val="FootnoteReference"/>
          <w:noProof/>
        </w:rPr>
        <w:footnoteReference w:id="1"/>
      </w:r>
      <w:r>
        <w:rPr>
          <w:noProof/>
        </w:rPr>
        <w:t>, et notamment son article 44,</w:t>
      </w:r>
    </w:p>
    <w:p w:rsidR="0021651A" w:rsidRDefault="002F3E9A"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le budget général de l’Union européenne pour l’exercice 2020, adopté le 27 novembre 2019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1/2020</w:t>
      </w:r>
      <w:r>
        <w:rPr>
          <w:rStyle w:val="FootnoteReference"/>
          <w:noProof/>
        </w:rPr>
        <w:footnoteReference w:id="3"/>
      </w:r>
      <w:r>
        <w:rPr>
          <w:noProof/>
        </w:rPr>
        <w:t>, adopté le 17 avril 2020,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2/2020</w:t>
      </w:r>
      <w:r>
        <w:rPr>
          <w:rStyle w:val="FootnoteReference"/>
          <w:noProof/>
        </w:rPr>
        <w:footnoteReference w:id="4"/>
      </w:r>
      <w:r>
        <w:rPr>
          <w:noProof/>
        </w:rPr>
        <w:t>, adopté le 17 avril 2020,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3/2020</w:t>
      </w:r>
      <w:r>
        <w:rPr>
          <w:rStyle w:val="FootnoteReference"/>
          <w:noProof/>
        </w:rPr>
        <w:footnoteReference w:id="5"/>
      </w:r>
      <w:r>
        <w:rPr>
          <w:noProof/>
        </w:rPr>
        <w:t>, adopté le 17 juin 2020,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4/2020</w:t>
      </w:r>
      <w:r>
        <w:rPr>
          <w:rStyle w:val="FootnoteReference"/>
          <w:noProof/>
        </w:rPr>
        <w:footnoteReference w:id="6"/>
      </w:r>
      <w:r>
        <w:rPr>
          <w:noProof/>
        </w:rPr>
        <w:t>, adopté le 17 juin 2020,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5/2020</w:t>
      </w:r>
      <w:r>
        <w:rPr>
          <w:rStyle w:val="FootnoteReference"/>
          <w:noProof/>
        </w:rPr>
        <w:footnoteReference w:id="7"/>
      </w:r>
      <w:r>
        <w:rPr>
          <w:noProof/>
        </w:rPr>
        <w:t>, adopté le 10 juillet 2020,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6/2020</w:t>
      </w:r>
      <w:r>
        <w:rPr>
          <w:rStyle w:val="FootnoteReference"/>
          <w:noProof/>
        </w:rPr>
        <w:footnoteReference w:id="8"/>
      </w:r>
      <w:r>
        <w:rPr>
          <w:noProof/>
        </w:rPr>
        <w:t>, adopté le 17 septembre 2020,</w:t>
      </w:r>
    </w:p>
    <w:p w:rsidR="0021651A" w:rsidRDefault="002F3E9A">
      <w:pPr>
        <w:pStyle w:val="Tiret0"/>
        <w:rPr>
          <w:noProof/>
        </w:rPr>
      </w:pPr>
      <w:r>
        <w:rPr>
          <w:noProof/>
        </w:rPr>
        <w:t>le budget rectificatif nº 7/2020</w:t>
      </w:r>
      <w:r>
        <w:rPr>
          <w:rStyle w:val="FootnoteReference"/>
          <w:noProof/>
        </w:rPr>
        <w:footnoteReference w:id="9"/>
      </w:r>
      <w:r>
        <w:rPr>
          <w:noProof/>
        </w:rPr>
        <w:t>, adopté le 6 octobre 2020,</w:t>
      </w:r>
    </w:p>
    <w:p w:rsidR="0021651A" w:rsidRDefault="002F3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la Commission européenne présente ci-après au Parlement européen et au Conseil le projet de budget rectificatif nº 9 au budget 2020.</w:t>
      </w:r>
    </w:p>
    <w:p w:rsidR="0021651A" w:rsidRDefault="002F3E9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MODIFICATIONS À L’ÉTAT DES RECETTES ET DES DÉPENSES PAR SECTION</w:t>
      </w:r>
    </w:p>
    <w:p w:rsidR="0021651A" w:rsidRDefault="002F3E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Les modifications apportées à l’état général des recettes et à l’état des dépenses et des recettes de la section III sont disponibles sur EUR-Lex (</w:t>
      </w:r>
      <w:hyperlink r:id="rId15" w:history="1">
        <w:r>
          <w:rPr>
            <w:rFonts w:ascii="Times New Roman" w:hAnsi="Times New Roman"/>
            <w:noProof/>
            <w:sz w:val="24"/>
            <w:szCs w:val="24"/>
            <w:u w:val="single"/>
          </w:rPr>
          <w:t>http://eur-lex.europa.eu/budget/www/index-fr.htm</w:t>
        </w:r>
      </w:hyperlink>
      <w:r>
        <w:rPr>
          <w:rFonts w:ascii="Times New Roman" w:hAnsi="Times New Roman"/>
          <w:noProof/>
          <w:sz w:val="24"/>
          <w:szCs w:val="24"/>
        </w:rPr>
        <w:t>).</w:t>
      </w:r>
    </w:p>
    <w:p w:rsidR="0021651A" w:rsidRDefault="0021651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sectPr w:rsidR="002165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21651A" w:rsidRDefault="002F3E9A">
      <w:pPr>
        <w:pStyle w:val="TOCHeading"/>
        <w:rPr>
          <w:noProof/>
        </w:rPr>
      </w:pPr>
      <w:r>
        <w:rPr>
          <w:noProof/>
        </w:rPr>
        <w:lastRenderedPageBreak/>
        <w:t>TABLE DES MATIÈRES</w:t>
      </w:r>
    </w:p>
    <w:sdt>
      <w:sdtPr>
        <w:rPr>
          <w:b w:val="0"/>
          <w:bCs w:val="0"/>
          <w:caps w:val="0"/>
          <w:smallCaps/>
          <w:noProof/>
          <w:sz w:val="24"/>
          <w:szCs w:val="24"/>
          <w:lang w:eastAsia="de-DE"/>
        </w:rPr>
        <w:id w:val="202991279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1651A" w:rsidRDefault="002F3E9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53549155" w:history="1">
            <w:r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_Toc53549155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651A" w:rsidRDefault="002F3E9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53549156" w:history="1">
            <w:r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_Toc53549156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651A" w:rsidRDefault="002F3E9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53549157" w:history="1">
            <w:r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Crédits demandés dans le budget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_Toc53549157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651A" w:rsidRDefault="002F3E9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53549158" w:history="1">
            <w:r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Tableau récapitulatif par rubrique du CFP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_Toc53549158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651A" w:rsidRDefault="002F3E9A">
          <w:pPr>
            <w:pStyle w:val="ManualHeading1"/>
            <w:ind w:left="0" w:firstLine="0"/>
            <w:rPr>
              <w:bCs/>
              <w:noProof/>
            </w:rPr>
          </w:pPr>
          <w:r>
            <w:rPr>
              <w:b w:val="0"/>
              <w:bCs/>
              <w:noProof/>
            </w:rPr>
            <w:fldChar w:fldCharType="end"/>
          </w:r>
        </w:p>
      </w:sdtContent>
    </w:sdt>
    <w:p w:rsidR="0021651A" w:rsidRDefault="0021651A">
      <w:pPr>
        <w:rPr>
          <w:b/>
          <w:noProof/>
          <w:u w:val="single"/>
          <w:lang w:eastAsia="de-DE"/>
        </w:rPr>
        <w:sectPr w:rsidR="0021651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021" w:right="1021" w:bottom="1021" w:left="1021" w:header="709" w:footer="709" w:gutter="0"/>
          <w:cols w:space="708"/>
          <w:docGrid w:linePitch="360"/>
        </w:sectPr>
      </w:pPr>
    </w:p>
    <w:p w:rsidR="0021651A" w:rsidRDefault="002F3E9A">
      <w:pPr>
        <w:pStyle w:val="Exposdesmotifstitre"/>
        <w:rPr>
          <w:noProof/>
        </w:rPr>
      </w:pPr>
      <w:r>
        <w:rPr>
          <w:noProof/>
        </w:rPr>
        <w:lastRenderedPageBreak/>
        <w:t>EXPOSÉ DES MOTIFS</w:t>
      </w:r>
    </w:p>
    <w:p w:rsidR="0021651A" w:rsidRDefault="002F3E9A">
      <w:pPr>
        <w:pStyle w:val="ManualHeading1"/>
        <w:spacing w:before="120"/>
        <w:rPr>
          <w:noProof/>
        </w:rPr>
      </w:pPr>
      <w:bookmarkStart w:id="2" w:name="_Toc385506031"/>
      <w:bookmarkStart w:id="3" w:name="_Toc430865946"/>
      <w:bookmarkStart w:id="4" w:name="_Toc430867524"/>
      <w:bookmarkStart w:id="5" w:name="_Toc514181799"/>
      <w:bookmarkStart w:id="6" w:name="_Toc53549155"/>
      <w:bookmarkStart w:id="7" w:name="_Toc351469332"/>
      <w:bookmarkStart w:id="8" w:name="_Toc361649879"/>
      <w:r>
        <w:rPr>
          <w:noProof/>
        </w:rPr>
        <w:t>1.</w:t>
      </w:r>
      <w:r>
        <w:rPr>
          <w:noProof/>
        </w:rPr>
        <w:tab/>
        <w:t>Introduction</w:t>
      </w:r>
      <w:bookmarkEnd w:id="2"/>
      <w:bookmarkEnd w:id="3"/>
      <w:bookmarkEnd w:id="4"/>
      <w:bookmarkEnd w:id="5"/>
      <w:bookmarkEnd w:id="6"/>
    </w:p>
    <w:p w:rsidR="0021651A" w:rsidRDefault="002F3E9A">
      <w:pPr>
        <w:spacing w:before="120"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Le projet de budget rectificatif (PBR) nº 9 pour l’exercice 2020 accompagne la proposition</w:t>
      </w:r>
      <w:r>
        <w:rPr>
          <w:rStyle w:val="FootnoteReference"/>
          <w:rFonts w:ascii="Times New Roman" w:hAnsi="Times New Roman" w:cs="Times New Roman"/>
          <w:noProof/>
        </w:rPr>
        <w:footnoteReference w:id="10"/>
      </w:r>
      <w:r>
        <w:rPr>
          <w:rFonts w:ascii="Times New Roman" w:hAnsi="Times New Roman"/>
          <w:noProof/>
        </w:rPr>
        <w:t xml:space="preserve"> de mobilisation du Fonds de solidarité de l’Union européenne (FSUE) pour un montant de 823 548 633 EUR afin de venir en aide aux pays suivants:</w:t>
      </w:r>
    </w:p>
    <w:p w:rsidR="0021651A" w:rsidRDefault="002F3E9A">
      <w:pPr>
        <w:pStyle w:val="ListParagraph"/>
        <w:numPr>
          <w:ilvl w:val="0"/>
          <w:numId w:val="35"/>
        </w:numPr>
        <w:spacing w:before="120" w:after="120"/>
        <w:contextualSpacing w:val="0"/>
        <w:jc w:val="both"/>
        <w:rPr>
          <w:noProof/>
        </w:rPr>
      </w:pPr>
      <w:r>
        <w:rPr>
          <w:noProof/>
          <w:sz w:val="22"/>
          <w:szCs w:val="22"/>
        </w:rPr>
        <w:t>la Croatie à la suite du tremblement de terre qui a touché la ville de Zagreb et les comitats de Zagreb et de Krapina-Zagorje en mars 2020 (683 740 523 EUR),</w:t>
      </w:r>
    </w:p>
    <w:p w:rsidR="0021651A" w:rsidRDefault="002F3E9A">
      <w:pPr>
        <w:pStyle w:val="ListParagraph"/>
        <w:numPr>
          <w:ilvl w:val="0"/>
          <w:numId w:val="35"/>
        </w:numPr>
        <w:spacing w:before="120" w:after="120"/>
        <w:contextualSpacing w:val="0"/>
        <w:jc w:val="both"/>
        <w:rPr>
          <w:noProof/>
        </w:rPr>
      </w:pPr>
      <w:r>
        <w:rPr>
          <w:noProof/>
          <w:sz w:val="22"/>
          <w:szCs w:val="22"/>
        </w:rPr>
        <w:t>la Pologne à la suite des inondations dans la voïvodie des Basses-Carpates en juin 2020 (7 071 280 EUR), et</w:t>
      </w:r>
    </w:p>
    <w:p w:rsidR="0021651A" w:rsidRDefault="002F3E9A">
      <w:pPr>
        <w:pStyle w:val="ListParagraph"/>
        <w:numPr>
          <w:ilvl w:val="0"/>
          <w:numId w:val="35"/>
        </w:numPr>
        <w:spacing w:before="120" w:after="120"/>
        <w:contextualSpacing w:val="0"/>
        <w:jc w:val="both"/>
        <w:rPr>
          <w:noProof/>
        </w:rPr>
      </w:pPr>
      <w:r>
        <w:rPr>
          <w:noProof/>
          <w:sz w:val="22"/>
          <w:szCs w:val="22"/>
        </w:rPr>
        <w:t>sept États membres (Allemagne, Croatie, Espagne, Grèce, Hongrie, Irlande et Portugal) en ce qui concerne les avances à verser pour faire face à l’urgence de santé publique majeure provoquée par la pandémie de COVID-19 au début de l’année 2020 (132 736 830 EUR).</w:t>
      </w:r>
    </w:p>
    <w:p w:rsidR="0021651A" w:rsidRDefault="002F3E9A">
      <w:pPr>
        <w:spacing w:before="120"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Le PBR nº 9/2020 propose d’inscrire </w:t>
      </w:r>
      <w:r>
        <w:rPr>
          <w:rFonts w:ascii="Times New Roman" w:hAnsi="Times New Roman"/>
          <w:noProof/>
          <w:snapToGrid w:val="0"/>
        </w:rPr>
        <w:t>734 596 756 EUR</w:t>
      </w:r>
      <w:r>
        <w:rPr>
          <w:rFonts w:ascii="Times New Roman" w:hAnsi="Times New Roman"/>
          <w:noProof/>
        </w:rPr>
        <w:t xml:space="preserve"> au budget général 2020, tant en engagements qu’en paiements, après déduction de l’avance déjà versée à la Croatie dans le cadre du tremblement de terre (88 951 877 EUR).</w:t>
      </w:r>
    </w:p>
    <w:p w:rsidR="0021651A" w:rsidRDefault="002F3E9A">
      <w:pPr>
        <w:pStyle w:val="ManualHeading1"/>
        <w:spacing w:before="120"/>
        <w:rPr>
          <w:noProof/>
        </w:rPr>
      </w:pPr>
      <w:bookmarkStart w:id="9" w:name="_Toc514181800"/>
      <w:bookmarkStart w:id="10" w:name="_Toc53549156"/>
      <w:bookmarkStart w:id="11" w:name="_Toc462410050"/>
      <w:bookmarkStart w:id="12" w:name="_Toc430865947"/>
      <w:bookmarkStart w:id="13" w:name="_Toc430867525"/>
      <w:r>
        <w:rPr>
          <w:noProof/>
        </w:rPr>
        <w:t>2.</w:t>
      </w:r>
      <w:r>
        <w:rPr>
          <w:noProof/>
        </w:rPr>
        <w:tab/>
        <w:t>Financement</w:t>
      </w:r>
      <w:bookmarkEnd w:id="9"/>
      <w:bookmarkEnd w:id="10"/>
    </w:p>
    <w:p w:rsidR="0021651A" w:rsidRDefault="002F3E9A">
      <w:pPr>
        <w:spacing w:before="120" w:after="120"/>
        <w:jc w:val="both"/>
        <w:rPr>
          <w:rFonts w:ascii="Times New Roman" w:hAnsi="Times New Roman" w:cs="Times New Roman"/>
          <w:noProof/>
        </w:rPr>
      </w:pPr>
      <w:bookmarkStart w:id="14" w:name="_Toc484781561"/>
      <w:bookmarkStart w:id="15" w:name="_Toc514181801"/>
      <w:bookmarkStart w:id="16" w:name="_Toc460335328"/>
      <w:bookmarkStart w:id="17" w:name="_Toc430865948"/>
      <w:bookmarkStart w:id="18" w:name="_Toc430867526"/>
      <w:bookmarkEnd w:id="11"/>
      <w:r>
        <w:rPr>
          <w:rFonts w:ascii="Times New Roman" w:hAnsi="Times New Roman"/>
          <w:noProof/>
        </w:rPr>
        <w:t>Conformément à l’article 10, paragraphe 1, du règlement (UE, Euratom) nº 1311/2013 du Conseil du 2 décembre 2013 fixant le cadre financier pluriannuel pour la période 2014-2020</w:t>
      </w:r>
      <w:r>
        <w:rPr>
          <w:rStyle w:val="FootnoteReference"/>
          <w:rFonts w:ascii="Times New Roman" w:hAnsi="Times New Roman" w:cs="Times New Roman"/>
          <w:noProof/>
        </w:rPr>
        <w:footnoteReference w:id="11"/>
      </w:r>
      <w:r>
        <w:rPr>
          <w:rFonts w:ascii="Times New Roman" w:hAnsi="Times New Roman"/>
          <w:noProof/>
        </w:rPr>
        <w:t>, le montant total disponible au début de 2020 pour l’intervention du FSUE était de 1 150 524 045 EUR, ce montant correspondant à la dotation pour 2020 de 597 546 284 EUR, majorée de la dotation restante pour 2019 à hauteur de 552 977 761 EUR qui, n’ayant pas été dépensés, ont été reportés à l’année 2020 (les deux montants exprimés en prix courants).</w:t>
      </w:r>
    </w:p>
    <w:p w:rsidR="0021651A" w:rsidRDefault="002F3E9A">
      <w:pPr>
        <w:spacing w:before="120"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Comme le montre le tableau ci-dessous, compte tenu de la précédente décision de mobilisation en 2020</w:t>
      </w:r>
      <w:r>
        <w:rPr>
          <w:rStyle w:val="FootnoteReference"/>
          <w:noProof/>
          <w:snapToGrid w:val="0"/>
        </w:rPr>
        <w:footnoteReference w:id="12"/>
      </w:r>
      <w:r>
        <w:rPr>
          <w:noProof/>
        </w:rPr>
        <w:t>,</w:t>
      </w:r>
      <w:r>
        <w:rPr>
          <w:rFonts w:ascii="Times New Roman" w:hAnsi="Times New Roman"/>
          <w:noProof/>
        </w:rPr>
        <w:t xml:space="preserve"> le montant pouvant être mobilisé à ce stade de l’année 2020 s’élève à 871 530 231 EUR.</w:t>
      </w:r>
      <w:r>
        <w:rPr>
          <w:noProof/>
        </w:rPr>
        <w:t xml:space="preserve"> </w:t>
      </w:r>
    </w:p>
    <w:p w:rsidR="0021651A" w:rsidRDefault="0021651A">
      <w:pPr>
        <w:spacing w:before="120" w:after="120"/>
        <w:jc w:val="both"/>
        <w:rPr>
          <w:rFonts w:ascii="Times New Roman" w:hAnsi="Times New Roman" w:cs="Times New Roman"/>
          <w:noProof/>
        </w:rPr>
      </w:pPr>
    </w:p>
    <w:tbl>
      <w:tblPr>
        <w:tblW w:w="7886" w:type="dxa"/>
        <w:jc w:val="center"/>
        <w:tblLook w:val="04A0" w:firstRow="1" w:lastRow="0" w:firstColumn="1" w:lastColumn="0" w:noHBand="0" w:noVBand="1"/>
      </w:tblPr>
      <w:tblGrid>
        <w:gridCol w:w="6101"/>
        <w:gridCol w:w="1785"/>
      </w:tblGrid>
      <w:tr w:rsidR="0021651A">
        <w:trPr>
          <w:trHeight w:val="452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:rsidR="0021651A" w:rsidRDefault="002F3E9A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18"/>
              </w:rPr>
              <w:t>Montant actuellement disponible au titre du Fonds de solidarité: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1651A" w:rsidRDefault="002F3E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</w:rPr>
              <w:t>Montant (en EUR)</w:t>
            </w:r>
          </w:p>
        </w:tc>
      </w:tr>
      <w:tr w:rsidR="0021651A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Dotation annuelle de 2020 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 xml:space="preserve">  597 546 284</w:t>
            </w:r>
          </w:p>
        </w:tc>
      </w:tr>
      <w:tr w:rsidR="0021651A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Majorée du montant non dépensé de la dotation 2019 reporté à 2020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+552 977 761</w:t>
            </w:r>
          </w:p>
        </w:tc>
      </w:tr>
      <w:tr w:rsidR="0021651A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18"/>
              </w:rPr>
              <w:t>[25 % de la dotation 2020 à retenir jusqu’au 1</w:t>
            </w:r>
            <w:r>
              <w:rPr>
                <w:rFonts w:ascii="Times New Roman" w:hAnsi="Times New Roman"/>
                <w:i/>
                <w:noProof/>
                <w:sz w:val="20"/>
                <w:szCs w:val="18"/>
                <w:vertAlign w:val="superscript"/>
              </w:rPr>
              <w:t>er</w:t>
            </w:r>
            <w:r>
              <w:rPr>
                <w:rFonts w:ascii="Times New Roman" w:hAnsi="Times New Roman"/>
                <w:i/>
                <w:noProof/>
                <w:sz w:val="20"/>
                <w:szCs w:val="18"/>
              </w:rPr>
              <w:t xml:space="preserve"> octobre 2020]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[149 386 571]</w:t>
            </w:r>
          </w:p>
        </w:tc>
      </w:tr>
      <w:tr w:rsidR="0021651A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Déduction faite du montant total de l’aide proposée en faveur du Portugal (ouragan Lorenzo), de l’Espagne (pluies extrêmes liées au phénomène DANA 2019), de l’Italie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napToGrid w:val="0"/>
                <w:sz w:val="20"/>
                <w:szCs w:val="20"/>
              </w:rPr>
              <w:t>(conditions météorologiques extrêmes 2019) et de l’Autriche (conditions météorologiques extrêmes 2019).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-</w:t>
            </w:r>
            <w:r>
              <w:rPr>
                <w:rFonts w:ascii="Times New Roman" w:hAnsi="Times New Roman"/>
                <w:bCs/>
                <w:iCs/>
                <w:noProof/>
                <w:sz w:val="20"/>
                <w:szCs w:val="18"/>
              </w:rPr>
              <w:t>278 993 814</w:t>
            </w:r>
          </w:p>
        </w:tc>
      </w:tr>
      <w:tr w:rsidR="0021651A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bCs/>
                <w:i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noProof/>
                <w:sz w:val="20"/>
                <w:szCs w:val="18"/>
              </w:rPr>
              <w:t>Montant disponible de janvier à septembre 2020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722 143 660</w:t>
            </w:r>
          </w:p>
        </w:tc>
      </w:tr>
      <w:tr w:rsidR="0021651A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18"/>
              </w:rPr>
              <w:t>Montant maximal actuellement disponible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w:t>871 530 231</w:t>
            </w:r>
          </w:p>
        </w:tc>
      </w:tr>
      <w:tr w:rsidR="0021651A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Montant total qu’il est proposé de mobiliser pour la Croatie, la Pologne et les avances concernant la COVID-19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w:t>-823 548 633</w:t>
            </w:r>
          </w:p>
        </w:tc>
      </w:tr>
      <w:tr w:rsidR="0021651A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51A" w:rsidRDefault="002F3E9A">
            <w:pPr>
              <w:spacing w:before="40" w:after="40"/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Disponibilités restantes jusqu’au 31.12.2020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1A" w:rsidRDefault="002F3E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w:t xml:space="preserve"> 47 981 598</w:t>
            </w:r>
          </w:p>
        </w:tc>
      </w:tr>
    </w:tbl>
    <w:p w:rsidR="0021651A" w:rsidRDefault="002F3E9A">
      <w:pP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noProof/>
        </w:rPr>
        <w:br w:type="page"/>
      </w:r>
    </w:p>
    <w:p w:rsidR="0021651A" w:rsidRDefault="002F3E9A">
      <w:pPr>
        <w:pStyle w:val="ManualHeading1"/>
        <w:spacing w:before="120"/>
        <w:rPr>
          <w:noProof/>
        </w:rPr>
      </w:pPr>
      <w:bookmarkStart w:id="19" w:name="_Toc53549157"/>
      <w:r>
        <w:rPr>
          <w:noProof/>
        </w:rPr>
        <w:lastRenderedPageBreak/>
        <w:t>3.</w:t>
      </w:r>
      <w:r>
        <w:rPr>
          <w:noProof/>
        </w:rPr>
        <w:tab/>
        <w:t xml:space="preserve">Crédits demandés dans le budget </w:t>
      </w:r>
      <w:bookmarkEnd w:id="14"/>
      <w:r>
        <w:rPr>
          <w:noProof/>
        </w:rPr>
        <w:t>20</w:t>
      </w:r>
      <w:bookmarkEnd w:id="15"/>
      <w:r>
        <w:rPr>
          <w:noProof/>
        </w:rPr>
        <w:t>20</w:t>
      </w:r>
      <w:bookmarkEnd w:id="19"/>
    </w:p>
    <w:p w:rsidR="0021651A" w:rsidRDefault="002F3E9A">
      <w:pPr>
        <w:jc w:val="both"/>
        <w:rPr>
          <w:rFonts w:ascii="Times New Roman" w:hAnsi="Times New Roman" w:cs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La Commission propose de modifier le budget 2020 en renforçant la ligne 13 06 01 de 734 596 756 EUR, tant en crédits d’engagement qu’en crédits de paiement (voir tableau ci-dessous).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701"/>
        <w:gridCol w:w="1701"/>
      </w:tblGrid>
      <w:tr w:rsidR="0021651A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651A" w:rsidRDefault="002F3E9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i/>
                <w:noProof/>
                <w:shd w:val="clear" w:color="auto" w:fill="FFFFFF" w:themeFill="background1"/>
              </w:rPr>
              <w:t xml:space="preserve">Montants en </w:t>
            </w:r>
            <w:r>
              <w:rPr>
                <w:rFonts w:ascii="Times New Roman" w:hAnsi="Times New Roman"/>
                <w:i/>
                <w:noProof/>
              </w:rPr>
              <w:t>EUR</w:t>
            </w:r>
          </w:p>
        </w:tc>
      </w:tr>
      <w:tr w:rsidR="0021651A"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1651A" w:rsidRDefault="002F3E9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Ligne budgétaire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1651A" w:rsidRDefault="002F3E9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Intitulé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21651A" w:rsidRDefault="002F3E9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Crédits d’engagement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1651A" w:rsidRDefault="002F3E9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Crédits de paiement</w:t>
            </w:r>
          </w:p>
        </w:tc>
      </w:tr>
      <w:tr w:rsidR="0021651A">
        <w:tc>
          <w:tcPr>
            <w:tcW w:w="1276" w:type="dxa"/>
          </w:tcPr>
          <w:p w:rsidR="0021651A" w:rsidRDefault="002F3E9A">
            <w:pPr>
              <w:widowControl w:val="0"/>
              <w:spacing w:before="15" w:after="15"/>
              <w:ind w:right="-113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13 06 01</w:t>
            </w:r>
          </w:p>
        </w:tc>
        <w:tc>
          <w:tcPr>
            <w:tcW w:w="5103" w:type="dxa"/>
          </w:tcPr>
          <w:p w:rsidR="0021651A" w:rsidRDefault="002F3E9A">
            <w:pPr>
              <w:widowControl w:val="0"/>
              <w:spacing w:before="15" w:after="15"/>
              <w:ind w:right="-113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Assistance aux États membres en cas de catastrophe naturelle majeure ayant de graves répercussions sur les conditions de vie, l’environnement naturel et l’économie</w:t>
            </w:r>
          </w:p>
        </w:tc>
        <w:tc>
          <w:tcPr>
            <w:tcW w:w="1701" w:type="dxa"/>
          </w:tcPr>
          <w:p w:rsidR="0021651A" w:rsidRDefault="002F3E9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734 596 756</w:t>
            </w:r>
          </w:p>
        </w:tc>
        <w:tc>
          <w:tcPr>
            <w:tcW w:w="1701" w:type="dxa"/>
          </w:tcPr>
          <w:p w:rsidR="0021651A" w:rsidRDefault="002F3E9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734 596 756</w:t>
            </w:r>
          </w:p>
        </w:tc>
      </w:tr>
      <w:tr w:rsidR="0021651A">
        <w:tc>
          <w:tcPr>
            <w:tcW w:w="6379" w:type="dxa"/>
            <w:gridSpan w:val="2"/>
            <w:shd w:val="clear" w:color="auto" w:fill="D9D9D9"/>
          </w:tcPr>
          <w:p w:rsidR="0021651A" w:rsidRDefault="002F3E9A">
            <w:pPr>
              <w:widowControl w:val="0"/>
              <w:tabs>
                <w:tab w:val="left" w:pos="975"/>
              </w:tabs>
              <w:spacing w:before="15" w:after="15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Total</w:t>
            </w:r>
            <w:r>
              <w:rPr>
                <w:noProof/>
              </w:rPr>
              <w:tab/>
            </w:r>
          </w:p>
        </w:tc>
        <w:tc>
          <w:tcPr>
            <w:tcW w:w="1701" w:type="dxa"/>
            <w:shd w:val="clear" w:color="auto" w:fill="D9D9D9"/>
          </w:tcPr>
          <w:p w:rsidR="0021651A" w:rsidRDefault="002F3E9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734 596 756</w:t>
            </w:r>
          </w:p>
        </w:tc>
        <w:tc>
          <w:tcPr>
            <w:tcW w:w="1701" w:type="dxa"/>
            <w:shd w:val="clear" w:color="auto" w:fill="D9D9D9"/>
          </w:tcPr>
          <w:p w:rsidR="0021651A" w:rsidRDefault="002F3E9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734 596 756</w:t>
            </w:r>
          </w:p>
        </w:tc>
      </w:tr>
    </w:tbl>
    <w:p w:rsidR="0021651A" w:rsidRDefault="002F3E9A">
      <w:pPr>
        <w:pStyle w:val="ManualHeading1"/>
        <w:pageBreakBefore/>
        <w:rPr>
          <w:noProof/>
        </w:rPr>
      </w:pPr>
      <w:bookmarkStart w:id="20" w:name="_Toc514181802"/>
      <w:bookmarkStart w:id="21" w:name="_Toc53549158"/>
      <w:bookmarkEnd w:id="16"/>
      <w:bookmarkEnd w:id="17"/>
      <w:bookmarkEnd w:id="18"/>
      <w:r>
        <w:rPr>
          <w:noProof/>
        </w:rPr>
        <w:lastRenderedPageBreak/>
        <w:t>4.</w:t>
      </w:r>
      <w:r>
        <w:rPr>
          <w:noProof/>
        </w:rPr>
        <w:tab/>
        <w:t>Tableau récapitulatif par rubrique du CFP</w:t>
      </w:r>
      <w:bookmarkEnd w:id="20"/>
      <w:bookmarkEnd w:id="21"/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356"/>
        <w:gridCol w:w="2560"/>
        <w:gridCol w:w="1298"/>
        <w:gridCol w:w="1311"/>
        <w:gridCol w:w="1058"/>
        <w:gridCol w:w="1206"/>
        <w:gridCol w:w="1169"/>
        <w:gridCol w:w="1222"/>
        <w:gridCol w:w="77"/>
      </w:tblGrid>
      <w:tr w:rsidR="0021651A">
        <w:trPr>
          <w:trHeight w:val="188"/>
          <w:jc w:val="center"/>
        </w:trPr>
        <w:tc>
          <w:tcPr>
            <w:tcW w:w="10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7"/>
          <w:bookmarkEnd w:id="8"/>
          <w:bookmarkEnd w:id="12"/>
          <w:bookmarkEnd w:id="13"/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En EUR</w:t>
            </w:r>
          </w:p>
        </w:tc>
      </w:tr>
      <w:tr w:rsidR="0021651A">
        <w:trPr>
          <w:gridAfter w:val="1"/>
          <w:wAfter w:w="77" w:type="dxa"/>
          <w:trHeight w:val="209"/>
          <w:jc w:val="center"/>
        </w:trPr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Rubrique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Budget 2020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Projet de budget rectificatif n° 9/2020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Budget 2020</w:t>
            </w:r>
          </w:p>
        </w:tc>
      </w:tr>
      <w:tr w:rsidR="0021651A">
        <w:trPr>
          <w:gridAfter w:val="1"/>
          <w:wAfter w:w="77" w:type="dxa"/>
          <w:trHeight w:val="209"/>
          <w:jc w:val="center"/>
        </w:trPr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651A" w:rsidRDefault="0021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(y compris BR 1-7/2020)</w:t>
            </w: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1A" w:rsidRDefault="0021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(y compris BR 1-7 et PBR 9/2020)</w:t>
            </w:r>
          </w:p>
        </w:tc>
      </w:tr>
      <w:tr w:rsidR="0021651A">
        <w:trPr>
          <w:gridAfter w:val="1"/>
          <w:wAfter w:w="77" w:type="dxa"/>
          <w:trHeight w:val="209"/>
          <w:jc w:val="center"/>
        </w:trPr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651A" w:rsidRDefault="0021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  <w:lang w:val="fr-B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CP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CP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Croissance intelligente et inclusive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83 930 597 837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77 453 828 442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83 930 597 837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77 453 828 442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Plafond 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83 661 000 000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83 661 000 000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1a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Compétitivité pour la croissance et l’emploi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25 284 773 982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22 308 071 592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25 284 773 982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22 308 071 592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relevant de la marge globale pour les engagements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93 773 982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93 773 982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25 191 000 000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25 191 000 000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1b 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Cohésion économique, sociale et territoriale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58 645 823 855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55 145 756 850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58 645 823 855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55 145 756 850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relevant de la marge globale pour les engagements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175 823 855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175 823 855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58 470 000 000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58 470 000 000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375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Croissance durable: ressources naturelles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59 907 021 051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57 904 492 439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59 907 021 051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57 904 492 439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60 421 000 000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60 421 000 000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compensée sur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-465 323 871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-465 323 871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346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dont: Fonds européen agricole de garantie (FEAGA) — Dépenses relatives au marché et paiements directs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43 410 105 687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43 380 031 798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43 410 105 687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43 380 031 798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Sous-plafond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43 888 000 000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43 888 000 000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Écart d’arrondis exclu du calcul de la marge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 888 000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 888 000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compensée sur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-428 351 235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-428 351 235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 du FEAGA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Sécurité et citoyenneté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7 152 374 489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6 368 527 141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7 152 374 489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6 368 527 141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relevant de l’instrument de flexibilité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1 094 414 188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1 094 414 188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relevant de la marge globale pour les engagements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2 392 402 163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2 392 402 163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relevant de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714 558 138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714 558 138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2 951 000 000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2 951 000 000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L’Europe dans le monde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10 991 572 239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9 112 061 191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10 991 572 239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9 112 061 191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relevant de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481 572 239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481 572 239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10 510 000 000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10 510 000 000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Administration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10 271 193 494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10 274 196 704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10 271 193 494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10 274 196 704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11 254 000 000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11 254 000 000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compensée sur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-982 806 506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-982 806 506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360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dont: dépenses administratives des institutions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7 955 303 132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7 958 306 342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7 955 303 132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7 958 306 342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Sous-plafond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9 071 000 000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9 071 000 000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dont part compensée sur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-982 806 506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-982 806 506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132 890 362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132 890 362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172 252 759 110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161 113 105 917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172 252 759 110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161 113 105 917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dont part relevant de l’instrument de flexibilité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1 094 414 188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1 017 029 444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1 094 414 188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1 017 029 444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dont part relevant de la marge globale pour les engagements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2 662 000 000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2 662 000 000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dont part relevant de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1 196 130 377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1 196 130 377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Plafond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168 797 000 000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172 420 000 000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168 797 000 000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172 420 000 000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dont part compensée sur la marge pour imprévus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-1 448 130 377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-1 448 130 377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Marge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12 323 923 527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12 323 923 527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Autres instruments spéciaux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860 261 208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690 998 208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1 594 857 964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1 425 594 964</w:t>
            </w:r>
          </w:p>
        </w:tc>
      </w:tr>
      <w:tr w:rsidR="0021651A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Total général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173 113 020 318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161 804 104 125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173 847 617 074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51A" w:rsidRDefault="002F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162 538 700 881</w:t>
            </w:r>
          </w:p>
        </w:tc>
      </w:tr>
    </w:tbl>
    <w:p w:rsidR="0021651A" w:rsidRPr="002F3E9A" w:rsidRDefault="0021651A">
      <w:pPr>
        <w:spacing w:after="0" w:line="240" w:lineRule="auto"/>
        <w:jc w:val="both"/>
        <w:rPr>
          <w:noProof/>
        </w:rPr>
      </w:pPr>
    </w:p>
    <w:sectPr w:rsidR="0021651A" w:rsidRPr="002F3E9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72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9A" w:rsidRDefault="002F3E9A">
      <w:pPr>
        <w:spacing w:after="0" w:line="240" w:lineRule="auto"/>
      </w:pPr>
      <w:r>
        <w:separator/>
      </w:r>
    </w:p>
  </w:endnote>
  <w:endnote w:type="continuationSeparator" w:id="0">
    <w:p w:rsidR="002F3E9A" w:rsidRDefault="002F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Pr="002F3E9A" w:rsidRDefault="002F3E9A" w:rsidP="002F3E9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22F1A">
      <w:rPr>
        <w:noProof/>
      </w:rPr>
      <w:t>4</w:t>
    </w:r>
    <w:r>
      <w:fldChar w:fldCharType="end"/>
    </w: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Pr="002F3E9A" w:rsidRDefault="002F3E9A" w:rsidP="002F3E9A">
    <w:pPr>
      <w:pStyle w:val="FooterCoverPage"/>
      <w:rPr>
        <w:rFonts w:ascii="Arial" w:hAnsi="Arial" w:cs="Arial"/>
        <w:b/>
        <w:sz w:val="48"/>
      </w:rPr>
    </w:pPr>
    <w:r w:rsidRPr="002F3E9A">
      <w:rPr>
        <w:rFonts w:ascii="Arial" w:hAnsi="Arial" w:cs="Arial"/>
        <w:b/>
        <w:sz w:val="48"/>
      </w:rPr>
      <w:t>FR</w:t>
    </w:r>
    <w:r w:rsidRPr="002F3E9A">
      <w:rPr>
        <w:rFonts w:ascii="Arial" w:hAnsi="Arial" w:cs="Arial"/>
        <w:b/>
        <w:sz w:val="48"/>
      </w:rPr>
      <w:tab/>
    </w:r>
    <w:r w:rsidRPr="002F3E9A">
      <w:rPr>
        <w:rFonts w:ascii="Arial" w:hAnsi="Arial" w:cs="Arial"/>
        <w:b/>
        <w:sz w:val="48"/>
      </w:rPr>
      <w:tab/>
    </w:r>
    <w:r w:rsidRPr="002F3E9A">
      <w:tab/>
    </w:r>
    <w:r w:rsidRPr="002F3E9A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Pr="002F3E9A" w:rsidRDefault="002F3E9A" w:rsidP="002F3E9A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22F1A">
      <w:rPr>
        <w:noProof/>
      </w:rPr>
      <w:t>1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22F1A">
      <w:rPr>
        <w:noProof/>
      </w:rPr>
      <w:t>2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9A" w:rsidRDefault="002F3E9A">
      <w:pPr>
        <w:spacing w:after="0" w:line="240" w:lineRule="auto"/>
      </w:pPr>
      <w:r>
        <w:separator/>
      </w:r>
    </w:p>
  </w:footnote>
  <w:footnote w:type="continuationSeparator" w:id="0">
    <w:p w:rsidR="002F3E9A" w:rsidRDefault="002F3E9A">
      <w:pPr>
        <w:spacing w:after="0" w:line="240" w:lineRule="auto"/>
      </w:pPr>
      <w:r>
        <w:continuationSeparator/>
      </w:r>
    </w:p>
  </w:footnote>
  <w:footnote w:id="1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193 du 30.7.2018.</w:t>
      </w:r>
    </w:p>
  </w:footnote>
  <w:footnote w:id="2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57 du 27.2.2020.</w:t>
      </w:r>
    </w:p>
  </w:footnote>
  <w:footnote w:id="3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126 du 21.4.2020.</w:t>
      </w:r>
    </w:p>
  </w:footnote>
  <w:footnote w:id="4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126 du 21.4.2020.</w:t>
      </w:r>
    </w:p>
  </w:footnote>
  <w:footnote w:id="5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254 du 4.8.2020.</w:t>
      </w:r>
    </w:p>
  </w:footnote>
  <w:footnote w:id="6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254 du 4.8.2020.</w:t>
      </w:r>
    </w:p>
  </w:footnote>
  <w:footnote w:id="7">
    <w:p w:rsidR="002F3E9A" w:rsidRDefault="002F3E9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  <w:t>JO L 299 du 11.9.2020.</w:t>
      </w:r>
    </w:p>
  </w:footnote>
  <w:footnote w:id="8">
    <w:p w:rsidR="002F3E9A" w:rsidRDefault="002F3E9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JO L XXX du XX.X.2020 (proposition de projet de budget rectificatif nº 8/2020, présentée le 28.8.2020).</w:t>
      </w:r>
    </w:p>
  </w:footnote>
  <w:footnote w:id="9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JO L XXX du XX.X.2020.</w:t>
      </w:r>
    </w:p>
  </w:footnote>
  <w:footnote w:id="10">
    <w:p w:rsidR="002F3E9A" w:rsidRDefault="002F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COM(2020) 960 du 9.10.2020.</w:t>
      </w:r>
    </w:p>
  </w:footnote>
  <w:footnote w:id="11">
    <w:p w:rsidR="002F3E9A" w:rsidRDefault="002F3E9A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ab/>
        <w:t>JO L 347 du 20.12.2013, p. 884.</w:t>
      </w:r>
    </w:p>
  </w:footnote>
  <w:footnote w:id="12">
    <w:p w:rsidR="002F3E9A" w:rsidRDefault="002F3E9A">
      <w:pPr>
        <w:pStyle w:val="FootnoteText"/>
        <w:spacing w:after="120"/>
      </w:pPr>
      <w:r>
        <w:rPr>
          <w:rStyle w:val="FootnoteReference"/>
        </w:rPr>
        <w:footnoteRef/>
      </w:r>
      <w:r>
        <w:tab/>
        <w:t>Décision (UE) 2020/1076 du Parlement européen et du Conseil du 18 juin 2020 relative à la mobilisation du Fonds de solidarité de l’Union européenne pour venir en aide au Portugal, à l’Espagne, à l’Italie et à l’Autriche, dont les conséquences finales ont été intégrées dans le budget rectificatif nº 4/2020, adopté le même jour.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Pr="002F3E9A" w:rsidRDefault="002F3E9A" w:rsidP="002F3E9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Pr="002F3E9A" w:rsidRDefault="002F3E9A" w:rsidP="002F3E9A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Pr="002F3E9A" w:rsidRDefault="002F3E9A" w:rsidP="002F3E9A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A" w:rsidRDefault="002F3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E49F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38AC5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FF73A7"/>
    <w:multiLevelType w:val="hybridMultilevel"/>
    <w:tmpl w:val="1D74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35770"/>
    <w:multiLevelType w:val="hybridMultilevel"/>
    <w:tmpl w:val="365E0218"/>
    <w:lvl w:ilvl="0" w:tplc="8264D7DC">
      <w:start w:val="1"/>
      <w:numFmt w:val="bullet"/>
      <w:pStyle w:val="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E865E">
      <w:numFmt w:val="decimal"/>
      <w:lvlText w:val=""/>
      <w:lvlJc w:val="left"/>
    </w:lvl>
    <w:lvl w:ilvl="2" w:tplc="581813B8">
      <w:numFmt w:val="decimal"/>
      <w:lvlText w:val=""/>
      <w:lvlJc w:val="left"/>
    </w:lvl>
    <w:lvl w:ilvl="3" w:tplc="B7C81A1E">
      <w:numFmt w:val="decimal"/>
      <w:lvlText w:val=""/>
      <w:lvlJc w:val="left"/>
    </w:lvl>
    <w:lvl w:ilvl="4" w:tplc="5030D16A">
      <w:numFmt w:val="decimal"/>
      <w:lvlText w:val=""/>
      <w:lvlJc w:val="left"/>
    </w:lvl>
    <w:lvl w:ilvl="5" w:tplc="7A1E383C">
      <w:numFmt w:val="decimal"/>
      <w:lvlText w:val=""/>
      <w:lvlJc w:val="left"/>
    </w:lvl>
    <w:lvl w:ilvl="6" w:tplc="CE08976E">
      <w:numFmt w:val="decimal"/>
      <w:lvlText w:val=""/>
      <w:lvlJc w:val="left"/>
    </w:lvl>
    <w:lvl w:ilvl="7" w:tplc="D5D01BC0">
      <w:numFmt w:val="decimal"/>
      <w:lvlText w:val=""/>
      <w:lvlJc w:val="left"/>
    </w:lvl>
    <w:lvl w:ilvl="8" w:tplc="05920FDA">
      <w:numFmt w:val="decimal"/>
      <w:lvlText w:val=""/>
      <w:lvlJc w:val="left"/>
    </w:lvl>
  </w:abstractNum>
  <w:abstractNum w:abstractNumId="4" w15:restartNumberingAfterBreak="0">
    <w:nsid w:val="107E5539"/>
    <w:multiLevelType w:val="hybridMultilevel"/>
    <w:tmpl w:val="7AA6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F62"/>
    <w:multiLevelType w:val="hybridMultilevel"/>
    <w:tmpl w:val="F84ADDA2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AC5"/>
    <w:multiLevelType w:val="hybridMultilevel"/>
    <w:tmpl w:val="942260B6"/>
    <w:lvl w:ilvl="0" w:tplc="6450B6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3FA4"/>
    <w:multiLevelType w:val="hybridMultilevel"/>
    <w:tmpl w:val="84B807E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2F54BEC"/>
    <w:multiLevelType w:val="hybridMultilevel"/>
    <w:tmpl w:val="D93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4906"/>
    <w:multiLevelType w:val="hybridMultilevel"/>
    <w:tmpl w:val="094E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302D7658"/>
    <w:multiLevelType w:val="hybridMultilevel"/>
    <w:tmpl w:val="BEE25C58"/>
    <w:lvl w:ilvl="0" w:tplc="0CD24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72B5B"/>
    <w:multiLevelType w:val="hybridMultilevel"/>
    <w:tmpl w:val="E78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90F25DB"/>
    <w:multiLevelType w:val="hybridMultilevel"/>
    <w:tmpl w:val="E7265104"/>
    <w:lvl w:ilvl="0" w:tplc="B0DC89EA">
      <w:start w:val="1"/>
      <w:numFmt w:val="bullet"/>
      <w:pStyle w:val="agtab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0EFC82">
      <w:numFmt w:val="decimal"/>
      <w:lvlText w:val=""/>
      <w:lvlJc w:val="left"/>
    </w:lvl>
    <w:lvl w:ilvl="2" w:tplc="98DA8758">
      <w:numFmt w:val="decimal"/>
      <w:lvlText w:val=""/>
      <w:lvlJc w:val="left"/>
    </w:lvl>
    <w:lvl w:ilvl="3" w:tplc="A8DA21E8">
      <w:numFmt w:val="decimal"/>
      <w:lvlText w:val=""/>
      <w:lvlJc w:val="left"/>
    </w:lvl>
    <w:lvl w:ilvl="4" w:tplc="4C5E1946">
      <w:numFmt w:val="decimal"/>
      <w:lvlText w:val=""/>
      <w:lvlJc w:val="left"/>
    </w:lvl>
    <w:lvl w:ilvl="5" w:tplc="DC50A908">
      <w:numFmt w:val="decimal"/>
      <w:lvlText w:val=""/>
      <w:lvlJc w:val="left"/>
    </w:lvl>
    <w:lvl w:ilvl="6" w:tplc="277AF326">
      <w:numFmt w:val="decimal"/>
      <w:lvlText w:val=""/>
      <w:lvlJc w:val="left"/>
    </w:lvl>
    <w:lvl w:ilvl="7" w:tplc="96EC6C5E">
      <w:numFmt w:val="decimal"/>
      <w:lvlText w:val=""/>
      <w:lvlJc w:val="left"/>
    </w:lvl>
    <w:lvl w:ilvl="8" w:tplc="CF347B90">
      <w:numFmt w:val="decimal"/>
      <w:lvlText w:val=""/>
      <w:lvlJc w:val="left"/>
    </w:lvl>
  </w:abstractNum>
  <w:abstractNum w:abstractNumId="1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3B196F20"/>
    <w:multiLevelType w:val="hybridMultilevel"/>
    <w:tmpl w:val="EDA0D93A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4B95"/>
    <w:multiLevelType w:val="hybridMultilevel"/>
    <w:tmpl w:val="D7C8C63E"/>
    <w:lvl w:ilvl="0" w:tplc="1B5E4E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9" w15:restartNumberingAfterBreak="0">
    <w:nsid w:val="45C725EC"/>
    <w:multiLevelType w:val="hybridMultilevel"/>
    <w:tmpl w:val="259AD680"/>
    <w:lvl w:ilvl="0" w:tplc="08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BE70879"/>
    <w:multiLevelType w:val="hybridMultilevel"/>
    <w:tmpl w:val="1C344ADE"/>
    <w:lvl w:ilvl="0" w:tplc="76F660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7001"/>
    <w:multiLevelType w:val="hybridMultilevel"/>
    <w:tmpl w:val="71E6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DE2AF6"/>
    <w:multiLevelType w:val="hybridMultilevel"/>
    <w:tmpl w:val="B23E61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 w15:restartNumberingAfterBreak="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70037CE4"/>
    <w:multiLevelType w:val="hybridMultilevel"/>
    <w:tmpl w:val="C6AC5448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A4950"/>
    <w:multiLevelType w:val="hybridMultilevel"/>
    <w:tmpl w:val="71D67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70FE1"/>
    <w:multiLevelType w:val="hybridMultilevel"/>
    <w:tmpl w:val="C2F8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4E49"/>
    <w:multiLevelType w:val="hybridMultilevel"/>
    <w:tmpl w:val="1B00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2" w15:restartNumberingAfterBreak="0">
    <w:nsid w:val="7C897016"/>
    <w:multiLevelType w:val="hybridMultilevel"/>
    <w:tmpl w:val="97A06FA8"/>
    <w:lvl w:ilvl="0" w:tplc="1A0C9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8"/>
  </w:num>
  <w:num w:numId="3">
    <w:abstractNumId w:val="29"/>
  </w:num>
  <w:num w:numId="4">
    <w:abstractNumId w:val="18"/>
  </w:num>
  <w:num w:numId="5">
    <w:abstractNumId w:val="26"/>
  </w:num>
  <w:num w:numId="6">
    <w:abstractNumId w:val="15"/>
  </w:num>
  <w:num w:numId="7">
    <w:abstractNumId w:val="10"/>
  </w:num>
  <w:num w:numId="8">
    <w:abstractNumId w:val="31"/>
  </w:num>
  <w:num w:numId="9">
    <w:abstractNumId w:val="24"/>
  </w:num>
  <w:num w:numId="10">
    <w:abstractNumId w:val="33"/>
  </w:num>
  <w:num w:numId="11">
    <w:abstractNumId w:val="25"/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  <w:num w:numId="20">
    <w:abstractNumId w:val="5"/>
  </w:num>
  <w:num w:numId="21">
    <w:abstractNumId w:val="2"/>
  </w:num>
  <w:num w:numId="22">
    <w:abstractNumId w:val="16"/>
  </w:num>
  <w:num w:numId="23">
    <w:abstractNumId w:val="30"/>
  </w:num>
  <w:num w:numId="24">
    <w:abstractNumId w:val="27"/>
  </w:num>
  <w:num w:numId="25">
    <w:abstractNumId w:val="12"/>
  </w:num>
  <w:num w:numId="26">
    <w:abstractNumId w:val="21"/>
  </w:num>
  <w:num w:numId="27">
    <w:abstractNumId w:val="20"/>
  </w:num>
  <w:num w:numId="28">
    <w:abstractNumId w:val="17"/>
  </w:num>
  <w:num w:numId="29">
    <w:abstractNumId w:val="32"/>
  </w:num>
  <w:num w:numId="30">
    <w:abstractNumId w:val="22"/>
    <w:lvlOverride w:ilvl="0">
      <w:startOverride w:val="1"/>
    </w:lvlOverride>
  </w:num>
  <w:num w:numId="31">
    <w:abstractNumId w:val="22"/>
  </w:num>
  <w:num w:numId="32">
    <w:abstractNumId w:val="23"/>
  </w:num>
  <w:num w:numId="33">
    <w:abstractNumId w:val="28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9B024DF3-A328-4CCF-8D4E-EF692E3D441A"/>
    <w:docVar w:name="LW_COVERPAGE_TYPE" w:val="1"/>
    <w:docVar w:name="LW_CROSSREFERENCE" w:val="&lt;UNUSED&gt;"/>
    <w:docVar w:name="LW_DocType" w:val="NORMAL"/>
    <w:docVar w:name="LW_EMISSION" w:val="9.10.2020"/>
    <w:docVar w:name="LW_EMISSION_ISODATE" w:val="2020-10-09"/>
    <w:docVar w:name="LW_EMISSION_LOCATION" w:val="BRX"/>
    <w:docVar w:name="LW_EMISSION_PREFIX" w:val="Bruxelles, le "/>
    <w:docVar w:name="LW_EMISSION_SUFFIX" w:val=" "/>
    <w:docVar w:name="LW_ID_DOCTYPE_NONLW" w:val="CP-035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BUD"/>
    <w:docVar w:name="LW_REF.II.NEW.CP_NUMBER" w:val="0297"/>
    <w:docVar w:name="LW_REF.II.NEW.CP_YEAR" w:val="2020"/>
    <w:docVar w:name="LW_REF.INST.NEW" w:val="COM"/>
    <w:docVar w:name="LW_REF.INST.NEW_ADOPTED" w:val="final"/>
    <w:docVar w:name="LW_REF.INST.NEW_TEXT" w:val="(2020) 9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ccompagnant la proposition relative à la mobilisation du Fonds de solidarité de l\u8217?Union européenne pour venir en aide à la Croatie et à la Pologne en rapport avec une catastrophe naturelle et pour verser des avances à l\u8217?Allemagne, à la Croatie, à l\u8217?Espagne, à la Grèce, à la Hongrie, à l\u8217?Irlande et au Portugal en rapport avec une urgence de santé publique"/>
    <w:docVar w:name="LW_TYPE.DOC.CP" w:val="PROJET DE BUDGET RECTIFICATIF N° 9_x000b_AU BUDGET GÉNÉRAL 2020_x000b_"/>
  </w:docVars>
  <w:rsids>
    <w:rsidRoot w:val="0021651A"/>
    <w:rsid w:val="0021651A"/>
    <w:rsid w:val="002F3E9A"/>
    <w:rsid w:val="00E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589BD27-55AC-425A-8427-BE36B58D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aliases w:val="Char, Char,Abschnitt"/>
    <w:basedOn w:val="Normal"/>
    <w:next w:val="Normal"/>
    <w:link w:val="Heading2Char"/>
    <w:autoRedefine/>
    <w:qFormat/>
    <w:pPr>
      <w:keepNext/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aliases w:val="Heading 3 Auto"/>
    <w:basedOn w:val="Normal"/>
    <w:next w:val="Normal"/>
    <w:link w:val="Heading3Char"/>
    <w:autoRedefine/>
    <w:qFormat/>
    <w:pPr>
      <w:keepNext/>
      <w:numPr>
        <w:ilvl w:val="2"/>
      </w:num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</w:numPr>
      <w:tabs>
        <w:tab w:val="num" w:pos="1030"/>
      </w:tabs>
      <w:spacing w:before="120" w:after="120" w:line="240" w:lineRule="auto"/>
      <w:ind w:left="1030" w:hanging="85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jc w:val="both"/>
      <w:outlineLvl w:val="4"/>
    </w:pPr>
    <w:rPr>
      <w:rFonts w:ascii="Arial" w:eastAsiaTheme="majorEastAsia" w:hAnsi="Arial" w:cs="Aria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 w:line="240" w:lineRule="auto"/>
      <w:jc w:val="both"/>
      <w:outlineLvl w:val="5"/>
    </w:pPr>
    <w:rPr>
      <w:rFonts w:ascii="Arial" w:eastAsiaTheme="majorEastAsia" w:hAnsi="Arial" w:cs="Arial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jc w:val="both"/>
      <w:outlineLvl w:val="6"/>
    </w:pPr>
    <w:rPr>
      <w:rFonts w:ascii="Arial" w:eastAsiaTheme="majorEastAsia" w:hAnsi="Arial" w:cs="Arial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 w:line="240" w:lineRule="auto"/>
      <w:jc w:val="both"/>
      <w:outlineLvl w:val="7"/>
    </w:pPr>
    <w:rPr>
      <w:rFonts w:ascii="Arial" w:eastAsiaTheme="majorEastAsia" w:hAnsi="Arial" w:cs="Arial"/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 w:line="240" w:lineRule="auto"/>
      <w:jc w:val="both"/>
      <w:outlineLvl w:val="8"/>
    </w:pPr>
    <w:rPr>
      <w:rFonts w:ascii="Arial" w:eastAsiaTheme="majorEastAsia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uiPriority w:val="99"/>
    <w:rPr>
      <w:vertAlign w:val="superscript"/>
    </w:rPr>
  </w:style>
  <w:style w:type="paragraph" w:customStyle="1" w:styleId="Tiret0">
    <w:name w:val="Tiret 0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aliases w:val="Char Char, Char Char,Abschnitt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aliases w:val="Heading 3 Auto Char"/>
    <w:basedOn w:val="DefaultParagraphFont"/>
    <w:link w:val="Heading3"/>
    <w:rPr>
      <w:rFonts w:ascii="Arial" w:eastAsia="Times New Roman" w:hAnsi="Arial" w:cs="Arial"/>
      <w:b/>
      <w:bCs/>
      <w:i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Theme="majorEastAsia" w:hAnsi="Arial" w:cs="Aria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Theme="majorEastAsia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Theme="majorEastAsia" w:hAnsi="Arial" w:cs="Arial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Theme="majorEastAsia" w:hAnsi="Arial" w:cs="Arial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Theme="majorEastAsia" w:hAnsi="Arial" w:cs="Arial"/>
      <w:i/>
      <w:iCs/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qFormat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qFormat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semiHidden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Bullet">
    <w:name w:val="List Bullet"/>
    <w:basedOn w:val="Normal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Bullet1">
    <w:name w:val="List Bullet 1"/>
    <w:basedOn w:val="Text1"/>
    <w:pPr>
      <w:numPr>
        <w:numId w:val="6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qFormat/>
    <w:rPr>
      <w:i/>
      <w:iCs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styleId="ListNumber">
    <w:name w:val="List Number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DashChar">
    <w:name w:val="List Dash Char"/>
    <w:link w:val="ListDash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paragraph" w:customStyle="1" w:styleId="NormalCentered">
    <w:name w:val="Normal Centered"/>
    <w:basedOn w:val="Normal"/>
    <w:uiPriority w:val="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Right">
    <w:name w:val="Normal Right"/>
    <w:basedOn w:val="Normal"/>
    <w:uiPriority w:val="99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Left">
    <w:name w:val="Normal Left"/>
    <w:basedOn w:val="Normal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0number">
    <w:name w:val="Point 0 (number)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r">
    <w:name w:val="Footnote r"/>
    <w:basedOn w:val="Normal"/>
    <w:pPr>
      <w:shd w:val="clear" w:color="auto" w:fill="F2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ps">
    <w:name w:val="hps"/>
  </w:style>
  <w:style w:type="paragraph" w:customStyle="1" w:styleId="Tiret2">
    <w:name w:val="Tiret 2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5">
    <w:name w:val="List Number 5"/>
    <w:basedOn w:val="Normal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Bullet3">
    <w:name w:val="List Bullet 3"/>
    <w:basedOn w:val="Normal"/>
    <w:uiPriority w:val="99"/>
    <w:unhideWhenUsed/>
    <w:pPr>
      <w:numPr>
        <w:numId w:val="13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customStyle="1" w:styleId="SubtleReference1">
    <w:name w:val="Subtle Reference1"/>
    <w:rPr>
      <w:smallCaps/>
      <w:color w:val="C0504D"/>
      <w:u w:val="single"/>
    </w:rPr>
  </w:style>
  <w:style w:type="character" w:customStyle="1" w:styleId="IntenseReference1">
    <w:name w:val="Intense Reference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ubtleEmphasis2">
    <w:name w:val="Subtle Emphasis2"/>
    <w:rPr>
      <w:i/>
      <w:iCs/>
      <w:color w:val="808080"/>
    </w:rPr>
  </w:style>
  <w:style w:type="character" w:customStyle="1" w:styleId="IntenseEmphasis2">
    <w:name w:val="Intense Emphasis2"/>
    <w:rPr>
      <w:b/>
      <w:bCs/>
      <w:i/>
      <w:iCs/>
      <w:color w:val="4F81BD"/>
    </w:rPr>
  </w:style>
  <w:style w:type="character" w:customStyle="1" w:styleId="SubtleReference2">
    <w:name w:val="Subtle Reference2"/>
    <w:rPr>
      <w:smallCaps/>
      <w:color w:val="C0504D"/>
      <w:u w:val="single"/>
    </w:rPr>
  </w:style>
  <w:style w:type="character" w:customStyle="1" w:styleId="IntenseReference2">
    <w:name w:val="Intense Reference2"/>
    <w:rPr>
      <w:b/>
      <w:bCs/>
      <w:smallCaps/>
      <w:color w:val="C0504D"/>
      <w:spacing w:val="5"/>
      <w:u w:val="single"/>
    </w:rPr>
  </w:style>
  <w:style w:type="character" w:customStyle="1" w:styleId="BookTitle2">
    <w:name w:val="Book Title2"/>
    <w:rPr>
      <w:b/>
      <w:bCs/>
      <w:smallCaps/>
      <w:spacing w:val="5"/>
    </w:rPr>
  </w:style>
  <w:style w:type="paragraph" w:customStyle="1" w:styleId="TOCHeading2">
    <w:name w:val="TOC Heading2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Title">
    <w:name w:val="Title"/>
    <w:basedOn w:val="Normal"/>
    <w:link w:val="TitleChar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gbullets">
    <w:name w:val="ag_bullets"/>
    <w:basedOn w:val="Normal"/>
    <w:qFormat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gtabbullets">
    <w:name w:val="ag_tab_bullets"/>
    <w:basedOn w:val="Normal"/>
    <w:qFormat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gfootnote">
    <w:name w:val="ag_footnote"/>
    <w:basedOn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budget/www/index-fr.htm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AA3A-407E-49D8-9A5B-AA7ADB1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1582</Words>
  <Characters>6995</Characters>
  <Application>Microsoft Office Word</Application>
  <DocSecurity>0</DocSecurity>
  <Lines>538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KITRIMI Efstathia (SG)</cp:lastModifiedBy>
  <cp:revision>17</cp:revision>
  <dcterms:created xsi:type="dcterms:W3CDTF">2020-10-06T07:44:00Z</dcterms:created>
  <dcterms:modified xsi:type="dcterms:W3CDTF">2020-10-19T10:41:00Z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CP-035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7.0, Build 20190717</vt:lpwstr>
  </property>
</Properties>
</file>