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3C" w:rsidRDefault="00E6136A" w:rsidP="00E6136A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0D77CFA-5FEB-47A9-A378-2E0AEFAFFDCE" style="width:450.75pt;height:416.25pt">
            <v:imagedata r:id="rId8" o:title=""/>
          </v:shape>
        </w:pict>
      </w:r>
    </w:p>
    <w:bookmarkEnd w:id="0"/>
    <w:p w:rsidR="0037163C" w:rsidRDefault="0037163C">
      <w:pPr>
        <w:rPr>
          <w:noProof/>
        </w:rPr>
        <w:sectPr w:rsidR="0037163C" w:rsidSect="00E613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7163C" w:rsidRDefault="00E6136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като взе предвид:</w:t>
      </w:r>
    </w:p>
    <w:p w:rsidR="0037163C" w:rsidRDefault="00E6136A">
      <w:pPr>
        <w:pStyle w:val="Tiret0"/>
        <w:rPr>
          <w:noProof/>
        </w:rPr>
      </w:pPr>
      <w:r>
        <w:rPr>
          <w:noProof/>
        </w:rPr>
        <w:t xml:space="preserve">Договора за функционирането на Европейския съюз, и по-специално член 314 от него, във връзка с Договора за създаване на </w:t>
      </w:r>
      <w:r>
        <w:rPr>
          <w:noProof/>
        </w:rPr>
        <w:t>Европейската общност за атомна енергия, и по-специално член 106а от него,</w:t>
      </w:r>
    </w:p>
    <w:p w:rsidR="0037163C" w:rsidRDefault="00E6136A">
      <w:pPr>
        <w:pStyle w:val="Tiret0"/>
        <w:tabs>
          <w:tab w:val="clear" w:pos="850"/>
          <w:tab w:val="num" w:pos="927"/>
        </w:tabs>
        <w:rPr>
          <w:rFonts w:cs="Arial"/>
          <w:noProof/>
          <w:szCs w:val="18"/>
        </w:rPr>
      </w:pPr>
      <w:r>
        <w:rPr>
          <w:noProof/>
        </w:rPr>
        <w:t>Регламент (ЕС, Евратом) 2018/1046 на Европейския парламент и на Съвета от 18 юли 2018 г. за финансовите правила, приложими за общия бюджет на Съюза (...)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и по-специално член 44 от </w:t>
      </w:r>
      <w:r>
        <w:rPr>
          <w:noProof/>
        </w:rPr>
        <w:t>него,</w:t>
      </w:r>
    </w:p>
    <w:p w:rsidR="0037163C" w:rsidRDefault="00E6136A">
      <w:pPr>
        <w:pStyle w:val="Tiret0"/>
        <w:tabs>
          <w:tab w:val="clear" w:pos="850"/>
          <w:tab w:val="num" w:pos="927"/>
        </w:tabs>
        <w:rPr>
          <w:noProof/>
        </w:rPr>
      </w:pPr>
      <w:r>
        <w:rPr>
          <w:noProof/>
        </w:rPr>
        <w:t>общия бюджет на Европейския съюз за 2020 финансова година, приет на 27 ноември 2019 г.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 w:rsidR="0037163C" w:rsidRDefault="00E6136A">
      <w:pPr>
        <w:pStyle w:val="Tiret0"/>
        <w:rPr>
          <w:noProof/>
        </w:rPr>
      </w:pPr>
      <w:r>
        <w:rPr>
          <w:noProof/>
        </w:rPr>
        <w:t>коригиращ бюджет № 1/2020</w:t>
      </w:r>
      <w:r>
        <w:rPr>
          <w:rStyle w:val="FootnoteReference"/>
          <w:noProof/>
        </w:rPr>
        <w:footnoteReference w:id="3"/>
      </w:r>
      <w:r>
        <w:rPr>
          <w:noProof/>
        </w:rPr>
        <w:t>, приет на 17 април 2020 г.,</w:t>
      </w:r>
    </w:p>
    <w:p w:rsidR="0037163C" w:rsidRDefault="00E6136A">
      <w:pPr>
        <w:pStyle w:val="Tiret0"/>
        <w:rPr>
          <w:noProof/>
        </w:rPr>
      </w:pPr>
      <w:r>
        <w:rPr>
          <w:noProof/>
        </w:rPr>
        <w:t>коригиращ бюджет № 2/2020</w:t>
      </w:r>
      <w:r>
        <w:rPr>
          <w:rStyle w:val="FootnoteReference"/>
          <w:noProof/>
        </w:rPr>
        <w:footnoteReference w:id="4"/>
      </w:r>
      <w:r>
        <w:rPr>
          <w:noProof/>
        </w:rPr>
        <w:t>, приет на 17 април 2020 г.,</w:t>
      </w:r>
    </w:p>
    <w:p w:rsidR="0037163C" w:rsidRDefault="00E6136A">
      <w:pPr>
        <w:pStyle w:val="Tiret0"/>
        <w:rPr>
          <w:noProof/>
        </w:rPr>
      </w:pPr>
      <w:r>
        <w:rPr>
          <w:noProof/>
        </w:rPr>
        <w:t>коригиращ бюджет № 3/2020</w:t>
      </w:r>
      <w:r>
        <w:rPr>
          <w:rStyle w:val="FootnoteReference"/>
          <w:noProof/>
        </w:rPr>
        <w:footnoteReference w:id="5"/>
      </w:r>
      <w:r>
        <w:rPr>
          <w:noProof/>
        </w:rPr>
        <w:t>, приет на 17 юни 2020 г.</w:t>
      </w:r>
      <w:r>
        <w:rPr>
          <w:noProof/>
        </w:rPr>
        <w:t>,</w:t>
      </w:r>
    </w:p>
    <w:p w:rsidR="0037163C" w:rsidRDefault="00E6136A">
      <w:pPr>
        <w:pStyle w:val="Tiret0"/>
        <w:rPr>
          <w:noProof/>
        </w:rPr>
      </w:pPr>
      <w:r>
        <w:rPr>
          <w:noProof/>
        </w:rPr>
        <w:t>коригиращ бюджет № 4/2020</w:t>
      </w:r>
      <w:r>
        <w:rPr>
          <w:rStyle w:val="FootnoteReference"/>
          <w:noProof/>
        </w:rPr>
        <w:footnoteReference w:id="6"/>
      </w:r>
      <w:r>
        <w:rPr>
          <w:noProof/>
        </w:rPr>
        <w:t>, приет на 17 юни 2020 г.,</w:t>
      </w:r>
    </w:p>
    <w:p w:rsidR="0037163C" w:rsidRDefault="00E6136A">
      <w:pPr>
        <w:pStyle w:val="Tiret0"/>
        <w:rPr>
          <w:noProof/>
        </w:rPr>
      </w:pPr>
      <w:r>
        <w:rPr>
          <w:noProof/>
        </w:rPr>
        <w:t>коригиращ бюджет № 5/2020</w:t>
      </w:r>
      <w:r>
        <w:rPr>
          <w:rStyle w:val="FootnoteReference"/>
          <w:noProof/>
        </w:rPr>
        <w:footnoteReference w:id="7"/>
      </w:r>
      <w:r>
        <w:rPr>
          <w:noProof/>
        </w:rPr>
        <w:t>, приет на 10 юли 2020 г.,</w:t>
      </w:r>
    </w:p>
    <w:p w:rsidR="0037163C" w:rsidRDefault="00E6136A">
      <w:pPr>
        <w:pStyle w:val="Tiret0"/>
        <w:rPr>
          <w:noProof/>
        </w:rPr>
      </w:pPr>
      <w:r>
        <w:rPr>
          <w:noProof/>
        </w:rPr>
        <w:t>коригиращ бюджет № 6/2020</w:t>
      </w:r>
      <w:r>
        <w:rPr>
          <w:rStyle w:val="FootnoteReference"/>
          <w:noProof/>
        </w:rPr>
        <w:footnoteReference w:id="8"/>
      </w:r>
      <w:r>
        <w:rPr>
          <w:noProof/>
        </w:rPr>
        <w:t>, приет на 17 септември 2020 г.,</w:t>
      </w:r>
    </w:p>
    <w:p w:rsidR="0037163C" w:rsidRDefault="00E6136A">
      <w:pPr>
        <w:pStyle w:val="Tiret0"/>
        <w:rPr>
          <w:noProof/>
        </w:rPr>
      </w:pPr>
      <w:r>
        <w:rPr>
          <w:noProof/>
        </w:rPr>
        <w:t>коригиращ бюджет № 7/2020</w:t>
      </w:r>
      <w:r>
        <w:rPr>
          <w:rStyle w:val="FootnoteReference"/>
          <w:noProof/>
        </w:rPr>
        <w:footnoteReference w:id="9"/>
      </w:r>
      <w:r>
        <w:rPr>
          <w:noProof/>
        </w:rPr>
        <w:t>, приет на 6 октомври 2020 г.,</w:t>
      </w:r>
    </w:p>
    <w:p w:rsidR="0037163C" w:rsidRDefault="00E61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 xml:space="preserve">С настоящото Европейската </w:t>
      </w:r>
      <w:r>
        <w:rPr>
          <w:rFonts w:ascii="Times New Roman" w:hAnsi="Times New Roman"/>
          <w:noProof/>
          <w:sz w:val="24"/>
          <w:szCs w:val="24"/>
        </w:rPr>
        <w:t>комисия представя на Европейския парламент и на Съвета проект на коригиращ бюджет № 9 към бюджета за 2020 г.</w:t>
      </w:r>
    </w:p>
    <w:p w:rsidR="0037163C" w:rsidRDefault="00E613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ПРОМЕНИ В ПРИХОДНАТА И РАЗХОДНАТА ЧАСТ НА БЮДЖЕТА ПО РАЗДЕЛИ</w:t>
      </w:r>
    </w:p>
    <w:p w:rsidR="0037163C" w:rsidRDefault="00E613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Промените в общата приходна част и в приходната и разходната част на бюджета в раздел </w:t>
      </w:r>
      <w:r>
        <w:rPr>
          <w:rFonts w:ascii="Times New Roman" w:hAnsi="Times New Roman"/>
          <w:noProof/>
          <w:sz w:val="24"/>
          <w:szCs w:val="24"/>
        </w:rPr>
        <w:t>III са достъпни в EUR-Lex (</w:t>
      </w:r>
      <w:hyperlink r:id="rId15" w:history="1">
        <w:r>
          <w:rPr>
            <w:rFonts w:ascii="Times New Roman" w:hAnsi="Times New Roman"/>
            <w:noProof/>
            <w:sz w:val="24"/>
            <w:szCs w:val="24"/>
            <w:u w:val="single"/>
          </w:rPr>
          <w:t>https://eur-lex.europa.eu/budget/www/index-bg.htm</w:t>
        </w:r>
      </w:hyperlink>
      <w:r>
        <w:rPr>
          <w:rFonts w:ascii="Times New Roman" w:hAnsi="Times New Roman"/>
          <w:noProof/>
          <w:sz w:val="24"/>
          <w:szCs w:val="24"/>
        </w:rPr>
        <w:t>).</w:t>
      </w:r>
    </w:p>
    <w:p w:rsidR="0037163C" w:rsidRDefault="0037163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sectPr w:rsidR="0037163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37163C" w:rsidRDefault="00E6136A">
      <w:pPr>
        <w:pStyle w:val="TOCHeading"/>
        <w:rPr>
          <w:noProof/>
        </w:rPr>
      </w:pPr>
      <w:r>
        <w:rPr>
          <w:noProof/>
        </w:rPr>
        <w:lastRenderedPageBreak/>
        <w:t>СЪДЪРЖАНИЕ</w:t>
      </w:r>
    </w:p>
    <w:sdt>
      <w:sdtPr>
        <w:rPr>
          <w:b w:val="0"/>
          <w:bCs w:val="0"/>
          <w:caps w:val="0"/>
          <w:smallCaps/>
          <w:noProof/>
          <w:sz w:val="24"/>
          <w:szCs w:val="24"/>
          <w:lang w:eastAsia="de-DE"/>
        </w:rPr>
        <w:id w:val="2029912794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37163C" w:rsidRDefault="00E6136A"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53734762" w:history="1">
            <w:r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>
              <w:rPr>
                <w:rStyle w:val="Hyperlink"/>
                <w:noProof/>
              </w:rPr>
              <w:t>Въведение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_Toc53734762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163C" w:rsidRDefault="00E6136A"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53734763" w:history="1">
            <w:r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>
              <w:rPr>
                <w:rStyle w:val="Hyperlink"/>
                <w:noProof/>
              </w:rPr>
              <w:t>Финансиране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_Toc53734763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163C" w:rsidRDefault="00E6136A"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53734764" w:history="1">
            <w:r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>
              <w:rPr>
                <w:rStyle w:val="Hyperlink"/>
                <w:noProof/>
              </w:rPr>
              <w:t>Поискани бюджетни</w:t>
            </w:r>
            <w:r>
              <w:rPr>
                <w:rStyle w:val="Hyperlink"/>
                <w:noProof/>
              </w:rPr>
              <w:t xml:space="preserve"> кредити в бюджета за 2020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_Toc53734764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163C" w:rsidRDefault="00E6136A"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53734765" w:history="1">
            <w:r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>
              <w:rPr>
                <w:rStyle w:val="Hyperlink"/>
                <w:noProof/>
              </w:rPr>
              <w:t>Обобщаваща таблица по функции от МФР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_Toc53734765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163C" w:rsidRDefault="00E6136A">
          <w:pPr>
            <w:pStyle w:val="ManualHeading1"/>
            <w:ind w:left="0" w:firstLine="0"/>
            <w:rPr>
              <w:bCs/>
              <w:noProof/>
            </w:rPr>
          </w:pPr>
          <w:r>
            <w:rPr>
              <w:b w:val="0"/>
              <w:bCs/>
              <w:noProof/>
            </w:rPr>
            <w:fldChar w:fldCharType="end"/>
          </w:r>
        </w:p>
      </w:sdtContent>
    </w:sdt>
    <w:p w:rsidR="0037163C" w:rsidRDefault="0037163C">
      <w:pPr>
        <w:rPr>
          <w:b/>
          <w:noProof/>
          <w:u w:val="single"/>
          <w:lang w:eastAsia="de-DE"/>
        </w:rPr>
        <w:sectPr w:rsidR="0037163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021" w:right="1021" w:bottom="1021" w:left="1021" w:header="709" w:footer="709" w:gutter="0"/>
          <w:cols w:space="708"/>
          <w:docGrid w:linePitch="360"/>
        </w:sectPr>
      </w:pPr>
    </w:p>
    <w:p w:rsidR="0037163C" w:rsidRDefault="00E6136A">
      <w:pPr>
        <w:pStyle w:val="Exposdesmotifstitre"/>
        <w:spacing w:line="240" w:lineRule="exact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37163C" w:rsidRDefault="00E6136A">
      <w:pPr>
        <w:pStyle w:val="ManualHeading1"/>
        <w:spacing w:before="120" w:line="240" w:lineRule="exact"/>
        <w:rPr>
          <w:noProof/>
        </w:rPr>
      </w:pPr>
      <w:bookmarkStart w:id="2" w:name="_Toc385506031"/>
      <w:bookmarkStart w:id="3" w:name="_Toc430865946"/>
      <w:bookmarkStart w:id="4" w:name="_Toc430867524"/>
      <w:bookmarkStart w:id="5" w:name="_Toc514181799"/>
      <w:bookmarkStart w:id="6" w:name="_Toc53734762"/>
      <w:bookmarkStart w:id="7" w:name="_Toc351469332"/>
      <w:bookmarkStart w:id="8" w:name="_Toc361649879"/>
      <w:r>
        <w:rPr>
          <w:noProof/>
        </w:rPr>
        <w:t>1.</w:t>
      </w:r>
      <w:r>
        <w:rPr>
          <w:noProof/>
        </w:rPr>
        <w:tab/>
        <w:t>Въведение</w:t>
      </w:r>
      <w:bookmarkEnd w:id="2"/>
      <w:bookmarkEnd w:id="3"/>
      <w:bookmarkEnd w:id="4"/>
      <w:bookmarkEnd w:id="5"/>
      <w:bookmarkEnd w:id="6"/>
    </w:p>
    <w:p w:rsidR="0037163C" w:rsidRDefault="00E6136A">
      <w:pPr>
        <w:spacing w:before="120" w:after="120" w:line="240" w:lineRule="exact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Проект на коригиращ бюджет (ПКБ) № 9 за 2020 г. придружава предложението</w:t>
      </w:r>
      <w:r>
        <w:rPr>
          <w:rStyle w:val="FootnoteReference"/>
          <w:rFonts w:ascii="Times New Roman" w:hAnsi="Times New Roman" w:cs="Times New Roman"/>
          <w:noProof/>
        </w:rPr>
        <w:footnoteReference w:id="10"/>
      </w:r>
      <w:r>
        <w:rPr>
          <w:rFonts w:ascii="Times New Roman" w:hAnsi="Times New Roman"/>
          <w:noProof/>
        </w:rPr>
        <w:t xml:space="preserve"> за мобилизиране на средства от фонд „Солидарност“ на Европейския съюз (ФСЕС) в размер на 823 548 633 EUR за предоставяне на помощ за:</w:t>
      </w:r>
    </w:p>
    <w:p w:rsidR="0037163C" w:rsidRDefault="00E6136A">
      <w:pPr>
        <w:pStyle w:val="ListParagraph"/>
        <w:numPr>
          <w:ilvl w:val="0"/>
          <w:numId w:val="35"/>
        </w:numPr>
        <w:spacing w:before="120" w:after="120" w:line="240" w:lineRule="exact"/>
        <w:contextualSpacing w:val="0"/>
        <w:jc w:val="both"/>
        <w:rPr>
          <w:noProof/>
        </w:rPr>
      </w:pPr>
      <w:r>
        <w:rPr>
          <w:noProof/>
          <w:sz w:val="22"/>
          <w:szCs w:val="22"/>
        </w:rPr>
        <w:t>Хърватия във връзка със земетресението, засегнало град Загреб и окръзите Загреб и Крапина-Загоре през март 2020 г. (683 7</w:t>
      </w:r>
      <w:r>
        <w:rPr>
          <w:noProof/>
          <w:sz w:val="22"/>
          <w:szCs w:val="22"/>
        </w:rPr>
        <w:t>40 523 EUR),</w:t>
      </w:r>
    </w:p>
    <w:p w:rsidR="0037163C" w:rsidRDefault="00E6136A">
      <w:pPr>
        <w:pStyle w:val="ListParagraph"/>
        <w:numPr>
          <w:ilvl w:val="0"/>
          <w:numId w:val="35"/>
        </w:numPr>
        <w:spacing w:before="120" w:after="120" w:line="240" w:lineRule="exact"/>
        <w:contextualSpacing w:val="0"/>
        <w:jc w:val="both"/>
        <w:rPr>
          <w:noProof/>
        </w:rPr>
      </w:pPr>
      <w:r>
        <w:rPr>
          <w:noProof/>
          <w:sz w:val="22"/>
          <w:szCs w:val="22"/>
        </w:rPr>
        <w:t>Полша във връзка с наводненията в Подкарпатското воеводство през юни 2020 г. (7 071 280 EUR), и</w:t>
      </w:r>
    </w:p>
    <w:p w:rsidR="0037163C" w:rsidRDefault="00E6136A">
      <w:pPr>
        <w:pStyle w:val="ListParagraph"/>
        <w:numPr>
          <w:ilvl w:val="0"/>
          <w:numId w:val="35"/>
        </w:numPr>
        <w:spacing w:before="120" w:after="120" w:line="240" w:lineRule="exact"/>
        <w:contextualSpacing w:val="0"/>
        <w:jc w:val="both"/>
        <w:rPr>
          <w:noProof/>
        </w:rPr>
      </w:pPr>
      <w:r>
        <w:rPr>
          <w:noProof/>
          <w:sz w:val="22"/>
          <w:szCs w:val="22"/>
        </w:rPr>
        <w:t>Седем държави членки (Хърватия, Германия, Гърция, Унгария, Ирландия, Португалия и Испания) във връзка с авансовите плащания в отговор на сериозната</w:t>
      </w:r>
      <w:r>
        <w:rPr>
          <w:noProof/>
          <w:sz w:val="22"/>
          <w:szCs w:val="22"/>
        </w:rPr>
        <w:t xml:space="preserve"> извънредна ситуация в областта на общественото здраве, причинена от пандемията от COVID-19 в началото на 2020 г. (132 736 830 EUR).</w:t>
      </w:r>
    </w:p>
    <w:p w:rsidR="0037163C" w:rsidRDefault="00E6136A">
      <w:pPr>
        <w:spacing w:before="120" w:after="120" w:line="240" w:lineRule="exact"/>
        <w:jc w:val="both"/>
        <w:rPr>
          <w:rFonts w:ascii="Times New Roman" w:hAnsi="Times New Roman" w:cs="Times New Roman"/>
          <w:noProof/>
          <w:spacing w:val="-4"/>
        </w:rPr>
      </w:pPr>
      <w:r>
        <w:rPr>
          <w:rFonts w:ascii="Times New Roman" w:hAnsi="Times New Roman"/>
          <w:noProof/>
          <w:spacing w:val="-4"/>
        </w:rPr>
        <w:t xml:space="preserve">С ПКБ № 9/2020 се предлага да се впишат </w:t>
      </w:r>
      <w:r>
        <w:rPr>
          <w:rFonts w:ascii="Times New Roman" w:hAnsi="Times New Roman"/>
          <w:noProof/>
          <w:snapToGrid w:val="0"/>
          <w:spacing w:val="-4"/>
        </w:rPr>
        <w:t>734 596 756 EUR</w:t>
      </w:r>
      <w:r>
        <w:rPr>
          <w:rFonts w:ascii="Times New Roman" w:hAnsi="Times New Roman"/>
          <w:noProof/>
          <w:spacing w:val="-4"/>
        </w:rPr>
        <w:t xml:space="preserve"> в общия бюджет за 2020 г., както като бюджетни кредити за поети задължения, така и като бюджетни кредити за плащания, след приспадане на авансовите средства, които вече са изплатени на Хърватия във връзка със земетресението (88 951 877 EUR).</w:t>
      </w:r>
    </w:p>
    <w:p w:rsidR="0037163C" w:rsidRDefault="00E6136A">
      <w:pPr>
        <w:pStyle w:val="ManualHeading1"/>
        <w:spacing w:before="120" w:line="240" w:lineRule="exact"/>
        <w:rPr>
          <w:noProof/>
        </w:rPr>
      </w:pPr>
      <w:bookmarkStart w:id="9" w:name="_Toc514181800"/>
      <w:bookmarkStart w:id="10" w:name="_Toc53734763"/>
      <w:bookmarkStart w:id="11" w:name="_Toc462410050"/>
      <w:bookmarkStart w:id="12" w:name="_Toc430865947"/>
      <w:bookmarkStart w:id="13" w:name="_Toc430867525"/>
      <w:r>
        <w:rPr>
          <w:noProof/>
        </w:rPr>
        <w:t>2.</w:t>
      </w:r>
      <w:r>
        <w:rPr>
          <w:noProof/>
        </w:rPr>
        <w:tab/>
        <w:t>Финансиран</w:t>
      </w:r>
      <w:r>
        <w:rPr>
          <w:noProof/>
        </w:rPr>
        <w:t>е</w:t>
      </w:r>
      <w:bookmarkEnd w:id="9"/>
      <w:bookmarkEnd w:id="10"/>
    </w:p>
    <w:p w:rsidR="0037163C" w:rsidRDefault="00E6136A">
      <w:pPr>
        <w:spacing w:before="120" w:after="120" w:line="240" w:lineRule="exact"/>
        <w:jc w:val="both"/>
        <w:rPr>
          <w:rFonts w:ascii="Times New Roman" w:hAnsi="Times New Roman" w:cs="Times New Roman"/>
          <w:noProof/>
        </w:rPr>
      </w:pPr>
      <w:bookmarkStart w:id="14" w:name="_Toc484781561"/>
      <w:bookmarkStart w:id="15" w:name="_Toc514181801"/>
      <w:bookmarkStart w:id="16" w:name="_Toc460335328"/>
      <w:bookmarkStart w:id="17" w:name="_Toc430865948"/>
      <w:bookmarkStart w:id="18" w:name="_Toc430867526"/>
      <w:bookmarkEnd w:id="11"/>
      <w:r>
        <w:rPr>
          <w:rFonts w:ascii="Times New Roman" w:hAnsi="Times New Roman"/>
          <w:noProof/>
        </w:rPr>
        <w:t>В съответствие с член 10, параграф 1 от Регламент (ЕС, Евратом) № 1311/2013 на Съвета от 2 декември 2013 г. за определяне на многогодишната финансова рамка за годините 2014—2020</w:t>
      </w:r>
      <w:r>
        <w:rPr>
          <w:rStyle w:val="FootnoteReference"/>
          <w:rFonts w:ascii="Times New Roman" w:hAnsi="Times New Roman" w:cs="Times New Roman"/>
          <w:noProof/>
        </w:rPr>
        <w:footnoteReference w:id="11"/>
      </w:r>
      <w:r>
        <w:rPr>
          <w:rFonts w:ascii="Times New Roman" w:hAnsi="Times New Roman"/>
          <w:noProof/>
        </w:rPr>
        <w:t xml:space="preserve"> общата сума, която е на разположение за мобилизиране на средства от фонд „С</w:t>
      </w:r>
      <w:r>
        <w:rPr>
          <w:rFonts w:ascii="Times New Roman" w:hAnsi="Times New Roman"/>
          <w:noProof/>
        </w:rPr>
        <w:t>олидарност“ на ЕС в началото на 2020 г., възлиза на 1 150 524 045 EUR, което представлява сумата от отпуснатите за 2020 г. средства в размер на 597 546 284 EUR и отпуснатите за 2019 г. средства в размер на 552 977 761 EUR, които не бяха изразходвани и бяха</w:t>
      </w:r>
      <w:r>
        <w:rPr>
          <w:rFonts w:ascii="Times New Roman" w:hAnsi="Times New Roman"/>
          <w:noProof/>
        </w:rPr>
        <w:t xml:space="preserve"> пренесени за 2020 г. (и двете по текущи цени).</w:t>
      </w:r>
    </w:p>
    <w:p w:rsidR="0037163C" w:rsidRDefault="00E6136A">
      <w:pPr>
        <w:spacing w:before="120" w:after="120" w:line="240" w:lineRule="exact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Както е показано в таблицата по-долу, като се има предвид предишното решение за мобилизиране през 2020 г.</w:t>
      </w:r>
      <w:r>
        <w:rPr>
          <w:rStyle w:val="FootnoteReference"/>
          <w:noProof/>
          <w:snapToGrid w:val="0"/>
        </w:rPr>
        <w:footnoteReference w:id="12"/>
      </w:r>
      <w:r>
        <w:rPr>
          <w:noProof/>
        </w:rPr>
        <w:t xml:space="preserve">, </w:t>
      </w:r>
      <w:r>
        <w:rPr>
          <w:rFonts w:ascii="Times New Roman" w:hAnsi="Times New Roman"/>
          <w:noProof/>
          <w:snapToGrid w:val="0"/>
        </w:rPr>
        <w:t>сумата, която може да бъде мобилизирана на този етап от 2020 г., е 871 530 231 EUR.</w:t>
      </w:r>
    </w:p>
    <w:p w:rsidR="0037163C" w:rsidRDefault="0037163C">
      <w:pPr>
        <w:spacing w:before="120" w:after="120" w:line="240" w:lineRule="exact"/>
        <w:jc w:val="both"/>
        <w:rPr>
          <w:rFonts w:ascii="Times New Roman" w:hAnsi="Times New Roman" w:cs="Times New Roman"/>
          <w:noProof/>
        </w:rPr>
      </w:pPr>
    </w:p>
    <w:tbl>
      <w:tblPr>
        <w:tblW w:w="7886" w:type="dxa"/>
        <w:jc w:val="center"/>
        <w:tblLook w:val="04A0" w:firstRow="1" w:lastRow="0" w:firstColumn="1" w:lastColumn="0" w:noHBand="0" w:noVBand="1"/>
      </w:tblPr>
      <w:tblGrid>
        <w:gridCol w:w="6101"/>
        <w:gridCol w:w="1785"/>
      </w:tblGrid>
      <w:tr w:rsidR="0037163C">
        <w:trPr>
          <w:trHeight w:val="452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vAlign w:val="center"/>
            <w:hideMark/>
          </w:tcPr>
          <w:p w:rsidR="0037163C" w:rsidRDefault="00E6136A">
            <w:pPr>
              <w:spacing w:line="240" w:lineRule="exact"/>
              <w:rPr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18"/>
              </w:rPr>
              <w:t>Налична понасто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18"/>
              </w:rPr>
              <w:t>ящем сума от фонд „Солидарност“: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7163C" w:rsidRDefault="00E6136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</w:rPr>
              <w:t>Сума в евро</w:t>
            </w:r>
          </w:p>
        </w:tc>
      </w:tr>
      <w:tr w:rsidR="0037163C">
        <w:trPr>
          <w:trHeight w:val="28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3C" w:rsidRDefault="00E6136A">
            <w:pPr>
              <w:spacing w:before="40" w:after="40" w:line="240" w:lineRule="exact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Годишна сума за 2020 г.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before="40" w:after="40"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0"/>
                <w:szCs w:val="18"/>
              </w:rPr>
              <w:t xml:space="preserve">  597 546 284</w:t>
            </w:r>
          </w:p>
        </w:tc>
      </w:tr>
      <w:tr w:rsidR="0037163C">
        <w:trPr>
          <w:trHeight w:val="28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before="40" w:after="40" w:line="240" w:lineRule="exact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Плюс неизразходвана сума от средствата за 2019 г., пренесени за 2020 г.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before="40" w:after="40"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0"/>
                <w:szCs w:val="18"/>
              </w:rPr>
              <w:t>+552 977 761</w:t>
            </w:r>
          </w:p>
        </w:tc>
      </w:tr>
      <w:tr w:rsidR="0037163C">
        <w:trPr>
          <w:trHeight w:val="28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163C" w:rsidRDefault="00E6136A">
            <w:pPr>
              <w:spacing w:before="40" w:after="40" w:line="240" w:lineRule="exact"/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18"/>
              </w:rPr>
              <w:t>[25 % от отпуснатите за 2020 г. средства да бъдат запазени до 1 октомври 2020 г.]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163C" w:rsidRDefault="00E6136A">
            <w:pPr>
              <w:spacing w:before="40" w:after="40"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0"/>
                <w:szCs w:val="18"/>
              </w:rPr>
              <w:t>[149 386 571]</w:t>
            </w:r>
          </w:p>
        </w:tc>
      </w:tr>
      <w:tr w:rsidR="0037163C">
        <w:trPr>
          <w:trHeight w:val="28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63C" w:rsidRDefault="00E6136A">
            <w:pPr>
              <w:spacing w:before="40" w:after="40" w:line="240" w:lineRule="exact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Минус общия размер на помощта, предложена за Португалия (урагана Лоренцо), Испания (екстремни метеорологични условия, свързани с „изолиран случай на депресия на голяма надморска височина“, DANA 2019 г.), Италия (</w:t>
            </w:r>
            <w:r>
              <w:rPr>
                <w:rFonts w:ascii="Times New Roman" w:hAnsi="Times New Roman"/>
                <w:noProof/>
                <w:snapToGrid w:val="0"/>
                <w:sz w:val="20"/>
                <w:szCs w:val="20"/>
              </w:rPr>
              <w:t xml:space="preserve">тежки метеорологични условия </w:t>
            </w:r>
            <w:r>
              <w:rPr>
                <w:rFonts w:ascii="Times New Roman" w:hAnsi="Times New Roman"/>
                <w:noProof/>
                <w:snapToGrid w:val="0"/>
                <w:sz w:val="20"/>
                <w:szCs w:val="20"/>
              </w:rPr>
              <w:t>2019 г.) и Австрия (тежки метеорологични условия 2019 г.)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63C" w:rsidRDefault="00E6136A">
            <w:pPr>
              <w:spacing w:before="40" w:after="40"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0"/>
                <w:szCs w:val="18"/>
              </w:rPr>
              <w:t>-</w:t>
            </w:r>
            <w:r>
              <w:rPr>
                <w:rFonts w:ascii="Times New Roman" w:hAnsi="Times New Roman"/>
                <w:bCs/>
                <w:iCs/>
                <w:noProof/>
                <w:sz w:val="20"/>
                <w:szCs w:val="18"/>
              </w:rPr>
              <w:t>278 993 814</w:t>
            </w:r>
          </w:p>
        </w:tc>
      </w:tr>
      <w:tr w:rsidR="0037163C">
        <w:trPr>
          <w:trHeight w:val="43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163C" w:rsidRDefault="00E6136A">
            <w:pPr>
              <w:spacing w:before="40" w:after="40" w:line="240" w:lineRule="exact"/>
              <w:rPr>
                <w:rFonts w:ascii="Times New Roman" w:hAnsi="Times New Roman" w:cs="Times New Roman"/>
                <w:bCs/>
                <w:i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noProof/>
                <w:sz w:val="20"/>
                <w:szCs w:val="18"/>
              </w:rPr>
              <w:t>Налична сума от януари до септември 2020 г.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163C" w:rsidRDefault="00E6136A">
            <w:pPr>
              <w:spacing w:before="40" w:after="40"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0"/>
                <w:szCs w:val="18"/>
              </w:rPr>
              <w:t>722 143 660</w:t>
            </w:r>
          </w:p>
        </w:tc>
      </w:tr>
      <w:tr w:rsidR="0037163C">
        <w:trPr>
          <w:trHeight w:val="43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3C" w:rsidRDefault="00E6136A">
            <w:pPr>
              <w:spacing w:before="40" w:after="40" w:line="240" w:lineRule="exact"/>
              <w:rPr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18"/>
              </w:rPr>
              <w:t>Максимална сума, която понастоящем е на разположение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3C" w:rsidRDefault="00E6136A">
            <w:pPr>
              <w:spacing w:before="40" w:after="4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18"/>
              </w:rPr>
              <w:t>871 530 231</w:t>
            </w:r>
          </w:p>
        </w:tc>
      </w:tr>
      <w:tr w:rsidR="0037163C">
        <w:trPr>
          <w:trHeight w:val="43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3C" w:rsidRDefault="00E6136A">
            <w:pPr>
              <w:spacing w:before="40" w:after="40" w:line="240" w:lineRule="exac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Обща сума, предложена за мобилизиране на авансови плащания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за Хърватия, Полша и Covid-19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3C" w:rsidRDefault="00E6136A">
            <w:pPr>
              <w:spacing w:before="40" w:after="4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18"/>
              </w:rPr>
              <w:t>-823 548 633</w:t>
            </w:r>
          </w:p>
        </w:tc>
      </w:tr>
      <w:tr w:rsidR="0037163C">
        <w:trPr>
          <w:trHeight w:val="43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3C" w:rsidRDefault="00E6136A">
            <w:pPr>
              <w:spacing w:before="40" w:after="40" w:line="240" w:lineRule="exact"/>
              <w:rPr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Оставащи налични средства до 31.12.2020 г.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3C" w:rsidRDefault="00E6136A">
            <w:pPr>
              <w:spacing w:before="40" w:after="4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18"/>
              </w:rPr>
              <w:t xml:space="preserve"> 47 981 598</w:t>
            </w:r>
          </w:p>
        </w:tc>
      </w:tr>
    </w:tbl>
    <w:p w:rsidR="0037163C" w:rsidRDefault="00E6136A">
      <w:pPr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r>
        <w:rPr>
          <w:noProof/>
        </w:rPr>
        <w:br w:type="page"/>
      </w:r>
    </w:p>
    <w:p w:rsidR="0037163C" w:rsidRDefault="00E6136A">
      <w:pPr>
        <w:pStyle w:val="ManualHeading1"/>
        <w:spacing w:before="120"/>
        <w:rPr>
          <w:noProof/>
        </w:rPr>
      </w:pPr>
      <w:bookmarkStart w:id="19" w:name="_Toc53734764"/>
      <w:r>
        <w:rPr>
          <w:noProof/>
        </w:rPr>
        <w:lastRenderedPageBreak/>
        <w:t>3.</w:t>
      </w:r>
      <w:r>
        <w:rPr>
          <w:noProof/>
        </w:rPr>
        <w:tab/>
        <w:t xml:space="preserve">Поискани бюджетни кредити в бюджета за </w:t>
      </w:r>
      <w:bookmarkEnd w:id="14"/>
      <w:r>
        <w:rPr>
          <w:noProof/>
        </w:rPr>
        <w:t>20</w:t>
      </w:r>
      <w:bookmarkEnd w:id="15"/>
      <w:r>
        <w:rPr>
          <w:noProof/>
        </w:rPr>
        <w:t>20 г.</w:t>
      </w:r>
      <w:bookmarkEnd w:id="19"/>
    </w:p>
    <w:p w:rsidR="0037163C" w:rsidRDefault="00E6136A">
      <w:pPr>
        <w:jc w:val="both"/>
        <w:rPr>
          <w:rFonts w:ascii="Times New Roman" w:hAnsi="Times New Roman" w:cs="Times New Roman"/>
          <w:noProof/>
          <w:snapToGrid w:val="0"/>
        </w:rPr>
      </w:pPr>
      <w:r>
        <w:rPr>
          <w:rFonts w:ascii="Times New Roman" w:hAnsi="Times New Roman"/>
          <w:noProof/>
          <w:snapToGrid w:val="0"/>
        </w:rPr>
        <w:t>Комисията предлага да измени бюджета за 2020 г., като увеличи бюджетен ред 13 06 01 с 734 596 756 EUR ка</w:t>
      </w:r>
      <w:r>
        <w:rPr>
          <w:rFonts w:ascii="Times New Roman" w:hAnsi="Times New Roman"/>
          <w:noProof/>
          <w:snapToGrid w:val="0"/>
        </w:rPr>
        <w:t>кто под формата на бюджетни кредити за поети задължения, така и на бюджетни кредити за плащания (вж. таблицата по-долу).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701"/>
        <w:gridCol w:w="1701"/>
      </w:tblGrid>
      <w:tr w:rsidR="0037163C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163C" w:rsidRDefault="00E6136A">
            <w:pPr>
              <w:widowControl w:val="0"/>
              <w:spacing w:before="15" w:after="15"/>
              <w:jc w:val="right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i/>
                <w:noProof/>
                <w:shd w:val="clear" w:color="auto" w:fill="FFFFFF" w:themeFill="background1"/>
              </w:rPr>
              <w:t>Суми в</w:t>
            </w:r>
            <w:r>
              <w:rPr>
                <w:rFonts w:ascii="Times New Roman" w:hAnsi="Times New Roman"/>
                <w:i/>
                <w:noProof/>
              </w:rPr>
              <w:t xml:space="preserve"> евро</w:t>
            </w:r>
          </w:p>
        </w:tc>
      </w:tr>
      <w:tr w:rsidR="0037163C"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7163C" w:rsidRDefault="00E6136A">
            <w:pPr>
              <w:widowControl w:val="0"/>
              <w:spacing w:before="15" w:after="15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Бюджетен ред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7163C" w:rsidRDefault="00E6136A">
            <w:pPr>
              <w:widowControl w:val="0"/>
              <w:spacing w:before="15" w:after="15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37163C" w:rsidRDefault="00E6136A">
            <w:pPr>
              <w:widowControl w:val="0"/>
              <w:spacing w:before="15" w:after="15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Бюджетни кредити за поети задължения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7163C" w:rsidRDefault="00E6136A">
            <w:pPr>
              <w:widowControl w:val="0"/>
              <w:spacing w:before="15" w:after="15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Бюджетни кредити за плащания</w:t>
            </w:r>
          </w:p>
        </w:tc>
      </w:tr>
      <w:tr w:rsidR="0037163C">
        <w:tc>
          <w:tcPr>
            <w:tcW w:w="1276" w:type="dxa"/>
          </w:tcPr>
          <w:p w:rsidR="0037163C" w:rsidRDefault="00E6136A">
            <w:pPr>
              <w:widowControl w:val="0"/>
              <w:spacing w:before="15" w:after="15"/>
              <w:ind w:right="-113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13 06 01</w:t>
            </w:r>
          </w:p>
        </w:tc>
        <w:tc>
          <w:tcPr>
            <w:tcW w:w="5103" w:type="dxa"/>
          </w:tcPr>
          <w:p w:rsidR="0037163C" w:rsidRDefault="00E6136A">
            <w:pPr>
              <w:widowControl w:val="0"/>
              <w:spacing w:before="15" w:after="15"/>
              <w:ind w:right="-113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Подпомагане на </w:t>
            </w:r>
            <w:r>
              <w:rPr>
                <w:rFonts w:ascii="Times New Roman" w:hAnsi="Times New Roman"/>
                <w:noProof/>
              </w:rPr>
              <w:t>държавите членки в случай на мащабно природно бедствие със сериозно отражение върху условията на живот, околната среда или икономиката</w:t>
            </w:r>
          </w:p>
        </w:tc>
        <w:tc>
          <w:tcPr>
            <w:tcW w:w="1701" w:type="dxa"/>
          </w:tcPr>
          <w:p w:rsidR="0037163C" w:rsidRDefault="00E6136A">
            <w:pPr>
              <w:widowControl w:val="0"/>
              <w:spacing w:before="15" w:after="15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734 596 756</w:t>
            </w:r>
          </w:p>
        </w:tc>
        <w:tc>
          <w:tcPr>
            <w:tcW w:w="1701" w:type="dxa"/>
          </w:tcPr>
          <w:p w:rsidR="0037163C" w:rsidRDefault="00E6136A">
            <w:pPr>
              <w:widowControl w:val="0"/>
              <w:spacing w:before="15" w:after="15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734 596 756</w:t>
            </w:r>
          </w:p>
        </w:tc>
      </w:tr>
      <w:tr w:rsidR="0037163C">
        <w:tc>
          <w:tcPr>
            <w:tcW w:w="6379" w:type="dxa"/>
            <w:gridSpan w:val="2"/>
            <w:shd w:val="clear" w:color="auto" w:fill="D9D9D9"/>
          </w:tcPr>
          <w:p w:rsidR="0037163C" w:rsidRDefault="00E6136A">
            <w:pPr>
              <w:widowControl w:val="0"/>
              <w:tabs>
                <w:tab w:val="left" w:pos="975"/>
              </w:tabs>
              <w:spacing w:before="15" w:after="15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Общо</w:t>
            </w:r>
            <w:r>
              <w:rPr>
                <w:noProof/>
              </w:rPr>
              <w:tab/>
            </w:r>
          </w:p>
        </w:tc>
        <w:tc>
          <w:tcPr>
            <w:tcW w:w="1701" w:type="dxa"/>
            <w:shd w:val="clear" w:color="auto" w:fill="D9D9D9"/>
          </w:tcPr>
          <w:p w:rsidR="0037163C" w:rsidRDefault="00E6136A">
            <w:pPr>
              <w:widowControl w:val="0"/>
              <w:spacing w:before="15" w:after="15"/>
              <w:jc w:val="right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734 596 756</w:t>
            </w:r>
          </w:p>
        </w:tc>
        <w:tc>
          <w:tcPr>
            <w:tcW w:w="1701" w:type="dxa"/>
            <w:shd w:val="clear" w:color="auto" w:fill="D9D9D9"/>
          </w:tcPr>
          <w:p w:rsidR="0037163C" w:rsidRDefault="00E6136A">
            <w:pPr>
              <w:widowControl w:val="0"/>
              <w:spacing w:before="15" w:after="15"/>
              <w:jc w:val="right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734 596 756</w:t>
            </w:r>
          </w:p>
        </w:tc>
      </w:tr>
    </w:tbl>
    <w:p w:rsidR="0037163C" w:rsidRDefault="00E6136A">
      <w:pPr>
        <w:pStyle w:val="ManualHeading1"/>
        <w:pageBreakBefore/>
        <w:rPr>
          <w:noProof/>
        </w:rPr>
      </w:pPr>
      <w:bookmarkStart w:id="20" w:name="_Toc514181802"/>
      <w:bookmarkStart w:id="21" w:name="_Toc53734765"/>
      <w:bookmarkEnd w:id="16"/>
      <w:bookmarkEnd w:id="17"/>
      <w:bookmarkEnd w:id="18"/>
      <w:r>
        <w:rPr>
          <w:noProof/>
        </w:rPr>
        <w:t>4.</w:t>
      </w:r>
      <w:r>
        <w:rPr>
          <w:noProof/>
        </w:rPr>
        <w:tab/>
        <w:t>Обобщаваща таблица по функции от МФР</w:t>
      </w:r>
      <w:bookmarkEnd w:id="20"/>
      <w:bookmarkEnd w:id="21"/>
    </w:p>
    <w:tbl>
      <w:tblPr>
        <w:tblW w:w="10257" w:type="dxa"/>
        <w:jc w:val="center"/>
        <w:tblLook w:val="04A0" w:firstRow="1" w:lastRow="0" w:firstColumn="1" w:lastColumn="0" w:noHBand="0" w:noVBand="1"/>
      </w:tblPr>
      <w:tblGrid>
        <w:gridCol w:w="358"/>
        <w:gridCol w:w="2560"/>
        <w:gridCol w:w="1298"/>
        <w:gridCol w:w="1311"/>
        <w:gridCol w:w="1058"/>
        <w:gridCol w:w="1206"/>
        <w:gridCol w:w="1169"/>
        <w:gridCol w:w="1220"/>
        <w:gridCol w:w="77"/>
      </w:tblGrid>
      <w:tr w:rsidR="0037163C">
        <w:trPr>
          <w:trHeight w:val="188"/>
          <w:jc w:val="center"/>
        </w:trPr>
        <w:tc>
          <w:tcPr>
            <w:tcW w:w="10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7"/>
          <w:bookmarkEnd w:id="8"/>
          <w:bookmarkEnd w:id="12"/>
          <w:bookmarkEnd w:id="13"/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В евро</w:t>
            </w:r>
          </w:p>
        </w:tc>
      </w:tr>
      <w:tr w:rsidR="0037163C">
        <w:trPr>
          <w:gridAfter w:val="1"/>
          <w:wAfter w:w="77" w:type="dxa"/>
          <w:trHeight w:val="209"/>
          <w:jc w:val="center"/>
        </w:trPr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Бюджетен ред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Бюджет 2020 г.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Проект на коригиращ бюджет № 9/2020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Бюджет 2020 г.</w:t>
            </w:r>
          </w:p>
        </w:tc>
      </w:tr>
      <w:tr w:rsidR="0037163C">
        <w:trPr>
          <w:gridAfter w:val="1"/>
          <w:wAfter w:w="77" w:type="dxa"/>
          <w:trHeight w:val="209"/>
          <w:jc w:val="center"/>
        </w:trPr>
        <w:tc>
          <w:tcPr>
            <w:tcW w:w="2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163C" w:rsidRDefault="0037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(вкл. КБ № 1—7/2020)</w:t>
            </w: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63C" w:rsidRDefault="0037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(вкл. КБ 1—7 и ПКБ 9/2020)</w:t>
            </w:r>
          </w:p>
        </w:tc>
      </w:tr>
      <w:tr w:rsidR="0037163C">
        <w:trPr>
          <w:gridAfter w:val="1"/>
          <w:wAfter w:w="77" w:type="dxa"/>
          <w:trHeight w:val="209"/>
          <w:jc w:val="center"/>
        </w:trPr>
        <w:tc>
          <w:tcPr>
            <w:tcW w:w="2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163C" w:rsidRDefault="0037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БКПЗ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БКП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БКПЗ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БКП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БКПЗ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БКП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Интелигентен и приобщаващ растеж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83 930 597 837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77 453 828 442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83 930 597 837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77 453 828 442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Таван 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83 661 000 000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83 661 000 000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1а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Конкурентоспособност за растеж и заетост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25 284 773 982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22 308 071 592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25 284 773 982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22 308 071 592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От които в общия марж за поетите задължения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93 773 982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93 773 982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25 191 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000 000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25 191 000 000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1б 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Икономическо, социално и териториално сближаване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58 645 823 855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55 145 756 850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58 645 823 855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55 145 756 850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От които в общия марж за поетите задължения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175 823 855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175 823 855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58 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470 000 000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58 470 000 000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375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Устойчив растеж: природни ресурси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59 907 021 051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57 904 492 439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59 907 021 051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57 904 492 439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60 421 000 000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60 421 000 000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От които приспадане от маржа за непредвидени 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обстоятелства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- 465 323 871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- 465 323 871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346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от които: Европейски фонд за гарантиране на земеделието (ЕФГЗ) — Разходи, свързани с пазара, и директни плащания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43 410 105 687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43 380 031 798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43 410 105 687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43 </w:t>
            </w: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380 031 798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Подтаван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43 888 000 000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43 888 000 000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Разлика от закръгляне, изключена от изчислението на маржа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 888 000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 888 000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От които приспадане от маржа за непредвидени обстоятелства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- 428 351 235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- 428 351 235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Марж за ЕФГЗ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Сигурност и гражданство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7 152 374 489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6 368 527 141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7 152 374 489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6 368 527 141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от които по Инструмента за гъвкавост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1 094 414 188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1 094 414 188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От които в общия марж за поетите задължения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2 392 402 163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2 392 402 163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От които по маржа за непредвидени обстоятелства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714 558 138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714 558 138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2 951 000 000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2 951 000 000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Глобална Европа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10 991 572 239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9 112 061 191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10 991 572 239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9 112 061 191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От които 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по маржа за непредвидени обстоятелства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481 572 239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481 572 239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10 510 000 000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10 510 000 000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Администриране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10 271 193 494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10 274 196 704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10 271 193 494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10 274 196 704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11 254 000 000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11 254 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000 000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От които приспадане от маржа за непредвидени обстоятелства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- 982 806 506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- 982 806 506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360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От които: Административни разходи на институциите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7 955 303 132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958 306 342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7 955 303 132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</w:rPr>
              <w:t>7 958 306 342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Подтаван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9 071 000 000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9 071 000 000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От които приспадане от маржа за непредвидени обстоятелства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- 982 806 506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- 982 806 506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132 890 362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132 890 362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172 252 759 110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161 113 105 917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172 252 759 110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161 113 105 917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от които по 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Инструмента за гъвкавост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1 094 414 188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1 017 029 444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1 094 414 188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1 017 029 444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От които в общия марж за поетите задължения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2 662 000 000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2 662 000 000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От които по маржа за непредвидени обстоятелства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1 196 130 377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1 196 130 377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168 797 000 000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172 420 000 000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168 797 000 000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172 420 000 000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От които приспадане от маржа за непредвидени обстоятелства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-1 448 130 377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-1 448 130 377</w:t>
            </w: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12 323 923 527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48 655 078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12 323 923 527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Други специални 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инструменти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860 261 208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690 998 208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734 596 756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734 596 756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1 594 857 964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1 425 594 964</w:t>
            </w:r>
          </w:p>
        </w:tc>
      </w:tr>
      <w:tr w:rsidR="0037163C">
        <w:trPr>
          <w:gridAfter w:val="1"/>
          <w:wAfter w:w="77" w:type="dxa"/>
          <w:trHeight w:val="227"/>
          <w:jc w:val="center"/>
        </w:trPr>
        <w:tc>
          <w:tcPr>
            <w:tcW w:w="2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Всичко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173 113 020 318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161 804 104 125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734 596 756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 xml:space="preserve"> 734 596 756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173 847 617 074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63C" w:rsidRDefault="00E6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4"/>
                <w:szCs w:val="14"/>
              </w:rPr>
              <w:t>162 538 700 881</w:t>
            </w:r>
          </w:p>
        </w:tc>
      </w:tr>
    </w:tbl>
    <w:p w:rsidR="0037163C" w:rsidRPr="00E6136A" w:rsidRDefault="0037163C">
      <w:pPr>
        <w:spacing w:after="0" w:line="240" w:lineRule="auto"/>
        <w:jc w:val="both"/>
        <w:rPr>
          <w:noProof/>
        </w:rPr>
      </w:pPr>
    </w:p>
    <w:sectPr w:rsidR="0037163C" w:rsidRPr="00E6136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72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3C" w:rsidRDefault="00E6136A">
      <w:pPr>
        <w:spacing w:after="0" w:line="240" w:lineRule="auto"/>
      </w:pPr>
      <w:r>
        <w:separator/>
      </w:r>
    </w:p>
  </w:endnote>
  <w:endnote w:type="continuationSeparator" w:id="0">
    <w:p w:rsidR="0037163C" w:rsidRDefault="00E6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6A" w:rsidRPr="00E6136A" w:rsidRDefault="00E6136A" w:rsidP="00E6136A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E6136A">
    <w:pPr>
      <w:pStyle w:val="Footer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6A" w:rsidRPr="00E6136A" w:rsidRDefault="00E6136A" w:rsidP="00E6136A">
    <w:pPr>
      <w:pStyle w:val="FooterCoverPage"/>
      <w:rPr>
        <w:rFonts w:ascii="Arial" w:hAnsi="Arial" w:cs="Arial"/>
        <w:b/>
        <w:sz w:val="48"/>
      </w:rPr>
    </w:pPr>
    <w:r w:rsidRPr="00E6136A">
      <w:rPr>
        <w:rFonts w:ascii="Arial" w:hAnsi="Arial" w:cs="Arial"/>
        <w:b/>
        <w:sz w:val="48"/>
      </w:rPr>
      <w:t>BG</w:t>
    </w:r>
    <w:r w:rsidRPr="00E6136A">
      <w:rPr>
        <w:rFonts w:ascii="Arial" w:hAnsi="Arial" w:cs="Arial"/>
        <w:b/>
        <w:sz w:val="48"/>
      </w:rPr>
      <w:tab/>
    </w:r>
    <w:r w:rsidRPr="00E6136A">
      <w:rPr>
        <w:rFonts w:ascii="Arial" w:hAnsi="Arial" w:cs="Arial"/>
        <w:b/>
        <w:sz w:val="48"/>
      </w:rPr>
      <w:tab/>
    </w:r>
    <w:r w:rsidRPr="00E6136A">
      <w:tab/>
    </w:r>
    <w:r w:rsidRPr="00E6136A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6A" w:rsidRPr="00E6136A" w:rsidRDefault="00E6136A" w:rsidP="00E6136A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E6136A">
    <w:pPr>
      <w:pStyle w:val="Footer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E6136A">
    <w:pPr>
      <w:pStyle w:val="Footer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3C" w:rsidRDefault="00E6136A">
      <w:pPr>
        <w:spacing w:after="0" w:line="240" w:lineRule="auto"/>
      </w:pPr>
      <w:r>
        <w:separator/>
      </w:r>
    </w:p>
  </w:footnote>
  <w:footnote w:type="continuationSeparator" w:id="0">
    <w:p w:rsidR="0037163C" w:rsidRDefault="00E6136A">
      <w:pPr>
        <w:spacing w:after="0" w:line="240" w:lineRule="auto"/>
      </w:pPr>
      <w:r>
        <w:continuationSeparator/>
      </w:r>
    </w:p>
  </w:footnote>
  <w:footnote w:id="1">
    <w:p w:rsidR="0037163C" w:rsidRDefault="00E613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ОВ L 193, 30.7.2018 г.</w:t>
      </w:r>
    </w:p>
  </w:footnote>
  <w:footnote w:id="2">
    <w:p w:rsidR="0037163C" w:rsidRDefault="00E613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ОВ L 57, 27.2.2020 г</w:t>
      </w:r>
      <w:r>
        <w:t>.</w:t>
      </w:r>
    </w:p>
  </w:footnote>
  <w:footnote w:id="3">
    <w:p w:rsidR="0037163C" w:rsidRDefault="00E613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ОВ L 126, 21.4.2020 г.</w:t>
      </w:r>
    </w:p>
  </w:footnote>
  <w:footnote w:id="4">
    <w:p w:rsidR="0037163C" w:rsidRDefault="00E613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ОВ L 126, 21.4.2020 г.</w:t>
      </w:r>
    </w:p>
  </w:footnote>
  <w:footnote w:id="5">
    <w:p w:rsidR="0037163C" w:rsidRDefault="00E613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ОВ L 254, 4.8.2020 г</w:t>
      </w:r>
      <w:r>
        <w:t>.</w:t>
      </w:r>
    </w:p>
  </w:footnote>
  <w:footnote w:id="6">
    <w:p w:rsidR="0037163C" w:rsidRDefault="00E613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ОВ L 254, 4.8.2020 г</w:t>
      </w:r>
      <w:r>
        <w:t>.</w:t>
      </w:r>
    </w:p>
  </w:footnote>
  <w:footnote w:id="7">
    <w:p w:rsidR="0037163C" w:rsidRDefault="00E6136A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ОВ L 299, 11.9.2020 г</w:t>
      </w:r>
      <w:r>
        <w:t>.</w:t>
      </w:r>
    </w:p>
  </w:footnote>
  <w:footnote w:id="8">
    <w:p w:rsidR="0037163C" w:rsidRDefault="00E6136A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ОВ L XXX, XX.X.2020 г. (предложен като проект на коригиращ бюджет № 8/2020 на 28.8.2020 г.).</w:t>
      </w:r>
    </w:p>
  </w:footnote>
  <w:footnote w:id="9">
    <w:p w:rsidR="0037163C" w:rsidRDefault="00E613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ОВ L XXX, XX.</w:t>
      </w:r>
      <w:r>
        <w:rPr>
          <w:sz w:val="18"/>
          <w:szCs w:val="18"/>
        </w:rPr>
        <w:t>X.2020 г.</w:t>
      </w:r>
    </w:p>
  </w:footnote>
  <w:footnote w:id="10">
    <w:p w:rsidR="0037163C" w:rsidRDefault="00E6136A">
      <w:pPr>
        <w:pStyle w:val="FootnoteText"/>
      </w:pPr>
      <w:r>
        <w:rPr>
          <w:rStyle w:val="FootnoteReference"/>
        </w:rPr>
        <w:footnoteRef/>
      </w:r>
      <w:r>
        <w:tab/>
        <w:t>COM(2020) 960, 9.10.2020 г.</w:t>
      </w:r>
    </w:p>
  </w:footnote>
  <w:footnote w:id="11">
    <w:p w:rsidR="0037163C" w:rsidRDefault="00E6136A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ab/>
        <w:t>ОВ L 347, 20.12.2013 г., стр. 884.</w:t>
      </w:r>
    </w:p>
  </w:footnote>
  <w:footnote w:id="12">
    <w:p w:rsidR="0037163C" w:rsidRDefault="00E6136A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Решение (ЕС) 2020/1076 на Европейския парламент и на Съвета от 18 юни 2020 г. за мобилизиране на средства от фонд „Солидарност“ на Европейския съюз с цел предоставяне на помощ </w:t>
      </w:r>
      <w:r>
        <w:t>на Португалия, Испания, Италия и Австрия, по отношение на които окончателните последици бяха включени в коригиращ бюджет № 4/2020, приет на същия ден.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6A" w:rsidRPr="00E6136A" w:rsidRDefault="00E6136A" w:rsidP="00E6136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Header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6A" w:rsidRPr="00E6136A" w:rsidRDefault="00E6136A" w:rsidP="00E6136A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6A" w:rsidRPr="00E6136A" w:rsidRDefault="00E6136A" w:rsidP="00E6136A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3C" w:rsidRDefault="00371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E49F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338AC5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FF73A7"/>
    <w:multiLevelType w:val="hybridMultilevel"/>
    <w:tmpl w:val="1D745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35770"/>
    <w:multiLevelType w:val="hybridMultilevel"/>
    <w:tmpl w:val="365E0218"/>
    <w:lvl w:ilvl="0" w:tplc="8264D7DC">
      <w:start w:val="1"/>
      <w:numFmt w:val="bullet"/>
      <w:pStyle w:val="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E865E">
      <w:numFmt w:val="decimal"/>
      <w:lvlText w:val=""/>
      <w:lvlJc w:val="left"/>
    </w:lvl>
    <w:lvl w:ilvl="2" w:tplc="581813B8">
      <w:numFmt w:val="decimal"/>
      <w:lvlText w:val=""/>
      <w:lvlJc w:val="left"/>
    </w:lvl>
    <w:lvl w:ilvl="3" w:tplc="B7C81A1E">
      <w:numFmt w:val="decimal"/>
      <w:lvlText w:val=""/>
      <w:lvlJc w:val="left"/>
    </w:lvl>
    <w:lvl w:ilvl="4" w:tplc="5030D16A">
      <w:numFmt w:val="decimal"/>
      <w:lvlText w:val=""/>
      <w:lvlJc w:val="left"/>
    </w:lvl>
    <w:lvl w:ilvl="5" w:tplc="7A1E383C">
      <w:numFmt w:val="decimal"/>
      <w:lvlText w:val=""/>
      <w:lvlJc w:val="left"/>
    </w:lvl>
    <w:lvl w:ilvl="6" w:tplc="CE08976E">
      <w:numFmt w:val="decimal"/>
      <w:lvlText w:val=""/>
      <w:lvlJc w:val="left"/>
    </w:lvl>
    <w:lvl w:ilvl="7" w:tplc="D5D01BC0">
      <w:numFmt w:val="decimal"/>
      <w:lvlText w:val=""/>
      <w:lvlJc w:val="left"/>
    </w:lvl>
    <w:lvl w:ilvl="8" w:tplc="05920FDA">
      <w:numFmt w:val="decimal"/>
      <w:lvlText w:val=""/>
      <w:lvlJc w:val="left"/>
    </w:lvl>
  </w:abstractNum>
  <w:abstractNum w:abstractNumId="4" w15:restartNumberingAfterBreak="0">
    <w:nsid w:val="107E5539"/>
    <w:multiLevelType w:val="hybridMultilevel"/>
    <w:tmpl w:val="7AA6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F62"/>
    <w:multiLevelType w:val="hybridMultilevel"/>
    <w:tmpl w:val="F84ADDA2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AC5"/>
    <w:multiLevelType w:val="hybridMultilevel"/>
    <w:tmpl w:val="942260B6"/>
    <w:lvl w:ilvl="0" w:tplc="6450B68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3FA4"/>
    <w:multiLevelType w:val="hybridMultilevel"/>
    <w:tmpl w:val="84B807E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2F54BEC"/>
    <w:multiLevelType w:val="hybridMultilevel"/>
    <w:tmpl w:val="D938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E4906"/>
    <w:multiLevelType w:val="hybridMultilevel"/>
    <w:tmpl w:val="094E6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302D7658"/>
    <w:multiLevelType w:val="hybridMultilevel"/>
    <w:tmpl w:val="BEE25C58"/>
    <w:lvl w:ilvl="0" w:tplc="0CD24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72B5B"/>
    <w:multiLevelType w:val="hybridMultilevel"/>
    <w:tmpl w:val="E782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390F25DB"/>
    <w:multiLevelType w:val="hybridMultilevel"/>
    <w:tmpl w:val="E7265104"/>
    <w:lvl w:ilvl="0" w:tplc="B0DC89EA">
      <w:start w:val="1"/>
      <w:numFmt w:val="bullet"/>
      <w:pStyle w:val="agtab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0EFC82">
      <w:numFmt w:val="decimal"/>
      <w:lvlText w:val=""/>
      <w:lvlJc w:val="left"/>
    </w:lvl>
    <w:lvl w:ilvl="2" w:tplc="98DA8758">
      <w:numFmt w:val="decimal"/>
      <w:lvlText w:val=""/>
      <w:lvlJc w:val="left"/>
    </w:lvl>
    <w:lvl w:ilvl="3" w:tplc="A8DA21E8">
      <w:numFmt w:val="decimal"/>
      <w:lvlText w:val=""/>
      <w:lvlJc w:val="left"/>
    </w:lvl>
    <w:lvl w:ilvl="4" w:tplc="4C5E1946">
      <w:numFmt w:val="decimal"/>
      <w:lvlText w:val=""/>
      <w:lvlJc w:val="left"/>
    </w:lvl>
    <w:lvl w:ilvl="5" w:tplc="DC50A908">
      <w:numFmt w:val="decimal"/>
      <w:lvlText w:val=""/>
      <w:lvlJc w:val="left"/>
    </w:lvl>
    <w:lvl w:ilvl="6" w:tplc="277AF326">
      <w:numFmt w:val="decimal"/>
      <w:lvlText w:val=""/>
      <w:lvlJc w:val="left"/>
    </w:lvl>
    <w:lvl w:ilvl="7" w:tplc="96EC6C5E">
      <w:numFmt w:val="decimal"/>
      <w:lvlText w:val=""/>
      <w:lvlJc w:val="left"/>
    </w:lvl>
    <w:lvl w:ilvl="8" w:tplc="CF347B90">
      <w:numFmt w:val="decimal"/>
      <w:lvlText w:val=""/>
      <w:lvlJc w:val="left"/>
    </w:lvl>
  </w:abstractNum>
  <w:abstractNum w:abstractNumId="1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3B196F20"/>
    <w:multiLevelType w:val="hybridMultilevel"/>
    <w:tmpl w:val="EDA0D93A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A4B95"/>
    <w:multiLevelType w:val="hybridMultilevel"/>
    <w:tmpl w:val="D7C8C63E"/>
    <w:lvl w:ilvl="0" w:tplc="1B5E4E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9" w15:restartNumberingAfterBreak="0">
    <w:nsid w:val="45C725EC"/>
    <w:multiLevelType w:val="hybridMultilevel"/>
    <w:tmpl w:val="259AD680"/>
    <w:lvl w:ilvl="0" w:tplc="08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5BE70879"/>
    <w:multiLevelType w:val="hybridMultilevel"/>
    <w:tmpl w:val="1C344ADE"/>
    <w:lvl w:ilvl="0" w:tplc="76F660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D7001"/>
    <w:multiLevelType w:val="hybridMultilevel"/>
    <w:tmpl w:val="71E60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DE2AF6"/>
    <w:multiLevelType w:val="hybridMultilevel"/>
    <w:tmpl w:val="B23E618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 w15:restartNumberingAfterBreak="0">
    <w:nsid w:val="6D2B5511"/>
    <w:multiLevelType w:val="singleLevel"/>
    <w:tmpl w:val="74A09970"/>
    <w:name w:val="Heading__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70037CE4"/>
    <w:multiLevelType w:val="hybridMultilevel"/>
    <w:tmpl w:val="C6AC5448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A4950"/>
    <w:multiLevelType w:val="hybridMultilevel"/>
    <w:tmpl w:val="71D67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770FE1"/>
    <w:multiLevelType w:val="hybridMultilevel"/>
    <w:tmpl w:val="C2F8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54E49"/>
    <w:multiLevelType w:val="hybridMultilevel"/>
    <w:tmpl w:val="1B00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95D7F"/>
    <w:multiLevelType w:val="multilevel"/>
    <w:tmpl w:val="F126F78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2" w15:restartNumberingAfterBreak="0">
    <w:nsid w:val="7C897016"/>
    <w:multiLevelType w:val="hybridMultilevel"/>
    <w:tmpl w:val="97A06FA8"/>
    <w:lvl w:ilvl="0" w:tplc="1A0C9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966381"/>
    <w:multiLevelType w:val="multilevel"/>
    <w:tmpl w:val="DCC8806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8"/>
  </w:num>
  <w:num w:numId="3">
    <w:abstractNumId w:val="29"/>
  </w:num>
  <w:num w:numId="4">
    <w:abstractNumId w:val="18"/>
  </w:num>
  <w:num w:numId="5">
    <w:abstractNumId w:val="26"/>
  </w:num>
  <w:num w:numId="6">
    <w:abstractNumId w:val="15"/>
  </w:num>
  <w:num w:numId="7">
    <w:abstractNumId w:val="10"/>
  </w:num>
  <w:num w:numId="8">
    <w:abstractNumId w:val="31"/>
  </w:num>
  <w:num w:numId="9">
    <w:abstractNumId w:val="24"/>
  </w:num>
  <w:num w:numId="10">
    <w:abstractNumId w:val="33"/>
  </w:num>
  <w:num w:numId="11">
    <w:abstractNumId w:val="25"/>
  </w:num>
  <w:num w:numId="12">
    <w:abstractNumId w:val="0"/>
  </w:num>
  <w:num w:numId="13">
    <w:abstractNumId w:val="1"/>
  </w:num>
  <w:num w:numId="14">
    <w:abstractNumId w:val="3"/>
  </w:num>
  <w:num w:numId="15">
    <w:abstractNumId w:val="14"/>
  </w:num>
  <w:num w:numId="16">
    <w:abstractNumId w:val="6"/>
  </w:num>
  <w:num w:numId="17">
    <w:abstractNumId w:val="11"/>
  </w:num>
  <w:num w:numId="18">
    <w:abstractNumId w:val="9"/>
  </w:num>
  <w:num w:numId="19">
    <w:abstractNumId w:val="4"/>
  </w:num>
  <w:num w:numId="20">
    <w:abstractNumId w:val="5"/>
  </w:num>
  <w:num w:numId="21">
    <w:abstractNumId w:val="2"/>
  </w:num>
  <w:num w:numId="22">
    <w:abstractNumId w:val="16"/>
  </w:num>
  <w:num w:numId="23">
    <w:abstractNumId w:val="30"/>
  </w:num>
  <w:num w:numId="24">
    <w:abstractNumId w:val="27"/>
  </w:num>
  <w:num w:numId="25">
    <w:abstractNumId w:val="12"/>
  </w:num>
  <w:num w:numId="26">
    <w:abstractNumId w:val="21"/>
  </w:num>
  <w:num w:numId="27">
    <w:abstractNumId w:val="20"/>
  </w:num>
  <w:num w:numId="28">
    <w:abstractNumId w:val="17"/>
  </w:num>
  <w:num w:numId="29">
    <w:abstractNumId w:val="32"/>
  </w:num>
  <w:num w:numId="30">
    <w:abstractNumId w:val="22"/>
    <w:lvlOverride w:ilvl="0">
      <w:startOverride w:val="1"/>
    </w:lvlOverride>
  </w:num>
  <w:num w:numId="31">
    <w:abstractNumId w:val="22"/>
  </w:num>
  <w:num w:numId="32">
    <w:abstractNumId w:val="23"/>
  </w:num>
  <w:num w:numId="33">
    <w:abstractNumId w:val="28"/>
  </w:num>
  <w:num w:numId="34">
    <w:abstractNumId w:val="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30D77CFA-5FEB-47A9-A378-2E0AEFAFFDCE"/>
    <w:docVar w:name="LW_COVERPAGE_TYPE" w:val="1"/>
    <w:docVar w:name="LW_CROSSREFERENCE" w:val="&lt;UNUSED&gt;"/>
    <w:docVar w:name="LW_DocType" w:val="NORMAL"/>
    <w:docVar w:name="LW_EMISSION" w:val="9.10.2020"/>
    <w:docVar w:name="LW_EMISSION_ISODATE" w:val="2020-10-09"/>
    <w:docVar w:name="LW_EMISSION_LOCATION" w:val="BRX"/>
    <w:docVar w:name="LW_EMISSION_PREFIX" w:val="Брюксел, "/>
    <w:docVar w:name="LW_EMISSION_SUFFIX" w:val=" г."/>
    <w:docVar w:name="LW_ID_DOCTYPE_NONLW" w:val="CP-03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BUD"/>
    <w:docVar w:name="LW_REF.II.NEW.CP_NUMBER" w:val="0297"/>
    <w:docVar w:name="LW_REF.II.NEW.CP_YEAR" w:val="2020"/>
    <w:docVar w:name="LW_REF.INST.NEW" w:val="COM"/>
    <w:docVar w:name="LW_REF.INST.NEW_ADOPTED" w:val="final"/>
    <w:docVar w:name="LW_REF.INST.NEW_TEXT" w:val="(2020) 96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Font=Calibri Cyr&gt;\u1087?\u1088?\u1080?\u1076?\u1088?\u1091?\u1078?\u1072?\u1074?\u1072?\u1097? \u1087?\u1088?\u1077?\u1076?\u1083?\u1086?\u1078?\u1077?\u1085?\u1080?\u1077?\u1090?\u1086? \u1079?\u1072? \u1084?\u1086?\u1073?\u1080?\u1083?\u1080?\u1079?\u1080?\u1088?\u1072?\u1085?\u1077? \u1085?\u1072? \u1089?\u1088?\u1077?\u1076?\u1089?\u1090?\u1074?\u1072? \u1086?\u1090? \u1092?\u1086?\u1085?\u1076? \u8222?\u1057?\u1086?\u1083?\u1080?\u1076?\u1072?\u1088?\u1085?\u1086?\u1089?\u1090?\u8220? \u1085?\u1072? \u1045?\u1074?\u1088?\u1086?\u1087?\u1077?\u1081?\u1089?\u1082?\u1080?\u1103? \u1089?\u1098?\u1102?\u1079? \u1079?\u1072? \u1086?\u1082?\u1072?\u1079?\u1074?\u1072?\u1085?\u1077? \u1085?\u1072? \u1087?\u1086?\u1084?\u1086?\u1097? \u1085?\u1072? \u1055?\u1086?\u1083?\u1096?\u1072? \u1080? \u1061?\u1098?\u1088?\u1074?\u1072?\u1090?\u1080?\u1103? \u1080? \u1079?\u1072? \u1080?\u1079?\u1074?\u1098?\u1088?\u1096?\u1074?\u1072?\u1085?\u1077? \u1085?\u1072? \u1072?\u1074?\u1072?\u1085?\u1089?\u1086?\u1074?\u1080? \u1087?\u1083?\u1072?\u1097?\u1072?\u1085?\u1080?\u1103? \u1079?\u1072? \u1061?\u1098?\u1088?\u1074?\u1072?\u1090?\u1080?\u1103?, \u1043?\u1077?\u1088?\u1084?\u1072?\u1085?\u1080?\u1103?, \u1043?\u1098?\u1088?\u1094?\u1080?\u1103?,&lt;/FMT&gt;&lt;FMT:Font=Calibri&gt; &lt;/FMT&gt;&lt;FMT:Font=Calibri Cyr&gt;\u1059?\u1085?\u1075?\u1072?\u1088?\u1080?\u1103?, \u1048?\u1088?\u1083?\u1072?\u1085?\u1076?\u1080?\u1103?, \u1055?\u1086?\u1088?\u1090?\u1091?\u1075?\u1072?\u1083?\u1080?\u1103? \u1080? \u1048?\u1089?\u1087?\u1072?\u1085?\u1080?\u1103?&lt;/FMT&gt;&lt;FMT:Font=Calibri&gt; &lt;/FMT&gt;&lt;FMT:Font=Calibri Cyr&gt;\u1074?\u1098?\u1074? \u1074?\u1088?\u1098?\u1079?\u1082?\u1072? \u1089? \u1082?\u1088?\u1080?\u1079?\u1080?\u1089?\u1085?\u1080? \u1089?\u1080?\u1090?\u1091?\u1072?\u1094?\u1080?\u1080? \u1087?\u1086? \u1086?\u1090?\u1085?\u1086?\u1096?\u1077?\u1085?\u1080?\u1077? \u1085?\u1072? \u1086?\u1073?\u1097?\u1077?\u1089?\u1090?\u1074?\u1077?\u1085?\u1086?\u1090?\u1086? \u1079?\u1076?\u1088?\u1072?\u1074?\u1077?&lt;/FMT&gt;_x000d_"/>
    <w:docVar w:name="LW_TYPE.DOC.CP" w:val="\u1055?\u1056?\u1054?\u1045?\u1050?\u1058? \u1053?\u1040? \u1050?\u1054?\u1056?\u1048?\u1043?\u1048?\u1056?\u1040?\u1065? \u1041?\u1070?\u1044?\u1046?\u1045?\u1058? \u8470? 9 _x000b_\u1050?\u1066?\u1052? \u1054?\u1041?\u1065?\u1048?\u1071? \u1041?\u1070?\u1044?\u1046?\u1045?\u1058? \u1047?\u1040? 2020 \u1075?._x000b__x000b__x000b_"/>
  </w:docVars>
  <w:rsids>
    <w:rsidRoot w:val="0037163C"/>
    <w:rsid w:val="0037163C"/>
    <w:rsid w:val="00E6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9197224B-7C39-43F2-B2AD-C863DE21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pPr>
      <w:keepNext/>
      <w:spacing w:before="24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aliases w:val="Char, Char,Abschnitt"/>
    <w:basedOn w:val="Normal"/>
    <w:next w:val="Normal"/>
    <w:link w:val="Heading2Char"/>
    <w:autoRedefine/>
    <w:qFormat/>
    <w:pPr>
      <w:keepNext/>
      <w:spacing w:before="240" w:after="120" w:line="240" w:lineRule="auto"/>
      <w:ind w:left="720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aliases w:val="Heading 3 Auto"/>
    <w:basedOn w:val="Normal"/>
    <w:next w:val="Normal"/>
    <w:link w:val="Heading3Char"/>
    <w:autoRedefine/>
    <w:qFormat/>
    <w:pPr>
      <w:keepNext/>
      <w:numPr>
        <w:ilvl w:val="2"/>
      </w:num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</w:numPr>
      <w:tabs>
        <w:tab w:val="num" w:pos="1030"/>
      </w:tabs>
      <w:spacing w:before="120" w:after="120" w:line="240" w:lineRule="auto"/>
      <w:ind w:left="1030" w:hanging="85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 w:line="240" w:lineRule="auto"/>
      <w:jc w:val="both"/>
      <w:outlineLvl w:val="4"/>
    </w:pPr>
    <w:rPr>
      <w:rFonts w:ascii="Arial" w:eastAsiaTheme="majorEastAsia" w:hAnsi="Arial" w:cs="Arial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 w:line="240" w:lineRule="auto"/>
      <w:jc w:val="both"/>
      <w:outlineLvl w:val="5"/>
    </w:pPr>
    <w:rPr>
      <w:rFonts w:ascii="Arial" w:eastAsiaTheme="majorEastAsia" w:hAnsi="Arial" w:cs="Arial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 w:line="240" w:lineRule="auto"/>
      <w:jc w:val="both"/>
      <w:outlineLvl w:val="6"/>
    </w:pPr>
    <w:rPr>
      <w:rFonts w:ascii="Arial" w:eastAsiaTheme="majorEastAsia" w:hAnsi="Arial" w:cs="Arial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 w:line="240" w:lineRule="auto"/>
      <w:jc w:val="both"/>
      <w:outlineLvl w:val="7"/>
    </w:pPr>
    <w:rPr>
      <w:rFonts w:ascii="Arial" w:eastAsiaTheme="majorEastAsia" w:hAnsi="Arial" w:cs="Arial"/>
      <w:i/>
      <w:iCs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 w:line="240" w:lineRule="auto"/>
      <w:jc w:val="both"/>
      <w:outlineLvl w:val="8"/>
    </w:pPr>
    <w:rPr>
      <w:rFonts w:ascii="Arial" w:eastAsiaTheme="majorEastAsia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uiPriority w:val="99"/>
    <w:rPr>
      <w:vertAlign w:val="superscript"/>
    </w:rPr>
  </w:style>
  <w:style w:type="paragraph" w:customStyle="1" w:styleId="Tiret0">
    <w:name w:val="Tiret 0"/>
    <w:basedOn w:val="Normal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  <w:lang w:eastAsia="de-DE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aliases w:val="Char Char, Char Char,Abschnitt Char"/>
    <w:basedOn w:val="DefaultParagraphFont"/>
    <w:link w:val="Heading2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aliases w:val="Heading 3 Auto Char"/>
    <w:basedOn w:val="DefaultParagraphFont"/>
    <w:link w:val="Heading3"/>
    <w:rPr>
      <w:rFonts w:ascii="Arial" w:eastAsia="Times New Roman" w:hAnsi="Arial" w:cs="Arial"/>
      <w:b/>
      <w:bCs/>
      <w:i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4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Theme="majorEastAsia" w:hAnsi="Arial" w:cs="Aria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Theme="majorEastAsia" w:hAnsi="Arial" w:cs="Arial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Theme="majorEastAsia" w:hAnsi="Arial" w:cs="Arial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Theme="majorEastAsia" w:hAnsi="Arial" w:cs="Arial"/>
      <w:i/>
      <w:iCs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Theme="majorEastAsia" w:hAnsi="Arial" w:cs="Arial"/>
      <w:i/>
      <w:iCs/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ListDash">
    <w:name w:val="List Dash"/>
    <w:basedOn w:val="Normal"/>
    <w:link w:val="ListDashChar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OCHeading">
    <w:name w:val="TOC Heading"/>
    <w:basedOn w:val="Normal"/>
    <w:next w:val="Normal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de-DE"/>
    </w:rPr>
  </w:style>
  <w:style w:type="paragraph" w:customStyle="1" w:styleId="Prliminairetitre">
    <w:name w:val="Préliminaire titre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TOC2">
    <w:name w:val="toc 2"/>
    <w:basedOn w:val="Normal"/>
    <w:next w:val="Normal"/>
    <w:autoRedefine/>
    <w:uiPriority w:val="39"/>
    <w:qFormat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en-GB"/>
    </w:rPr>
  </w:style>
  <w:style w:type="paragraph" w:styleId="TOC3">
    <w:name w:val="toc 3"/>
    <w:basedOn w:val="Normal"/>
    <w:next w:val="Normal"/>
    <w:autoRedefine/>
    <w:qFormat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styleId="TOC4">
    <w:name w:val="toc 4"/>
    <w:basedOn w:val="Normal"/>
    <w:next w:val="Normal"/>
    <w:autoRedefine/>
    <w:semiHidden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ListBullet">
    <w:name w:val="List Bullet"/>
    <w:basedOn w:val="Normal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Bullet1">
    <w:name w:val="List Bullet 1"/>
    <w:basedOn w:val="Text1"/>
    <w:pPr>
      <w:numPr>
        <w:numId w:val="6"/>
      </w:numPr>
      <w:spacing w:before="0" w:after="240"/>
    </w:pPr>
    <w:rPr>
      <w:szCs w:val="20"/>
      <w:lang w:eastAsia="en-US"/>
    </w:rPr>
  </w:style>
  <w:style w:type="paragraph" w:styleId="ListBullet2">
    <w:name w:val="List Bullet 2"/>
    <w:basedOn w:val="Normal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qFormat/>
    <w:rPr>
      <w:i/>
      <w:iCs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styleId="ListNumber">
    <w:name w:val="List Number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DashChar">
    <w:name w:val="List Dash Char"/>
    <w:link w:val="ListDash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paragraph" w:customStyle="1" w:styleId="NormalCentered">
    <w:name w:val="Normal Centered"/>
    <w:basedOn w:val="Normal"/>
    <w:uiPriority w:val="9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rmalRight">
    <w:name w:val="Normal Right"/>
    <w:basedOn w:val="Normal"/>
    <w:uiPriority w:val="99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rmalLeft">
    <w:name w:val="Normal Left"/>
    <w:basedOn w:val="Normal"/>
    <w:uiPriority w:val="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0number">
    <w:name w:val="Point 0 (number)"/>
    <w:basedOn w:val="Normal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2">
    <w:name w:val="NumPar 2"/>
    <w:basedOn w:val="Normal"/>
    <w:next w:val="Normal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3">
    <w:name w:val="NumPar 3"/>
    <w:basedOn w:val="Normal"/>
    <w:next w:val="Normal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4">
    <w:name w:val="NumPar 4"/>
    <w:basedOn w:val="Normal"/>
    <w:next w:val="Normal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noter">
    <w:name w:val="Footnote r"/>
    <w:basedOn w:val="Normal"/>
    <w:pPr>
      <w:shd w:val="clear" w:color="auto" w:fill="F2F8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ps">
    <w:name w:val="hps"/>
  </w:style>
  <w:style w:type="paragraph" w:customStyle="1" w:styleId="Tiret2">
    <w:name w:val="Tiret 2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5">
    <w:name w:val="List Number 5"/>
    <w:basedOn w:val="Normal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Bullet3">
    <w:name w:val="List Bullet 3"/>
    <w:basedOn w:val="Normal"/>
    <w:uiPriority w:val="99"/>
    <w:unhideWhenUsed/>
    <w:pPr>
      <w:numPr>
        <w:numId w:val="13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customStyle="1" w:styleId="SubtleReference1">
    <w:name w:val="Subtle Reference1"/>
    <w:rPr>
      <w:smallCaps/>
      <w:color w:val="C0504D"/>
      <w:u w:val="single"/>
    </w:rPr>
  </w:style>
  <w:style w:type="character" w:customStyle="1" w:styleId="IntenseReference1">
    <w:name w:val="Intense Reference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pPr>
      <w:keepNext w:val="0"/>
      <w:keepLines/>
      <w:spacing w:before="480" w:after="0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SubtleEmphasis2">
    <w:name w:val="Subtle Emphasis2"/>
    <w:rPr>
      <w:i/>
      <w:iCs/>
      <w:color w:val="808080"/>
    </w:rPr>
  </w:style>
  <w:style w:type="character" w:customStyle="1" w:styleId="IntenseEmphasis2">
    <w:name w:val="Intense Emphasis2"/>
    <w:rPr>
      <w:b/>
      <w:bCs/>
      <w:i/>
      <w:iCs/>
      <w:color w:val="4F81BD"/>
    </w:rPr>
  </w:style>
  <w:style w:type="character" w:customStyle="1" w:styleId="SubtleReference2">
    <w:name w:val="Subtle Reference2"/>
    <w:rPr>
      <w:smallCaps/>
      <w:color w:val="C0504D"/>
      <w:u w:val="single"/>
    </w:rPr>
  </w:style>
  <w:style w:type="character" w:customStyle="1" w:styleId="IntenseReference2">
    <w:name w:val="Intense Reference2"/>
    <w:rPr>
      <w:b/>
      <w:bCs/>
      <w:smallCaps/>
      <w:color w:val="C0504D"/>
      <w:spacing w:val="5"/>
      <w:u w:val="single"/>
    </w:rPr>
  </w:style>
  <w:style w:type="character" w:customStyle="1" w:styleId="BookTitle2">
    <w:name w:val="Book Title2"/>
    <w:rPr>
      <w:b/>
      <w:bCs/>
      <w:smallCaps/>
      <w:spacing w:val="5"/>
    </w:rPr>
  </w:style>
  <w:style w:type="paragraph" w:customStyle="1" w:styleId="TOCHeading2">
    <w:name w:val="TOC Heading2"/>
    <w:basedOn w:val="Heading1"/>
    <w:next w:val="Normal"/>
    <w:uiPriority w:val="39"/>
    <w:pPr>
      <w:keepNext w:val="0"/>
      <w:keepLines/>
      <w:spacing w:before="480" w:after="0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Caption">
    <w:name w:val="caption"/>
    <w:basedOn w:val="Normal"/>
    <w:next w:val="Normal"/>
    <w:semiHidden/>
    <w:unhideWhenUsed/>
    <w:qFormat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</w:rPr>
  </w:style>
  <w:style w:type="paragraph" w:styleId="Title">
    <w:name w:val="Title"/>
    <w:basedOn w:val="Normal"/>
    <w:link w:val="TitleChar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gbullets">
    <w:name w:val="ag_bullets"/>
    <w:basedOn w:val="Normal"/>
    <w:qFormat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gtabbullets">
    <w:name w:val="ag_tab_bullets"/>
    <w:basedOn w:val="Normal"/>
    <w:qFormat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gfootnote">
    <w:name w:val="ag_footnote"/>
    <w:basedOn w:val="Normal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SecurityMarking">
    <w:name w:val="SecurityMarking"/>
    <w:basedOn w:val="Normal"/>
    <w:pPr>
      <w:spacing w:after="0" w:line="276" w:lineRule="auto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budget/www/index-bg.htm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2B5F-FD22-48B2-8F43-05BC1978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1471</Words>
  <Characters>7093</Characters>
  <Application>Microsoft Office Word</Application>
  <DocSecurity>0</DocSecurity>
  <Lines>545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KITRIMI Efstathia (SG)</cp:lastModifiedBy>
  <cp:revision>22</cp:revision>
  <dcterms:created xsi:type="dcterms:W3CDTF">2020-10-06T07:44:00Z</dcterms:created>
  <dcterms:modified xsi:type="dcterms:W3CDTF">2020-10-19T10:41:00Z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CP-035</vt:lpwstr>
  </property>
  <property fmtid="{D5CDD505-2E9C-101B-9397-08002B2CF9AE}" pid="7" name="Last edited using">
    <vt:lpwstr>LW 7.0.1, Build 20190916</vt:lpwstr>
  </property>
  <property fmtid="{D5CDD505-2E9C-101B-9397-08002B2CF9AE}" pid="8" name="Created using">
    <vt:lpwstr>LW 7.0, Build 20190717</vt:lpwstr>
  </property>
</Properties>
</file>