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6BF" w:rsidRDefault="004C7CDC" w:rsidP="004C7CD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alt="8D5F4B5D-0EB3-440B-A237-68B427EB3041" style="width:450.5pt;height:442pt">
            <v:imagedata r:id="rId8" o:title=""/>
          </v:shape>
        </w:pict>
      </w:r>
    </w:p>
    <w:bookmarkEnd w:id="0"/>
    <w:p w:rsidR="00D136BF" w:rsidRDefault="00D136BF">
      <w:pPr>
        <w:rPr>
          <w:noProof/>
        </w:rPr>
        <w:sectPr w:rsidR="00D136BF" w:rsidSect="004C7CD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D136BF" w:rsidRDefault="004C7CDC">
      <w:pPr>
        <w:spacing w:after="0" w:line="240" w:lineRule="auto"/>
        <w:rPr>
          <w:rFonts w:ascii="Times New Roman" w:eastAsia="Times New Roman" w:hAnsi="Times New Roman" w:cs="Times New Roman"/>
          <w:noProof/>
          <w:sz w:val="24"/>
          <w:szCs w:val="24"/>
          <w:lang w:eastAsia="en-GB"/>
        </w:rPr>
      </w:pPr>
      <w:bookmarkStart w:id="1" w:name="_GoBack"/>
      <w:bookmarkEnd w:id="1"/>
      <w:r>
        <w:rPr>
          <w:rFonts w:ascii="Times New Roman" w:eastAsia="Times New Roman" w:hAnsi="Times New Roman" w:cs="Times New Roman"/>
          <w:noProof/>
          <w:sz w:val="24"/>
          <w:szCs w:val="24"/>
          <w:lang w:eastAsia="en-GB"/>
        </w:rPr>
        <w:lastRenderedPageBreak/>
        <w:t>Having regard to:</w:t>
      </w:r>
    </w:p>
    <w:p w:rsidR="00D136BF" w:rsidRDefault="004C7CDC">
      <w:pPr>
        <w:pStyle w:val="Tiret0"/>
        <w:rPr>
          <w:noProof/>
        </w:rPr>
      </w:pPr>
      <w:r>
        <w:rPr>
          <w:noProof/>
        </w:rPr>
        <w:t xml:space="preserve">the Treaty on the Functioning of the European Union, and in particular Article 314 thereof, in conjunction with the Treaty </w:t>
      </w:r>
      <w:r>
        <w:rPr>
          <w:noProof/>
        </w:rPr>
        <w:t>establishing the European Atomic Energy Community, and in particular Article 106a thereof,</w:t>
      </w:r>
    </w:p>
    <w:p w:rsidR="00D136BF" w:rsidRDefault="004C7CDC">
      <w:pPr>
        <w:pStyle w:val="Tiret0"/>
        <w:tabs>
          <w:tab w:val="clear" w:pos="850"/>
          <w:tab w:val="num" w:pos="927"/>
        </w:tabs>
        <w:rPr>
          <w:rFonts w:cs="Arial"/>
          <w:noProof/>
          <w:szCs w:val="18"/>
        </w:rPr>
      </w:pPr>
      <w:r>
        <w:rPr>
          <w:noProof/>
        </w:rPr>
        <w:t>Regulation (EU, Euratom) 2018/1046 of the European Parliament and of the Council of 18 July 2018 on the financial rules applicable to the general budget of the Union</w:t>
      </w:r>
      <w:r>
        <w:rPr>
          <w:noProof/>
        </w:rPr>
        <w:t xml:space="preserve"> (…)</w:t>
      </w:r>
      <w:r>
        <w:rPr>
          <w:rStyle w:val="FootnoteReference"/>
          <w:noProof/>
        </w:rPr>
        <w:footnoteReference w:id="2"/>
      </w:r>
      <w:r>
        <w:rPr>
          <w:noProof/>
        </w:rPr>
        <w:t>, and in particular Article 44 thereof,</w:t>
      </w:r>
    </w:p>
    <w:p w:rsidR="00D136BF" w:rsidRDefault="004C7CDC">
      <w:pPr>
        <w:pStyle w:val="Tiret0"/>
        <w:tabs>
          <w:tab w:val="clear" w:pos="850"/>
          <w:tab w:val="num" w:pos="927"/>
        </w:tabs>
        <w:rPr>
          <w:noProof/>
        </w:rPr>
      </w:pPr>
      <w:r>
        <w:rPr>
          <w:noProof/>
        </w:rPr>
        <w:t>the general budget of the European Union for the financial year 2020, as adopted on 27 November 2019</w:t>
      </w:r>
      <w:r>
        <w:rPr>
          <w:rStyle w:val="FootnoteReference"/>
          <w:noProof/>
        </w:rPr>
        <w:footnoteReference w:id="3"/>
      </w:r>
      <w:r>
        <w:rPr>
          <w:noProof/>
        </w:rPr>
        <w:t>,</w:t>
      </w:r>
    </w:p>
    <w:p w:rsidR="00D136BF" w:rsidRDefault="004C7CDC">
      <w:pPr>
        <w:pStyle w:val="Tiret0"/>
        <w:rPr>
          <w:noProof/>
        </w:rPr>
      </w:pPr>
      <w:r>
        <w:rPr>
          <w:noProof/>
        </w:rPr>
        <w:t>amending budget No 1/2020</w:t>
      </w:r>
      <w:r>
        <w:rPr>
          <w:rStyle w:val="FootnoteReference"/>
          <w:noProof/>
        </w:rPr>
        <w:footnoteReference w:id="4"/>
      </w:r>
      <w:r>
        <w:rPr>
          <w:noProof/>
        </w:rPr>
        <w:t>, adopted on 17 April 2020,</w:t>
      </w:r>
    </w:p>
    <w:p w:rsidR="00D136BF" w:rsidRDefault="004C7CDC">
      <w:pPr>
        <w:pStyle w:val="Tiret0"/>
        <w:rPr>
          <w:noProof/>
        </w:rPr>
      </w:pPr>
      <w:r>
        <w:rPr>
          <w:noProof/>
        </w:rPr>
        <w:t>amending budget No 2/2020</w:t>
      </w:r>
      <w:r>
        <w:rPr>
          <w:rStyle w:val="FootnoteReference"/>
          <w:noProof/>
        </w:rPr>
        <w:footnoteReference w:id="5"/>
      </w:r>
      <w:r>
        <w:rPr>
          <w:noProof/>
        </w:rPr>
        <w:t>, adopted on 17 April 2020,</w:t>
      </w:r>
    </w:p>
    <w:p w:rsidR="00D136BF" w:rsidRDefault="004C7CDC">
      <w:pPr>
        <w:pStyle w:val="Tiret0"/>
        <w:rPr>
          <w:noProof/>
        </w:rPr>
      </w:pPr>
      <w:r>
        <w:rPr>
          <w:noProof/>
        </w:rPr>
        <w:t>amending budget No 3/2020</w:t>
      </w:r>
      <w:r>
        <w:rPr>
          <w:rStyle w:val="FootnoteReference"/>
          <w:noProof/>
        </w:rPr>
        <w:footnoteReference w:id="6"/>
      </w:r>
      <w:r>
        <w:rPr>
          <w:noProof/>
        </w:rPr>
        <w:t>, adopted on 17 June 2020,</w:t>
      </w:r>
    </w:p>
    <w:p w:rsidR="00D136BF" w:rsidRDefault="004C7CDC">
      <w:pPr>
        <w:pStyle w:val="Tiret0"/>
        <w:rPr>
          <w:noProof/>
        </w:rPr>
      </w:pPr>
      <w:r>
        <w:rPr>
          <w:noProof/>
        </w:rPr>
        <w:t>amending budget No 4/2020</w:t>
      </w:r>
      <w:r>
        <w:rPr>
          <w:rStyle w:val="FootnoteReference"/>
          <w:noProof/>
        </w:rPr>
        <w:footnoteReference w:id="7"/>
      </w:r>
      <w:r>
        <w:rPr>
          <w:noProof/>
        </w:rPr>
        <w:t>, adopted on 17 June 2020,</w:t>
      </w:r>
    </w:p>
    <w:p w:rsidR="00D136BF" w:rsidRDefault="004C7CDC">
      <w:pPr>
        <w:pStyle w:val="Tiret0"/>
        <w:rPr>
          <w:noProof/>
        </w:rPr>
      </w:pPr>
      <w:r>
        <w:rPr>
          <w:noProof/>
        </w:rPr>
        <w:t>amending budget No 5/2020</w:t>
      </w:r>
      <w:r>
        <w:rPr>
          <w:rStyle w:val="FootnoteReference"/>
          <w:noProof/>
        </w:rPr>
        <w:footnoteReference w:id="8"/>
      </w:r>
      <w:r>
        <w:rPr>
          <w:noProof/>
        </w:rPr>
        <w:t>, adopted on 10 July 2020,</w:t>
      </w:r>
    </w:p>
    <w:p w:rsidR="00D136BF" w:rsidRDefault="004C7CDC">
      <w:pPr>
        <w:pStyle w:val="Tiret0"/>
        <w:rPr>
          <w:noProof/>
        </w:rPr>
      </w:pPr>
      <w:r>
        <w:rPr>
          <w:noProof/>
        </w:rPr>
        <w:t>amending budget No 6/2020</w:t>
      </w:r>
      <w:r>
        <w:rPr>
          <w:rStyle w:val="FootnoteReference"/>
          <w:noProof/>
        </w:rPr>
        <w:footnoteReference w:id="9"/>
      </w:r>
      <w:r>
        <w:rPr>
          <w:noProof/>
        </w:rPr>
        <w:t>, adopted on 17 September 2020,</w:t>
      </w:r>
    </w:p>
    <w:p w:rsidR="00D136BF" w:rsidRDefault="004C7CDC">
      <w:pPr>
        <w:pStyle w:val="Tiret0"/>
        <w:rPr>
          <w:noProof/>
        </w:rPr>
      </w:pPr>
      <w:r>
        <w:rPr>
          <w:noProof/>
        </w:rPr>
        <w:t>amending budget No 7/2020</w:t>
      </w:r>
      <w:r>
        <w:rPr>
          <w:rStyle w:val="FootnoteReference"/>
          <w:noProof/>
        </w:rPr>
        <w:footnoteReference w:id="10"/>
      </w:r>
      <w:r>
        <w:rPr>
          <w:noProof/>
        </w:rPr>
        <w:t xml:space="preserve">, adopted on </w:t>
      </w:r>
      <w:r>
        <w:rPr>
          <w:noProof/>
        </w:rPr>
        <w:t>5 October 2020,</w:t>
      </w:r>
    </w:p>
    <w:p w:rsidR="00D136BF" w:rsidRDefault="004C7CDC">
      <w:pPr>
        <w:pStyle w:val="Tiret0"/>
        <w:rPr>
          <w:noProof/>
        </w:rPr>
      </w:pPr>
      <w:r>
        <w:rPr>
          <w:noProof/>
        </w:rPr>
        <w:t>draft amending budget No 9/2020</w:t>
      </w:r>
      <w:r>
        <w:rPr>
          <w:rStyle w:val="FootnoteReference"/>
          <w:noProof/>
        </w:rPr>
        <w:footnoteReference w:id="11"/>
      </w:r>
      <w:r>
        <w:rPr>
          <w:noProof/>
        </w:rPr>
        <w:t>, adopted on 9 October 2020,</w:t>
      </w:r>
    </w:p>
    <w:p w:rsidR="00D136BF" w:rsidRDefault="004C7CDC">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European Commission hereby presents to the European Parliament and to the Council Draft Amending Budget No°10/2020 to the 2020 budget.</w:t>
      </w:r>
    </w:p>
    <w:p w:rsidR="00D136BF" w:rsidRDefault="00D136BF">
      <w:pPr>
        <w:spacing w:after="0" w:line="240" w:lineRule="auto"/>
        <w:rPr>
          <w:rFonts w:ascii="Times New Roman" w:eastAsia="Times New Roman" w:hAnsi="Times New Roman" w:cs="Times New Roman"/>
          <w:b/>
          <w:noProof/>
          <w:sz w:val="24"/>
          <w:szCs w:val="24"/>
          <w:u w:val="single"/>
          <w:lang w:eastAsia="en-GB"/>
        </w:rPr>
      </w:pPr>
    </w:p>
    <w:p w:rsidR="00D136BF" w:rsidRDefault="004C7CDC">
      <w:pPr>
        <w:spacing w:after="0" w:line="240" w:lineRule="auto"/>
        <w:jc w:val="both"/>
        <w:rPr>
          <w:rFonts w:ascii="Times New Roman" w:eastAsia="Times New Roman" w:hAnsi="Times New Roman" w:cs="Times New Roman"/>
          <w:b/>
          <w:noProof/>
          <w:sz w:val="24"/>
          <w:szCs w:val="24"/>
          <w:u w:val="single"/>
          <w:lang w:eastAsia="ko-KR"/>
        </w:rPr>
      </w:pPr>
      <w:r>
        <w:rPr>
          <w:rFonts w:ascii="Times New Roman" w:eastAsia="Times New Roman" w:hAnsi="Times New Roman" w:cs="Times New Roman"/>
          <w:b/>
          <w:noProof/>
          <w:sz w:val="24"/>
          <w:szCs w:val="24"/>
          <w:u w:val="single"/>
          <w:lang w:eastAsia="ko-KR"/>
        </w:rPr>
        <w:t>CHANGES TO THE STATEMENT OF REVENUE AND</w:t>
      </w:r>
      <w:r>
        <w:rPr>
          <w:rFonts w:ascii="Times New Roman" w:eastAsia="Times New Roman" w:hAnsi="Times New Roman" w:cs="Times New Roman"/>
          <w:b/>
          <w:noProof/>
          <w:sz w:val="24"/>
          <w:szCs w:val="24"/>
          <w:u w:val="single"/>
          <w:lang w:eastAsia="ko-KR"/>
        </w:rPr>
        <w:t xml:space="preserve"> EXPENDITURE BY SECTION</w:t>
      </w:r>
    </w:p>
    <w:p w:rsidR="00D136BF" w:rsidRDefault="00D136BF">
      <w:pPr>
        <w:spacing w:after="0" w:line="240" w:lineRule="auto"/>
        <w:rPr>
          <w:rFonts w:ascii="Times New Roman" w:eastAsia="Times New Roman" w:hAnsi="Times New Roman" w:cs="Times New Roman"/>
          <w:b/>
          <w:noProof/>
          <w:sz w:val="24"/>
          <w:szCs w:val="24"/>
          <w:u w:val="single"/>
          <w:lang w:eastAsia="ko-KR"/>
        </w:rPr>
      </w:pPr>
    </w:p>
    <w:p w:rsidR="00D136BF" w:rsidRDefault="004C7CDC">
      <w:pPr>
        <w:spacing w:after="0" w:line="240" w:lineRule="auto"/>
        <w:jc w:val="both"/>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en-GB"/>
        </w:rPr>
        <w:t>The changes to the general statement of revenue and in section III are available on EUR-Lex (</w:t>
      </w:r>
      <w:hyperlink r:id="rId15" w:history="1">
        <w:r>
          <w:rPr>
            <w:rFonts w:ascii="Times New Roman" w:eastAsia="Times New Roman" w:hAnsi="Times New Roman" w:cs="Times New Roman"/>
            <w:noProof/>
            <w:sz w:val="24"/>
            <w:szCs w:val="24"/>
            <w:u w:val="single"/>
            <w:lang w:eastAsia="en-GB"/>
          </w:rPr>
          <w:t>https://eur-lex.europa.eu/budget/www/index-en.htm</w:t>
        </w:r>
      </w:hyperlink>
      <w:r>
        <w:rPr>
          <w:rFonts w:ascii="Times New Roman" w:eastAsia="Times New Roman" w:hAnsi="Times New Roman" w:cs="Times New Roman"/>
          <w:noProof/>
          <w:sz w:val="24"/>
          <w:szCs w:val="24"/>
          <w:lang w:eastAsia="en-GB"/>
        </w:rPr>
        <w:t>).</w:t>
      </w:r>
    </w:p>
    <w:p w:rsidR="00D136BF" w:rsidRDefault="00D136BF">
      <w:pPr>
        <w:spacing w:after="0" w:line="240" w:lineRule="auto"/>
        <w:rPr>
          <w:rFonts w:ascii="Times New Roman" w:eastAsia="Times New Roman" w:hAnsi="Times New Roman" w:cs="Times New Roman"/>
          <w:noProof/>
          <w:sz w:val="24"/>
          <w:szCs w:val="24"/>
          <w:lang w:eastAsia="en-GB"/>
        </w:rPr>
        <w:sectPr w:rsidR="00D136BF">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rsidR="00D136BF" w:rsidRDefault="004C7CDC">
      <w:pPr>
        <w:pStyle w:val="TOCHeading"/>
        <w:rPr>
          <w:noProof/>
        </w:rPr>
      </w:pPr>
      <w:r>
        <w:rPr>
          <w:noProof/>
        </w:rPr>
        <w:t>TABLE OF CONTENTS</w:t>
      </w:r>
    </w:p>
    <w:sdt>
      <w:sdtPr>
        <w:rPr>
          <w:b w:val="0"/>
          <w:bCs w:val="0"/>
          <w:caps w:val="0"/>
          <w:smallCaps/>
          <w:noProof/>
          <w:sz w:val="24"/>
          <w:szCs w:val="24"/>
          <w:lang w:eastAsia="de-DE"/>
        </w:rPr>
        <w:id w:val="2029912794"/>
        <w:docPartObj>
          <w:docPartGallery w:val="Table of Contents"/>
          <w:docPartUnique/>
        </w:docPartObj>
      </w:sdtPr>
      <w:sdtEndPr>
        <w:rPr>
          <w:b/>
        </w:rPr>
      </w:sdtEndPr>
      <w:sdtContent>
        <w:p w:rsidR="00D136BF" w:rsidRDefault="004C7CDC">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r>
            <w:rPr>
              <w:noProof/>
            </w:rPr>
            <w:fldChar w:fldCharType="begin"/>
          </w:r>
          <w:r>
            <w:rPr>
              <w:noProof/>
            </w:rPr>
            <w:instrText xml:space="preserve"> TOC \o "1-3" \h \z \u </w:instrText>
          </w:r>
          <w:r>
            <w:rPr>
              <w:noProof/>
            </w:rPr>
            <w:fldChar w:fldCharType="separate"/>
          </w:r>
          <w:hyperlink w:anchor="_Toc52372345" w:history="1">
            <w:r>
              <w:rPr>
                <w:rStyle w:val="Hyperlink"/>
                <w:smallCaps/>
                <w:noProof/>
                <w:lang w:eastAsia="de-DE"/>
              </w:rPr>
              <w:t>1.</w:t>
            </w:r>
            <w:r>
              <w:rPr>
                <w:rFonts w:asciiTheme="minorHAnsi" w:eastAsiaTheme="minorEastAsia" w:hAnsiTheme="minorHAnsi" w:cstheme="minorBidi"/>
                <w:b w:val="0"/>
                <w:bCs w:val="0"/>
                <w:caps w:val="0"/>
                <w:noProof/>
                <w:sz w:val="22"/>
                <w:szCs w:val="22"/>
                <w:lang w:val="en-US" w:eastAsia="en-US"/>
              </w:rPr>
              <w:tab/>
            </w:r>
            <w:r>
              <w:rPr>
                <w:rStyle w:val="Hyperlink"/>
                <w:smallCaps/>
                <w:noProof/>
                <w:lang w:eastAsia="de-DE"/>
              </w:rPr>
              <w:t>Introduction</w:t>
            </w:r>
            <w:r>
              <w:rPr>
                <w:noProof/>
                <w:webHidden/>
              </w:rPr>
              <w:tab/>
            </w:r>
            <w:r>
              <w:rPr>
                <w:noProof/>
                <w:webHidden/>
              </w:rPr>
              <w:fldChar w:fldCharType="begin"/>
            </w:r>
            <w:r>
              <w:rPr>
                <w:noProof/>
                <w:webHidden/>
              </w:rPr>
              <w:instrText xml:space="preserve"> PAGEREF _Toc52372345 \h </w:instrText>
            </w:r>
            <w:r>
              <w:rPr>
                <w:noProof/>
                <w:webHidden/>
              </w:rPr>
            </w:r>
            <w:r>
              <w:rPr>
                <w:noProof/>
                <w:webHidden/>
              </w:rPr>
              <w:fldChar w:fldCharType="separate"/>
            </w:r>
            <w:r>
              <w:rPr>
                <w:noProof/>
                <w:webHidden/>
              </w:rPr>
              <w:t>3</w:t>
            </w:r>
            <w:r>
              <w:rPr>
                <w:noProof/>
                <w:webHidden/>
              </w:rPr>
              <w:fldChar w:fldCharType="end"/>
            </w:r>
          </w:hyperlink>
        </w:p>
        <w:p w:rsidR="00D136BF" w:rsidRDefault="004C7CDC">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52372346" w:history="1">
            <w:r>
              <w:rPr>
                <w:rStyle w:val="Hyperlink"/>
                <w:noProof/>
              </w:rPr>
              <w:t>2.</w:t>
            </w:r>
            <w:r>
              <w:rPr>
                <w:rFonts w:asciiTheme="minorHAnsi" w:eastAsiaTheme="minorEastAsia" w:hAnsiTheme="minorHAnsi" w:cstheme="minorBidi"/>
                <w:b w:val="0"/>
                <w:bCs w:val="0"/>
                <w:caps w:val="0"/>
                <w:noProof/>
                <w:sz w:val="22"/>
                <w:szCs w:val="22"/>
                <w:lang w:val="en-US" w:eastAsia="en-US"/>
              </w:rPr>
              <w:tab/>
            </w:r>
            <w:r>
              <w:rPr>
                <w:rStyle w:val="Hyperlink"/>
                <w:noProof/>
              </w:rPr>
              <w:t>Additional needs in payment appropriations</w:t>
            </w:r>
            <w:r>
              <w:rPr>
                <w:noProof/>
                <w:webHidden/>
              </w:rPr>
              <w:tab/>
            </w:r>
            <w:r>
              <w:rPr>
                <w:noProof/>
                <w:webHidden/>
              </w:rPr>
              <w:fldChar w:fldCharType="begin"/>
            </w:r>
            <w:r>
              <w:rPr>
                <w:noProof/>
                <w:webHidden/>
              </w:rPr>
              <w:instrText xml:space="preserve"> PAGEREF _Toc52372346 \h </w:instrText>
            </w:r>
            <w:r>
              <w:rPr>
                <w:noProof/>
                <w:webHidden/>
              </w:rPr>
            </w:r>
            <w:r>
              <w:rPr>
                <w:noProof/>
                <w:webHidden/>
              </w:rPr>
              <w:fldChar w:fldCharType="separate"/>
            </w:r>
            <w:r>
              <w:rPr>
                <w:noProof/>
                <w:webHidden/>
              </w:rPr>
              <w:t>3</w:t>
            </w:r>
            <w:r>
              <w:rPr>
                <w:noProof/>
                <w:webHidden/>
              </w:rPr>
              <w:fldChar w:fldCharType="end"/>
            </w:r>
          </w:hyperlink>
        </w:p>
        <w:p w:rsidR="00D136BF" w:rsidRDefault="004C7CDC">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2372347" w:history="1">
            <w:r>
              <w:rPr>
                <w:rStyle w:val="Hyperlink"/>
                <w:noProof/>
              </w:rPr>
              <w:t>2.1.</w:t>
            </w:r>
            <w:r>
              <w:rPr>
                <w:rFonts w:asciiTheme="minorHAnsi" w:eastAsiaTheme="minorEastAsia" w:hAnsiTheme="minorHAnsi" w:cstheme="minorBidi"/>
                <w:b w:val="0"/>
                <w:bCs w:val="0"/>
                <w:caps w:val="0"/>
                <w:noProof/>
                <w:sz w:val="22"/>
                <w:szCs w:val="22"/>
                <w:lang w:val="en-US" w:eastAsia="en-US"/>
              </w:rPr>
              <w:tab/>
            </w:r>
            <w:r>
              <w:rPr>
                <w:rStyle w:val="Hyperlink"/>
                <w:noProof/>
              </w:rPr>
              <w:t>Competitiveness of enterprises and small and medium-sized enterprises (COSME)</w:t>
            </w:r>
            <w:r>
              <w:rPr>
                <w:noProof/>
                <w:webHidden/>
              </w:rPr>
              <w:tab/>
            </w:r>
            <w:r>
              <w:rPr>
                <w:noProof/>
                <w:webHidden/>
              </w:rPr>
              <w:fldChar w:fldCharType="begin"/>
            </w:r>
            <w:r>
              <w:rPr>
                <w:noProof/>
                <w:webHidden/>
              </w:rPr>
              <w:instrText xml:space="preserve"> PAGEREF _Toc52372347 \h </w:instrText>
            </w:r>
            <w:r>
              <w:rPr>
                <w:noProof/>
                <w:webHidden/>
              </w:rPr>
            </w:r>
            <w:r>
              <w:rPr>
                <w:noProof/>
                <w:webHidden/>
              </w:rPr>
              <w:fldChar w:fldCharType="separate"/>
            </w:r>
            <w:r>
              <w:rPr>
                <w:noProof/>
                <w:webHidden/>
              </w:rPr>
              <w:t>4</w:t>
            </w:r>
            <w:r>
              <w:rPr>
                <w:noProof/>
                <w:webHidden/>
              </w:rPr>
              <w:fldChar w:fldCharType="end"/>
            </w:r>
          </w:hyperlink>
        </w:p>
        <w:p w:rsidR="00D136BF" w:rsidRDefault="004C7CDC">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2372348" w:history="1">
            <w:r>
              <w:rPr>
                <w:rStyle w:val="Hyperlink"/>
                <w:noProof/>
              </w:rPr>
              <w:t>2.2.</w:t>
            </w:r>
            <w:r>
              <w:rPr>
                <w:rFonts w:asciiTheme="minorHAnsi" w:eastAsiaTheme="minorEastAsia" w:hAnsiTheme="minorHAnsi" w:cstheme="minorBidi"/>
                <w:b w:val="0"/>
                <w:bCs w:val="0"/>
                <w:caps w:val="0"/>
                <w:noProof/>
                <w:sz w:val="22"/>
                <w:szCs w:val="22"/>
                <w:lang w:val="en-US" w:eastAsia="en-US"/>
              </w:rPr>
              <w:tab/>
            </w:r>
            <w:r>
              <w:rPr>
                <w:rStyle w:val="Hyperlink"/>
                <w:noProof/>
              </w:rPr>
              <w:t xml:space="preserve">Connecting Europe Facility </w:t>
            </w:r>
            <w:r>
              <w:rPr>
                <w:rStyle w:val="Hyperlink"/>
                <w:noProof/>
              </w:rPr>
              <w:t>(CEF) — CF contribution</w:t>
            </w:r>
            <w:r>
              <w:rPr>
                <w:noProof/>
                <w:webHidden/>
              </w:rPr>
              <w:tab/>
            </w:r>
            <w:r>
              <w:rPr>
                <w:noProof/>
                <w:webHidden/>
              </w:rPr>
              <w:fldChar w:fldCharType="begin"/>
            </w:r>
            <w:r>
              <w:rPr>
                <w:noProof/>
                <w:webHidden/>
              </w:rPr>
              <w:instrText xml:space="preserve"> PAGEREF _Toc52372348 \h </w:instrText>
            </w:r>
            <w:r>
              <w:rPr>
                <w:noProof/>
                <w:webHidden/>
              </w:rPr>
            </w:r>
            <w:r>
              <w:rPr>
                <w:noProof/>
                <w:webHidden/>
              </w:rPr>
              <w:fldChar w:fldCharType="separate"/>
            </w:r>
            <w:r>
              <w:rPr>
                <w:noProof/>
                <w:webHidden/>
              </w:rPr>
              <w:t>4</w:t>
            </w:r>
            <w:r>
              <w:rPr>
                <w:noProof/>
                <w:webHidden/>
              </w:rPr>
              <w:fldChar w:fldCharType="end"/>
            </w:r>
          </w:hyperlink>
        </w:p>
        <w:p w:rsidR="00D136BF" w:rsidRDefault="004C7CDC">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2372349" w:history="1">
            <w:r>
              <w:rPr>
                <w:rStyle w:val="Hyperlink"/>
                <w:noProof/>
              </w:rPr>
              <w:t>2.3.</w:t>
            </w:r>
            <w:r>
              <w:rPr>
                <w:rFonts w:asciiTheme="minorHAnsi" w:eastAsiaTheme="minorEastAsia" w:hAnsiTheme="minorHAnsi" w:cstheme="minorBidi"/>
                <w:b w:val="0"/>
                <w:bCs w:val="0"/>
                <w:caps w:val="0"/>
                <w:noProof/>
                <w:sz w:val="22"/>
                <w:szCs w:val="22"/>
                <w:lang w:val="en-US" w:eastAsia="en-US"/>
              </w:rPr>
              <w:tab/>
            </w:r>
            <w:r>
              <w:rPr>
                <w:rStyle w:val="Hyperlink"/>
                <w:noProof/>
              </w:rPr>
              <w:t>European Agricultural Fund for Rural Development (EAFRD)</w:t>
            </w:r>
            <w:r>
              <w:rPr>
                <w:noProof/>
                <w:webHidden/>
              </w:rPr>
              <w:tab/>
            </w:r>
            <w:r>
              <w:rPr>
                <w:noProof/>
                <w:webHidden/>
              </w:rPr>
              <w:fldChar w:fldCharType="begin"/>
            </w:r>
            <w:r>
              <w:rPr>
                <w:noProof/>
                <w:webHidden/>
              </w:rPr>
              <w:instrText xml:space="preserve"> PAGEREF _Toc52372349 \h </w:instrText>
            </w:r>
            <w:r>
              <w:rPr>
                <w:noProof/>
                <w:webHidden/>
              </w:rPr>
            </w:r>
            <w:r>
              <w:rPr>
                <w:noProof/>
                <w:webHidden/>
              </w:rPr>
              <w:fldChar w:fldCharType="separate"/>
            </w:r>
            <w:r>
              <w:rPr>
                <w:noProof/>
                <w:webHidden/>
              </w:rPr>
              <w:t>5</w:t>
            </w:r>
            <w:r>
              <w:rPr>
                <w:noProof/>
                <w:webHidden/>
              </w:rPr>
              <w:fldChar w:fldCharType="end"/>
            </w:r>
          </w:hyperlink>
        </w:p>
        <w:p w:rsidR="00D136BF" w:rsidRDefault="004C7CDC">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2372350" w:history="1">
            <w:r>
              <w:rPr>
                <w:rStyle w:val="Hyperlink"/>
                <w:noProof/>
              </w:rPr>
              <w:t>2.4.</w:t>
            </w:r>
            <w:r>
              <w:rPr>
                <w:rFonts w:asciiTheme="minorHAnsi" w:eastAsiaTheme="minorEastAsia" w:hAnsiTheme="minorHAnsi" w:cstheme="minorBidi"/>
                <w:b w:val="0"/>
                <w:bCs w:val="0"/>
                <w:caps w:val="0"/>
                <w:noProof/>
                <w:sz w:val="22"/>
                <w:szCs w:val="22"/>
                <w:lang w:val="en-US" w:eastAsia="en-US"/>
              </w:rPr>
              <w:tab/>
            </w:r>
            <w:r>
              <w:rPr>
                <w:rStyle w:val="Hyperlink"/>
                <w:noProof/>
              </w:rPr>
              <w:t>Global EU response to Covid-19</w:t>
            </w:r>
            <w:r>
              <w:rPr>
                <w:noProof/>
                <w:webHidden/>
              </w:rPr>
              <w:tab/>
            </w:r>
            <w:r>
              <w:rPr>
                <w:noProof/>
                <w:webHidden/>
              </w:rPr>
              <w:fldChar w:fldCharType="begin"/>
            </w:r>
            <w:r>
              <w:rPr>
                <w:noProof/>
                <w:webHidden/>
              </w:rPr>
              <w:instrText xml:space="preserve"> PAGEREF _Toc52372350 \h </w:instrText>
            </w:r>
            <w:r>
              <w:rPr>
                <w:noProof/>
                <w:webHidden/>
              </w:rPr>
            </w:r>
            <w:r>
              <w:rPr>
                <w:noProof/>
                <w:webHidden/>
              </w:rPr>
              <w:fldChar w:fldCharType="separate"/>
            </w:r>
            <w:r>
              <w:rPr>
                <w:noProof/>
                <w:webHidden/>
              </w:rPr>
              <w:t>5</w:t>
            </w:r>
            <w:r>
              <w:rPr>
                <w:noProof/>
                <w:webHidden/>
              </w:rPr>
              <w:fldChar w:fldCharType="end"/>
            </w:r>
          </w:hyperlink>
        </w:p>
        <w:p w:rsidR="00D136BF" w:rsidRDefault="004C7CDC">
          <w:pPr>
            <w:pStyle w:val="TOC2"/>
            <w:rPr>
              <w:rFonts w:eastAsiaTheme="minorEastAsia"/>
              <w:noProof/>
              <w:lang w:val="en-US"/>
            </w:rPr>
          </w:pPr>
          <w:hyperlink w:anchor="_Toc52372351" w:history="1">
            <w:r>
              <w:rPr>
                <w:rStyle w:val="Hyperlink"/>
                <w:rFonts w:ascii="Times New Roman" w:eastAsia="Calibri" w:hAnsi="Times New Roman" w:cs="Times New Roman"/>
                <w:i/>
                <w:noProof/>
                <w:lang w:eastAsia="de-DE"/>
              </w:rPr>
              <w:t>2.4.1</w:t>
            </w:r>
            <w:r>
              <w:rPr>
                <w:rFonts w:eastAsiaTheme="minorEastAsia"/>
                <w:noProof/>
                <w:lang w:val="en-US"/>
              </w:rPr>
              <w:tab/>
            </w:r>
            <w:r>
              <w:rPr>
                <w:rStyle w:val="Hyperlink"/>
                <w:rFonts w:ascii="Times New Roman" w:eastAsia="Calibri" w:hAnsi="Times New Roman" w:cs="Times New Roman"/>
                <w:i/>
                <w:noProof/>
                <w:lang w:eastAsia="de-DE"/>
              </w:rPr>
              <w:t>Instru</w:t>
            </w:r>
            <w:r>
              <w:rPr>
                <w:rStyle w:val="Hyperlink"/>
                <w:rFonts w:ascii="Times New Roman" w:eastAsia="Calibri" w:hAnsi="Times New Roman" w:cs="Times New Roman"/>
                <w:i/>
                <w:noProof/>
                <w:lang w:eastAsia="de-DE"/>
              </w:rPr>
              <w:t>ment for Pre-Accession Assistance (IPA II)</w:t>
            </w:r>
            <w:r>
              <w:rPr>
                <w:noProof/>
                <w:webHidden/>
              </w:rPr>
              <w:tab/>
            </w:r>
            <w:r>
              <w:rPr>
                <w:noProof/>
                <w:webHidden/>
              </w:rPr>
              <w:fldChar w:fldCharType="begin"/>
            </w:r>
            <w:r>
              <w:rPr>
                <w:noProof/>
                <w:webHidden/>
              </w:rPr>
              <w:instrText xml:space="preserve"> PAGEREF _Toc52372351 \h </w:instrText>
            </w:r>
            <w:r>
              <w:rPr>
                <w:noProof/>
                <w:webHidden/>
              </w:rPr>
            </w:r>
            <w:r>
              <w:rPr>
                <w:noProof/>
                <w:webHidden/>
              </w:rPr>
              <w:fldChar w:fldCharType="separate"/>
            </w:r>
            <w:r>
              <w:rPr>
                <w:noProof/>
                <w:webHidden/>
              </w:rPr>
              <w:t>5</w:t>
            </w:r>
            <w:r>
              <w:rPr>
                <w:noProof/>
                <w:webHidden/>
              </w:rPr>
              <w:fldChar w:fldCharType="end"/>
            </w:r>
          </w:hyperlink>
        </w:p>
        <w:p w:rsidR="00D136BF" w:rsidRDefault="004C7CDC">
          <w:pPr>
            <w:pStyle w:val="TOC2"/>
            <w:rPr>
              <w:rFonts w:eastAsiaTheme="minorEastAsia"/>
              <w:noProof/>
              <w:lang w:val="en-US"/>
            </w:rPr>
          </w:pPr>
          <w:hyperlink w:anchor="_Toc52372352" w:history="1">
            <w:r>
              <w:rPr>
                <w:rStyle w:val="Hyperlink"/>
                <w:rFonts w:ascii="Times New Roman" w:eastAsia="Calibri" w:hAnsi="Times New Roman" w:cs="Times New Roman"/>
                <w:i/>
                <w:noProof/>
                <w:lang w:eastAsia="de-DE"/>
              </w:rPr>
              <w:t>2.4.2</w:t>
            </w:r>
            <w:r>
              <w:rPr>
                <w:rFonts w:eastAsiaTheme="minorEastAsia"/>
                <w:noProof/>
                <w:lang w:val="en-US"/>
              </w:rPr>
              <w:tab/>
            </w:r>
            <w:r>
              <w:rPr>
                <w:rStyle w:val="Hyperlink"/>
                <w:rFonts w:ascii="Times New Roman" w:eastAsia="Calibri" w:hAnsi="Times New Roman" w:cs="Times New Roman"/>
                <w:i/>
                <w:noProof/>
                <w:lang w:eastAsia="de-DE"/>
              </w:rPr>
              <w:t>European Neighbourhood Instrument (ENI)</w:t>
            </w:r>
            <w:r>
              <w:rPr>
                <w:noProof/>
                <w:webHidden/>
              </w:rPr>
              <w:tab/>
            </w:r>
            <w:r>
              <w:rPr>
                <w:noProof/>
                <w:webHidden/>
              </w:rPr>
              <w:fldChar w:fldCharType="begin"/>
            </w:r>
            <w:r>
              <w:rPr>
                <w:noProof/>
                <w:webHidden/>
              </w:rPr>
              <w:instrText xml:space="preserve"> PAGEREF _Toc52372352 \h </w:instrText>
            </w:r>
            <w:r>
              <w:rPr>
                <w:noProof/>
                <w:webHidden/>
              </w:rPr>
            </w:r>
            <w:r>
              <w:rPr>
                <w:noProof/>
                <w:webHidden/>
              </w:rPr>
              <w:fldChar w:fldCharType="separate"/>
            </w:r>
            <w:r>
              <w:rPr>
                <w:noProof/>
                <w:webHidden/>
              </w:rPr>
              <w:t>6</w:t>
            </w:r>
            <w:r>
              <w:rPr>
                <w:noProof/>
                <w:webHidden/>
              </w:rPr>
              <w:fldChar w:fldCharType="end"/>
            </w:r>
          </w:hyperlink>
        </w:p>
        <w:p w:rsidR="00D136BF" w:rsidRDefault="004C7CDC">
          <w:pPr>
            <w:pStyle w:val="TOC2"/>
            <w:rPr>
              <w:rFonts w:eastAsiaTheme="minorEastAsia"/>
              <w:noProof/>
              <w:lang w:val="en-US"/>
            </w:rPr>
          </w:pPr>
          <w:hyperlink w:anchor="_Toc52372353" w:history="1">
            <w:r>
              <w:rPr>
                <w:rStyle w:val="Hyperlink"/>
                <w:rFonts w:ascii="Times New Roman" w:eastAsia="Calibri" w:hAnsi="Times New Roman" w:cs="Times New Roman"/>
                <w:i/>
                <w:noProof/>
                <w:lang w:eastAsia="de-DE"/>
              </w:rPr>
              <w:t>2.4.3</w:t>
            </w:r>
            <w:r>
              <w:rPr>
                <w:rFonts w:eastAsiaTheme="minorEastAsia"/>
                <w:noProof/>
                <w:lang w:val="en-US"/>
              </w:rPr>
              <w:tab/>
            </w:r>
            <w:r>
              <w:rPr>
                <w:rStyle w:val="Hyperlink"/>
                <w:rFonts w:ascii="Times New Roman" w:eastAsia="Calibri" w:hAnsi="Times New Roman" w:cs="Times New Roman"/>
                <w:i/>
                <w:noProof/>
                <w:lang w:eastAsia="de-DE"/>
              </w:rPr>
              <w:t>Development Cooperation Instrument (DCI)</w:t>
            </w:r>
            <w:r>
              <w:rPr>
                <w:noProof/>
                <w:webHidden/>
              </w:rPr>
              <w:tab/>
            </w:r>
            <w:r>
              <w:rPr>
                <w:noProof/>
                <w:webHidden/>
              </w:rPr>
              <w:fldChar w:fldCharType="begin"/>
            </w:r>
            <w:r>
              <w:rPr>
                <w:noProof/>
                <w:webHidden/>
              </w:rPr>
              <w:instrText xml:space="preserve"> PAGEREF _Toc52372353 \h </w:instrText>
            </w:r>
            <w:r>
              <w:rPr>
                <w:noProof/>
                <w:webHidden/>
              </w:rPr>
            </w:r>
            <w:r>
              <w:rPr>
                <w:noProof/>
                <w:webHidden/>
              </w:rPr>
              <w:fldChar w:fldCharType="separate"/>
            </w:r>
            <w:r>
              <w:rPr>
                <w:noProof/>
                <w:webHidden/>
              </w:rPr>
              <w:t>6</w:t>
            </w:r>
            <w:r>
              <w:rPr>
                <w:noProof/>
                <w:webHidden/>
              </w:rPr>
              <w:fldChar w:fldCharType="end"/>
            </w:r>
          </w:hyperlink>
        </w:p>
        <w:p w:rsidR="00D136BF" w:rsidRDefault="004C7CDC">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52372354" w:history="1">
            <w:r>
              <w:rPr>
                <w:rStyle w:val="Hyperlink"/>
                <w:noProof/>
              </w:rPr>
              <w:t>3.</w:t>
            </w:r>
            <w:r>
              <w:rPr>
                <w:rFonts w:asciiTheme="minorHAnsi" w:eastAsiaTheme="minorEastAsia" w:hAnsiTheme="minorHAnsi" w:cstheme="minorBidi"/>
                <w:b w:val="0"/>
                <w:bCs w:val="0"/>
                <w:caps w:val="0"/>
                <w:noProof/>
                <w:sz w:val="22"/>
                <w:szCs w:val="22"/>
                <w:lang w:val="en-US" w:eastAsia="en-US"/>
              </w:rPr>
              <w:tab/>
            </w:r>
            <w:r>
              <w:rPr>
                <w:rStyle w:val="Hyperlink"/>
                <w:noProof/>
              </w:rPr>
              <w:t>Other adjustments on expenditure</w:t>
            </w:r>
            <w:r>
              <w:rPr>
                <w:noProof/>
                <w:webHidden/>
              </w:rPr>
              <w:tab/>
            </w:r>
            <w:r>
              <w:rPr>
                <w:noProof/>
                <w:webHidden/>
              </w:rPr>
              <w:fldChar w:fldCharType="begin"/>
            </w:r>
            <w:r>
              <w:rPr>
                <w:noProof/>
                <w:webHidden/>
              </w:rPr>
              <w:instrText xml:space="preserve"> PAGEREF _Toc52372354 \h </w:instrText>
            </w:r>
            <w:r>
              <w:rPr>
                <w:noProof/>
                <w:webHidden/>
              </w:rPr>
            </w:r>
            <w:r>
              <w:rPr>
                <w:noProof/>
                <w:webHidden/>
              </w:rPr>
              <w:fldChar w:fldCharType="separate"/>
            </w:r>
            <w:r>
              <w:rPr>
                <w:noProof/>
                <w:webHidden/>
              </w:rPr>
              <w:t>7</w:t>
            </w:r>
            <w:r>
              <w:rPr>
                <w:noProof/>
                <w:webHidden/>
              </w:rPr>
              <w:fldChar w:fldCharType="end"/>
            </w:r>
          </w:hyperlink>
        </w:p>
        <w:p w:rsidR="00D136BF" w:rsidRDefault="004C7CDC">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2372355" w:history="1">
            <w:r>
              <w:rPr>
                <w:rStyle w:val="Hyperlink"/>
                <w:noProof/>
              </w:rPr>
              <w:t>3.1.</w:t>
            </w:r>
            <w:r>
              <w:rPr>
                <w:rFonts w:asciiTheme="minorHAnsi" w:eastAsiaTheme="minorEastAsia" w:hAnsiTheme="minorHAnsi" w:cstheme="minorBidi"/>
                <w:b w:val="0"/>
                <w:bCs w:val="0"/>
                <w:caps w:val="0"/>
                <w:noProof/>
                <w:sz w:val="22"/>
                <w:szCs w:val="22"/>
                <w:lang w:val="en-US" w:eastAsia="en-US"/>
              </w:rPr>
              <w:tab/>
            </w:r>
            <w:r>
              <w:rPr>
                <w:rStyle w:val="Hyperlink"/>
                <w:noProof/>
              </w:rPr>
              <w:t>European Agricultural Guarantee Fund (EAGF)</w:t>
            </w:r>
            <w:r>
              <w:rPr>
                <w:noProof/>
                <w:webHidden/>
              </w:rPr>
              <w:tab/>
            </w:r>
            <w:r>
              <w:rPr>
                <w:noProof/>
                <w:webHidden/>
              </w:rPr>
              <w:fldChar w:fldCharType="begin"/>
            </w:r>
            <w:r>
              <w:rPr>
                <w:noProof/>
                <w:webHidden/>
              </w:rPr>
              <w:instrText xml:space="preserve"> PAGEREF _Toc52372355 \h </w:instrText>
            </w:r>
            <w:r>
              <w:rPr>
                <w:noProof/>
                <w:webHidden/>
              </w:rPr>
            </w:r>
            <w:r>
              <w:rPr>
                <w:noProof/>
                <w:webHidden/>
              </w:rPr>
              <w:fldChar w:fldCharType="separate"/>
            </w:r>
            <w:r>
              <w:rPr>
                <w:noProof/>
                <w:webHidden/>
              </w:rPr>
              <w:t>7</w:t>
            </w:r>
            <w:r>
              <w:rPr>
                <w:noProof/>
                <w:webHidden/>
              </w:rPr>
              <w:fldChar w:fldCharType="end"/>
            </w:r>
          </w:hyperlink>
        </w:p>
        <w:p w:rsidR="00D136BF" w:rsidRDefault="004C7CDC">
          <w:pPr>
            <w:pStyle w:val="TOC2"/>
            <w:rPr>
              <w:rFonts w:eastAsiaTheme="minorEastAsia"/>
              <w:noProof/>
              <w:lang w:val="en-US"/>
            </w:rPr>
          </w:pPr>
          <w:hyperlink w:anchor="_Toc52372356" w:history="1">
            <w:r>
              <w:rPr>
                <w:rStyle w:val="Hyperlink"/>
                <w:rFonts w:ascii="Times New Roman" w:eastAsia="Calibri" w:hAnsi="Times New Roman" w:cs="Times New Roman"/>
                <w:b/>
                <w:noProof/>
                <w:lang w:eastAsia="de-DE"/>
              </w:rPr>
              <w:t>3.2.</w:t>
            </w:r>
            <w:r>
              <w:rPr>
                <w:rFonts w:eastAsiaTheme="minorEastAsia"/>
                <w:noProof/>
                <w:lang w:val="en-US"/>
              </w:rPr>
              <w:tab/>
            </w:r>
            <w:r>
              <w:rPr>
                <w:rStyle w:val="Hyperlink"/>
                <w:rFonts w:ascii="Times New Roman" w:eastAsia="Calibri" w:hAnsi="Times New Roman" w:cs="Times New Roman"/>
                <w:b/>
                <w:noProof/>
                <w:lang w:eastAsia="de-DE"/>
              </w:rPr>
              <w:t>Decentralised agencies</w:t>
            </w:r>
            <w:r>
              <w:rPr>
                <w:noProof/>
                <w:webHidden/>
              </w:rPr>
              <w:tab/>
            </w:r>
            <w:r>
              <w:rPr>
                <w:noProof/>
                <w:webHidden/>
              </w:rPr>
              <w:fldChar w:fldCharType="begin"/>
            </w:r>
            <w:r>
              <w:rPr>
                <w:noProof/>
                <w:webHidden/>
              </w:rPr>
              <w:instrText xml:space="preserve"> PAGEREF _Toc52372356 \h</w:instrText>
            </w:r>
            <w:r>
              <w:rPr>
                <w:noProof/>
                <w:webHidden/>
              </w:rPr>
              <w:instrText xml:space="preserve"> </w:instrText>
            </w:r>
            <w:r>
              <w:rPr>
                <w:noProof/>
                <w:webHidden/>
              </w:rPr>
            </w:r>
            <w:r>
              <w:rPr>
                <w:noProof/>
                <w:webHidden/>
              </w:rPr>
              <w:fldChar w:fldCharType="separate"/>
            </w:r>
            <w:r>
              <w:rPr>
                <w:noProof/>
                <w:webHidden/>
              </w:rPr>
              <w:t>8</w:t>
            </w:r>
            <w:r>
              <w:rPr>
                <w:noProof/>
                <w:webHidden/>
              </w:rPr>
              <w:fldChar w:fldCharType="end"/>
            </w:r>
          </w:hyperlink>
        </w:p>
        <w:p w:rsidR="00D136BF" w:rsidRDefault="004C7CDC">
          <w:pPr>
            <w:pStyle w:val="TOC2"/>
            <w:rPr>
              <w:rFonts w:eastAsiaTheme="minorEastAsia"/>
              <w:noProof/>
              <w:lang w:val="en-US"/>
            </w:rPr>
          </w:pPr>
          <w:hyperlink w:anchor="_Toc52372357" w:history="1">
            <w:r>
              <w:rPr>
                <w:rStyle w:val="Hyperlink"/>
                <w:rFonts w:ascii="Times New Roman" w:eastAsia="Calibri" w:hAnsi="Times New Roman" w:cs="Times New Roman"/>
                <w:i/>
                <w:noProof/>
                <w:lang w:eastAsia="de-DE"/>
              </w:rPr>
              <w:t xml:space="preserve">3.2.1 </w:t>
            </w:r>
            <w:r>
              <w:rPr>
                <w:rFonts w:eastAsiaTheme="minorEastAsia"/>
                <w:noProof/>
                <w:lang w:val="en-US"/>
              </w:rPr>
              <w:tab/>
            </w:r>
            <w:r>
              <w:rPr>
                <w:rStyle w:val="Hyperlink"/>
                <w:rFonts w:ascii="Times New Roman" w:eastAsia="Calibri" w:hAnsi="Times New Roman" w:cs="Times New Roman"/>
                <w:i/>
                <w:noProof/>
                <w:lang w:eastAsia="de-DE"/>
              </w:rPr>
              <w:t>European Supervisory Authorities (ESAs)</w:t>
            </w:r>
            <w:r>
              <w:rPr>
                <w:noProof/>
                <w:webHidden/>
              </w:rPr>
              <w:tab/>
            </w:r>
            <w:r>
              <w:rPr>
                <w:noProof/>
                <w:webHidden/>
              </w:rPr>
              <w:fldChar w:fldCharType="begin"/>
            </w:r>
            <w:r>
              <w:rPr>
                <w:noProof/>
                <w:webHidden/>
              </w:rPr>
              <w:instrText xml:space="preserve"> PAGEREF _Toc52372357 \h </w:instrText>
            </w:r>
            <w:r>
              <w:rPr>
                <w:noProof/>
                <w:webHidden/>
              </w:rPr>
            </w:r>
            <w:r>
              <w:rPr>
                <w:noProof/>
                <w:webHidden/>
              </w:rPr>
              <w:fldChar w:fldCharType="separate"/>
            </w:r>
            <w:r>
              <w:rPr>
                <w:noProof/>
                <w:webHidden/>
              </w:rPr>
              <w:t>8</w:t>
            </w:r>
            <w:r>
              <w:rPr>
                <w:noProof/>
                <w:webHidden/>
              </w:rPr>
              <w:fldChar w:fldCharType="end"/>
            </w:r>
          </w:hyperlink>
        </w:p>
        <w:p w:rsidR="00D136BF" w:rsidRDefault="004C7CDC">
          <w:pPr>
            <w:pStyle w:val="TOC2"/>
            <w:rPr>
              <w:rFonts w:eastAsiaTheme="minorEastAsia"/>
              <w:noProof/>
              <w:lang w:val="en-US"/>
            </w:rPr>
          </w:pPr>
          <w:hyperlink w:anchor="_Toc52372358" w:history="1">
            <w:r>
              <w:rPr>
                <w:rStyle w:val="Hyperlink"/>
                <w:rFonts w:ascii="Times New Roman" w:eastAsia="Calibri" w:hAnsi="Times New Roman" w:cs="Times New Roman"/>
                <w:i/>
                <w:noProof/>
                <w:lang w:eastAsia="de-DE"/>
              </w:rPr>
              <w:t>3.2.2</w:t>
            </w:r>
            <w:r>
              <w:rPr>
                <w:rFonts w:eastAsiaTheme="minorEastAsia"/>
                <w:noProof/>
                <w:lang w:val="en-US"/>
              </w:rPr>
              <w:tab/>
            </w:r>
            <w:r>
              <w:rPr>
                <w:rStyle w:val="Hyperlink"/>
                <w:rFonts w:ascii="Times New Roman" w:eastAsia="Calibri" w:hAnsi="Times New Roman" w:cs="Times New Roman"/>
                <w:i/>
                <w:noProof/>
                <w:lang w:eastAsia="de-DE"/>
              </w:rPr>
              <w:t>European Labour Authority (ELA)</w:t>
            </w:r>
            <w:r>
              <w:rPr>
                <w:noProof/>
                <w:webHidden/>
              </w:rPr>
              <w:tab/>
            </w:r>
            <w:r>
              <w:rPr>
                <w:noProof/>
                <w:webHidden/>
              </w:rPr>
              <w:fldChar w:fldCharType="begin"/>
            </w:r>
            <w:r>
              <w:rPr>
                <w:noProof/>
                <w:webHidden/>
              </w:rPr>
              <w:instrText xml:space="preserve"> PAGEREF _Toc52372358 \h </w:instrText>
            </w:r>
            <w:r>
              <w:rPr>
                <w:noProof/>
                <w:webHidden/>
              </w:rPr>
            </w:r>
            <w:r>
              <w:rPr>
                <w:noProof/>
                <w:webHidden/>
              </w:rPr>
              <w:fldChar w:fldCharType="separate"/>
            </w:r>
            <w:r>
              <w:rPr>
                <w:noProof/>
                <w:webHidden/>
              </w:rPr>
              <w:t>8</w:t>
            </w:r>
            <w:r>
              <w:rPr>
                <w:noProof/>
                <w:webHidden/>
              </w:rPr>
              <w:fldChar w:fldCharType="end"/>
            </w:r>
          </w:hyperlink>
        </w:p>
        <w:p w:rsidR="00D136BF" w:rsidRDefault="004C7CDC">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52372359" w:history="1">
            <w:r>
              <w:rPr>
                <w:rStyle w:val="Hyperlink"/>
                <w:noProof/>
              </w:rPr>
              <w:t>4.</w:t>
            </w:r>
            <w:r>
              <w:rPr>
                <w:rFonts w:asciiTheme="minorHAnsi" w:eastAsiaTheme="minorEastAsia" w:hAnsiTheme="minorHAnsi" w:cstheme="minorBidi"/>
                <w:b w:val="0"/>
                <w:bCs w:val="0"/>
                <w:caps w:val="0"/>
                <w:noProof/>
                <w:sz w:val="22"/>
                <w:szCs w:val="22"/>
                <w:lang w:val="en-US" w:eastAsia="en-US"/>
              </w:rPr>
              <w:tab/>
            </w:r>
            <w:r>
              <w:rPr>
                <w:rStyle w:val="Hyperlink"/>
                <w:noProof/>
              </w:rPr>
              <w:t>Adjustments of revenue</w:t>
            </w:r>
            <w:r>
              <w:rPr>
                <w:noProof/>
                <w:webHidden/>
              </w:rPr>
              <w:tab/>
            </w:r>
            <w:r>
              <w:rPr>
                <w:noProof/>
                <w:webHidden/>
              </w:rPr>
              <w:fldChar w:fldCharType="begin"/>
            </w:r>
            <w:r>
              <w:rPr>
                <w:noProof/>
                <w:webHidden/>
              </w:rPr>
              <w:instrText xml:space="preserve"> PAGEREF _Toc52372359 \h </w:instrText>
            </w:r>
            <w:r>
              <w:rPr>
                <w:noProof/>
                <w:webHidden/>
              </w:rPr>
            </w:r>
            <w:r>
              <w:rPr>
                <w:noProof/>
                <w:webHidden/>
              </w:rPr>
              <w:fldChar w:fldCharType="separate"/>
            </w:r>
            <w:r>
              <w:rPr>
                <w:noProof/>
                <w:webHidden/>
              </w:rPr>
              <w:t>9</w:t>
            </w:r>
            <w:r>
              <w:rPr>
                <w:noProof/>
                <w:webHidden/>
              </w:rPr>
              <w:fldChar w:fldCharType="end"/>
            </w:r>
          </w:hyperlink>
        </w:p>
        <w:p w:rsidR="00D136BF" w:rsidRDefault="004C7CDC">
          <w:pPr>
            <w:pStyle w:val="TOC2"/>
            <w:rPr>
              <w:rFonts w:eastAsiaTheme="minorEastAsia"/>
              <w:noProof/>
              <w:lang w:val="en-US"/>
            </w:rPr>
          </w:pPr>
          <w:hyperlink w:anchor="_Toc52372360" w:history="1">
            <w:r>
              <w:rPr>
                <w:rStyle w:val="Hyperlink"/>
                <w:rFonts w:ascii="Times New Roman" w:eastAsia="Calibri" w:hAnsi="Times New Roman" w:cs="Times New Roman"/>
                <w:b/>
                <w:noProof/>
                <w:lang w:eastAsia="de-DE"/>
              </w:rPr>
              <w:t>4.1.</w:t>
            </w:r>
            <w:r>
              <w:rPr>
                <w:rFonts w:eastAsiaTheme="minorEastAsia"/>
                <w:noProof/>
                <w:lang w:val="en-US"/>
              </w:rPr>
              <w:tab/>
            </w:r>
            <w:r>
              <w:rPr>
                <w:rStyle w:val="Hyperlink"/>
                <w:rFonts w:ascii="Times New Roman" w:eastAsia="Calibri" w:hAnsi="Times New Roman" w:cs="Times New Roman"/>
                <w:b/>
                <w:noProof/>
                <w:lang w:eastAsia="de-DE"/>
              </w:rPr>
              <w:t>Exchange rate differences in own resources</w:t>
            </w:r>
            <w:r>
              <w:rPr>
                <w:noProof/>
                <w:webHidden/>
              </w:rPr>
              <w:tab/>
            </w:r>
            <w:r>
              <w:rPr>
                <w:noProof/>
                <w:webHidden/>
              </w:rPr>
              <w:fldChar w:fldCharType="begin"/>
            </w:r>
            <w:r>
              <w:rPr>
                <w:noProof/>
                <w:webHidden/>
              </w:rPr>
              <w:instrText xml:space="preserve"> PAGEREF _Toc52372360 \h </w:instrText>
            </w:r>
            <w:r>
              <w:rPr>
                <w:noProof/>
                <w:webHidden/>
              </w:rPr>
            </w:r>
            <w:r>
              <w:rPr>
                <w:noProof/>
                <w:webHidden/>
              </w:rPr>
              <w:fldChar w:fldCharType="separate"/>
            </w:r>
            <w:r>
              <w:rPr>
                <w:noProof/>
                <w:webHidden/>
              </w:rPr>
              <w:t>9</w:t>
            </w:r>
            <w:r>
              <w:rPr>
                <w:noProof/>
                <w:webHidden/>
              </w:rPr>
              <w:fldChar w:fldCharType="end"/>
            </w:r>
          </w:hyperlink>
        </w:p>
        <w:p w:rsidR="00D136BF" w:rsidRDefault="004C7CDC">
          <w:pPr>
            <w:pStyle w:val="TOC2"/>
            <w:rPr>
              <w:rFonts w:eastAsiaTheme="minorEastAsia"/>
              <w:noProof/>
              <w:lang w:val="en-US"/>
            </w:rPr>
          </w:pPr>
          <w:hyperlink w:anchor="_Toc52372361" w:history="1">
            <w:r>
              <w:rPr>
                <w:rStyle w:val="Hyperlink"/>
                <w:rFonts w:ascii="Times New Roman" w:eastAsia="Calibri" w:hAnsi="Times New Roman" w:cs="Times New Roman"/>
                <w:b/>
                <w:noProof/>
                <w:lang w:eastAsia="de-DE"/>
              </w:rPr>
              <w:t>4.2.</w:t>
            </w:r>
            <w:r>
              <w:rPr>
                <w:rFonts w:eastAsiaTheme="minorEastAsia"/>
                <w:noProof/>
                <w:lang w:val="en-US"/>
              </w:rPr>
              <w:tab/>
            </w:r>
            <w:r>
              <w:rPr>
                <w:rStyle w:val="Hyperlink"/>
                <w:rFonts w:ascii="Times New Roman" w:eastAsia="Calibri" w:hAnsi="Times New Roman" w:cs="Times New Roman"/>
                <w:b/>
                <w:noProof/>
                <w:lang w:eastAsia="de-DE"/>
              </w:rPr>
              <w:t>Fines and penalty payments</w:t>
            </w:r>
            <w:r>
              <w:rPr>
                <w:noProof/>
                <w:webHidden/>
              </w:rPr>
              <w:tab/>
            </w:r>
            <w:r>
              <w:rPr>
                <w:noProof/>
                <w:webHidden/>
              </w:rPr>
              <w:fldChar w:fldCharType="begin"/>
            </w:r>
            <w:r>
              <w:rPr>
                <w:noProof/>
                <w:webHidden/>
              </w:rPr>
              <w:instrText xml:space="preserve"> PAGEREF _Toc52372361 \h </w:instrText>
            </w:r>
            <w:r>
              <w:rPr>
                <w:noProof/>
                <w:webHidden/>
              </w:rPr>
            </w:r>
            <w:r>
              <w:rPr>
                <w:noProof/>
                <w:webHidden/>
              </w:rPr>
              <w:fldChar w:fldCharType="separate"/>
            </w:r>
            <w:r>
              <w:rPr>
                <w:noProof/>
                <w:webHidden/>
              </w:rPr>
              <w:t>10</w:t>
            </w:r>
            <w:r>
              <w:rPr>
                <w:noProof/>
                <w:webHidden/>
              </w:rPr>
              <w:fldChar w:fldCharType="end"/>
            </w:r>
          </w:hyperlink>
        </w:p>
        <w:p w:rsidR="00D136BF" w:rsidRDefault="004C7CDC">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52372362" w:history="1">
            <w:r>
              <w:rPr>
                <w:rStyle w:val="Hyperlink"/>
                <w:noProof/>
              </w:rPr>
              <w:t>5.</w:t>
            </w:r>
            <w:r>
              <w:rPr>
                <w:rFonts w:asciiTheme="minorHAnsi" w:eastAsiaTheme="minorEastAsia" w:hAnsiTheme="minorHAnsi" w:cstheme="minorBidi"/>
                <w:b w:val="0"/>
                <w:bCs w:val="0"/>
                <w:caps w:val="0"/>
                <w:noProof/>
                <w:sz w:val="22"/>
                <w:szCs w:val="22"/>
                <w:lang w:val="en-US" w:eastAsia="en-US"/>
              </w:rPr>
              <w:tab/>
            </w:r>
            <w:r>
              <w:rPr>
                <w:rStyle w:val="Hyperlink"/>
                <w:noProof/>
              </w:rPr>
              <w:t>Summary table by MFF heading</w:t>
            </w:r>
            <w:r>
              <w:rPr>
                <w:noProof/>
                <w:webHidden/>
              </w:rPr>
              <w:tab/>
            </w:r>
            <w:r>
              <w:rPr>
                <w:noProof/>
                <w:webHidden/>
              </w:rPr>
              <w:fldChar w:fldCharType="begin"/>
            </w:r>
            <w:r>
              <w:rPr>
                <w:noProof/>
                <w:webHidden/>
              </w:rPr>
              <w:instrText xml:space="preserve"> PAGEREF _Toc52372362 \h </w:instrText>
            </w:r>
            <w:r>
              <w:rPr>
                <w:noProof/>
                <w:webHidden/>
              </w:rPr>
            </w:r>
            <w:r>
              <w:rPr>
                <w:noProof/>
                <w:webHidden/>
              </w:rPr>
              <w:fldChar w:fldCharType="separate"/>
            </w:r>
            <w:r>
              <w:rPr>
                <w:noProof/>
                <w:webHidden/>
              </w:rPr>
              <w:t>11</w:t>
            </w:r>
            <w:r>
              <w:rPr>
                <w:noProof/>
                <w:webHidden/>
              </w:rPr>
              <w:fldChar w:fldCharType="end"/>
            </w:r>
          </w:hyperlink>
        </w:p>
        <w:p w:rsidR="00D136BF" w:rsidRDefault="004C7CDC">
          <w:pPr>
            <w:pStyle w:val="ManualHeading1"/>
            <w:ind w:left="0" w:firstLine="0"/>
            <w:rPr>
              <w:bCs/>
              <w:noProof/>
            </w:rPr>
          </w:pPr>
          <w:r>
            <w:rPr>
              <w:b w:val="0"/>
              <w:bCs/>
              <w:noProof/>
            </w:rPr>
            <w:fldChar w:fldCharType="end"/>
          </w:r>
        </w:p>
      </w:sdtContent>
    </w:sdt>
    <w:p w:rsidR="00D136BF" w:rsidRDefault="00D136BF">
      <w:pPr>
        <w:rPr>
          <w:b/>
          <w:noProof/>
          <w:u w:val="single"/>
          <w:lang w:eastAsia="de-DE"/>
        </w:rPr>
        <w:sectPr w:rsidR="00D136BF">
          <w:headerReference w:type="even" r:id="rId22"/>
          <w:headerReference w:type="default" r:id="rId23"/>
          <w:footerReference w:type="even" r:id="rId24"/>
          <w:footerReference w:type="default" r:id="rId25"/>
          <w:headerReference w:type="first" r:id="rId26"/>
          <w:footerReference w:type="first" r:id="rId27"/>
          <w:pgSz w:w="11907" w:h="16839"/>
          <w:pgMar w:top="1021" w:right="1021" w:bottom="1021" w:left="1021" w:header="709" w:footer="709" w:gutter="0"/>
          <w:cols w:space="708"/>
          <w:docGrid w:linePitch="360"/>
        </w:sectPr>
      </w:pPr>
    </w:p>
    <w:p w:rsidR="00D136BF" w:rsidRDefault="004C7CDC">
      <w:pPr>
        <w:pStyle w:val="Exposdesmotifstitre"/>
        <w:rPr>
          <w:noProof/>
        </w:rPr>
      </w:pPr>
      <w:r>
        <w:rPr>
          <w:noProof/>
        </w:rPr>
        <w:t>EXPLANATORY MEMORANDUM</w:t>
      </w:r>
    </w:p>
    <w:p w:rsidR="00D136BF" w:rsidRDefault="004C7CDC">
      <w:pPr>
        <w:pStyle w:val="ListParagraph"/>
        <w:keepNext/>
        <w:numPr>
          <w:ilvl w:val="0"/>
          <w:numId w:val="2"/>
        </w:numPr>
        <w:tabs>
          <w:tab w:val="left" w:pos="850"/>
        </w:tabs>
        <w:spacing w:before="360" w:after="120" w:line="240" w:lineRule="auto"/>
        <w:jc w:val="both"/>
        <w:outlineLvl w:val="0"/>
        <w:rPr>
          <w:rFonts w:ascii="Times New Roman" w:eastAsia="Times New Roman" w:hAnsi="Times New Roman" w:cs="Times New Roman"/>
          <w:b/>
          <w:smallCaps/>
          <w:noProof/>
          <w:sz w:val="24"/>
          <w:szCs w:val="24"/>
          <w:lang w:eastAsia="de-DE"/>
        </w:rPr>
      </w:pPr>
      <w:bookmarkStart w:id="2" w:name="_Toc52372345"/>
      <w:bookmarkStart w:id="3" w:name="_Toc52346050"/>
      <w:bookmarkStart w:id="4" w:name="_Toc351469332"/>
      <w:bookmarkStart w:id="5" w:name="_Toc361649879"/>
      <w:bookmarkStart w:id="6" w:name="_Toc514181802"/>
      <w:bookmarkStart w:id="7" w:name="_Toc430865947"/>
      <w:bookmarkStart w:id="8" w:name="_Toc430867525"/>
      <w:r>
        <w:rPr>
          <w:rFonts w:ascii="Times New Roman" w:eastAsia="Times New Roman" w:hAnsi="Times New Roman" w:cs="Times New Roman"/>
          <w:b/>
          <w:smallCaps/>
          <w:noProof/>
          <w:sz w:val="24"/>
          <w:szCs w:val="24"/>
          <w:lang w:eastAsia="de-DE"/>
        </w:rPr>
        <w:t>Introduction</w:t>
      </w:r>
      <w:bookmarkEnd w:id="2"/>
      <w:bookmarkEnd w:id="3"/>
    </w:p>
    <w:p w:rsidR="00D136BF" w:rsidRDefault="004C7CDC">
      <w:pPr>
        <w:pStyle w:val="ListDash"/>
        <w:rPr>
          <w:noProof/>
        </w:rPr>
      </w:pPr>
      <w:bookmarkStart w:id="9" w:name="_Toc34373733"/>
      <w:bookmarkStart w:id="10" w:name="_Toc41571881"/>
      <w:bookmarkStart w:id="11" w:name="_Toc35506109"/>
      <w:bookmarkStart w:id="12" w:name="_Toc12621018"/>
      <w:r>
        <w:rPr>
          <w:noProof/>
        </w:rPr>
        <w:t>The purpose of Draft Amending Budget (DAB) No 10 for the year 2020 is threefold:</w:t>
      </w:r>
    </w:p>
    <w:p w:rsidR="00D136BF" w:rsidRDefault="004C7CDC">
      <w:pPr>
        <w:pStyle w:val="ListDash"/>
        <w:numPr>
          <w:ilvl w:val="0"/>
          <w:numId w:val="9"/>
        </w:numPr>
        <w:ind w:left="360"/>
        <w:rPr>
          <w:noProof/>
        </w:rPr>
      </w:pPr>
      <w:r>
        <w:rPr>
          <w:noProof/>
        </w:rPr>
        <w:t xml:space="preserve">to increase the level of payment appropriations in line with the updated forecast and after having taken into account the redeployments proposed in the "Global transfer" (DEC 16/2020 submitted to Parliament and Council early October); </w:t>
      </w:r>
    </w:p>
    <w:p w:rsidR="00D136BF" w:rsidRDefault="004C7CDC">
      <w:pPr>
        <w:pStyle w:val="ListDash"/>
        <w:numPr>
          <w:ilvl w:val="0"/>
          <w:numId w:val="9"/>
        </w:numPr>
        <w:ind w:left="360"/>
        <w:rPr>
          <w:noProof/>
        </w:rPr>
      </w:pPr>
      <w:r>
        <w:rPr>
          <w:noProof/>
        </w:rPr>
        <w:t>to adjust the revenu</w:t>
      </w:r>
      <w:r>
        <w:rPr>
          <w:noProof/>
        </w:rPr>
        <w:t>e side to incorporate the impact of exchange rate differences and additional fines collected; and</w:t>
      </w:r>
    </w:p>
    <w:p w:rsidR="00D136BF" w:rsidRDefault="004C7CDC">
      <w:pPr>
        <w:pStyle w:val="ListDash"/>
        <w:numPr>
          <w:ilvl w:val="0"/>
          <w:numId w:val="9"/>
        </w:numPr>
        <w:ind w:left="360"/>
        <w:rPr>
          <w:noProof/>
        </w:rPr>
      </w:pPr>
      <w:r>
        <w:rPr>
          <w:noProof/>
        </w:rPr>
        <w:t>to budget further more limited expenditure adjustements. They concern the level of appropriations of the European Agriculture Guarantee Fund (EAGF) and some d</w:t>
      </w:r>
      <w:r>
        <w:rPr>
          <w:noProof/>
        </w:rPr>
        <w:t>ecentralised agencies (ESMA, EIOPA, EBA and ELA).</w:t>
      </w:r>
    </w:p>
    <w:p w:rsidR="00D136BF" w:rsidRDefault="004C7CDC">
      <w:pPr>
        <w:pStyle w:val="ListDash"/>
        <w:rPr>
          <w:noProof/>
        </w:rPr>
      </w:pPr>
      <w:r>
        <w:rPr>
          <w:noProof/>
        </w:rPr>
        <w:t xml:space="preserve">The overall increase in payment appropriations (EUR 1 569,3 million) requested concerns headings 1a </w:t>
      </w:r>
      <w:r>
        <w:rPr>
          <w:i/>
          <w:noProof/>
        </w:rPr>
        <w:t xml:space="preserve">'Competitiveness for Growth and Jobs', </w:t>
      </w:r>
      <w:r>
        <w:rPr>
          <w:noProof/>
        </w:rPr>
        <w:t>1b</w:t>
      </w:r>
      <w:r>
        <w:rPr>
          <w:i/>
          <w:noProof/>
        </w:rPr>
        <w:t xml:space="preserve"> 'Economic, Social and Territorial Cohesion'</w:t>
      </w:r>
      <w:r>
        <w:rPr>
          <w:noProof/>
        </w:rPr>
        <w:t xml:space="preserve">, 2 </w:t>
      </w:r>
      <w:r>
        <w:rPr>
          <w:i/>
          <w:noProof/>
        </w:rPr>
        <w:t>'Sustainable Grow</w:t>
      </w:r>
      <w:r>
        <w:rPr>
          <w:i/>
          <w:noProof/>
        </w:rPr>
        <w:t>th – Natural Resources'</w:t>
      </w:r>
      <w:r>
        <w:rPr>
          <w:noProof/>
        </w:rPr>
        <w:t xml:space="preserve"> and 4 </w:t>
      </w:r>
      <w:r>
        <w:rPr>
          <w:i/>
          <w:noProof/>
        </w:rPr>
        <w:t>'Global Europe'</w:t>
      </w:r>
      <w:r>
        <w:rPr>
          <w:noProof/>
        </w:rPr>
        <w:t xml:space="preserve">. </w:t>
      </w:r>
    </w:p>
    <w:p w:rsidR="00D136BF" w:rsidRDefault="004C7CDC">
      <w:pPr>
        <w:pStyle w:val="ListDash"/>
        <w:rPr>
          <w:noProof/>
        </w:rPr>
      </w:pPr>
      <w:r>
        <w:rPr>
          <w:noProof/>
        </w:rPr>
        <w:t>The increase of commitment appropriations in heading 2 is slighlty rebalanced by savings in heading 1a agencies resulting in an overall increase in commitments of EUR 36,4 million.</w:t>
      </w:r>
    </w:p>
    <w:p w:rsidR="00D136BF" w:rsidRDefault="004C7CDC">
      <w:pPr>
        <w:pStyle w:val="ListDash"/>
        <w:rPr>
          <w:noProof/>
        </w:rPr>
      </w:pPr>
      <w:r>
        <w:rPr>
          <w:noProof/>
        </w:rPr>
        <w:t>The overall impact on the r</w:t>
      </w:r>
      <w:r>
        <w:rPr>
          <w:noProof/>
        </w:rPr>
        <w:t>evenue side is a decrease of other revenue by EUR 588 million rebalanced by a corresponding increase in the GNI contributions.</w:t>
      </w:r>
    </w:p>
    <w:p w:rsidR="00D136BF" w:rsidRDefault="004C7CDC">
      <w:pPr>
        <w:pStyle w:val="ManualHeading1"/>
        <w:numPr>
          <w:ilvl w:val="0"/>
          <w:numId w:val="2"/>
        </w:numPr>
        <w:rPr>
          <w:noProof/>
        </w:rPr>
      </w:pPr>
      <w:bookmarkStart w:id="13" w:name="_Toc52372346"/>
      <w:bookmarkStart w:id="14" w:name="_Toc52346051"/>
      <w:r>
        <w:rPr>
          <w:noProof/>
        </w:rPr>
        <w:t>Additional needs in payment appropriations</w:t>
      </w:r>
      <w:bookmarkEnd w:id="13"/>
      <w:bookmarkEnd w:id="14"/>
    </w:p>
    <w:p w:rsidR="00D136BF" w:rsidRDefault="004C7CDC">
      <w:pPr>
        <w:pStyle w:val="ListDash"/>
        <w:rPr>
          <w:noProof/>
        </w:rPr>
      </w:pPr>
      <w:r>
        <w:rPr>
          <w:noProof/>
        </w:rPr>
        <w:t>The “Global transfer” is an annual exercise organised at corporate level within the Co</w:t>
      </w:r>
      <w:r>
        <w:rPr>
          <w:noProof/>
        </w:rPr>
        <w:t>mmission for which all Directorates Generals and Services are requested to review by early September their respective payment implementation of the current budget until the end of the year concerned. This exercise aims to ensure maximum implementation of t</w:t>
      </w:r>
      <w:r>
        <w:rPr>
          <w:noProof/>
        </w:rPr>
        <w:t>he budget in payment appropriations at the end of the year by matching additional needs with expected under-implementation. An ad hoc request for transfer (under Article 31 of the Financial Regulation) is annually submitted to Parliament and Council in ear</w:t>
      </w:r>
      <w:r>
        <w:rPr>
          <w:noProof/>
        </w:rPr>
        <w:t>ly October as a result.</w:t>
      </w:r>
    </w:p>
    <w:p w:rsidR="00D136BF" w:rsidRDefault="004C7CDC">
      <w:pPr>
        <w:pStyle w:val="ListDash"/>
        <w:rPr>
          <w:noProof/>
        </w:rPr>
      </w:pPr>
      <w:r>
        <w:rPr>
          <w:noProof/>
        </w:rPr>
        <w:t>DAB No8 for the year 2020, tabled by the Commission at the end of August, was decoupled from the ‘Global transfer exercise’ and included only requests for which urgent action from the Union was requested. Therefore DAB No8, which pr</w:t>
      </w:r>
      <w:r>
        <w:rPr>
          <w:noProof/>
        </w:rPr>
        <w:t>oposed a significant request for additional payment appropriations (i.e. EUR 6 190 million), focused exclusively on two specific elements: provide additional payment appropriations (i) to the Emergency Support Instrument (ESI) to finance the COVID-19 vacci</w:t>
      </w:r>
      <w:r>
        <w:rPr>
          <w:noProof/>
        </w:rPr>
        <w:t>nes strategy and (ii) for cohesion following the adoption of the Corona Response Investment Initiative Plus (CRII+)</w:t>
      </w:r>
      <w:r>
        <w:rPr>
          <w:noProof/>
        </w:rPr>
        <w:footnoteReference w:id="12"/>
      </w:r>
      <w:r>
        <w:rPr>
          <w:noProof/>
        </w:rPr>
        <w:t>.</w:t>
      </w:r>
    </w:p>
    <w:p w:rsidR="00D136BF" w:rsidRDefault="004C7CDC">
      <w:pPr>
        <w:pStyle w:val="ListDash"/>
        <w:rPr>
          <w:noProof/>
        </w:rPr>
      </w:pPr>
      <w:r>
        <w:rPr>
          <w:noProof/>
        </w:rPr>
        <w:t>In addition to the requests included in DAB No8, the 2020 ‘Global transfer’ exercise resulted in additional gross payment needs of EUR 2 1</w:t>
      </w:r>
      <w:r>
        <w:rPr>
          <w:noProof/>
        </w:rPr>
        <w:t>25,2 million, only partially offset by expected payment under-implementation of EUR 595,4 million. The additional payments requested in this DAB No10 aims at closing the gap of EUR 1 529,8 million as detailed under the  sections 2.1 through 2.4.</w:t>
      </w:r>
    </w:p>
    <w:p w:rsidR="00D136BF" w:rsidRDefault="004C7CDC">
      <w:pPr>
        <w:pStyle w:val="ManualHeading1"/>
        <w:numPr>
          <w:ilvl w:val="1"/>
          <w:numId w:val="2"/>
        </w:numPr>
        <w:tabs>
          <w:tab w:val="clear" w:pos="850"/>
          <w:tab w:val="left" w:pos="600"/>
        </w:tabs>
        <w:ind w:left="600" w:hanging="600"/>
        <w:rPr>
          <w:smallCaps w:val="0"/>
          <w:noProof/>
        </w:rPr>
      </w:pPr>
      <w:bookmarkStart w:id="15" w:name="_Toc52372347"/>
      <w:bookmarkStart w:id="16" w:name="_Toc52346052"/>
      <w:r>
        <w:rPr>
          <w:smallCaps w:val="0"/>
          <w:noProof/>
        </w:rPr>
        <w:t>Competitiv</w:t>
      </w:r>
      <w:r>
        <w:rPr>
          <w:smallCaps w:val="0"/>
          <w:noProof/>
        </w:rPr>
        <w:t>eness of enterprises and small and medium-sized enterprises (COSME)</w:t>
      </w:r>
      <w:bookmarkEnd w:id="15"/>
      <w:bookmarkEnd w:id="16"/>
    </w:p>
    <w:p w:rsidR="00D136BF" w:rsidRDefault="004C7CDC">
      <w:pPr>
        <w:pStyle w:val="ListDash"/>
        <w:rPr>
          <w:noProof/>
        </w:rPr>
      </w:pPr>
      <w:r>
        <w:rPr>
          <w:noProof/>
        </w:rPr>
        <w:t>As a result of the COVID-19 crisis, many Small and Medium-Sized Enterprises (SMEs) across the Union experienced a sudden lack of liquidity. As announced in the Communication</w:t>
      </w:r>
      <w:r>
        <w:rPr>
          <w:rStyle w:val="FootnoteReference"/>
          <w:noProof/>
        </w:rPr>
        <w:footnoteReference w:id="13"/>
      </w:r>
      <w:r>
        <w:rPr>
          <w:noProof/>
        </w:rPr>
        <w:t xml:space="preserve"> of 13 March 2</w:t>
      </w:r>
      <w:r>
        <w:rPr>
          <w:noProof/>
        </w:rPr>
        <w:t>020 on the coordinated economic response to the COVID-19 crisis, the Commission decided to redirect EUR 1 billion from the European Fund for Strategic Investment (EFSI) to existing guarantee facilities. As part of this initiative, the Loan Guarantee Facili</w:t>
      </w:r>
      <w:r>
        <w:rPr>
          <w:noProof/>
        </w:rPr>
        <w:t>ty within COSME was reinforced by EUR 714 million to incentivise banks to provide liquidity finance to companies with the aim of helping at least 100 000 European businesses to access around EUR 8 billion of financing.</w:t>
      </w:r>
    </w:p>
    <w:p w:rsidR="00D136BF" w:rsidRDefault="004C7CDC">
      <w:pPr>
        <w:pStyle w:val="ListDash"/>
        <w:rPr>
          <w:noProof/>
        </w:rPr>
      </w:pPr>
      <w:r>
        <w:rPr>
          <w:noProof/>
        </w:rPr>
        <w:t>The implementing partner, the Europea</w:t>
      </w:r>
      <w:r>
        <w:rPr>
          <w:noProof/>
        </w:rPr>
        <w:t>n Investment Fund (EIF), published a revised call for expression of interest for financial intermediaries to apply for the specific COVID measure, which was successfully closed end of May this year. This reinforcement results in an increased need for payme</w:t>
      </w:r>
      <w:r>
        <w:rPr>
          <w:noProof/>
        </w:rPr>
        <w:t xml:space="preserve">nt appropriations as any cash-needs by the EIF have to be paid first through the COSME Loan Guarantee Facility (the first-loss piece) before cash-calls are being made under EFSI (the second-loss piece). </w:t>
      </w:r>
    </w:p>
    <w:p w:rsidR="00D136BF" w:rsidRDefault="004C7CDC">
      <w:pPr>
        <w:pStyle w:val="ListDash"/>
        <w:rPr>
          <w:noProof/>
        </w:rPr>
      </w:pPr>
      <w:r>
        <w:rPr>
          <w:noProof/>
        </w:rPr>
        <w:t xml:space="preserve">Internal redeployments have partially covered these </w:t>
      </w:r>
      <w:r>
        <w:rPr>
          <w:noProof/>
        </w:rPr>
        <w:t>unforeseen needs but additional payment appropriations of EUR 93,8 million are needed to allow the European Commission to honour its contractual obligations vis-à-vis the EIF.</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4762"/>
        <w:gridCol w:w="1701"/>
        <w:gridCol w:w="1701"/>
      </w:tblGrid>
      <w:tr w:rsidR="00D136BF">
        <w:trPr>
          <w:jc w:val="center"/>
        </w:trPr>
        <w:tc>
          <w:tcPr>
            <w:tcW w:w="9222" w:type="dxa"/>
            <w:gridSpan w:val="4"/>
            <w:tcBorders>
              <w:top w:val="nil"/>
              <w:left w:val="nil"/>
              <w:bottom w:val="single" w:sz="4" w:space="0" w:color="auto"/>
              <w:right w:val="nil"/>
            </w:tcBorders>
            <w:shd w:val="clear" w:color="auto" w:fill="auto"/>
            <w:vAlign w:val="center"/>
          </w:tcPr>
          <w:p w:rsidR="00D136BF" w:rsidRDefault="004C7CDC">
            <w:pPr>
              <w:keepNext/>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rsidR="00D136BF">
        <w:trPr>
          <w:jc w:val="center"/>
        </w:trPr>
        <w:tc>
          <w:tcPr>
            <w:tcW w:w="1058" w:type="dxa"/>
            <w:tcBorders>
              <w:top w:val="single" w:sz="4" w:space="0" w:color="auto"/>
            </w:tcBorders>
            <w:shd w:val="clear" w:color="auto" w:fill="D9D9D9"/>
            <w:vAlign w:val="center"/>
          </w:tcPr>
          <w:p w:rsidR="00D136BF" w:rsidRDefault="004C7CDC">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762"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rsidR="00D136BF">
        <w:trPr>
          <w:jc w:val="center"/>
        </w:trPr>
        <w:tc>
          <w:tcPr>
            <w:tcW w:w="9222" w:type="dxa"/>
            <w:gridSpan w:val="4"/>
            <w:shd w:val="clear" w:color="auto" w:fill="F2F2F2"/>
            <w:vAlign w:val="center"/>
          </w:tcPr>
          <w:p w:rsidR="00D136BF" w:rsidRDefault="004C7CDC">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 xml:space="preserve">Section </w:t>
            </w:r>
            <w:r>
              <w:rPr>
                <w:rFonts w:ascii="Times New Roman" w:eastAsia="Times New Roman" w:hAnsi="Times New Roman" w:cs="Times New Roman"/>
                <w:i/>
                <w:noProof/>
                <w:sz w:val="20"/>
                <w:szCs w:val="20"/>
                <w:lang w:eastAsia="en-GB"/>
              </w:rPr>
              <w:t>III – Commission</w:t>
            </w:r>
          </w:p>
        </w:tc>
      </w:tr>
      <w:tr w:rsidR="00D136BF">
        <w:trPr>
          <w:jc w:val="center"/>
        </w:trPr>
        <w:tc>
          <w:tcPr>
            <w:tcW w:w="1058" w:type="dxa"/>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02 02 02</w:t>
            </w:r>
          </w:p>
        </w:tc>
        <w:tc>
          <w:tcPr>
            <w:tcW w:w="4762" w:type="dxa"/>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Improving access to finance for small and medium-sized enterprises (SMEs) in the form of equity and debt</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93 800 000</w:t>
            </w:r>
          </w:p>
        </w:tc>
      </w:tr>
      <w:tr w:rsidR="00D136BF">
        <w:trPr>
          <w:jc w:val="center"/>
        </w:trPr>
        <w:tc>
          <w:tcPr>
            <w:tcW w:w="5820" w:type="dxa"/>
            <w:gridSpan w:val="2"/>
            <w:shd w:val="clear" w:color="auto" w:fill="D9D9D9"/>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0</w:t>
            </w:r>
          </w:p>
        </w:tc>
        <w:tc>
          <w:tcPr>
            <w:tcW w:w="1701" w:type="dxa"/>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93 800 000</w:t>
            </w:r>
          </w:p>
        </w:tc>
      </w:tr>
    </w:tbl>
    <w:p w:rsidR="00D136BF" w:rsidRDefault="004C7CDC">
      <w:pPr>
        <w:pStyle w:val="ManualHeading1"/>
        <w:numPr>
          <w:ilvl w:val="1"/>
          <w:numId w:val="2"/>
        </w:numPr>
        <w:tabs>
          <w:tab w:val="clear" w:pos="850"/>
          <w:tab w:val="left" w:pos="600"/>
        </w:tabs>
        <w:ind w:left="600" w:hanging="600"/>
        <w:rPr>
          <w:smallCaps w:val="0"/>
          <w:noProof/>
        </w:rPr>
      </w:pPr>
      <w:bookmarkStart w:id="17" w:name="_Toc52372348"/>
      <w:bookmarkStart w:id="18" w:name="_Toc52346053"/>
      <w:bookmarkEnd w:id="9"/>
      <w:bookmarkEnd w:id="10"/>
      <w:r>
        <w:rPr>
          <w:smallCaps w:val="0"/>
          <w:noProof/>
        </w:rPr>
        <w:t>Connecting Europe Facility (CEF) — CF contribution</w:t>
      </w:r>
      <w:bookmarkEnd w:id="17"/>
      <w:bookmarkEnd w:id="18"/>
    </w:p>
    <w:p w:rsidR="00D136BF" w:rsidRDefault="004C7CDC">
      <w:pPr>
        <w:pStyle w:val="ListDash"/>
        <w:rPr>
          <w:noProof/>
        </w:rPr>
      </w:pPr>
      <w:bookmarkStart w:id="19" w:name="_Toc494994373"/>
      <w:r>
        <w:rPr>
          <w:noProof/>
        </w:rPr>
        <w:t xml:space="preserve">The implementation of the cohesion strand of the Connecting Europe facility for Transport (CEF-CF) is progressing faster than expected and the payment needs for the rest of the year exceed the current availabilities. </w:t>
      </w:r>
    </w:p>
    <w:p w:rsidR="00D136BF" w:rsidRDefault="004C7CDC">
      <w:pPr>
        <w:pStyle w:val="ListDash"/>
        <w:rPr>
          <w:noProof/>
        </w:rPr>
      </w:pPr>
      <w:r>
        <w:rPr>
          <w:noProof/>
        </w:rPr>
        <w:t>Beneficiaries have an obligation to su</w:t>
      </w:r>
      <w:r>
        <w:rPr>
          <w:noProof/>
        </w:rPr>
        <w:t>bmit an interim payment claim every two years and have the possibility to submit a “voluntary” interim payment claim every year. In 2020, several large beneficiaries used this flexibility and submitted more interim payment claims than the average pattern o</w:t>
      </w:r>
      <w:r>
        <w:rPr>
          <w:noProof/>
        </w:rPr>
        <w:t>bserved in previous years. This fast implementation pace was not initially foreseen in the 2020 budget and constitutes the main reason for the increased payment needs.</w:t>
      </w:r>
    </w:p>
    <w:p w:rsidR="00D136BF" w:rsidRDefault="004C7CDC">
      <w:pPr>
        <w:pStyle w:val="ListDash"/>
        <w:rPr>
          <w:noProof/>
          <w:lang w:eastAsia="en-GB"/>
        </w:rPr>
      </w:pPr>
      <w:r>
        <w:rPr>
          <w:noProof/>
          <w:lang w:eastAsia="en-GB"/>
        </w:rPr>
        <w:t>The Commission performed an in-depth action-by-action analysis of the payments needs and</w:t>
      </w:r>
      <w:r>
        <w:rPr>
          <w:noProof/>
          <w:lang w:eastAsia="en-GB"/>
        </w:rPr>
        <w:t xml:space="preserve"> current budget availabilities, taking into account a redeployment of available payment appropriations within the chapter CEF Transport, and considers that a reinforcement of EUR 100 million in payment appropriations is needed in order to respect the payme</w:t>
      </w:r>
      <w:r>
        <w:rPr>
          <w:noProof/>
          <w:lang w:eastAsia="en-GB"/>
        </w:rPr>
        <w:t>nt deadlines  and honour all legal obligations.</w:t>
      </w:r>
    </w:p>
    <w:p w:rsidR="00D136BF" w:rsidRDefault="004C7CDC">
      <w:pPr>
        <w:rPr>
          <w:rFonts w:ascii="Times New Roman" w:eastAsia="Times New Roman" w:hAnsi="Times New Roman" w:cs="Times New Roman"/>
          <w:noProof/>
          <w:sz w:val="24"/>
          <w:szCs w:val="24"/>
          <w:lang w:eastAsia="en-GB"/>
        </w:rPr>
      </w:pPr>
      <w:r>
        <w:rPr>
          <w:noProof/>
          <w:lang w:eastAsia="en-GB"/>
        </w:rPr>
        <w:br w:type="page"/>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D136BF">
        <w:trPr>
          <w:jc w:val="center"/>
        </w:trPr>
        <w:tc>
          <w:tcPr>
            <w:tcW w:w="9222" w:type="dxa"/>
            <w:gridSpan w:val="4"/>
            <w:tcBorders>
              <w:top w:val="nil"/>
              <w:left w:val="nil"/>
              <w:bottom w:val="single" w:sz="4" w:space="0" w:color="auto"/>
              <w:right w:val="nil"/>
            </w:tcBorders>
            <w:shd w:val="clear" w:color="auto" w:fill="auto"/>
            <w:vAlign w:val="center"/>
          </w:tcPr>
          <w:p w:rsidR="00D136BF" w:rsidRDefault="004C7CDC">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rsidR="00D136BF">
        <w:trPr>
          <w:jc w:val="center"/>
        </w:trPr>
        <w:tc>
          <w:tcPr>
            <w:tcW w:w="1232" w:type="dxa"/>
            <w:tcBorders>
              <w:top w:val="single" w:sz="4" w:space="0" w:color="auto"/>
            </w:tcBorders>
            <w:shd w:val="clear" w:color="auto" w:fill="D9D9D9"/>
            <w:vAlign w:val="center"/>
          </w:tcPr>
          <w:p w:rsidR="00D136BF" w:rsidRDefault="004C7CDC">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588"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rsidR="00D136BF">
        <w:trPr>
          <w:jc w:val="center"/>
        </w:trPr>
        <w:tc>
          <w:tcPr>
            <w:tcW w:w="9222" w:type="dxa"/>
            <w:gridSpan w:val="4"/>
            <w:shd w:val="clear" w:color="auto" w:fill="F2F2F2"/>
            <w:vAlign w:val="center"/>
          </w:tcPr>
          <w:p w:rsidR="00D136BF" w:rsidRDefault="004C7CDC">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rsidR="00D136BF">
        <w:trPr>
          <w:jc w:val="center"/>
        </w:trPr>
        <w:tc>
          <w:tcPr>
            <w:tcW w:w="1232" w:type="dxa"/>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06 02 01 04</w:t>
            </w:r>
          </w:p>
        </w:tc>
        <w:tc>
          <w:tcPr>
            <w:tcW w:w="4588" w:type="dxa"/>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Connecting Europe Facility (CEF) — Cohesion Fund allocation</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100 000 000</w:t>
            </w:r>
          </w:p>
        </w:tc>
      </w:tr>
      <w:tr w:rsidR="00D136BF">
        <w:trPr>
          <w:jc w:val="center"/>
        </w:trPr>
        <w:tc>
          <w:tcPr>
            <w:tcW w:w="5820" w:type="dxa"/>
            <w:gridSpan w:val="2"/>
            <w:shd w:val="clear" w:color="auto" w:fill="D9D9D9"/>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0</w:t>
            </w:r>
          </w:p>
        </w:tc>
        <w:tc>
          <w:tcPr>
            <w:tcW w:w="1701" w:type="dxa"/>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100 000 000</w:t>
            </w:r>
          </w:p>
        </w:tc>
      </w:tr>
    </w:tbl>
    <w:p w:rsidR="00D136BF" w:rsidRDefault="004C7CDC">
      <w:pPr>
        <w:pStyle w:val="ManualHeading1"/>
        <w:numPr>
          <w:ilvl w:val="1"/>
          <w:numId w:val="2"/>
        </w:numPr>
        <w:tabs>
          <w:tab w:val="clear" w:pos="850"/>
          <w:tab w:val="left" w:pos="600"/>
        </w:tabs>
        <w:ind w:left="600" w:hanging="600"/>
        <w:rPr>
          <w:smallCaps w:val="0"/>
          <w:noProof/>
        </w:rPr>
      </w:pPr>
      <w:bookmarkStart w:id="20" w:name="_Toc52372349"/>
      <w:bookmarkStart w:id="21" w:name="_Toc52346054"/>
      <w:bookmarkStart w:id="22" w:name="_Toc41571882"/>
      <w:bookmarkEnd w:id="19"/>
      <w:r>
        <w:rPr>
          <w:smallCaps w:val="0"/>
          <w:noProof/>
        </w:rPr>
        <w:t>European Agricultural Fund for Rural Development (EAFRD)</w:t>
      </w:r>
      <w:bookmarkEnd w:id="20"/>
      <w:bookmarkEnd w:id="21"/>
    </w:p>
    <w:p w:rsidR="00D136BF" w:rsidRDefault="004C7CDC">
      <w:pPr>
        <w:pStyle w:val="ListDash"/>
        <w:rPr>
          <w:noProof/>
          <w:lang w:eastAsia="en-GB"/>
        </w:rPr>
      </w:pPr>
      <w:r>
        <w:rPr>
          <w:noProof/>
          <w:lang w:eastAsia="en-GB"/>
        </w:rPr>
        <w:t xml:space="preserve">The COVID-19 crisis has not slowed down the financial implementation of the programmes financed by the EAFRD. </w:t>
      </w:r>
    </w:p>
    <w:p w:rsidR="00D136BF" w:rsidRDefault="004C7CDC">
      <w:pPr>
        <w:pStyle w:val="ListDash"/>
        <w:rPr>
          <w:noProof/>
          <w:lang w:eastAsia="en-GB"/>
        </w:rPr>
      </w:pPr>
      <w:r>
        <w:rPr>
          <w:noProof/>
          <w:lang w:eastAsia="en-GB"/>
        </w:rPr>
        <w:t xml:space="preserve">The Commission has performed an in-depth analysis of the forecasts submitted by Member </w:t>
      </w:r>
      <w:r>
        <w:rPr>
          <w:noProof/>
          <w:lang w:eastAsia="en-GB"/>
        </w:rPr>
        <w:t>States by the end of August 2020 and considers that a reinforcement of EUR 750 million in payment appropriations is needed in order to cover all expected payment applications to be paid in 2020. These forecasts also include the estimated impact of the lump</w:t>
      </w:r>
      <w:r>
        <w:rPr>
          <w:noProof/>
          <w:lang w:eastAsia="en-GB"/>
        </w:rPr>
        <w:t>-sum payment proposed by the Commission to provide relief to farmers or small-medium sized agri-businesses affected by the COVID-19 (based on the finally agreed 2 % maximum share of the Union contribution, as opposed to the 1 % initially proposed by the Co</w:t>
      </w:r>
      <w:r>
        <w:rPr>
          <w:noProof/>
          <w:lang w:eastAsia="en-GB"/>
        </w:rPr>
        <w:t xml:space="preserve">mmission). Some Member States have in fact already started introducing this new EAFRD measure in their rural development programmes and others are expected to follow. </w:t>
      </w:r>
    </w:p>
    <w:p w:rsidR="00D136BF" w:rsidRDefault="004C7CDC">
      <w:pPr>
        <w:pStyle w:val="ListDash"/>
        <w:rPr>
          <w:noProof/>
          <w:lang w:eastAsia="en-GB"/>
        </w:rPr>
      </w:pPr>
      <w:r>
        <w:rPr>
          <w:noProof/>
          <w:lang w:eastAsia="en-GB"/>
        </w:rPr>
        <w:t xml:space="preserve">This translates already in 2020 in additional reimbursement requests. </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D136BF">
        <w:trPr>
          <w:jc w:val="center"/>
        </w:trPr>
        <w:tc>
          <w:tcPr>
            <w:tcW w:w="9222" w:type="dxa"/>
            <w:gridSpan w:val="4"/>
            <w:tcBorders>
              <w:top w:val="nil"/>
              <w:left w:val="nil"/>
              <w:bottom w:val="single" w:sz="4" w:space="0" w:color="auto"/>
              <w:right w:val="nil"/>
            </w:tcBorders>
            <w:shd w:val="clear" w:color="auto" w:fill="auto"/>
            <w:vAlign w:val="center"/>
          </w:tcPr>
          <w:p w:rsidR="00D136BF" w:rsidRDefault="004C7CDC">
            <w:pPr>
              <w:keepNext/>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rsidR="00D136BF">
        <w:trPr>
          <w:jc w:val="center"/>
        </w:trPr>
        <w:tc>
          <w:tcPr>
            <w:tcW w:w="1232" w:type="dxa"/>
            <w:tcBorders>
              <w:top w:val="single" w:sz="4" w:space="0" w:color="auto"/>
            </w:tcBorders>
            <w:shd w:val="clear" w:color="auto" w:fill="D9D9D9"/>
            <w:vAlign w:val="center"/>
          </w:tcPr>
          <w:p w:rsidR="00D136BF" w:rsidRDefault="004C7CDC">
            <w:pPr>
              <w:keepNext/>
              <w:keepLines/>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588" w:type="dxa"/>
            <w:tcBorders>
              <w:top w:val="single" w:sz="4" w:space="0" w:color="auto"/>
            </w:tcBorders>
            <w:shd w:val="clear" w:color="auto" w:fill="D9D9D9"/>
            <w:vAlign w:val="center"/>
          </w:tcPr>
          <w:p w:rsidR="00D136BF" w:rsidRDefault="004C7CDC">
            <w:pPr>
              <w:keepNext/>
              <w:keepLines/>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rsidR="00D136BF">
        <w:trPr>
          <w:jc w:val="center"/>
        </w:trPr>
        <w:tc>
          <w:tcPr>
            <w:tcW w:w="9222" w:type="dxa"/>
            <w:gridSpan w:val="4"/>
            <w:shd w:val="clear" w:color="auto" w:fill="F2F2F2"/>
            <w:vAlign w:val="center"/>
          </w:tcPr>
          <w:p w:rsidR="00D136BF" w:rsidRDefault="004C7CDC">
            <w:pPr>
              <w:keepNext/>
              <w:keepLines/>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rsidR="00D136BF">
        <w:trPr>
          <w:jc w:val="center"/>
        </w:trPr>
        <w:tc>
          <w:tcPr>
            <w:tcW w:w="1232" w:type="dxa"/>
          </w:tcPr>
          <w:p w:rsidR="00D136BF" w:rsidRDefault="004C7CDC">
            <w:pPr>
              <w:keepNext/>
              <w:keepLines/>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05 04 60 01</w:t>
            </w:r>
          </w:p>
        </w:tc>
        <w:tc>
          <w:tcPr>
            <w:tcW w:w="4588" w:type="dxa"/>
          </w:tcPr>
          <w:p w:rsidR="00D136BF" w:rsidRDefault="004C7CDC">
            <w:pPr>
              <w:keepNext/>
              <w:keepLines/>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Promoting sustainable rural development, a more territorially and environmentally balanced, climate-friendly and innovative Union agricultural sector</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750 000 000</w:t>
            </w:r>
          </w:p>
        </w:tc>
      </w:tr>
      <w:tr w:rsidR="00D136BF">
        <w:trPr>
          <w:jc w:val="center"/>
        </w:trPr>
        <w:tc>
          <w:tcPr>
            <w:tcW w:w="5820" w:type="dxa"/>
            <w:gridSpan w:val="2"/>
            <w:shd w:val="clear" w:color="auto" w:fill="D9D9D9"/>
          </w:tcPr>
          <w:p w:rsidR="00D136BF" w:rsidRDefault="004C7CDC">
            <w:pPr>
              <w:keepNext/>
              <w:keepLines/>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0</w:t>
            </w:r>
          </w:p>
        </w:tc>
        <w:tc>
          <w:tcPr>
            <w:tcW w:w="1701" w:type="dxa"/>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750 000 000</w:t>
            </w:r>
          </w:p>
        </w:tc>
      </w:tr>
    </w:tbl>
    <w:p w:rsidR="00D136BF" w:rsidRPr="00F45453" w:rsidRDefault="004C7CDC">
      <w:pPr>
        <w:pStyle w:val="ManualHeading1"/>
        <w:numPr>
          <w:ilvl w:val="1"/>
          <w:numId w:val="2"/>
        </w:numPr>
        <w:tabs>
          <w:tab w:val="clear" w:pos="850"/>
          <w:tab w:val="left" w:pos="600"/>
        </w:tabs>
        <w:ind w:left="600" w:hanging="600"/>
        <w:rPr>
          <w:smallCaps w:val="0"/>
          <w:noProof/>
          <w:lang w:val="pt-PT"/>
        </w:rPr>
      </w:pPr>
      <w:bookmarkStart w:id="23" w:name="_Toc52372350"/>
      <w:bookmarkStart w:id="24" w:name="_Toc52346055"/>
      <w:bookmarkEnd w:id="11"/>
      <w:bookmarkEnd w:id="22"/>
      <w:r w:rsidRPr="00F45453">
        <w:rPr>
          <w:smallCaps w:val="0"/>
          <w:noProof/>
          <w:lang w:val="pt-PT"/>
        </w:rPr>
        <w:t>Global EU response to Covid-19</w:t>
      </w:r>
      <w:bookmarkEnd w:id="23"/>
      <w:bookmarkEnd w:id="24"/>
    </w:p>
    <w:p w:rsidR="00D136BF" w:rsidRDefault="004C7CDC">
      <w:pPr>
        <w:pStyle w:val="ListDash"/>
        <w:rPr>
          <w:b/>
          <w:smallCaps/>
          <w:noProof/>
        </w:rPr>
      </w:pPr>
      <w:bookmarkStart w:id="25" w:name="_Toc35506112"/>
      <w:r>
        <w:rPr>
          <w:noProof/>
          <w:lang w:eastAsia="en-GB"/>
        </w:rPr>
        <w:t>Following the publication of the joint communication on the Global EU response to Covid-19</w:t>
      </w:r>
      <w:r>
        <w:rPr>
          <w:rStyle w:val="FootnoteReference"/>
          <w:noProof/>
          <w:lang w:eastAsia="en-GB"/>
        </w:rPr>
        <w:footnoteReference w:id="14"/>
      </w:r>
      <w:r>
        <w:rPr>
          <w:noProof/>
          <w:lang w:eastAsia="en-GB"/>
        </w:rPr>
        <w:t>, where the Union expressed solidarity and commitment to help partner countries deal with the health, economic</w:t>
      </w:r>
      <w:r>
        <w:rPr>
          <w:noProof/>
          <w:lang w:eastAsia="en-GB"/>
        </w:rPr>
        <w:t xml:space="preserve"> and social consequences of the crisis as part of the Team Europe efforts, the Commission has reprogrammed its operations under the Instrument for Pre-Accession Assistance (IPA II), the European Neighbourhood Instrument (ENI) and the Development Cooperatio</w:t>
      </w:r>
      <w:r>
        <w:rPr>
          <w:noProof/>
          <w:lang w:eastAsia="en-GB"/>
        </w:rPr>
        <w:t>n Instrument (DCI). As a result, there is a need for reinforcement in payment appropriations of these three instruments by EUR 586 million in total as follows:</w:t>
      </w:r>
    </w:p>
    <w:p w:rsidR="00D136BF" w:rsidRDefault="004C7CDC">
      <w:pPr>
        <w:keepNext/>
        <w:tabs>
          <w:tab w:val="left" w:pos="850"/>
        </w:tabs>
        <w:spacing w:before="240" w:after="120"/>
        <w:ind w:left="850" w:hanging="850"/>
        <w:jc w:val="both"/>
        <w:outlineLvl w:val="1"/>
        <w:rPr>
          <w:rFonts w:ascii="Times New Roman" w:eastAsia="Calibri" w:hAnsi="Times New Roman" w:cs="Times New Roman"/>
          <w:i/>
          <w:noProof/>
          <w:sz w:val="24"/>
          <w:szCs w:val="24"/>
          <w:lang w:eastAsia="de-DE"/>
        </w:rPr>
      </w:pPr>
      <w:bookmarkStart w:id="26" w:name="_Toc52372351"/>
      <w:bookmarkStart w:id="27" w:name="_Toc52346056"/>
      <w:r>
        <w:rPr>
          <w:rFonts w:ascii="Times New Roman" w:eastAsia="Calibri" w:hAnsi="Times New Roman" w:cs="Times New Roman"/>
          <w:i/>
          <w:noProof/>
          <w:sz w:val="24"/>
          <w:szCs w:val="24"/>
          <w:lang w:eastAsia="de-DE"/>
        </w:rPr>
        <w:t>2.4.1</w:t>
      </w:r>
      <w:r>
        <w:rPr>
          <w:rFonts w:ascii="Times New Roman" w:eastAsia="Calibri" w:hAnsi="Times New Roman" w:cs="Times New Roman"/>
          <w:i/>
          <w:noProof/>
          <w:sz w:val="24"/>
          <w:szCs w:val="24"/>
          <w:lang w:eastAsia="de-DE"/>
        </w:rPr>
        <w:tab/>
        <w:t>Instrument for Pre-Accession Assistance (IPA II)</w:t>
      </w:r>
      <w:bookmarkEnd w:id="26"/>
      <w:bookmarkEnd w:id="27"/>
    </w:p>
    <w:p w:rsidR="00D136BF" w:rsidRDefault="004C7CDC">
      <w:pPr>
        <w:pStyle w:val="ListDash"/>
        <w:rPr>
          <w:noProof/>
          <w:lang w:eastAsia="en-GB"/>
        </w:rPr>
      </w:pPr>
      <w:r>
        <w:rPr>
          <w:noProof/>
          <w:lang w:eastAsia="en-GB"/>
        </w:rPr>
        <w:t xml:space="preserve">For IPA II, budget support payments have </w:t>
      </w:r>
      <w:r>
        <w:rPr>
          <w:noProof/>
          <w:lang w:eastAsia="en-GB"/>
        </w:rPr>
        <w:t>been adjusted and advanced, pre-financing and support in indirect management increased in order to speed up implementation.</w:t>
      </w:r>
    </w:p>
    <w:p w:rsidR="00D136BF" w:rsidRDefault="004C7CDC">
      <w:pPr>
        <w:rPr>
          <w:rFonts w:ascii="Times New Roman" w:eastAsia="Times New Roman" w:hAnsi="Times New Roman" w:cs="Times New Roman"/>
          <w:noProof/>
          <w:sz w:val="24"/>
          <w:szCs w:val="24"/>
          <w:lang w:eastAsia="en-GB"/>
        </w:rPr>
      </w:pPr>
      <w:r>
        <w:rPr>
          <w:noProof/>
          <w:lang w:eastAsia="en-GB"/>
        </w:rPr>
        <w:br w:type="page"/>
      </w:r>
    </w:p>
    <w:p w:rsidR="00D136BF" w:rsidRDefault="004C7CDC">
      <w:pPr>
        <w:pStyle w:val="ListDash"/>
        <w:rPr>
          <w:noProof/>
          <w:lang w:eastAsia="en-GB"/>
        </w:rPr>
      </w:pPr>
      <w:r>
        <w:rPr>
          <w:noProof/>
          <w:lang w:eastAsia="en-GB"/>
        </w:rPr>
        <w:t>Based on the revised forecasts for payments to be made until the end of 2020, and on top of the redeployments identified, addition</w:t>
      </w:r>
      <w:r>
        <w:rPr>
          <w:noProof/>
          <w:lang w:eastAsia="en-GB"/>
        </w:rPr>
        <w:t>al appropriations for a total of EUR 210 million are needed to cover payments for contracts for Montenegro, Albania, Kosovo</w:t>
      </w:r>
      <w:r>
        <w:rPr>
          <w:rStyle w:val="FootnoteReference"/>
          <w:noProof/>
          <w:lang w:eastAsia="en-GB"/>
        </w:rPr>
        <w:footnoteReference w:id="15"/>
      </w:r>
      <w:r>
        <w:rPr>
          <w:noProof/>
          <w:lang w:eastAsia="en-GB"/>
        </w:rPr>
        <w:t>, Serbia, North Macedonia and Turkey as well as budget support payments for Serbia, Albania and North Macedonia.</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4762"/>
        <w:gridCol w:w="1701"/>
        <w:gridCol w:w="1701"/>
      </w:tblGrid>
      <w:tr w:rsidR="00D136BF">
        <w:trPr>
          <w:jc w:val="center"/>
        </w:trPr>
        <w:tc>
          <w:tcPr>
            <w:tcW w:w="9222" w:type="dxa"/>
            <w:gridSpan w:val="4"/>
            <w:tcBorders>
              <w:top w:val="nil"/>
              <w:left w:val="nil"/>
              <w:bottom w:val="single" w:sz="4" w:space="0" w:color="auto"/>
              <w:right w:val="nil"/>
            </w:tcBorders>
            <w:shd w:val="clear" w:color="auto" w:fill="auto"/>
            <w:vAlign w:val="center"/>
          </w:tcPr>
          <w:p w:rsidR="00D136BF" w:rsidRDefault="004C7CDC">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rsidR="00D136BF">
        <w:trPr>
          <w:jc w:val="center"/>
        </w:trPr>
        <w:tc>
          <w:tcPr>
            <w:tcW w:w="1058" w:type="dxa"/>
            <w:tcBorders>
              <w:top w:val="single" w:sz="4" w:space="0" w:color="auto"/>
            </w:tcBorders>
            <w:shd w:val="clear" w:color="auto" w:fill="D9D9D9"/>
            <w:vAlign w:val="center"/>
          </w:tcPr>
          <w:p w:rsidR="00D136BF" w:rsidRDefault="004C7CDC">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762"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rsidR="00D136BF">
        <w:trPr>
          <w:jc w:val="center"/>
        </w:trPr>
        <w:tc>
          <w:tcPr>
            <w:tcW w:w="9222" w:type="dxa"/>
            <w:gridSpan w:val="4"/>
            <w:shd w:val="clear" w:color="auto" w:fill="F2F2F2"/>
            <w:vAlign w:val="center"/>
          </w:tcPr>
          <w:p w:rsidR="00D136BF" w:rsidRDefault="004C7CDC">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rsidR="00D136BF">
        <w:trPr>
          <w:trHeight w:val="489"/>
          <w:jc w:val="center"/>
        </w:trPr>
        <w:tc>
          <w:tcPr>
            <w:tcW w:w="1058" w:type="dxa"/>
          </w:tcPr>
          <w:p w:rsidR="00D136BF" w:rsidRDefault="004C7CDC">
            <w:pPr>
              <w:widowControl w:val="0"/>
              <w:spacing w:before="15" w:after="15" w:line="240" w:lineRule="auto"/>
              <w:ind w:left="-138" w:right="-113"/>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22 02 01 01</w:t>
            </w:r>
          </w:p>
        </w:tc>
        <w:tc>
          <w:tcPr>
            <w:tcW w:w="4762" w:type="dxa"/>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Western Balkans - Support for political reforms and related progressive alignment with the Union acquis</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40 000 000</w:t>
            </w:r>
          </w:p>
        </w:tc>
      </w:tr>
      <w:tr w:rsidR="00D136BF">
        <w:trPr>
          <w:jc w:val="center"/>
        </w:trPr>
        <w:tc>
          <w:tcPr>
            <w:tcW w:w="1058" w:type="dxa"/>
          </w:tcPr>
          <w:p w:rsidR="00D136BF" w:rsidRDefault="004C7CDC">
            <w:pPr>
              <w:widowControl w:val="0"/>
              <w:spacing w:before="15" w:after="15" w:line="240" w:lineRule="auto"/>
              <w:ind w:left="-138" w:right="-113"/>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22 02 01 02</w:t>
            </w:r>
          </w:p>
        </w:tc>
        <w:tc>
          <w:tcPr>
            <w:tcW w:w="4762" w:type="dxa"/>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Western Balkans - Support for </w:t>
            </w:r>
            <w:r>
              <w:rPr>
                <w:rFonts w:ascii="Times New Roman" w:eastAsia="Times New Roman" w:hAnsi="Times New Roman" w:cs="Times New Roman"/>
                <w:noProof/>
                <w:sz w:val="20"/>
                <w:szCs w:val="20"/>
                <w:lang w:eastAsia="en-GB"/>
              </w:rPr>
              <w:t>economic, social and territorial development and related progressive alignment with the Union acquis</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70 000 000</w:t>
            </w:r>
          </w:p>
        </w:tc>
      </w:tr>
      <w:tr w:rsidR="00D136BF">
        <w:trPr>
          <w:jc w:val="center"/>
        </w:trPr>
        <w:tc>
          <w:tcPr>
            <w:tcW w:w="1058" w:type="dxa"/>
          </w:tcPr>
          <w:p w:rsidR="00D136BF" w:rsidRDefault="004C7CDC">
            <w:pPr>
              <w:widowControl w:val="0"/>
              <w:spacing w:before="15" w:after="15" w:line="240" w:lineRule="auto"/>
              <w:ind w:left="-138" w:right="-113"/>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22 02 03 01</w:t>
            </w:r>
          </w:p>
        </w:tc>
        <w:tc>
          <w:tcPr>
            <w:tcW w:w="4762" w:type="dxa"/>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Turkey - Support for political reforms and related progressive alignment with the Union acquis</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10 000 000</w:t>
            </w:r>
          </w:p>
        </w:tc>
      </w:tr>
      <w:tr w:rsidR="00D136BF">
        <w:trPr>
          <w:jc w:val="center"/>
        </w:trPr>
        <w:tc>
          <w:tcPr>
            <w:tcW w:w="1058" w:type="dxa"/>
          </w:tcPr>
          <w:p w:rsidR="00D136BF" w:rsidRDefault="004C7CDC">
            <w:pPr>
              <w:widowControl w:val="0"/>
              <w:spacing w:before="15" w:after="15" w:line="240" w:lineRule="auto"/>
              <w:ind w:left="-138" w:right="-113"/>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22 02 03 02</w:t>
            </w:r>
          </w:p>
        </w:tc>
        <w:tc>
          <w:tcPr>
            <w:tcW w:w="4762" w:type="dxa"/>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Turkey -</w:t>
            </w:r>
            <w:r>
              <w:rPr>
                <w:rFonts w:ascii="Times New Roman" w:eastAsia="Times New Roman" w:hAnsi="Times New Roman" w:cs="Times New Roman"/>
                <w:noProof/>
                <w:sz w:val="20"/>
                <w:szCs w:val="20"/>
                <w:lang w:eastAsia="en-GB"/>
              </w:rPr>
              <w:t xml:space="preserve"> Support for economic, social and territorial development and related progressive alignment with the Union acquis</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90 000 000</w:t>
            </w:r>
          </w:p>
        </w:tc>
      </w:tr>
      <w:tr w:rsidR="00D136BF">
        <w:trPr>
          <w:jc w:val="center"/>
        </w:trPr>
        <w:tc>
          <w:tcPr>
            <w:tcW w:w="5820" w:type="dxa"/>
            <w:gridSpan w:val="2"/>
            <w:shd w:val="clear" w:color="auto" w:fill="D9D9D9"/>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0</w:t>
            </w:r>
          </w:p>
        </w:tc>
        <w:tc>
          <w:tcPr>
            <w:tcW w:w="1701" w:type="dxa"/>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210 000 000</w:t>
            </w:r>
          </w:p>
        </w:tc>
      </w:tr>
    </w:tbl>
    <w:p w:rsidR="00D136BF" w:rsidRDefault="004C7CDC">
      <w:pPr>
        <w:keepNext/>
        <w:tabs>
          <w:tab w:val="left" w:pos="850"/>
        </w:tabs>
        <w:spacing w:before="240" w:after="120"/>
        <w:ind w:left="850" w:hanging="850"/>
        <w:jc w:val="both"/>
        <w:outlineLvl w:val="1"/>
        <w:rPr>
          <w:rFonts w:ascii="Times New Roman" w:eastAsia="Calibri" w:hAnsi="Times New Roman" w:cs="Times New Roman"/>
          <w:i/>
          <w:noProof/>
          <w:sz w:val="24"/>
          <w:szCs w:val="24"/>
          <w:lang w:eastAsia="de-DE"/>
        </w:rPr>
      </w:pPr>
      <w:bookmarkStart w:id="28" w:name="_Toc52372352"/>
      <w:bookmarkStart w:id="29" w:name="_Toc52346057"/>
      <w:r>
        <w:rPr>
          <w:rFonts w:ascii="Times New Roman" w:eastAsia="Calibri" w:hAnsi="Times New Roman" w:cs="Times New Roman"/>
          <w:i/>
          <w:noProof/>
          <w:lang w:eastAsia="de-DE"/>
        </w:rPr>
        <w:t>2</w:t>
      </w:r>
      <w:r>
        <w:rPr>
          <w:rFonts w:ascii="Times New Roman" w:eastAsia="Calibri" w:hAnsi="Times New Roman" w:cs="Times New Roman"/>
          <w:i/>
          <w:noProof/>
          <w:sz w:val="24"/>
          <w:szCs w:val="24"/>
          <w:lang w:eastAsia="de-DE"/>
        </w:rPr>
        <w:t>.4.2</w:t>
      </w:r>
      <w:r>
        <w:rPr>
          <w:rFonts w:ascii="Times New Roman" w:eastAsia="Calibri" w:hAnsi="Times New Roman" w:cs="Times New Roman"/>
          <w:i/>
          <w:noProof/>
          <w:sz w:val="24"/>
          <w:szCs w:val="24"/>
          <w:lang w:eastAsia="de-DE"/>
        </w:rPr>
        <w:tab/>
        <w:t>European Neighbourhood Instrument (ENI)</w:t>
      </w:r>
      <w:bookmarkEnd w:id="28"/>
      <w:bookmarkEnd w:id="29"/>
    </w:p>
    <w:p w:rsidR="00D136BF" w:rsidRDefault="004C7CDC">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For ENI, the Commission has modified and increased the </w:t>
      </w:r>
      <w:r>
        <w:rPr>
          <w:rFonts w:ascii="Times New Roman" w:eastAsia="Times New Roman" w:hAnsi="Times New Roman" w:cs="Times New Roman"/>
          <w:noProof/>
          <w:sz w:val="24"/>
          <w:szCs w:val="24"/>
          <w:lang w:eastAsia="en-GB"/>
        </w:rPr>
        <w:t>budget of on-going programmes in order to speed up their implementation and related payments.</w:t>
      </w:r>
    </w:p>
    <w:p w:rsidR="00D136BF" w:rsidRDefault="004C7CDC">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Besides redeployments already identified as a result of the revised forecasts, additional payment appropriations for a total of EUR 286 million are needed to cove</w:t>
      </w:r>
      <w:r>
        <w:rPr>
          <w:rFonts w:ascii="Times New Roman" w:eastAsia="Times New Roman" w:hAnsi="Times New Roman" w:cs="Times New Roman"/>
          <w:noProof/>
          <w:sz w:val="24"/>
          <w:szCs w:val="24"/>
          <w:lang w:eastAsia="en-GB"/>
        </w:rPr>
        <w:t>r the accelerated disbursements of several budget support programmes for Morocco, Tunisia, Jordan, Algeria, Georgia and Armenia as well as for the top up of the envelopes of several other national and regional programmes for the benefit of small and medium</w:t>
      </w:r>
      <w:r>
        <w:rPr>
          <w:rFonts w:ascii="Times New Roman" w:eastAsia="Times New Roman" w:hAnsi="Times New Roman" w:cs="Times New Roman"/>
          <w:noProof/>
          <w:sz w:val="24"/>
          <w:szCs w:val="24"/>
          <w:lang w:eastAsia="en-GB"/>
        </w:rPr>
        <w:t xml:space="preserve"> sized businesses (for example for resilience and stability in Ukraine East and Armenia).</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4762"/>
        <w:gridCol w:w="1701"/>
        <w:gridCol w:w="1701"/>
      </w:tblGrid>
      <w:tr w:rsidR="00D136BF">
        <w:trPr>
          <w:jc w:val="center"/>
        </w:trPr>
        <w:tc>
          <w:tcPr>
            <w:tcW w:w="9222" w:type="dxa"/>
            <w:gridSpan w:val="4"/>
            <w:tcBorders>
              <w:top w:val="nil"/>
              <w:left w:val="nil"/>
              <w:bottom w:val="single" w:sz="4" w:space="0" w:color="auto"/>
              <w:right w:val="nil"/>
            </w:tcBorders>
            <w:vAlign w:val="center"/>
            <w:hideMark/>
          </w:tcPr>
          <w:p w:rsidR="00D136BF" w:rsidRDefault="004C7CDC">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rsidR="00D136BF">
        <w:trPr>
          <w:jc w:val="center"/>
        </w:trPr>
        <w:tc>
          <w:tcPr>
            <w:tcW w:w="10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136BF" w:rsidRDefault="004C7CDC">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7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rsidR="00D136BF">
        <w:trPr>
          <w:jc w:val="center"/>
        </w:trPr>
        <w:tc>
          <w:tcPr>
            <w:tcW w:w="922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136BF" w:rsidRDefault="004C7CDC">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rsidR="00D136BF">
        <w:trPr>
          <w:jc w:val="center"/>
        </w:trPr>
        <w:tc>
          <w:tcPr>
            <w:tcW w:w="1058"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spacing w:before="15" w:after="15" w:line="240" w:lineRule="auto"/>
              <w:ind w:left="-18"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22 04 01 02 </w:t>
            </w:r>
          </w:p>
        </w:tc>
        <w:tc>
          <w:tcPr>
            <w:tcW w:w="4762"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xml:space="preserve">Mediterranean countries -- Poverty reduction and </w:t>
            </w:r>
            <w:r>
              <w:rPr>
                <w:rFonts w:ascii="Times New Roman" w:eastAsia="Times New Roman" w:hAnsi="Times New Roman" w:cs="Times New Roman"/>
                <w:noProof/>
                <w:sz w:val="16"/>
                <w:szCs w:val="16"/>
                <w:lang w:eastAsia="en-GB"/>
              </w:rPr>
              <w:t>sustainable development</w:t>
            </w:r>
          </w:p>
        </w:tc>
        <w:tc>
          <w:tcPr>
            <w:tcW w:w="1701"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221 000 000</w:t>
            </w:r>
          </w:p>
        </w:tc>
      </w:tr>
      <w:tr w:rsidR="00D136BF">
        <w:trPr>
          <w:jc w:val="center"/>
        </w:trPr>
        <w:tc>
          <w:tcPr>
            <w:tcW w:w="1058"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spacing w:before="15" w:after="15" w:line="240" w:lineRule="auto"/>
              <w:ind w:left="-18"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22 04 02 02</w:t>
            </w:r>
          </w:p>
        </w:tc>
        <w:tc>
          <w:tcPr>
            <w:tcW w:w="4762"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Eastern Partnership -- Poverty reduction and sustainable development</w:t>
            </w:r>
          </w:p>
        </w:tc>
        <w:tc>
          <w:tcPr>
            <w:tcW w:w="1701"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65 000 000</w:t>
            </w:r>
          </w:p>
        </w:tc>
      </w:tr>
      <w:tr w:rsidR="00D136BF">
        <w:trPr>
          <w:jc w:val="center"/>
        </w:trPr>
        <w:tc>
          <w:tcPr>
            <w:tcW w:w="582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286 000 000</w:t>
            </w:r>
          </w:p>
        </w:tc>
      </w:tr>
    </w:tbl>
    <w:p w:rsidR="00D136BF" w:rsidRDefault="004C7CDC">
      <w:pPr>
        <w:keepNext/>
        <w:tabs>
          <w:tab w:val="left" w:pos="850"/>
        </w:tabs>
        <w:spacing w:before="240" w:after="120"/>
        <w:ind w:left="850" w:hanging="850"/>
        <w:jc w:val="both"/>
        <w:outlineLvl w:val="1"/>
        <w:rPr>
          <w:rFonts w:ascii="Times New Roman" w:eastAsia="Calibri" w:hAnsi="Times New Roman" w:cs="Times New Roman"/>
          <w:i/>
          <w:noProof/>
          <w:sz w:val="24"/>
          <w:szCs w:val="24"/>
          <w:lang w:eastAsia="de-DE"/>
        </w:rPr>
      </w:pPr>
      <w:bookmarkStart w:id="30" w:name="_Toc52372353"/>
      <w:bookmarkStart w:id="31" w:name="_Toc52346058"/>
      <w:r>
        <w:rPr>
          <w:rFonts w:ascii="Times New Roman" w:eastAsia="Calibri" w:hAnsi="Times New Roman" w:cs="Times New Roman"/>
          <w:i/>
          <w:noProof/>
          <w:sz w:val="24"/>
          <w:szCs w:val="24"/>
          <w:lang w:eastAsia="de-DE"/>
        </w:rPr>
        <w:t>2.4.3</w:t>
      </w:r>
      <w:r>
        <w:rPr>
          <w:rFonts w:ascii="Times New Roman" w:eastAsia="Calibri" w:hAnsi="Times New Roman" w:cs="Times New Roman"/>
          <w:i/>
          <w:noProof/>
          <w:sz w:val="24"/>
          <w:szCs w:val="24"/>
          <w:lang w:eastAsia="de-DE"/>
        </w:rPr>
        <w:tab/>
        <w:t>Development Cooperation Instrument (DCI)</w:t>
      </w:r>
      <w:bookmarkEnd w:id="30"/>
      <w:bookmarkEnd w:id="31"/>
    </w:p>
    <w:p w:rsidR="00D136BF" w:rsidRDefault="004C7CDC">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For DCI, the Commission has accelerated disbursements</w:t>
      </w:r>
      <w:r>
        <w:rPr>
          <w:rFonts w:ascii="Times New Roman" w:eastAsia="Times New Roman" w:hAnsi="Times New Roman" w:cs="Times New Roman"/>
          <w:noProof/>
          <w:sz w:val="24"/>
          <w:szCs w:val="24"/>
          <w:lang w:eastAsia="en-GB"/>
        </w:rPr>
        <w:t xml:space="preserve"> related to budget support operations in several countries and some funds have been reallocated to new projects specifically to respond to the Covid-19 crisis, for instance in Afghanistan. The related contracts are being signed and will lead to pre-financi</w:t>
      </w:r>
      <w:r>
        <w:rPr>
          <w:rFonts w:ascii="Times New Roman" w:eastAsia="Times New Roman" w:hAnsi="Times New Roman" w:cs="Times New Roman"/>
          <w:noProof/>
          <w:sz w:val="24"/>
          <w:szCs w:val="24"/>
          <w:lang w:eastAsia="en-GB"/>
        </w:rPr>
        <w:t>ng payments already in 2020.</w:t>
      </w:r>
    </w:p>
    <w:p w:rsidR="00D136BF" w:rsidRDefault="004C7CDC">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most urgent needs have already been covered through redeployments, but only partially. Additional payment appropriations for a total of EUR 90 milion are therefore needed to cover accelerated disbursements for Nepal, Myanma</w:t>
      </w:r>
      <w:r>
        <w:rPr>
          <w:rFonts w:ascii="Times New Roman" w:eastAsia="Times New Roman" w:hAnsi="Times New Roman" w:cs="Times New Roman"/>
          <w:noProof/>
          <w:sz w:val="24"/>
          <w:szCs w:val="24"/>
          <w:lang w:eastAsia="en-GB"/>
        </w:rPr>
        <w:t>r, Cambodia,</w:t>
      </w:r>
      <w:r>
        <w:rPr>
          <w:noProof/>
        </w:rPr>
        <w:t xml:space="preserve"> </w:t>
      </w:r>
      <w:r>
        <w:rPr>
          <w:rFonts w:ascii="Times New Roman" w:eastAsia="Times New Roman" w:hAnsi="Times New Roman" w:cs="Times New Roman"/>
          <w:noProof/>
          <w:sz w:val="24"/>
          <w:szCs w:val="24"/>
          <w:lang w:eastAsia="en-GB"/>
        </w:rPr>
        <w:t>Tajikistan, Uzbekistan and Afghanistan.</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4762"/>
        <w:gridCol w:w="1701"/>
        <w:gridCol w:w="1701"/>
      </w:tblGrid>
      <w:tr w:rsidR="00D136BF">
        <w:trPr>
          <w:jc w:val="center"/>
        </w:trPr>
        <w:tc>
          <w:tcPr>
            <w:tcW w:w="9222" w:type="dxa"/>
            <w:gridSpan w:val="4"/>
            <w:tcBorders>
              <w:top w:val="nil"/>
              <w:left w:val="nil"/>
              <w:bottom w:val="single" w:sz="4" w:space="0" w:color="auto"/>
              <w:right w:val="nil"/>
            </w:tcBorders>
            <w:vAlign w:val="center"/>
            <w:hideMark/>
          </w:tcPr>
          <w:p w:rsidR="00D136BF" w:rsidRDefault="004C7CDC">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rsidR="00D136BF">
        <w:trPr>
          <w:jc w:val="center"/>
        </w:trPr>
        <w:tc>
          <w:tcPr>
            <w:tcW w:w="10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136BF" w:rsidRDefault="004C7CDC">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7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rsidR="00D136BF">
        <w:trPr>
          <w:jc w:val="center"/>
        </w:trPr>
        <w:tc>
          <w:tcPr>
            <w:tcW w:w="922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D136BF" w:rsidRDefault="004C7CDC">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rsidR="00D136BF">
        <w:trPr>
          <w:jc w:val="center"/>
        </w:trPr>
        <w:tc>
          <w:tcPr>
            <w:tcW w:w="1058"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21 02 02</w:t>
            </w:r>
          </w:p>
        </w:tc>
        <w:tc>
          <w:tcPr>
            <w:tcW w:w="4762"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Cooperation with Asia</w:t>
            </w:r>
          </w:p>
        </w:tc>
        <w:tc>
          <w:tcPr>
            <w:tcW w:w="1701"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50 000 000</w:t>
            </w:r>
          </w:p>
        </w:tc>
      </w:tr>
      <w:tr w:rsidR="00D136BF">
        <w:trPr>
          <w:jc w:val="center"/>
        </w:trPr>
        <w:tc>
          <w:tcPr>
            <w:tcW w:w="1058"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21 02 03</w:t>
            </w:r>
          </w:p>
        </w:tc>
        <w:tc>
          <w:tcPr>
            <w:tcW w:w="4762"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Cooperation with Central Asia</w:t>
            </w:r>
          </w:p>
        </w:tc>
        <w:tc>
          <w:tcPr>
            <w:tcW w:w="1701"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15 000 000</w:t>
            </w:r>
          </w:p>
        </w:tc>
      </w:tr>
      <w:tr w:rsidR="00D136BF">
        <w:trPr>
          <w:jc w:val="center"/>
        </w:trPr>
        <w:tc>
          <w:tcPr>
            <w:tcW w:w="1058"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21 02 </w:t>
            </w:r>
            <w:r>
              <w:rPr>
                <w:rFonts w:ascii="Times New Roman" w:eastAsia="Times New Roman" w:hAnsi="Times New Roman" w:cs="Times New Roman"/>
                <w:noProof/>
                <w:sz w:val="20"/>
                <w:szCs w:val="20"/>
                <w:lang w:eastAsia="en-GB"/>
              </w:rPr>
              <w:t>05</w:t>
            </w:r>
          </w:p>
        </w:tc>
        <w:tc>
          <w:tcPr>
            <w:tcW w:w="4762"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Cooperation with Afghanistan</w:t>
            </w:r>
          </w:p>
        </w:tc>
        <w:tc>
          <w:tcPr>
            <w:tcW w:w="1701"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Borders>
              <w:top w:val="single" w:sz="4" w:space="0" w:color="auto"/>
              <w:left w:val="single" w:sz="4" w:space="0" w:color="auto"/>
              <w:bottom w:val="single" w:sz="4" w:space="0" w:color="auto"/>
              <w:right w:val="single" w:sz="4" w:space="0" w:color="auto"/>
            </w:tcBorders>
            <w:hideMark/>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25 000 000</w:t>
            </w:r>
          </w:p>
        </w:tc>
      </w:tr>
      <w:tr w:rsidR="00D136BF">
        <w:trPr>
          <w:jc w:val="center"/>
        </w:trPr>
        <w:tc>
          <w:tcPr>
            <w:tcW w:w="582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90 000 000</w:t>
            </w:r>
          </w:p>
        </w:tc>
      </w:tr>
    </w:tbl>
    <w:p w:rsidR="00D136BF" w:rsidRDefault="004C7CDC">
      <w:pPr>
        <w:pStyle w:val="ManualHeading1"/>
        <w:numPr>
          <w:ilvl w:val="0"/>
          <w:numId w:val="2"/>
        </w:numPr>
        <w:rPr>
          <w:noProof/>
        </w:rPr>
      </w:pPr>
      <w:bookmarkStart w:id="32" w:name="_Toc52372354"/>
      <w:bookmarkStart w:id="33" w:name="_Toc52346059"/>
      <w:r>
        <w:rPr>
          <w:noProof/>
        </w:rPr>
        <w:t>Other adjustments on expenditure</w:t>
      </w:r>
      <w:bookmarkEnd w:id="32"/>
      <w:bookmarkEnd w:id="33"/>
    </w:p>
    <w:p w:rsidR="00D136BF" w:rsidRDefault="004C7CDC">
      <w:pPr>
        <w:pStyle w:val="ManualHeading1"/>
        <w:numPr>
          <w:ilvl w:val="1"/>
          <w:numId w:val="2"/>
        </w:numPr>
        <w:tabs>
          <w:tab w:val="clear" w:pos="850"/>
          <w:tab w:val="left" w:pos="600"/>
        </w:tabs>
        <w:ind w:left="600" w:hanging="600"/>
        <w:rPr>
          <w:smallCaps w:val="0"/>
          <w:noProof/>
        </w:rPr>
      </w:pPr>
      <w:bookmarkStart w:id="34" w:name="_Toc52372355"/>
      <w:bookmarkStart w:id="35" w:name="_Toc52346060"/>
      <w:bookmarkStart w:id="36" w:name="_Toc462410058"/>
      <w:bookmarkStart w:id="37" w:name="_Toc494994378"/>
      <w:bookmarkStart w:id="38" w:name="_Toc525202232"/>
      <w:bookmarkStart w:id="39" w:name="_Toc43387607"/>
      <w:r>
        <w:rPr>
          <w:smallCaps w:val="0"/>
          <w:noProof/>
        </w:rPr>
        <w:t>European Agricultural Guarantee Fund (EAGF)</w:t>
      </w:r>
      <w:bookmarkEnd w:id="34"/>
      <w:bookmarkEnd w:id="35"/>
    </w:p>
    <w:p w:rsidR="00D136BF" w:rsidRDefault="004C7CDC">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context of exceptional measures to cope with the Covid-19 crisis, the Commission adopted before the summer two packages of measures related to agricultural markets. The first package was dedicated to provide advances and assure smooth functioning of</w:t>
      </w:r>
      <w:r>
        <w:rPr>
          <w:rFonts w:ascii="Times New Roman" w:eastAsia="Times New Roman" w:hAnsi="Times New Roman" w:cs="Times New Roman"/>
          <w:noProof/>
          <w:sz w:val="24"/>
          <w:szCs w:val="24"/>
          <w:lang w:eastAsia="en-GB"/>
        </w:rPr>
        <w:t xml:space="preserve"> the various direct payment schemes as well as to flexibilise controls. The second package focused on a set of provisions related to market support measures in particular in the fruits and vegetables and wine sectors. </w:t>
      </w:r>
    </w:p>
    <w:p w:rsidR="00D136BF" w:rsidRDefault="004C7CDC">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With these measures, the Commission h</w:t>
      </w:r>
      <w:r>
        <w:rPr>
          <w:rFonts w:ascii="Times New Roman" w:eastAsia="Times New Roman" w:hAnsi="Times New Roman" w:cs="Times New Roman"/>
          <w:noProof/>
          <w:sz w:val="24"/>
          <w:szCs w:val="24"/>
          <w:lang w:eastAsia="en-GB"/>
        </w:rPr>
        <w:t xml:space="preserve">as created the conditions for the full use of the EAGF appropriations under the Budget 2020. Both the current level of implementation and recent Member States forecasts support this assumption. </w:t>
      </w:r>
    </w:p>
    <w:p w:rsidR="00D136BF" w:rsidRDefault="004C7CDC">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2020 budget execution of the EAGF is already very advance</w:t>
      </w:r>
      <w:r>
        <w:rPr>
          <w:rFonts w:ascii="Times New Roman" w:eastAsia="Times New Roman" w:hAnsi="Times New Roman" w:cs="Times New Roman"/>
          <w:noProof/>
          <w:sz w:val="24"/>
          <w:szCs w:val="24"/>
          <w:lang w:eastAsia="en-GB"/>
        </w:rPr>
        <w:t>d, in particular for direct payments showing an even better execution than in previous years. Market related expenditure will be largely concentrated in the very end of the financial year, with still considerable uncertainties on the actual level of spendi</w:t>
      </w:r>
      <w:r>
        <w:rPr>
          <w:rFonts w:ascii="Times New Roman" w:eastAsia="Times New Roman" w:hAnsi="Times New Roman" w:cs="Times New Roman"/>
          <w:noProof/>
          <w:sz w:val="24"/>
          <w:szCs w:val="24"/>
          <w:lang w:eastAsia="en-GB"/>
        </w:rPr>
        <w:t>ng particularly for the wine programmes, support to producer organisations in the fruit/vegetables sector and the school schemes.</w:t>
      </w:r>
    </w:p>
    <w:p w:rsidR="00D136BF" w:rsidRDefault="004C7CDC">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Based on currently available information, EAGF assigned revenue is expected to be EUR 176 million lower than the budgeted amou</w:t>
      </w:r>
      <w:r>
        <w:rPr>
          <w:rFonts w:ascii="Times New Roman" w:eastAsia="Times New Roman" w:hAnsi="Times New Roman" w:cs="Times New Roman"/>
          <w:noProof/>
          <w:sz w:val="24"/>
          <w:szCs w:val="24"/>
          <w:lang w:eastAsia="en-GB"/>
        </w:rPr>
        <w:t xml:space="preserve">nt. This difference is explained by (a) the settlement of the financial consequences of Court of Justice case C-252/18P in favour of Greece, (b) lower assigned revenue from conformity and clearance of accounts decisions taken by the Commission and (c) the </w:t>
      </w:r>
      <w:r>
        <w:rPr>
          <w:rFonts w:ascii="Times New Roman" w:eastAsia="Times New Roman" w:hAnsi="Times New Roman" w:cs="Times New Roman"/>
          <w:noProof/>
          <w:sz w:val="24"/>
          <w:szCs w:val="24"/>
          <w:lang w:eastAsia="en-GB"/>
        </w:rPr>
        <w:t>delay of some recoveries to 2021.</w:t>
      </w:r>
    </w:p>
    <w:p w:rsidR="00D136BF" w:rsidRDefault="004C7CDC">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a result, there is the risk of a small deficit compared to the appropriations currently available in the EAGF budget for 2020, which could be covered by mobilising the remaining margin available under Heading 2.</w:t>
      </w:r>
    </w:p>
    <w:p w:rsidR="00D136BF" w:rsidRDefault="004C7CDC">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Based o</w:t>
      </w:r>
      <w:r>
        <w:rPr>
          <w:rFonts w:ascii="Times New Roman" w:eastAsia="Times New Roman" w:hAnsi="Times New Roman" w:cs="Times New Roman"/>
          <w:noProof/>
          <w:sz w:val="24"/>
          <w:szCs w:val="24"/>
          <w:lang w:eastAsia="en-GB"/>
        </w:rPr>
        <w:t>n the information currently available, and taking into account the forecasts of Member States, the Commission proposes to reinforce the Operational funds for producer organisations budget line under the EAGF as outlined below:</w:t>
      </w:r>
    </w:p>
    <w:p w:rsidR="00D136BF" w:rsidRDefault="004C7CDC">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br w:type="page"/>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D136BF">
        <w:trPr>
          <w:jc w:val="center"/>
        </w:trPr>
        <w:tc>
          <w:tcPr>
            <w:tcW w:w="9222" w:type="dxa"/>
            <w:gridSpan w:val="4"/>
            <w:tcBorders>
              <w:top w:val="nil"/>
              <w:left w:val="nil"/>
              <w:bottom w:val="single" w:sz="4" w:space="0" w:color="auto"/>
              <w:right w:val="nil"/>
            </w:tcBorders>
            <w:shd w:val="clear" w:color="auto" w:fill="auto"/>
            <w:vAlign w:val="center"/>
          </w:tcPr>
          <w:p w:rsidR="00D136BF" w:rsidRDefault="004C7CDC">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rsidR="00D136BF">
        <w:trPr>
          <w:jc w:val="center"/>
        </w:trPr>
        <w:tc>
          <w:tcPr>
            <w:tcW w:w="1232" w:type="dxa"/>
            <w:tcBorders>
              <w:top w:val="single" w:sz="4" w:space="0" w:color="auto"/>
            </w:tcBorders>
            <w:shd w:val="clear" w:color="auto" w:fill="D9D9D9"/>
            <w:vAlign w:val="center"/>
          </w:tcPr>
          <w:p w:rsidR="00D136BF" w:rsidRDefault="004C7CDC">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588"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rsidR="00D136BF">
        <w:trPr>
          <w:jc w:val="center"/>
        </w:trPr>
        <w:tc>
          <w:tcPr>
            <w:tcW w:w="9222" w:type="dxa"/>
            <w:gridSpan w:val="4"/>
            <w:shd w:val="clear" w:color="auto" w:fill="F2F2F2"/>
            <w:vAlign w:val="center"/>
          </w:tcPr>
          <w:p w:rsidR="00D136BF" w:rsidRDefault="004C7CDC">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rsidR="00D136BF">
        <w:trPr>
          <w:jc w:val="center"/>
        </w:trPr>
        <w:tc>
          <w:tcPr>
            <w:tcW w:w="1232" w:type="dxa"/>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05 02 08 03</w:t>
            </w:r>
          </w:p>
        </w:tc>
        <w:tc>
          <w:tcPr>
            <w:tcW w:w="4588" w:type="dxa"/>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Operational funds for producer organisations</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48 655 078</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48 655 078</w:t>
            </w:r>
          </w:p>
        </w:tc>
      </w:tr>
      <w:tr w:rsidR="00D136BF">
        <w:trPr>
          <w:jc w:val="center"/>
        </w:trPr>
        <w:tc>
          <w:tcPr>
            <w:tcW w:w="5820" w:type="dxa"/>
            <w:gridSpan w:val="2"/>
            <w:shd w:val="clear" w:color="auto" w:fill="D9D9D9"/>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48 655 078</w:t>
            </w:r>
          </w:p>
        </w:tc>
        <w:tc>
          <w:tcPr>
            <w:tcW w:w="1701" w:type="dxa"/>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48 655 078</w:t>
            </w:r>
          </w:p>
        </w:tc>
      </w:tr>
    </w:tbl>
    <w:p w:rsidR="00D136BF" w:rsidRDefault="004C7CDC">
      <w:pPr>
        <w:pStyle w:val="ListParagraph"/>
        <w:keepNext/>
        <w:numPr>
          <w:ilvl w:val="1"/>
          <w:numId w:val="2"/>
        </w:numPr>
        <w:tabs>
          <w:tab w:val="left" w:pos="600"/>
        </w:tabs>
        <w:spacing w:before="360" w:after="120"/>
        <w:ind w:left="600" w:hanging="600"/>
        <w:jc w:val="both"/>
        <w:outlineLvl w:val="1"/>
        <w:rPr>
          <w:rFonts w:ascii="Times New Roman" w:eastAsia="Calibri" w:hAnsi="Times New Roman" w:cs="Times New Roman"/>
          <w:b/>
          <w:noProof/>
          <w:sz w:val="24"/>
          <w:szCs w:val="24"/>
          <w:lang w:eastAsia="de-DE"/>
        </w:rPr>
      </w:pPr>
      <w:bookmarkStart w:id="40" w:name="_Toc52372356"/>
      <w:bookmarkStart w:id="41" w:name="_Toc52346061"/>
      <w:bookmarkEnd w:id="36"/>
      <w:bookmarkEnd w:id="37"/>
      <w:bookmarkEnd w:id="38"/>
      <w:bookmarkEnd w:id="39"/>
      <w:r>
        <w:rPr>
          <w:rFonts w:ascii="Times New Roman" w:eastAsia="Calibri" w:hAnsi="Times New Roman" w:cs="Times New Roman"/>
          <w:b/>
          <w:noProof/>
          <w:sz w:val="24"/>
          <w:szCs w:val="24"/>
          <w:lang w:eastAsia="de-DE"/>
        </w:rPr>
        <w:t>Decentralised agencies</w:t>
      </w:r>
      <w:bookmarkEnd w:id="40"/>
      <w:bookmarkEnd w:id="41"/>
    </w:p>
    <w:p w:rsidR="00D136BF" w:rsidRDefault="004C7CDC">
      <w:pPr>
        <w:keepNext/>
        <w:tabs>
          <w:tab w:val="left" w:pos="850"/>
        </w:tabs>
        <w:spacing w:before="240" w:after="120"/>
        <w:ind w:left="850" w:hanging="850"/>
        <w:jc w:val="both"/>
        <w:outlineLvl w:val="1"/>
        <w:rPr>
          <w:rFonts w:ascii="Times New Roman" w:eastAsia="Calibri" w:hAnsi="Times New Roman" w:cs="Times New Roman"/>
          <w:i/>
          <w:noProof/>
          <w:sz w:val="24"/>
          <w:szCs w:val="24"/>
          <w:lang w:eastAsia="de-DE"/>
        </w:rPr>
      </w:pPr>
      <w:bookmarkStart w:id="42" w:name="_Toc35506106"/>
      <w:bookmarkStart w:id="43" w:name="_Toc52372357"/>
      <w:bookmarkStart w:id="44" w:name="_Toc52346062"/>
      <w:r>
        <w:rPr>
          <w:rFonts w:ascii="Times New Roman" w:eastAsia="Calibri" w:hAnsi="Times New Roman" w:cs="Times New Roman"/>
          <w:i/>
          <w:noProof/>
          <w:sz w:val="24"/>
          <w:szCs w:val="24"/>
          <w:lang w:eastAsia="de-DE"/>
        </w:rPr>
        <w:t xml:space="preserve">3.2.1 </w:t>
      </w:r>
      <w:r>
        <w:rPr>
          <w:rFonts w:ascii="Times New Roman" w:eastAsia="Calibri" w:hAnsi="Times New Roman" w:cs="Times New Roman"/>
          <w:i/>
          <w:noProof/>
          <w:sz w:val="24"/>
          <w:szCs w:val="24"/>
          <w:lang w:eastAsia="de-DE"/>
        </w:rPr>
        <w:tab/>
      </w:r>
      <w:bookmarkEnd w:id="42"/>
      <w:r>
        <w:rPr>
          <w:rFonts w:ascii="Times New Roman" w:eastAsia="Calibri" w:hAnsi="Times New Roman" w:cs="Times New Roman"/>
          <w:i/>
          <w:noProof/>
          <w:sz w:val="24"/>
          <w:szCs w:val="24"/>
          <w:lang w:eastAsia="de-DE"/>
        </w:rPr>
        <w:t>European Supervisory Authorities (ESAs)</w:t>
      </w:r>
      <w:bookmarkEnd w:id="43"/>
      <w:bookmarkEnd w:id="44"/>
    </w:p>
    <w:p w:rsidR="00D136BF" w:rsidRDefault="004C7CDC">
      <w:pPr>
        <w:spacing w:before="120" w:after="120"/>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All three European Supervisory Authorities (ESAs) identified savings as a result of the on-going Covid-19 impact on their work as well as reduced need for EU contributions linked to the implementation of:</w:t>
      </w:r>
    </w:p>
    <w:p w:rsidR="00D136BF" w:rsidRDefault="004C7CDC">
      <w:pPr>
        <w:pStyle w:val="ListParagraph"/>
        <w:numPr>
          <w:ilvl w:val="0"/>
          <w:numId w:val="10"/>
        </w:numPr>
        <w:spacing w:before="120" w:after="120"/>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the framework to facilitate sustainable investment </w:t>
      </w:r>
      <w:r>
        <w:rPr>
          <w:rFonts w:ascii="Times New Roman" w:hAnsi="Times New Roman" w:cs="Times New Roman"/>
          <w:noProof/>
          <w:sz w:val="24"/>
          <w:szCs w:val="24"/>
          <w:lang w:eastAsia="de-DE"/>
        </w:rPr>
        <w:t>for each of the three ESAs;</w:t>
      </w:r>
    </w:p>
    <w:p w:rsidR="00D136BF" w:rsidRDefault="004C7CDC">
      <w:pPr>
        <w:pStyle w:val="ListParagraph"/>
        <w:numPr>
          <w:ilvl w:val="0"/>
          <w:numId w:val="10"/>
        </w:numPr>
        <w:spacing w:before="120" w:after="120"/>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legislation on European crowdfunding service providers and on Sovereign Bond-Backed Securities (SBBS) for the European Securities and Markets Authority (ESMA); and</w:t>
      </w:r>
    </w:p>
    <w:p w:rsidR="00D136BF" w:rsidRDefault="004C7CDC">
      <w:pPr>
        <w:spacing w:before="120" w:after="120"/>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In addition a smaller need for an advance was identified for</w:t>
      </w:r>
      <w:r>
        <w:rPr>
          <w:rFonts w:ascii="Times New Roman" w:hAnsi="Times New Roman" w:cs="Times New Roman"/>
          <w:noProof/>
          <w:sz w:val="24"/>
          <w:szCs w:val="24"/>
          <w:lang w:eastAsia="de-DE"/>
        </w:rPr>
        <w:t xml:space="preserve"> ESMA’s collection of fees stemming from the Delegated Act for the supervision of third country Central Counterparties</w:t>
      </w:r>
      <w:r>
        <w:rPr>
          <w:rStyle w:val="FootnoteReference"/>
          <w:rFonts w:ascii="Times New Roman" w:hAnsi="Times New Roman" w:cs="Times New Roman"/>
          <w:noProof/>
          <w:sz w:val="24"/>
          <w:szCs w:val="24"/>
          <w:lang w:eastAsia="de-DE"/>
        </w:rPr>
        <w:footnoteReference w:id="16"/>
      </w:r>
      <w:r>
        <w:rPr>
          <w:rFonts w:ascii="Times New Roman" w:hAnsi="Times New Roman" w:cs="Times New Roman"/>
          <w:noProof/>
          <w:sz w:val="24"/>
          <w:szCs w:val="24"/>
          <w:lang w:eastAsia="de-DE"/>
        </w:rPr>
        <w:t>.</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D136BF">
        <w:trPr>
          <w:jc w:val="center"/>
        </w:trPr>
        <w:tc>
          <w:tcPr>
            <w:tcW w:w="9222" w:type="dxa"/>
            <w:gridSpan w:val="4"/>
            <w:tcBorders>
              <w:top w:val="nil"/>
              <w:left w:val="nil"/>
              <w:bottom w:val="single" w:sz="4" w:space="0" w:color="auto"/>
              <w:right w:val="nil"/>
            </w:tcBorders>
            <w:shd w:val="clear" w:color="auto" w:fill="auto"/>
            <w:vAlign w:val="center"/>
          </w:tcPr>
          <w:p w:rsidR="00D136BF" w:rsidRDefault="004C7CDC">
            <w:pPr>
              <w:keepNext/>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rsidR="00D136BF">
        <w:trPr>
          <w:jc w:val="center"/>
        </w:trPr>
        <w:tc>
          <w:tcPr>
            <w:tcW w:w="1232" w:type="dxa"/>
            <w:tcBorders>
              <w:top w:val="single" w:sz="4" w:space="0" w:color="auto"/>
            </w:tcBorders>
            <w:shd w:val="clear" w:color="auto" w:fill="D9D9D9"/>
            <w:vAlign w:val="center"/>
          </w:tcPr>
          <w:p w:rsidR="00D136BF" w:rsidRDefault="004C7CDC">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588"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rsidR="00D136BF">
        <w:trPr>
          <w:jc w:val="center"/>
        </w:trPr>
        <w:tc>
          <w:tcPr>
            <w:tcW w:w="9222" w:type="dxa"/>
            <w:gridSpan w:val="4"/>
            <w:shd w:val="clear" w:color="auto" w:fill="F2F2F2"/>
            <w:vAlign w:val="center"/>
          </w:tcPr>
          <w:p w:rsidR="00D136BF" w:rsidRDefault="004C7CDC">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rsidR="00D136BF">
        <w:trPr>
          <w:jc w:val="center"/>
        </w:trPr>
        <w:tc>
          <w:tcPr>
            <w:tcW w:w="1232" w:type="dxa"/>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12 02 04</w:t>
            </w:r>
          </w:p>
        </w:tc>
        <w:tc>
          <w:tcPr>
            <w:tcW w:w="4588" w:type="dxa"/>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 xml:space="preserve">European Banking Authority </w:t>
            </w:r>
            <w:r>
              <w:rPr>
                <w:rFonts w:ascii="Times New Roman" w:eastAsia="Times New Roman" w:hAnsi="Times New Roman" w:cs="Times New Roman"/>
                <w:noProof/>
                <w:sz w:val="16"/>
                <w:szCs w:val="16"/>
                <w:lang w:eastAsia="en-GB"/>
              </w:rPr>
              <w:t>(EBA)</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-1 416 000</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-1 416 000</w:t>
            </w:r>
          </w:p>
        </w:tc>
      </w:tr>
      <w:tr w:rsidR="00D136BF">
        <w:trPr>
          <w:jc w:val="center"/>
        </w:trPr>
        <w:tc>
          <w:tcPr>
            <w:tcW w:w="1232" w:type="dxa"/>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12 02 05</w:t>
            </w:r>
          </w:p>
        </w:tc>
        <w:tc>
          <w:tcPr>
            <w:tcW w:w="4588" w:type="dxa"/>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European Insurance and Occupational Pensions Authority (EIOPA)</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-314 636</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-314 636</w:t>
            </w:r>
          </w:p>
        </w:tc>
      </w:tr>
      <w:tr w:rsidR="00D136BF">
        <w:trPr>
          <w:jc w:val="center"/>
        </w:trPr>
        <w:tc>
          <w:tcPr>
            <w:tcW w:w="1232" w:type="dxa"/>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12 02 06</w:t>
            </w:r>
          </w:p>
        </w:tc>
        <w:tc>
          <w:tcPr>
            <w:tcW w:w="4588" w:type="dxa"/>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European Securities and Markets Authority (ESMA)</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-7 383 576</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-7 383 576</w:t>
            </w:r>
          </w:p>
        </w:tc>
      </w:tr>
      <w:tr w:rsidR="00D136BF">
        <w:trPr>
          <w:jc w:val="center"/>
        </w:trPr>
        <w:tc>
          <w:tcPr>
            <w:tcW w:w="5820" w:type="dxa"/>
            <w:gridSpan w:val="2"/>
            <w:shd w:val="clear" w:color="auto" w:fill="D9D9D9"/>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-9 114 212</w:t>
            </w:r>
          </w:p>
        </w:tc>
        <w:tc>
          <w:tcPr>
            <w:tcW w:w="1701" w:type="dxa"/>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-9 114 212</w:t>
            </w:r>
          </w:p>
        </w:tc>
      </w:tr>
    </w:tbl>
    <w:p w:rsidR="00D136BF" w:rsidRDefault="004C7CDC">
      <w:pPr>
        <w:keepNext/>
        <w:tabs>
          <w:tab w:val="left" w:pos="850"/>
        </w:tabs>
        <w:spacing w:before="240" w:after="120"/>
        <w:ind w:left="850" w:hanging="850"/>
        <w:jc w:val="both"/>
        <w:outlineLvl w:val="1"/>
        <w:rPr>
          <w:rFonts w:ascii="Times New Roman" w:eastAsia="Calibri" w:hAnsi="Times New Roman" w:cs="Times New Roman"/>
          <w:i/>
          <w:noProof/>
          <w:sz w:val="24"/>
          <w:szCs w:val="24"/>
          <w:lang w:eastAsia="de-DE"/>
        </w:rPr>
      </w:pPr>
      <w:bookmarkStart w:id="45" w:name="_Toc52372358"/>
      <w:bookmarkStart w:id="46" w:name="_Toc52346063"/>
      <w:bookmarkStart w:id="47" w:name="_Toc43387613"/>
      <w:r>
        <w:rPr>
          <w:rFonts w:ascii="Times New Roman" w:eastAsia="Calibri" w:hAnsi="Times New Roman" w:cs="Times New Roman"/>
          <w:i/>
          <w:noProof/>
          <w:sz w:val="24"/>
          <w:szCs w:val="24"/>
          <w:lang w:eastAsia="de-DE"/>
        </w:rPr>
        <w:t>3.2.2</w:t>
      </w:r>
      <w:r>
        <w:rPr>
          <w:rFonts w:ascii="Times New Roman" w:eastAsia="Calibri" w:hAnsi="Times New Roman" w:cs="Times New Roman"/>
          <w:i/>
          <w:noProof/>
          <w:sz w:val="24"/>
          <w:szCs w:val="24"/>
          <w:lang w:eastAsia="de-DE"/>
        </w:rPr>
        <w:tab/>
        <w:t xml:space="preserve">European Labour </w:t>
      </w:r>
      <w:r>
        <w:rPr>
          <w:rFonts w:ascii="Times New Roman" w:eastAsia="Calibri" w:hAnsi="Times New Roman" w:cs="Times New Roman"/>
          <w:i/>
          <w:noProof/>
          <w:sz w:val="24"/>
          <w:szCs w:val="24"/>
          <w:lang w:eastAsia="de-DE"/>
        </w:rPr>
        <w:t>Authority (ELA)</w:t>
      </w:r>
      <w:bookmarkEnd w:id="45"/>
      <w:bookmarkEnd w:id="46"/>
    </w:p>
    <w:p w:rsidR="00D136BF" w:rsidRDefault="004C7CDC">
      <w:pPr>
        <w:spacing w:before="120" w:after="120"/>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The Covid-19 crisis impacted the work of the European Labour Authority, reducing the number of on-site meetings and joint inspections and slowing down the pace of staff recruitment. </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rsidR="00D136BF">
        <w:trPr>
          <w:jc w:val="center"/>
        </w:trPr>
        <w:tc>
          <w:tcPr>
            <w:tcW w:w="9222" w:type="dxa"/>
            <w:gridSpan w:val="4"/>
            <w:tcBorders>
              <w:top w:val="nil"/>
              <w:left w:val="nil"/>
              <w:bottom w:val="single" w:sz="4" w:space="0" w:color="auto"/>
              <w:right w:val="nil"/>
            </w:tcBorders>
            <w:shd w:val="clear" w:color="auto" w:fill="auto"/>
            <w:vAlign w:val="center"/>
          </w:tcPr>
          <w:p w:rsidR="00D136BF" w:rsidRDefault="004C7CDC">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rsidR="00D136BF">
        <w:trPr>
          <w:jc w:val="center"/>
        </w:trPr>
        <w:tc>
          <w:tcPr>
            <w:tcW w:w="1232" w:type="dxa"/>
            <w:tcBorders>
              <w:top w:val="single" w:sz="4" w:space="0" w:color="auto"/>
            </w:tcBorders>
            <w:shd w:val="clear" w:color="auto" w:fill="D9D9D9"/>
            <w:vAlign w:val="center"/>
          </w:tcPr>
          <w:p w:rsidR="00D136BF" w:rsidRDefault="004C7CDC">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588"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 xml:space="preserve">Payment </w:t>
            </w:r>
            <w:r>
              <w:rPr>
                <w:rFonts w:ascii="Times New Roman" w:eastAsia="Times New Roman" w:hAnsi="Times New Roman" w:cs="Times New Roman"/>
                <w:b/>
                <w:noProof/>
                <w:sz w:val="20"/>
                <w:szCs w:val="20"/>
                <w:lang w:eastAsia="en-GB"/>
              </w:rPr>
              <w:t>appropriations</w:t>
            </w:r>
          </w:p>
        </w:tc>
      </w:tr>
      <w:tr w:rsidR="00D136BF">
        <w:trPr>
          <w:jc w:val="center"/>
        </w:trPr>
        <w:tc>
          <w:tcPr>
            <w:tcW w:w="9222" w:type="dxa"/>
            <w:gridSpan w:val="4"/>
            <w:shd w:val="clear" w:color="auto" w:fill="F2F2F2"/>
            <w:vAlign w:val="center"/>
          </w:tcPr>
          <w:p w:rsidR="00D136BF" w:rsidRDefault="004C7CDC">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rsidR="00D136BF">
        <w:trPr>
          <w:jc w:val="center"/>
        </w:trPr>
        <w:tc>
          <w:tcPr>
            <w:tcW w:w="1232" w:type="dxa"/>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04 03 15</w:t>
            </w:r>
          </w:p>
        </w:tc>
        <w:tc>
          <w:tcPr>
            <w:tcW w:w="4588" w:type="dxa"/>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European Labour Authority (ELA)</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-3 105 725</w:t>
            </w:r>
          </w:p>
        </w:tc>
        <w:tc>
          <w:tcPr>
            <w:tcW w:w="1701" w:type="dxa"/>
          </w:tcPr>
          <w:p w:rsidR="00D136BF" w:rsidRDefault="004C7CDC">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r>
      <w:tr w:rsidR="00D136BF">
        <w:trPr>
          <w:jc w:val="center"/>
        </w:trPr>
        <w:tc>
          <w:tcPr>
            <w:tcW w:w="5820" w:type="dxa"/>
            <w:gridSpan w:val="2"/>
            <w:shd w:val="clear" w:color="auto" w:fill="D9D9D9"/>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-3 105 725</w:t>
            </w:r>
          </w:p>
        </w:tc>
        <w:tc>
          <w:tcPr>
            <w:tcW w:w="1701" w:type="dxa"/>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0</w:t>
            </w:r>
          </w:p>
        </w:tc>
      </w:tr>
    </w:tbl>
    <w:p w:rsidR="00D136BF" w:rsidRDefault="004C7CDC">
      <w:pPr>
        <w:pStyle w:val="ManualHeading1"/>
        <w:numPr>
          <w:ilvl w:val="0"/>
          <w:numId w:val="2"/>
        </w:numPr>
        <w:rPr>
          <w:noProof/>
        </w:rPr>
      </w:pPr>
      <w:bookmarkStart w:id="48" w:name="_Toc52283348"/>
      <w:bookmarkStart w:id="49" w:name="_Toc52283380"/>
      <w:bookmarkStart w:id="50" w:name="_Toc52284698"/>
      <w:bookmarkStart w:id="51" w:name="_Toc52372359"/>
      <w:bookmarkStart w:id="52" w:name="_Toc52346064"/>
      <w:bookmarkEnd w:id="48"/>
      <w:bookmarkEnd w:id="49"/>
      <w:bookmarkEnd w:id="50"/>
      <w:r>
        <w:rPr>
          <w:noProof/>
        </w:rPr>
        <w:t>Adjustments of revenue</w:t>
      </w:r>
      <w:bookmarkEnd w:id="51"/>
      <w:bookmarkEnd w:id="52"/>
    </w:p>
    <w:p w:rsidR="00D136BF" w:rsidRDefault="004C7CDC">
      <w:pPr>
        <w:keepNext/>
        <w:tabs>
          <w:tab w:val="left" w:pos="600"/>
        </w:tabs>
        <w:spacing w:before="240" w:after="120"/>
        <w:jc w:val="both"/>
        <w:outlineLvl w:val="1"/>
        <w:rPr>
          <w:rFonts w:ascii="Times New Roman" w:eastAsia="Calibri" w:hAnsi="Times New Roman" w:cs="Times New Roman"/>
          <w:b/>
          <w:noProof/>
          <w:sz w:val="24"/>
          <w:szCs w:val="24"/>
          <w:lang w:eastAsia="de-DE"/>
        </w:rPr>
      </w:pPr>
      <w:bookmarkStart w:id="53" w:name="_Toc52372360"/>
      <w:r>
        <w:rPr>
          <w:rFonts w:ascii="Times New Roman" w:eastAsia="Calibri" w:hAnsi="Times New Roman" w:cs="Times New Roman"/>
          <w:b/>
          <w:noProof/>
          <w:sz w:val="24"/>
          <w:szCs w:val="24"/>
          <w:lang w:eastAsia="de-DE"/>
        </w:rPr>
        <w:t>4.1</w:t>
      </w:r>
      <w:r>
        <w:rPr>
          <w:rFonts w:ascii="Times New Roman" w:eastAsia="Calibri" w:hAnsi="Times New Roman" w:cs="Times New Roman"/>
          <w:b/>
          <w:noProof/>
          <w:sz w:val="24"/>
          <w:szCs w:val="24"/>
          <w:lang w:eastAsia="de-DE"/>
        </w:rPr>
        <w:tab/>
      </w:r>
      <w:bookmarkStart w:id="54" w:name="_Toc52346065"/>
      <w:r>
        <w:rPr>
          <w:rFonts w:ascii="Times New Roman" w:eastAsia="Calibri" w:hAnsi="Times New Roman" w:cs="Times New Roman"/>
          <w:b/>
          <w:noProof/>
          <w:sz w:val="24"/>
          <w:szCs w:val="24"/>
          <w:lang w:eastAsia="de-DE"/>
        </w:rPr>
        <w:t>Exchange rate differences in own resources</w:t>
      </w:r>
      <w:bookmarkEnd w:id="47"/>
      <w:bookmarkEnd w:id="53"/>
      <w:bookmarkEnd w:id="54"/>
    </w:p>
    <w:p w:rsidR="00D136BF" w:rsidRDefault="004C7CDC">
      <w:pPr>
        <w:jc w:val="both"/>
        <w:rPr>
          <w:rFonts w:ascii="Times New Roman" w:eastAsia="Calibri" w:hAnsi="Times New Roman" w:cs="Times New Roman"/>
          <w:b/>
          <w:noProof/>
          <w:sz w:val="24"/>
          <w:szCs w:val="24"/>
          <w:lang w:eastAsia="de-DE"/>
        </w:rPr>
      </w:pPr>
      <w:r>
        <w:rPr>
          <w:rFonts w:ascii="Times New Roman" w:eastAsia="Calibri" w:hAnsi="Times New Roman" w:cs="Times New Roman"/>
          <w:noProof/>
          <w:sz w:val="24"/>
          <w:szCs w:val="24"/>
          <w:lang w:eastAsia="de-DE"/>
        </w:rPr>
        <w:t xml:space="preserve">The budget is established in euro whereas Member States' </w:t>
      </w:r>
      <w:r>
        <w:rPr>
          <w:rFonts w:ascii="Times New Roman" w:eastAsia="Calibri" w:hAnsi="Times New Roman" w:cs="Times New Roman"/>
          <w:noProof/>
          <w:sz w:val="24"/>
          <w:szCs w:val="24"/>
          <w:lang w:eastAsia="de-DE"/>
        </w:rPr>
        <w:t>contributions are determined in national currency. The annual contributions of Member States are paid in 12 monthly instalments ("twelfths"). Each instalment paid in a non-euro currency is recorded in the accounts using the monthly exchange rates of the mo</w:t>
      </w:r>
      <w:r>
        <w:rPr>
          <w:rFonts w:ascii="Times New Roman" w:eastAsia="Calibri" w:hAnsi="Times New Roman" w:cs="Times New Roman"/>
          <w:noProof/>
          <w:sz w:val="24"/>
          <w:szCs w:val="24"/>
          <w:lang w:eastAsia="de-DE"/>
        </w:rPr>
        <w:t>nth in which the payment is made.</w:t>
      </w:r>
    </w:p>
    <w:p w:rsidR="00D136BF" w:rsidRDefault="004C7CDC">
      <w:pPr>
        <w:spacing w:before="120" w:after="120"/>
        <w:jc w:val="both"/>
        <w:rPr>
          <w:rFonts w:ascii="Times New Roman" w:eastAsia="Calibri" w:hAnsi="Times New Roman" w:cs="Times New Roman"/>
          <w:noProof/>
          <w:sz w:val="24"/>
          <w:szCs w:val="24"/>
          <w:lang w:eastAsia="de-DE"/>
        </w:rPr>
      </w:pPr>
      <w:r>
        <w:rPr>
          <w:rFonts w:ascii="Times New Roman" w:eastAsia="Calibri" w:hAnsi="Times New Roman" w:cs="Times New Roman"/>
          <w:noProof/>
          <w:sz w:val="24"/>
          <w:szCs w:val="24"/>
          <w:lang w:eastAsia="de-DE"/>
        </w:rPr>
        <w:t>For Member States outside the Eurozone the budget is converted into national currency using the exchange rate of the last quotation day of the calendar year preceding the budget year</w:t>
      </w:r>
      <w:r>
        <w:rPr>
          <w:rStyle w:val="FootnoteReference"/>
          <w:rFonts w:ascii="Times New Roman" w:eastAsia="Calibri" w:hAnsi="Times New Roman" w:cs="Times New Roman"/>
          <w:noProof/>
          <w:sz w:val="24"/>
          <w:szCs w:val="24"/>
          <w:lang w:eastAsia="de-DE"/>
        </w:rPr>
        <w:footnoteReference w:id="17"/>
      </w:r>
      <w:r>
        <w:rPr>
          <w:rFonts w:ascii="Times New Roman" w:eastAsia="Calibri" w:hAnsi="Times New Roman" w:cs="Times New Roman"/>
          <w:noProof/>
          <w:sz w:val="24"/>
          <w:szCs w:val="24"/>
          <w:lang w:eastAsia="de-DE"/>
        </w:rPr>
        <w:t xml:space="preserve">. Thus for 2020, the exchange rate of </w:t>
      </w:r>
      <w:r>
        <w:rPr>
          <w:rFonts w:ascii="Times New Roman" w:eastAsia="Calibri" w:hAnsi="Times New Roman" w:cs="Times New Roman"/>
          <w:noProof/>
          <w:sz w:val="24"/>
          <w:szCs w:val="24"/>
          <w:lang w:eastAsia="de-DE"/>
        </w:rPr>
        <w:t>31 December 2019 is used to convert the budget from euro into non-euro currencies.</w:t>
      </w:r>
    </w:p>
    <w:p w:rsidR="00D136BF" w:rsidRDefault="004C7CDC">
      <w:pPr>
        <w:spacing w:before="120" w:after="120"/>
        <w:jc w:val="both"/>
        <w:rPr>
          <w:rFonts w:ascii="Times New Roman" w:eastAsia="Calibri" w:hAnsi="Times New Roman" w:cs="Times New Roman"/>
          <w:noProof/>
          <w:sz w:val="24"/>
          <w:szCs w:val="24"/>
          <w:lang w:eastAsia="de-DE"/>
        </w:rPr>
      </w:pPr>
      <w:r>
        <w:rPr>
          <w:rFonts w:ascii="Times New Roman" w:eastAsia="Calibri" w:hAnsi="Times New Roman" w:cs="Times New Roman"/>
          <w:noProof/>
          <w:sz w:val="24"/>
          <w:szCs w:val="24"/>
          <w:lang w:eastAsia="de-DE"/>
        </w:rPr>
        <w:t>Therefore any differences in the exchange rates used for calculating the monthly "twelfth" in national currency and the accounting rates applicable in the month of payment o</w:t>
      </w:r>
      <w:r>
        <w:rPr>
          <w:rFonts w:ascii="Times New Roman" w:eastAsia="Calibri" w:hAnsi="Times New Roman" w:cs="Times New Roman"/>
          <w:noProof/>
          <w:sz w:val="24"/>
          <w:szCs w:val="24"/>
          <w:lang w:eastAsia="de-DE"/>
        </w:rPr>
        <w:t>f the "twelfth" result inevitably in differences between the own resources amounts in euro foreseen in the budget and the amount actually cashed in.</w:t>
      </w:r>
    </w:p>
    <w:p w:rsidR="00D136BF" w:rsidRDefault="004C7CDC">
      <w:pPr>
        <w:spacing w:before="120" w:after="120"/>
        <w:jc w:val="both"/>
        <w:rPr>
          <w:rFonts w:ascii="Times New Roman" w:eastAsia="Calibri" w:hAnsi="Times New Roman" w:cs="Times New Roman"/>
          <w:noProof/>
          <w:sz w:val="24"/>
          <w:szCs w:val="24"/>
          <w:lang w:eastAsia="de-DE"/>
        </w:rPr>
      </w:pPr>
      <w:r>
        <w:rPr>
          <w:rFonts w:ascii="Times New Roman" w:eastAsia="Calibri" w:hAnsi="Times New Roman" w:cs="Times New Roman"/>
          <w:noProof/>
          <w:sz w:val="24"/>
          <w:szCs w:val="24"/>
          <w:lang w:eastAsia="de-DE"/>
        </w:rPr>
        <w:t>Monthly exchange rate fluctuations may compensate each other out during a budget year. However in 2020, the</w:t>
      </w:r>
      <w:r>
        <w:rPr>
          <w:rFonts w:ascii="Times New Roman" w:eastAsia="Calibri" w:hAnsi="Times New Roman" w:cs="Times New Roman"/>
          <w:noProof/>
          <w:sz w:val="24"/>
          <w:szCs w:val="24"/>
          <w:lang w:eastAsia="de-DE"/>
        </w:rPr>
        <w:t xml:space="preserve"> exchange rate development is overall negative. From January to June, a total of minus EUR 400,6 million of exchange rate differences has been registered for own resources and entered in the Amending budget No 7.</w:t>
      </w:r>
    </w:p>
    <w:p w:rsidR="00D136BF" w:rsidRDefault="004C7CDC">
      <w:pPr>
        <w:spacing w:before="120" w:after="120"/>
        <w:jc w:val="both"/>
        <w:rPr>
          <w:rFonts w:ascii="Times New Roman" w:eastAsia="Calibri" w:hAnsi="Times New Roman" w:cs="Times New Roman"/>
          <w:noProof/>
          <w:sz w:val="24"/>
          <w:szCs w:val="24"/>
          <w:lang w:eastAsia="de-DE"/>
        </w:rPr>
      </w:pPr>
      <w:r>
        <w:rPr>
          <w:rFonts w:ascii="Times New Roman" w:eastAsia="Calibri" w:hAnsi="Times New Roman" w:cs="Times New Roman"/>
          <w:noProof/>
          <w:sz w:val="24"/>
          <w:szCs w:val="24"/>
          <w:lang w:eastAsia="de-DE"/>
        </w:rPr>
        <w:t>The explanatory memorandum of Amending Budg</w:t>
      </w:r>
      <w:r>
        <w:rPr>
          <w:rFonts w:ascii="Times New Roman" w:eastAsia="Calibri" w:hAnsi="Times New Roman" w:cs="Times New Roman"/>
          <w:noProof/>
          <w:sz w:val="24"/>
          <w:szCs w:val="24"/>
          <w:lang w:eastAsia="de-DE"/>
        </w:rPr>
        <w:t>et No 7 highlighted the possibility of further negative exchange rate developments and ensuing additional budgetary amendments proposed to the Budgetary Authority in an autumn draft amending budget.</w:t>
      </w:r>
    </w:p>
    <w:p w:rsidR="00D136BF" w:rsidRDefault="004C7CDC">
      <w:pPr>
        <w:spacing w:before="120" w:after="120"/>
        <w:jc w:val="both"/>
        <w:rPr>
          <w:rFonts w:ascii="Times New Roman" w:eastAsia="Calibri" w:hAnsi="Times New Roman" w:cs="Times New Roman"/>
          <w:noProof/>
          <w:sz w:val="24"/>
          <w:szCs w:val="24"/>
          <w:lang w:eastAsia="de-DE"/>
        </w:rPr>
      </w:pPr>
      <w:r>
        <w:rPr>
          <w:rFonts w:ascii="Times New Roman" w:eastAsia="Calibri" w:hAnsi="Times New Roman" w:cs="Times New Roman"/>
          <w:noProof/>
          <w:sz w:val="24"/>
          <w:szCs w:val="24"/>
          <w:lang w:eastAsia="de-DE"/>
        </w:rPr>
        <w:t>Since then (July – September) the evolution of the exchan</w:t>
      </w:r>
      <w:r>
        <w:rPr>
          <w:rFonts w:ascii="Times New Roman" w:eastAsia="Calibri" w:hAnsi="Times New Roman" w:cs="Times New Roman"/>
          <w:noProof/>
          <w:sz w:val="24"/>
          <w:szCs w:val="24"/>
          <w:lang w:eastAsia="de-DE"/>
        </w:rPr>
        <w:t>ge rate, driven in particular by the depreciation of British pound resulted in an additional deficit of EUR 180 million. In September, the British pound depreciated sharply again. If it remains broadly at the same level as on 1 October, there would be a fu</w:t>
      </w:r>
      <w:r>
        <w:rPr>
          <w:rFonts w:ascii="Times New Roman" w:eastAsia="Calibri" w:hAnsi="Times New Roman" w:cs="Times New Roman"/>
          <w:noProof/>
          <w:sz w:val="24"/>
          <w:szCs w:val="24"/>
          <w:lang w:eastAsia="de-DE"/>
        </w:rPr>
        <w:t>rther exchange rate deficit in own resources of EUR 536 million during the last three months of the year.</w:t>
      </w:r>
    </w:p>
    <w:p w:rsidR="00D136BF" w:rsidRDefault="004C7CDC">
      <w:pPr>
        <w:spacing w:before="120" w:after="120"/>
        <w:jc w:val="both"/>
        <w:rPr>
          <w:rFonts w:ascii="Times New Roman" w:eastAsia="Calibri" w:hAnsi="Times New Roman" w:cs="Times New Roman"/>
          <w:noProof/>
          <w:sz w:val="24"/>
          <w:szCs w:val="24"/>
          <w:lang w:eastAsia="de-DE"/>
        </w:rPr>
      </w:pPr>
      <w:r>
        <w:rPr>
          <w:rFonts w:ascii="Times New Roman" w:eastAsia="Calibri" w:hAnsi="Times New Roman" w:cs="Times New Roman"/>
          <w:noProof/>
          <w:sz w:val="24"/>
          <w:szCs w:val="24"/>
          <w:lang w:eastAsia="de-DE"/>
        </w:rPr>
        <w:t>In order to reduce the risk of a budgetary deficit by the end of 2020 an amount of minus EUR 716 million is proposed to be entered in the budget (on t</w:t>
      </w:r>
      <w:r>
        <w:rPr>
          <w:rFonts w:ascii="Times New Roman" w:eastAsia="Calibri" w:hAnsi="Times New Roman" w:cs="Times New Roman"/>
          <w:noProof/>
          <w:sz w:val="24"/>
          <w:szCs w:val="24"/>
          <w:lang w:eastAsia="de-DE"/>
        </w:rPr>
        <w:t xml:space="preserve">op of the already budgeted minus EUR 400,6 million in Amending Budget No 7) to offset exchange rate differences till the end of the year. </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6480"/>
        <w:gridCol w:w="1704"/>
        <w:gridCol w:w="51"/>
      </w:tblGrid>
      <w:tr w:rsidR="00D136BF">
        <w:tc>
          <w:tcPr>
            <w:tcW w:w="9303" w:type="dxa"/>
            <w:gridSpan w:val="4"/>
            <w:tcBorders>
              <w:top w:val="nil"/>
              <w:left w:val="nil"/>
              <w:bottom w:val="single" w:sz="4" w:space="0" w:color="auto"/>
              <w:right w:val="nil"/>
            </w:tcBorders>
            <w:shd w:val="clear" w:color="auto" w:fill="auto"/>
            <w:vAlign w:val="center"/>
          </w:tcPr>
          <w:p w:rsidR="00D136BF" w:rsidRDefault="004C7CDC">
            <w:pPr>
              <w:widowControl w:val="0"/>
              <w:spacing w:before="15" w:after="15" w:line="240" w:lineRule="auto"/>
              <w:jc w:val="right"/>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EUR</w:t>
            </w:r>
          </w:p>
        </w:tc>
      </w:tr>
      <w:tr w:rsidR="00D136BF">
        <w:trPr>
          <w:gridAfter w:val="1"/>
          <w:wAfter w:w="51" w:type="dxa"/>
        </w:trPr>
        <w:tc>
          <w:tcPr>
            <w:tcW w:w="1068" w:type="dxa"/>
            <w:tcBorders>
              <w:top w:val="single" w:sz="4" w:space="0" w:color="auto"/>
            </w:tcBorders>
            <w:shd w:val="clear" w:color="auto" w:fill="D9D9D9"/>
            <w:vAlign w:val="center"/>
          </w:tcPr>
          <w:p w:rsidR="00D136BF" w:rsidRDefault="004C7CDC">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Revenue line</w:t>
            </w:r>
          </w:p>
        </w:tc>
        <w:tc>
          <w:tcPr>
            <w:tcW w:w="6480"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4"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Amount</w:t>
            </w:r>
          </w:p>
        </w:tc>
      </w:tr>
      <w:tr w:rsidR="00D136BF">
        <w:trPr>
          <w:gridAfter w:val="1"/>
          <w:wAfter w:w="51" w:type="dxa"/>
        </w:trPr>
        <w:tc>
          <w:tcPr>
            <w:tcW w:w="1068" w:type="dxa"/>
          </w:tcPr>
          <w:p w:rsidR="00D136BF" w:rsidRDefault="004C7CDC">
            <w:pPr>
              <w:widowControl w:val="0"/>
              <w:spacing w:before="15" w:after="15" w:line="240" w:lineRule="auto"/>
              <w:ind w:right="-113"/>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3 9 0</w:t>
            </w:r>
          </w:p>
        </w:tc>
        <w:tc>
          <w:tcPr>
            <w:tcW w:w="6480" w:type="dxa"/>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Adjustment related to exchange rate differences for own resources</w:t>
            </w:r>
          </w:p>
        </w:tc>
        <w:tc>
          <w:tcPr>
            <w:tcW w:w="1704" w:type="dxa"/>
          </w:tcPr>
          <w:p w:rsidR="00D136BF" w:rsidRDefault="004C7CDC">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-716 000 000</w:t>
            </w:r>
          </w:p>
        </w:tc>
      </w:tr>
      <w:tr w:rsidR="00D136BF">
        <w:trPr>
          <w:gridAfter w:val="1"/>
          <w:wAfter w:w="51" w:type="dxa"/>
        </w:trPr>
        <w:tc>
          <w:tcPr>
            <w:tcW w:w="7548" w:type="dxa"/>
            <w:gridSpan w:val="2"/>
            <w:shd w:val="clear" w:color="auto" w:fill="D9D9D9"/>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4" w:type="dxa"/>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-716 000 000</w:t>
            </w:r>
          </w:p>
        </w:tc>
      </w:tr>
    </w:tbl>
    <w:p w:rsidR="00D136BF" w:rsidRDefault="004C7CDC">
      <w:pPr>
        <w:rPr>
          <w:rFonts w:ascii="Times New Roman" w:eastAsia="Calibri" w:hAnsi="Times New Roman" w:cs="Times New Roman"/>
          <w:b/>
          <w:noProof/>
          <w:sz w:val="24"/>
          <w:szCs w:val="24"/>
          <w:lang w:eastAsia="de-DE"/>
        </w:rPr>
      </w:pPr>
      <w:bookmarkStart w:id="55" w:name="_Toc43387614"/>
      <w:bookmarkStart w:id="56" w:name="_Toc52372361"/>
      <w:r>
        <w:rPr>
          <w:rFonts w:ascii="Times New Roman" w:eastAsia="Calibri" w:hAnsi="Times New Roman" w:cs="Times New Roman"/>
          <w:b/>
          <w:noProof/>
          <w:sz w:val="24"/>
          <w:szCs w:val="24"/>
          <w:lang w:eastAsia="de-DE"/>
        </w:rPr>
        <w:br w:type="page"/>
      </w:r>
    </w:p>
    <w:p w:rsidR="00D136BF" w:rsidRDefault="004C7CDC">
      <w:pPr>
        <w:keepNext/>
        <w:tabs>
          <w:tab w:val="left" w:pos="600"/>
        </w:tabs>
        <w:spacing w:before="240" w:after="120"/>
        <w:jc w:val="both"/>
        <w:outlineLvl w:val="1"/>
        <w:rPr>
          <w:rFonts w:ascii="Times New Roman" w:eastAsia="Calibri" w:hAnsi="Times New Roman" w:cs="Times New Roman"/>
          <w:b/>
          <w:noProof/>
          <w:sz w:val="24"/>
          <w:szCs w:val="24"/>
          <w:lang w:eastAsia="de-DE"/>
        </w:rPr>
      </w:pPr>
      <w:r>
        <w:rPr>
          <w:rFonts w:ascii="Times New Roman" w:eastAsia="Calibri" w:hAnsi="Times New Roman" w:cs="Times New Roman"/>
          <w:b/>
          <w:noProof/>
          <w:sz w:val="24"/>
          <w:szCs w:val="24"/>
          <w:lang w:eastAsia="de-DE"/>
        </w:rPr>
        <w:t>4.2</w:t>
      </w:r>
      <w:r>
        <w:rPr>
          <w:rFonts w:ascii="Times New Roman" w:eastAsia="Calibri" w:hAnsi="Times New Roman" w:cs="Times New Roman"/>
          <w:b/>
          <w:noProof/>
          <w:sz w:val="24"/>
          <w:szCs w:val="24"/>
          <w:lang w:eastAsia="de-DE"/>
        </w:rPr>
        <w:tab/>
      </w:r>
      <w:bookmarkStart w:id="57" w:name="_Toc52346066"/>
      <w:r>
        <w:rPr>
          <w:rFonts w:ascii="Times New Roman" w:eastAsia="Calibri" w:hAnsi="Times New Roman" w:cs="Times New Roman"/>
          <w:b/>
          <w:noProof/>
          <w:sz w:val="24"/>
          <w:szCs w:val="24"/>
          <w:lang w:eastAsia="de-DE"/>
        </w:rPr>
        <w:t>Fines and penalty payments</w:t>
      </w:r>
      <w:bookmarkEnd w:id="55"/>
      <w:bookmarkEnd w:id="56"/>
      <w:bookmarkEnd w:id="57"/>
    </w:p>
    <w:p w:rsidR="00D136BF" w:rsidRDefault="004C7CD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Taking into account the amounts that have been cashed until the end of September, it is proposed to increase the forecasts introduced in </w:t>
      </w:r>
      <w:r>
        <w:rPr>
          <w:rFonts w:ascii="Times New Roman" w:eastAsia="Calibri" w:hAnsi="Times New Roman" w:cs="Times New Roman"/>
          <w:noProof/>
          <w:sz w:val="24"/>
          <w:szCs w:val="24"/>
        </w:rPr>
        <w:t>the budget 2020 (EUR 218 million</w:t>
      </w:r>
      <w:r>
        <w:rPr>
          <w:rStyle w:val="FootnoteReference"/>
          <w:rFonts w:ascii="Times New Roman" w:eastAsia="Calibri" w:hAnsi="Times New Roman" w:cs="Times New Roman"/>
          <w:noProof/>
          <w:sz w:val="24"/>
          <w:szCs w:val="24"/>
        </w:rPr>
        <w:footnoteReference w:id="18"/>
      </w:r>
      <w:r>
        <w:rPr>
          <w:rFonts w:ascii="Times New Roman" w:eastAsia="Calibri" w:hAnsi="Times New Roman" w:cs="Times New Roman"/>
          <w:noProof/>
          <w:sz w:val="24"/>
          <w:szCs w:val="24"/>
        </w:rPr>
        <w:t>)</w:t>
      </w:r>
      <w:r>
        <w:rPr>
          <w:rFonts w:ascii="Times New Roman" w:hAnsi="Times New Roman" w:cs="Times New Roman"/>
          <w:noProof/>
          <w:sz w:val="24"/>
          <w:szCs w:val="24"/>
        </w:rPr>
        <w:t xml:space="preserve"> by EUR 128 million. This</w:t>
      </w:r>
      <w:r>
        <w:rPr>
          <w:rFonts w:ascii="Times New Roman" w:eastAsia="Calibri" w:hAnsi="Times New Roman" w:cs="Times New Roman"/>
          <w:noProof/>
          <w:sz w:val="24"/>
          <w:szCs w:val="24"/>
        </w:rPr>
        <w:t xml:space="preserve"> will</w:t>
      </w:r>
      <w:r>
        <w:rPr>
          <w:rFonts w:ascii="Times New Roman" w:hAnsi="Times New Roman" w:cs="Times New Roman"/>
          <w:noProof/>
          <w:sz w:val="24"/>
          <w:szCs w:val="24"/>
        </w:rPr>
        <w:t xml:space="preserve"> reduce accordingly the own resources contributions from Member States to the EU budget.</w:t>
      </w:r>
    </w:p>
    <w:p w:rsidR="00D136BF" w:rsidRDefault="004C7CD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detail by line is shown in the table below.</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6480"/>
        <w:gridCol w:w="1701"/>
        <w:gridCol w:w="27"/>
      </w:tblGrid>
      <w:tr w:rsidR="00D136BF">
        <w:tc>
          <w:tcPr>
            <w:tcW w:w="9276" w:type="dxa"/>
            <w:gridSpan w:val="4"/>
            <w:tcBorders>
              <w:top w:val="nil"/>
              <w:left w:val="nil"/>
              <w:bottom w:val="single" w:sz="4" w:space="0" w:color="auto"/>
              <w:right w:val="nil"/>
            </w:tcBorders>
            <w:shd w:val="clear" w:color="auto" w:fill="auto"/>
            <w:vAlign w:val="center"/>
          </w:tcPr>
          <w:p w:rsidR="00D136BF" w:rsidRDefault="004C7CDC">
            <w:pPr>
              <w:widowControl w:val="0"/>
              <w:spacing w:before="15" w:after="15" w:line="240" w:lineRule="auto"/>
              <w:jc w:val="right"/>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EUR</w:t>
            </w:r>
          </w:p>
        </w:tc>
      </w:tr>
      <w:tr w:rsidR="00D136BF">
        <w:trPr>
          <w:gridAfter w:val="1"/>
          <w:wAfter w:w="27" w:type="dxa"/>
        </w:trPr>
        <w:tc>
          <w:tcPr>
            <w:tcW w:w="1068" w:type="dxa"/>
            <w:tcBorders>
              <w:top w:val="single" w:sz="4" w:space="0" w:color="auto"/>
            </w:tcBorders>
            <w:shd w:val="clear" w:color="auto" w:fill="D9D9D9"/>
            <w:vAlign w:val="center"/>
          </w:tcPr>
          <w:p w:rsidR="00D136BF" w:rsidRDefault="004C7CDC">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Revenue line</w:t>
            </w:r>
          </w:p>
        </w:tc>
        <w:tc>
          <w:tcPr>
            <w:tcW w:w="6480"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rsidR="00D136BF" w:rsidRDefault="004C7CDC">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Amount</w:t>
            </w:r>
          </w:p>
        </w:tc>
      </w:tr>
      <w:tr w:rsidR="00D136BF">
        <w:trPr>
          <w:gridAfter w:val="1"/>
          <w:wAfter w:w="27" w:type="dxa"/>
        </w:trPr>
        <w:tc>
          <w:tcPr>
            <w:tcW w:w="1068" w:type="dxa"/>
          </w:tcPr>
          <w:p w:rsidR="00D136BF" w:rsidRDefault="004C7CDC">
            <w:pPr>
              <w:widowControl w:val="0"/>
              <w:spacing w:before="15" w:after="15" w:line="240" w:lineRule="auto"/>
              <w:ind w:right="-113"/>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7 1 0</w:t>
            </w:r>
          </w:p>
        </w:tc>
        <w:tc>
          <w:tcPr>
            <w:tcW w:w="6480" w:type="dxa"/>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hAnsi="Times New Roman" w:cs="Times New Roman"/>
                <w:noProof/>
                <w:sz w:val="16"/>
                <w:szCs w:val="16"/>
              </w:rPr>
              <w:t xml:space="preserve">Fines, periodic penalty payments and other penalties in connection with the </w:t>
            </w:r>
            <w:r>
              <w:rPr>
                <w:rFonts w:ascii="Times New Roman" w:hAnsi="Times New Roman" w:cs="Times New Roman"/>
                <w:noProof/>
                <w:sz w:val="16"/>
                <w:szCs w:val="16"/>
              </w:rPr>
              <w:t>implementation of the rules on competition</w:t>
            </w:r>
          </w:p>
        </w:tc>
        <w:tc>
          <w:tcPr>
            <w:tcW w:w="1701" w:type="dxa"/>
          </w:tcPr>
          <w:p w:rsidR="00D136BF" w:rsidRDefault="004C7CDC">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71 000 000</w:t>
            </w:r>
          </w:p>
        </w:tc>
      </w:tr>
      <w:tr w:rsidR="00D136BF">
        <w:trPr>
          <w:gridAfter w:val="1"/>
          <w:wAfter w:w="27" w:type="dxa"/>
        </w:trPr>
        <w:tc>
          <w:tcPr>
            <w:tcW w:w="1068" w:type="dxa"/>
          </w:tcPr>
          <w:p w:rsidR="00D136BF" w:rsidRDefault="004C7CDC">
            <w:pPr>
              <w:widowControl w:val="0"/>
              <w:spacing w:before="15" w:after="15" w:line="240" w:lineRule="auto"/>
              <w:ind w:right="-113"/>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7 1 1</w:t>
            </w:r>
          </w:p>
        </w:tc>
        <w:tc>
          <w:tcPr>
            <w:tcW w:w="6480" w:type="dxa"/>
          </w:tcPr>
          <w:p w:rsidR="00D136BF" w:rsidRDefault="004C7CDC">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hAnsi="Times New Roman" w:cs="Times New Roman"/>
                <w:noProof/>
                <w:sz w:val="16"/>
                <w:szCs w:val="16"/>
              </w:rPr>
              <w:t>Penalty payments and lump sums imposed on a Member State for not complying with a judgment of the Court of Justice of the European Union on its failure to fulfil an obligation under the Treaty</w:t>
            </w:r>
          </w:p>
        </w:tc>
        <w:tc>
          <w:tcPr>
            <w:tcW w:w="1701" w:type="dxa"/>
          </w:tcPr>
          <w:p w:rsidR="00D136BF" w:rsidRDefault="004C7CDC">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57</w:t>
            </w:r>
            <w:r>
              <w:rPr>
                <w:rFonts w:ascii="Times New Roman" w:hAnsi="Times New Roman" w:cs="Times New Roman"/>
                <w:noProof/>
                <w:sz w:val="20"/>
                <w:szCs w:val="20"/>
              </w:rPr>
              <w:t xml:space="preserve"> 000 000</w:t>
            </w:r>
          </w:p>
        </w:tc>
      </w:tr>
      <w:tr w:rsidR="00D136BF">
        <w:trPr>
          <w:gridAfter w:val="1"/>
          <w:wAfter w:w="27" w:type="dxa"/>
        </w:trPr>
        <w:tc>
          <w:tcPr>
            <w:tcW w:w="7548" w:type="dxa"/>
            <w:gridSpan w:val="2"/>
            <w:shd w:val="clear" w:color="auto" w:fill="D9D9D9"/>
          </w:tcPr>
          <w:p w:rsidR="00D136BF" w:rsidRDefault="004C7CDC">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rsidR="00D136BF" w:rsidRDefault="004C7CDC">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hAnsi="Times New Roman" w:cs="Times New Roman"/>
                <w:b/>
                <w:noProof/>
                <w:sz w:val="20"/>
                <w:szCs w:val="20"/>
              </w:rPr>
              <w:t>128 000 000</w:t>
            </w:r>
          </w:p>
        </w:tc>
      </w:tr>
    </w:tbl>
    <w:p w:rsidR="00D136BF" w:rsidRDefault="004C7CDC">
      <w:pPr>
        <w:pStyle w:val="Text1"/>
        <w:ind w:left="0"/>
        <w:rPr>
          <w:b/>
          <w:smallCaps/>
          <w:noProof/>
        </w:rPr>
      </w:pPr>
      <w:r>
        <w:rPr>
          <w:noProof/>
        </w:rPr>
        <w:br w:type="page"/>
      </w:r>
    </w:p>
    <w:p w:rsidR="00D136BF" w:rsidRDefault="004C7CDC">
      <w:pPr>
        <w:pStyle w:val="ManualHeading1"/>
        <w:numPr>
          <w:ilvl w:val="0"/>
          <w:numId w:val="2"/>
        </w:numPr>
        <w:rPr>
          <w:noProof/>
        </w:rPr>
      </w:pPr>
      <w:bookmarkStart w:id="58" w:name="_Toc41571886"/>
      <w:bookmarkStart w:id="59" w:name="_Toc52372362"/>
      <w:bookmarkStart w:id="60" w:name="_Toc52346067"/>
      <w:r>
        <w:rPr>
          <w:noProof/>
        </w:rPr>
        <w:t>Summary table by MFF heading</w:t>
      </w:r>
      <w:bookmarkEnd w:id="12"/>
      <w:bookmarkEnd w:id="25"/>
      <w:bookmarkEnd w:id="58"/>
      <w:bookmarkEnd w:id="59"/>
      <w:bookmarkEnd w:id="60"/>
    </w:p>
    <w:tbl>
      <w:tblPr>
        <w:tblW w:w="10425" w:type="dxa"/>
        <w:jc w:val="center"/>
        <w:tblLook w:val="04A0" w:firstRow="1" w:lastRow="0" w:firstColumn="1" w:lastColumn="0" w:noHBand="0" w:noVBand="1"/>
      </w:tblPr>
      <w:tblGrid>
        <w:gridCol w:w="356"/>
        <w:gridCol w:w="2560"/>
        <w:gridCol w:w="1251"/>
        <w:gridCol w:w="1330"/>
        <w:gridCol w:w="1131"/>
        <w:gridCol w:w="1288"/>
        <w:gridCol w:w="1247"/>
        <w:gridCol w:w="1216"/>
        <w:gridCol w:w="46"/>
      </w:tblGrid>
      <w:tr w:rsidR="00D136BF">
        <w:trPr>
          <w:trHeight w:val="188"/>
          <w:jc w:val="center"/>
        </w:trPr>
        <w:tc>
          <w:tcPr>
            <w:tcW w:w="10425" w:type="dxa"/>
            <w:gridSpan w:val="9"/>
            <w:tcBorders>
              <w:top w:val="nil"/>
              <w:left w:val="nil"/>
              <w:bottom w:val="single" w:sz="4" w:space="0" w:color="auto"/>
              <w:right w:val="nil"/>
            </w:tcBorders>
            <w:shd w:val="clear" w:color="auto" w:fill="auto"/>
            <w:noWrap/>
            <w:vAlign w:val="bottom"/>
            <w:hideMark/>
          </w:tcPr>
          <w:bookmarkEnd w:id="4"/>
          <w:bookmarkEnd w:id="5"/>
          <w:bookmarkEnd w:id="6"/>
          <w:bookmarkEnd w:id="7"/>
          <w:bookmarkEnd w:id="8"/>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In EUR</w:t>
            </w:r>
          </w:p>
        </w:tc>
      </w:tr>
      <w:tr w:rsidR="00D136BF">
        <w:trPr>
          <w:gridAfter w:val="1"/>
          <w:wAfter w:w="46" w:type="dxa"/>
          <w:trHeight w:val="209"/>
          <w:jc w:val="center"/>
        </w:trPr>
        <w:tc>
          <w:tcPr>
            <w:tcW w:w="2916"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rsidR="00D136BF" w:rsidRDefault="004C7CDC">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Heading</w:t>
            </w:r>
          </w:p>
        </w:tc>
        <w:tc>
          <w:tcPr>
            <w:tcW w:w="2581" w:type="dxa"/>
            <w:gridSpan w:val="2"/>
            <w:tcBorders>
              <w:top w:val="single" w:sz="4" w:space="0" w:color="auto"/>
              <w:left w:val="nil"/>
              <w:bottom w:val="nil"/>
              <w:right w:val="single" w:sz="4" w:space="0" w:color="000000"/>
            </w:tcBorders>
            <w:shd w:val="clear" w:color="000000" w:fill="D9D9D9"/>
            <w:vAlign w:val="center"/>
            <w:hideMark/>
          </w:tcPr>
          <w:p w:rsidR="00D136BF" w:rsidRDefault="004C7CDC">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Budget 2020</w:t>
            </w:r>
          </w:p>
        </w:tc>
        <w:tc>
          <w:tcPr>
            <w:tcW w:w="2419"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D136BF" w:rsidRDefault="004C7CDC">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Draft Amending Budget 10/2020</w:t>
            </w:r>
          </w:p>
        </w:tc>
        <w:tc>
          <w:tcPr>
            <w:tcW w:w="2463" w:type="dxa"/>
            <w:gridSpan w:val="2"/>
            <w:tcBorders>
              <w:top w:val="single" w:sz="4" w:space="0" w:color="auto"/>
              <w:left w:val="nil"/>
              <w:bottom w:val="nil"/>
              <w:right w:val="single" w:sz="4" w:space="0" w:color="000000"/>
            </w:tcBorders>
            <w:shd w:val="clear" w:color="000000" w:fill="D9D9D9"/>
            <w:vAlign w:val="center"/>
            <w:hideMark/>
          </w:tcPr>
          <w:p w:rsidR="00D136BF" w:rsidRDefault="004C7CDC">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Budget 2020</w:t>
            </w:r>
          </w:p>
        </w:tc>
      </w:tr>
      <w:tr w:rsidR="00D136BF">
        <w:trPr>
          <w:gridAfter w:val="1"/>
          <w:wAfter w:w="46" w:type="dxa"/>
          <w:trHeight w:val="209"/>
          <w:jc w:val="center"/>
        </w:trPr>
        <w:tc>
          <w:tcPr>
            <w:tcW w:w="2916" w:type="dxa"/>
            <w:gridSpan w:val="2"/>
            <w:vMerge/>
            <w:tcBorders>
              <w:top w:val="single" w:sz="4" w:space="0" w:color="auto"/>
              <w:left w:val="single" w:sz="4" w:space="0" w:color="auto"/>
              <w:bottom w:val="nil"/>
              <w:right w:val="single" w:sz="4" w:space="0" w:color="000000"/>
            </w:tcBorders>
            <w:vAlign w:val="center"/>
            <w:hideMark/>
          </w:tcPr>
          <w:p w:rsidR="00D136BF" w:rsidRDefault="00D136BF">
            <w:pPr>
              <w:spacing w:after="0" w:line="240" w:lineRule="auto"/>
              <w:rPr>
                <w:rFonts w:ascii="Times New Roman" w:eastAsia="Times New Roman" w:hAnsi="Times New Roman" w:cs="Times New Roman"/>
                <w:b/>
                <w:bCs/>
                <w:noProof/>
                <w:color w:val="000000"/>
                <w:sz w:val="14"/>
                <w:szCs w:val="14"/>
                <w:lang w:val="en-US"/>
              </w:rPr>
            </w:pPr>
          </w:p>
        </w:tc>
        <w:tc>
          <w:tcPr>
            <w:tcW w:w="2581" w:type="dxa"/>
            <w:gridSpan w:val="2"/>
            <w:tcBorders>
              <w:top w:val="nil"/>
              <w:left w:val="nil"/>
              <w:bottom w:val="single" w:sz="4" w:space="0" w:color="auto"/>
              <w:right w:val="single" w:sz="4" w:space="0" w:color="000000"/>
            </w:tcBorders>
            <w:shd w:val="clear" w:color="000000" w:fill="D9D9D9"/>
            <w:vAlign w:val="center"/>
            <w:hideMark/>
          </w:tcPr>
          <w:p w:rsidR="00D136BF" w:rsidRDefault="004C7CDC">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(incl. AB 1-7 &amp; DAB9/2020)</w:t>
            </w:r>
          </w:p>
        </w:tc>
        <w:tc>
          <w:tcPr>
            <w:tcW w:w="2419" w:type="dxa"/>
            <w:gridSpan w:val="2"/>
            <w:vMerge/>
            <w:tcBorders>
              <w:top w:val="single" w:sz="4" w:space="0" w:color="auto"/>
              <w:left w:val="single" w:sz="4" w:space="0" w:color="auto"/>
              <w:bottom w:val="single" w:sz="4" w:space="0" w:color="000000"/>
              <w:right w:val="single" w:sz="4" w:space="0" w:color="000000"/>
            </w:tcBorders>
            <w:vAlign w:val="center"/>
            <w:hideMark/>
          </w:tcPr>
          <w:p w:rsidR="00D136BF" w:rsidRDefault="00D136BF">
            <w:pPr>
              <w:spacing w:after="0" w:line="240" w:lineRule="auto"/>
              <w:rPr>
                <w:rFonts w:ascii="Times New Roman" w:eastAsia="Times New Roman" w:hAnsi="Times New Roman" w:cs="Times New Roman"/>
                <w:b/>
                <w:bCs/>
                <w:noProof/>
                <w:color w:val="000000"/>
                <w:sz w:val="14"/>
                <w:szCs w:val="14"/>
                <w:lang w:val="en-US"/>
              </w:rPr>
            </w:pPr>
          </w:p>
        </w:tc>
        <w:tc>
          <w:tcPr>
            <w:tcW w:w="2463" w:type="dxa"/>
            <w:gridSpan w:val="2"/>
            <w:tcBorders>
              <w:top w:val="nil"/>
              <w:left w:val="nil"/>
              <w:bottom w:val="single" w:sz="4" w:space="0" w:color="auto"/>
              <w:right w:val="single" w:sz="4" w:space="0" w:color="000000"/>
            </w:tcBorders>
            <w:shd w:val="clear" w:color="000000" w:fill="D9D9D9"/>
            <w:vAlign w:val="center"/>
            <w:hideMark/>
          </w:tcPr>
          <w:p w:rsidR="00D136BF" w:rsidRDefault="004C7CDC">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(incl. AB 1-7 &amp; DAB 9-10/2020)</w:t>
            </w:r>
          </w:p>
        </w:tc>
      </w:tr>
      <w:tr w:rsidR="00D136BF">
        <w:trPr>
          <w:gridAfter w:val="1"/>
          <w:wAfter w:w="46" w:type="dxa"/>
          <w:trHeight w:val="209"/>
          <w:jc w:val="center"/>
        </w:trPr>
        <w:tc>
          <w:tcPr>
            <w:tcW w:w="2916" w:type="dxa"/>
            <w:gridSpan w:val="2"/>
            <w:vMerge/>
            <w:tcBorders>
              <w:top w:val="single" w:sz="4" w:space="0" w:color="auto"/>
              <w:left w:val="single" w:sz="4" w:space="0" w:color="auto"/>
              <w:bottom w:val="nil"/>
              <w:right w:val="single" w:sz="4" w:space="0" w:color="000000"/>
            </w:tcBorders>
            <w:vAlign w:val="center"/>
            <w:hideMark/>
          </w:tcPr>
          <w:p w:rsidR="00D136BF" w:rsidRDefault="00D136BF">
            <w:pPr>
              <w:spacing w:after="0" w:line="240" w:lineRule="auto"/>
              <w:rPr>
                <w:rFonts w:ascii="Times New Roman" w:eastAsia="Times New Roman" w:hAnsi="Times New Roman" w:cs="Times New Roman"/>
                <w:b/>
                <w:bCs/>
                <w:noProof/>
                <w:color w:val="000000"/>
                <w:sz w:val="14"/>
                <w:szCs w:val="14"/>
                <w:lang w:val="en-US"/>
              </w:rPr>
            </w:pPr>
          </w:p>
        </w:tc>
        <w:tc>
          <w:tcPr>
            <w:tcW w:w="1251" w:type="dxa"/>
            <w:tcBorders>
              <w:top w:val="nil"/>
              <w:left w:val="nil"/>
              <w:bottom w:val="nil"/>
              <w:right w:val="single" w:sz="4" w:space="0" w:color="auto"/>
            </w:tcBorders>
            <w:shd w:val="clear" w:color="000000" w:fill="D9D9D9"/>
            <w:vAlign w:val="center"/>
            <w:hideMark/>
          </w:tcPr>
          <w:p w:rsidR="00D136BF" w:rsidRDefault="004C7CDC">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CA</w:t>
            </w:r>
          </w:p>
        </w:tc>
        <w:tc>
          <w:tcPr>
            <w:tcW w:w="1330" w:type="dxa"/>
            <w:tcBorders>
              <w:top w:val="nil"/>
              <w:left w:val="nil"/>
              <w:bottom w:val="single" w:sz="4" w:space="0" w:color="auto"/>
              <w:right w:val="single" w:sz="4" w:space="0" w:color="auto"/>
            </w:tcBorders>
            <w:shd w:val="clear" w:color="000000" w:fill="D9D9D9"/>
            <w:vAlign w:val="center"/>
            <w:hideMark/>
          </w:tcPr>
          <w:p w:rsidR="00D136BF" w:rsidRDefault="004C7CDC">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PA</w:t>
            </w:r>
          </w:p>
        </w:tc>
        <w:tc>
          <w:tcPr>
            <w:tcW w:w="1131" w:type="dxa"/>
            <w:tcBorders>
              <w:top w:val="nil"/>
              <w:left w:val="nil"/>
              <w:bottom w:val="single" w:sz="4" w:space="0" w:color="auto"/>
              <w:right w:val="single" w:sz="4" w:space="0" w:color="auto"/>
            </w:tcBorders>
            <w:shd w:val="clear" w:color="000000" w:fill="D9D9D9"/>
            <w:vAlign w:val="center"/>
            <w:hideMark/>
          </w:tcPr>
          <w:p w:rsidR="00D136BF" w:rsidRDefault="004C7CDC">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CA</w:t>
            </w:r>
          </w:p>
        </w:tc>
        <w:tc>
          <w:tcPr>
            <w:tcW w:w="1288" w:type="dxa"/>
            <w:tcBorders>
              <w:top w:val="nil"/>
              <w:left w:val="nil"/>
              <w:bottom w:val="single" w:sz="4" w:space="0" w:color="auto"/>
              <w:right w:val="single" w:sz="4" w:space="0" w:color="auto"/>
            </w:tcBorders>
            <w:shd w:val="clear" w:color="000000" w:fill="D9D9D9"/>
            <w:vAlign w:val="center"/>
            <w:hideMark/>
          </w:tcPr>
          <w:p w:rsidR="00D136BF" w:rsidRDefault="004C7CDC">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PA</w:t>
            </w:r>
          </w:p>
        </w:tc>
        <w:tc>
          <w:tcPr>
            <w:tcW w:w="1247" w:type="dxa"/>
            <w:tcBorders>
              <w:top w:val="nil"/>
              <w:left w:val="nil"/>
              <w:bottom w:val="single" w:sz="4" w:space="0" w:color="auto"/>
              <w:right w:val="single" w:sz="4" w:space="0" w:color="auto"/>
            </w:tcBorders>
            <w:shd w:val="clear" w:color="000000" w:fill="D9D9D9"/>
            <w:vAlign w:val="center"/>
            <w:hideMark/>
          </w:tcPr>
          <w:p w:rsidR="00D136BF" w:rsidRDefault="004C7CDC">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CA</w:t>
            </w:r>
          </w:p>
        </w:tc>
        <w:tc>
          <w:tcPr>
            <w:tcW w:w="1216" w:type="dxa"/>
            <w:tcBorders>
              <w:top w:val="nil"/>
              <w:left w:val="nil"/>
              <w:bottom w:val="single" w:sz="4" w:space="0" w:color="auto"/>
              <w:right w:val="single" w:sz="4" w:space="0" w:color="auto"/>
            </w:tcBorders>
            <w:shd w:val="clear" w:color="000000" w:fill="D9D9D9"/>
            <w:vAlign w:val="center"/>
            <w:hideMark/>
          </w:tcPr>
          <w:p w:rsidR="00D136BF" w:rsidRDefault="004C7CDC">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PA</w:t>
            </w:r>
          </w:p>
        </w:tc>
      </w:tr>
      <w:tr w:rsidR="00D136BF">
        <w:trPr>
          <w:gridAfter w:val="1"/>
          <w:wAfter w:w="46" w:type="dxa"/>
          <w:trHeight w:val="227"/>
          <w:jc w:val="center"/>
        </w:trPr>
        <w:tc>
          <w:tcPr>
            <w:tcW w:w="356" w:type="dxa"/>
            <w:tcBorders>
              <w:top w:val="single" w:sz="4" w:space="0" w:color="auto"/>
              <w:left w:val="single" w:sz="4" w:space="0" w:color="auto"/>
              <w:bottom w:val="dotted" w:sz="4" w:space="0" w:color="auto"/>
              <w:right w:val="nil"/>
            </w:tcBorders>
            <w:shd w:val="clear" w:color="auto" w:fill="auto"/>
            <w:vAlign w:val="center"/>
            <w:hideMark/>
          </w:tcPr>
          <w:p w:rsidR="00D136BF" w:rsidRDefault="004C7CDC">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w:t>
            </w:r>
          </w:p>
        </w:tc>
        <w:tc>
          <w:tcPr>
            <w:tcW w:w="2560" w:type="dxa"/>
            <w:tcBorders>
              <w:top w:val="single" w:sz="4" w:space="0" w:color="auto"/>
              <w:left w:val="nil"/>
              <w:bottom w:val="dotted" w:sz="4" w:space="0" w:color="auto"/>
              <w:right w:val="single" w:sz="4" w:space="0" w:color="auto"/>
            </w:tcBorders>
            <w:shd w:val="clear" w:color="auto" w:fill="auto"/>
            <w:vAlign w:val="center"/>
            <w:hideMark/>
          </w:tcPr>
          <w:p w:rsidR="00D136BF" w:rsidRDefault="004C7CDC">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Smart and inclusive growth</w:t>
            </w:r>
          </w:p>
        </w:tc>
        <w:tc>
          <w:tcPr>
            <w:tcW w:w="1251" w:type="dxa"/>
            <w:tcBorders>
              <w:top w:val="single" w:sz="4" w:space="0" w:color="auto"/>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83 930 597 </w:t>
            </w:r>
            <w:r>
              <w:rPr>
                <w:rFonts w:ascii="Times New Roman" w:eastAsia="Times New Roman" w:hAnsi="Times New Roman" w:cs="Times New Roman"/>
                <w:b/>
                <w:bCs/>
                <w:noProof/>
                <w:color w:val="000000"/>
                <w:sz w:val="14"/>
                <w:szCs w:val="14"/>
                <w:lang w:val="en-US"/>
              </w:rPr>
              <w:t>837</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77 453 828 442</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- 12 219 937</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184 685 788</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83 918 377 900</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77 638 514 230</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Ceiling </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83 661 000 000</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83 661 000 000</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51"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30"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rsidR="00D136BF" w:rsidRDefault="004C7CDC">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1a</w:t>
            </w:r>
          </w:p>
        </w:tc>
        <w:tc>
          <w:tcPr>
            <w:tcW w:w="256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Competitiveness for growth and jobs</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25 284 773 982</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22 308 071 592</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- 12 219 937</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xml:space="preserve"> 84 685 788</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xml:space="preserve">25 272 554 </w:t>
            </w:r>
            <w:r>
              <w:rPr>
                <w:rFonts w:ascii="Times New Roman" w:eastAsia="Times New Roman" w:hAnsi="Times New Roman" w:cs="Times New Roman"/>
                <w:noProof/>
                <w:color w:val="000000"/>
                <w:sz w:val="14"/>
                <w:szCs w:val="14"/>
                <w:lang w:val="en-US"/>
              </w:rPr>
              <w:t>045</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22 392 757 380</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under global margin for commitments</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93 773 982</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- 12 219 937</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81 554 045</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25 191 000 000</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25 191 000 000</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51"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30"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rsidR="00D136BF" w:rsidRDefault="004C7CDC">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xml:space="preserve">1b </w:t>
            </w:r>
          </w:p>
        </w:tc>
        <w:tc>
          <w:tcPr>
            <w:tcW w:w="256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Economic  social and territorial cohesion</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58 645 823 855</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55 145 756 850</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xml:space="preserve"> 100 000 000</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58 645 823 855</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55 245 756 850</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under global margin for commitments</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175 823 855</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175 823 855</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58 470 000 000</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58 470 000 000</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51"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30"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375"/>
          <w:jc w:val="center"/>
        </w:trPr>
        <w:tc>
          <w:tcPr>
            <w:tcW w:w="356" w:type="dxa"/>
            <w:tcBorders>
              <w:top w:val="nil"/>
              <w:left w:val="single" w:sz="4" w:space="0" w:color="auto"/>
              <w:bottom w:val="dotted" w:sz="4" w:space="0" w:color="auto"/>
              <w:right w:val="nil"/>
            </w:tcBorders>
            <w:shd w:val="clear" w:color="auto" w:fill="auto"/>
            <w:vAlign w:val="center"/>
            <w:hideMark/>
          </w:tcPr>
          <w:p w:rsidR="00D136BF" w:rsidRDefault="004C7CDC">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2.</w:t>
            </w:r>
          </w:p>
        </w:tc>
        <w:tc>
          <w:tcPr>
            <w:tcW w:w="256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Sustainable growth: natural resources</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59 907 021 051</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57 </w:t>
            </w:r>
            <w:r>
              <w:rPr>
                <w:rFonts w:ascii="Times New Roman" w:eastAsia="Times New Roman" w:hAnsi="Times New Roman" w:cs="Times New Roman"/>
                <w:b/>
                <w:bCs/>
                <w:noProof/>
                <w:color w:val="000000"/>
                <w:sz w:val="14"/>
                <w:szCs w:val="14"/>
                <w:lang w:val="en-US"/>
              </w:rPr>
              <w:t>904 492 439</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48 655 078</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798 655 078</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59 955 676 129</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58 703 147 517</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60 421 000 000</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60 421 000 000</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offset against Contingency margin</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- 465 323 871</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- 465 323 871</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51"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48 655 078</w:t>
            </w:r>
          </w:p>
        </w:tc>
        <w:tc>
          <w:tcPr>
            <w:tcW w:w="1330"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346"/>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xml:space="preserve">Of which: European </w:t>
            </w:r>
            <w:r>
              <w:rPr>
                <w:rFonts w:ascii="Times New Roman" w:eastAsia="Times New Roman" w:hAnsi="Times New Roman" w:cs="Times New Roman"/>
                <w:noProof/>
                <w:color w:val="000000"/>
                <w:sz w:val="14"/>
                <w:szCs w:val="14"/>
                <w:lang w:val="en-US"/>
              </w:rPr>
              <w:t>Agricultural Guarantee Fund (EAGF) — Market related expenditure and direct payments</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43 410 105 687</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43 380 031 798</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xml:space="preserve"> 48 655 078</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xml:space="preserve"> 48 655 078</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43 458 760 765</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43 428 686 876</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Sub-ceiling</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43 888 000 000</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43 888 000 000</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Rounding difference excluded from </w:t>
            </w:r>
            <w:r>
              <w:rPr>
                <w:rFonts w:ascii="Times New Roman" w:eastAsia="Times New Roman" w:hAnsi="Times New Roman" w:cs="Times New Roman"/>
                <w:i/>
                <w:iCs/>
                <w:noProof/>
                <w:color w:val="000000"/>
                <w:sz w:val="14"/>
                <w:szCs w:val="14"/>
                <w:lang w:val="en-US"/>
              </w:rPr>
              <w:t>margin calculation</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888 000</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888 000</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offset against Contingency margin</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- 428 351 235</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- 428 351 235</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EAGF Margin</w:t>
            </w:r>
          </w:p>
        </w:tc>
        <w:tc>
          <w:tcPr>
            <w:tcW w:w="1251"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48 655 078</w:t>
            </w:r>
          </w:p>
        </w:tc>
        <w:tc>
          <w:tcPr>
            <w:tcW w:w="1330"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rsidR="00D136BF" w:rsidRDefault="004C7CDC">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3.</w:t>
            </w:r>
          </w:p>
        </w:tc>
        <w:tc>
          <w:tcPr>
            <w:tcW w:w="256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Security and citizenship</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7 152 374 489</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6 368 527 141</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7 152 374 489</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6 368 527 141</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w:t>
            </w:r>
            <w:r>
              <w:rPr>
                <w:rFonts w:ascii="Times New Roman" w:eastAsia="Times New Roman" w:hAnsi="Times New Roman" w:cs="Times New Roman"/>
                <w:i/>
                <w:iCs/>
                <w:noProof/>
                <w:color w:val="000000"/>
                <w:sz w:val="14"/>
                <w:szCs w:val="14"/>
                <w:lang w:val="en-US"/>
              </w:rPr>
              <w:t xml:space="preserve"> which under Flexibility Instrument</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1 094 414 188</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1 094 414 188</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under global margin for commitments</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2 392 402 163</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2 392 402 163</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under Contingency margin</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714 558 138</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714 558 138</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2 951 000 000</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2 </w:t>
            </w:r>
            <w:r>
              <w:rPr>
                <w:rFonts w:ascii="Times New Roman" w:eastAsia="Times New Roman" w:hAnsi="Times New Roman" w:cs="Times New Roman"/>
                <w:i/>
                <w:iCs/>
                <w:noProof/>
                <w:color w:val="000000"/>
                <w:sz w:val="14"/>
                <w:szCs w:val="14"/>
                <w:lang w:val="en-US"/>
              </w:rPr>
              <w:t>951 000 000</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51"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30"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rsidR="00D136BF" w:rsidRDefault="004C7CDC">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4.</w:t>
            </w:r>
          </w:p>
        </w:tc>
        <w:tc>
          <w:tcPr>
            <w:tcW w:w="256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Global Europe</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10 991 572 239</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9 112 061 191</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586 000 000</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10 991 572 239</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9 698 061 191</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under Contingency margin</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481 572 239</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481 572 239</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10 510 000 000</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10 510 000 000</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51" w:type="dxa"/>
            <w:tcBorders>
              <w:top w:val="nil"/>
              <w:left w:val="nil"/>
              <w:bottom w:val="single" w:sz="4" w:space="0" w:color="auto"/>
              <w:right w:val="single" w:sz="4" w:space="0" w:color="auto"/>
            </w:tcBorders>
            <w:shd w:val="clear" w:color="000000" w:fill="FFFFFF"/>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30" w:type="dxa"/>
            <w:tcBorders>
              <w:top w:val="nil"/>
              <w:left w:val="nil"/>
              <w:bottom w:val="single" w:sz="4" w:space="0" w:color="auto"/>
              <w:right w:val="single" w:sz="4" w:space="0" w:color="auto"/>
            </w:tcBorders>
            <w:shd w:val="clear" w:color="000000" w:fill="FFFFFF"/>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000000" w:fill="FFFFFF"/>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rsidR="00D136BF" w:rsidRDefault="004C7CDC">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5.</w:t>
            </w:r>
          </w:p>
        </w:tc>
        <w:tc>
          <w:tcPr>
            <w:tcW w:w="256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Administration</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10 271 193 494</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10 274 196 704</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10 271 193 494</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10 274 196 704</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11 254 000 000</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11 254 000 000</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offset against Contingency margin</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- 982 806 506</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- 982 806 506</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360"/>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xml:space="preserve">Of </w:t>
            </w:r>
            <w:r>
              <w:rPr>
                <w:rFonts w:ascii="Times New Roman" w:eastAsia="Times New Roman" w:hAnsi="Times New Roman" w:cs="Times New Roman"/>
                <w:noProof/>
                <w:color w:val="000000"/>
                <w:sz w:val="14"/>
                <w:szCs w:val="14"/>
                <w:lang w:val="en-US"/>
              </w:rPr>
              <w:t>which: Administrative expenditure of the institutions</w:t>
            </w:r>
          </w:p>
        </w:tc>
        <w:tc>
          <w:tcPr>
            <w:tcW w:w="1251" w:type="dxa"/>
            <w:tcBorders>
              <w:top w:val="single" w:sz="4" w:space="0" w:color="auto"/>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7 955 303 132</w:t>
            </w:r>
          </w:p>
        </w:tc>
        <w:tc>
          <w:tcPr>
            <w:tcW w:w="1330" w:type="dxa"/>
            <w:tcBorders>
              <w:top w:val="single" w:sz="4" w:space="0" w:color="auto"/>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7 958 306 342</w:t>
            </w:r>
          </w:p>
        </w:tc>
        <w:tc>
          <w:tcPr>
            <w:tcW w:w="1131" w:type="dxa"/>
            <w:tcBorders>
              <w:top w:val="single" w:sz="4" w:space="0" w:color="auto"/>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w:t>
            </w:r>
          </w:p>
        </w:tc>
        <w:tc>
          <w:tcPr>
            <w:tcW w:w="1288" w:type="dxa"/>
            <w:tcBorders>
              <w:top w:val="single" w:sz="4" w:space="0" w:color="auto"/>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w:t>
            </w:r>
          </w:p>
        </w:tc>
        <w:tc>
          <w:tcPr>
            <w:tcW w:w="1247" w:type="dxa"/>
            <w:tcBorders>
              <w:top w:val="single" w:sz="4" w:space="0" w:color="auto"/>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7 955 303 132</w:t>
            </w:r>
          </w:p>
        </w:tc>
        <w:tc>
          <w:tcPr>
            <w:tcW w:w="1216" w:type="dxa"/>
            <w:tcBorders>
              <w:top w:val="single" w:sz="4" w:space="0" w:color="auto"/>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7 958 306 342</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Sub-ceiling</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9 071 000 000</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9 071 000 000</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offset against Contingency margin</w:t>
            </w:r>
          </w:p>
        </w:tc>
        <w:tc>
          <w:tcPr>
            <w:tcW w:w="125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- 982 806 506</w:t>
            </w:r>
          </w:p>
        </w:tc>
        <w:tc>
          <w:tcPr>
            <w:tcW w:w="1330"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- 982 806 506</w:t>
            </w:r>
          </w:p>
        </w:tc>
        <w:tc>
          <w:tcPr>
            <w:tcW w:w="1216" w:type="dxa"/>
            <w:tcBorders>
              <w:top w:val="nil"/>
              <w:left w:val="nil"/>
              <w:bottom w:val="dotted"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51"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132 890 362</w:t>
            </w:r>
          </w:p>
        </w:tc>
        <w:tc>
          <w:tcPr>
            <w:tcW w:w="1330"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132 890 362</w:t>
            </w:r>
          </w:p>
        </w:tc>
        <w:tc>
          <w:tcPr>
            <w:tcW w:w="1216"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rsidR="00D136BF">
        <w:trPr>
          <w:gridAfter w:val="1"/>
          <w:wAfter w:w="46" w:type="dxa"/>
          <w:trHeight w:val="227"/>
          <w:jc w:val="center"/>
        </w:trPr>
        <w:tc>
          <w:tcPr>
            <w:tcW w:w="2916"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Total</w:t>
            </w:r>
          </w:p>
        </w:tc>
        <w:tc>
          <w:tcPr>
            <w:tcW w:w="1251" w:type="dxa"/>
            <w:tcBorders>
              <w:top w:val="single" w:sz="4" w:space="0" w:color="auto"/>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172 252 759 110</w:t>
            </w:r>
          </w:p>
        </w:tc>
        <w:tc>
          <w:tcPr>
            <w:tcW w:w="1330" w:type="dxa"/>
            <w:tcBorders>
              <w:top w:val="single" w:sz="4" w:space="0" w:color="auto"/>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161 113 105 917</w:t>
            </w:r>
          </w:p>
        </w:tc>
        <w:tc>
          <w:tcPr>
            <w:tcW w:w="1131" w:type="dxa"/>
            <w:tcBorders>
              <w:top w:val="single" w:sz="4" w:space="0" w:color="auto"/>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36 435 141</w:t>
            </w:r>
          </w:p>
        </w:tc>
        <w:tc>
          <w:tcPr>
            <w:tcW w:w="1288" w:type="dxa"/>
            <w:tcBorders>
              <w:top w:val="single" w:sz="4" w:space="0" w:color="auto"/>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1 569 340 866</w:t>
            </w:r>
          </w:p>
        </w:tc>
        <w:tc>
          <w:tcPr>
            <w:tcW w:w="1247" w:type="dxa"/>
            <w:tcBorders>
              <w:top w:val="single" w:sz="4" w:space="0" w:color="auto"/>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172 289 194 251</w:t>
            </w:r>
          </w:p>
        </w:tc>
        <w:tc>
          <w:tcPr>
            <w:tcW w:w="1216" w:type="dxa"/>
            <w:tcBorders>
              <w:top w:val="single" w:sz="4" w:space="0" w:color="auto"/>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162 682 446 783</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Of which under Flexibility Instrument</w:t>
            </w:r>
          </w:p>
        </w:tc>
        <w:tc>
          <w:tcPr>
            <w:tcW w:w="1251"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1 094 414 188</w:t>
            </w:r>
          </w:p>
        </w:tc>
        <w:tc>
          <w:tcPr>
            <w:tcW w:w="1330"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1 017 029 444</w:t>
            </w:r>
          </w:p>
        </w:tc>
        <w:tc>
          <w:tcPr>
            <w:tcW w:w="1131"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288"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1 094 414 188</w:t>
            </w:r>
          </w:p>
        </w:tc>
        <w:tc>
          <w:tcPr>
            <w:tcW w:w="1216"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1 017 029 444</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Of which under global </w:t>
            </w:r>
            <w:r>
              <w:rPr>
                <w:rFonts w:ascii="Times New Roman" w:eastAsia="Times New Roman" w:hAnsi="Times New Roman" w:cs="Times New Roman"/>
                <w:b/>
                <w:bCs/>
                <w:i/>
                <w:iCs/>
                <w:noProof/>
                <w:color w:val="000000"/>
                <w:sz w:val="14"/>
                <w:szCs w:val="14"/>
                <w:lang w:val="en-US"/>
              </w:rPr>
              <w:t>margin for commitments</w:t>
            </w:r>
          </w:p>
        </w:tc>
        <w:tc>
          <w:tcPr>
            <w:tcW w:w="1251"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2 662 000 000</w:t>
            </w:r>
          </w:p>
        </w:tc>
        <w:tc>
          <w:tcPr>
            <w:tcW w:w="1330"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- 12 219 937</w:t>
            </w:r>
          </w:p>
        </w:tc>
        <w:tc>
          <w:tcPr>
            <w:tcW w:w="1288"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2 649 780 063</w:t>
            </w:r>
          </w:p>
        </w:tc>
        <w:tc>
          <w:tcPr>
            <w:tcW w:w="1216"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Of which under Contingency margin</w:t>
            </w:r>
          </w:p>
        </w:tc>
        <w:tc>
          <w:tcPr>
            <w:tcW w:w="1251"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1 196 130 377</w:t>
            </w:r>
          </w:p>
        </w:tc>
        <w:tc>
          <w:tcPr>
            <w:tcW w:w="1330"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288"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1 196 130 377</w:t>
            </w:r>
          </w:p>
        </w:tc>
        <w:tc>
          <w:tcPr>
            <w:tcW w:w="1216"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Ceiling</w:t>
            </w:r>
          </w:p>
        </w:tc>
        <w:tc>
          <w:tcPr>
            <w:tcW w:w="1251"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168 797 000 000</w:t>
            </w:r>
          </w:p>
        </w:tc>
        <w:tc>
          <w:tcPr>
            <w:tcW w:w="1330"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172 420 000 000</w:t>
            </w:r>
          </w:p>
        </w:tc>
        <w:tc>
          <w:tcPr>
            <w:tcW w:w="1131"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288"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168 797 000 000</w:t>
            </w:r>
          </w:p>
        </w:tc>
        <w:tc>
          <w:tcPr>
            <w:tcW w:w="1216"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172 420 000 000</w:t>
            </w:r>
          </w:p>
        </w:tc>
      </w:tr>
      <w:tr w:rsidR="00D136BF">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Of which offset against </w:t>
            </w:r>
            <w:r>
              <w:rPr>
                <w:rFonts w:ascii="Times New Roman" w:eastAsia="Times New Roman" w:hAnsi="Times New Roman" w:cs="Times New Roman"/>
                <w:b/>
                <w:bCs/>
                <w:i/>
                <w:iCs/>
                <w:noProof/>
                <w:color w:val="000000"/>
                <w:sz w:val="14"/>
                <w:szCs w:val="14"/>
                <w:lang w:val="en-US"/>
              </w:rPr>
              <w:t>Contingency margin</w:t>
            </w:r>
          </w:p>
        </w:tc>
        <w:tc>
          <w:tcPr>
            <w:tcW w:w="1251"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-1 448 130 377</w:t>
            </w:r>
          </w:p>
        </w:tc>
        <w:tc>
          <w:tcPr>
            <w:tcW w:w="1330"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131"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288"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-1 448 130 377</w:t>
            </w:r>
          </w:p>
        </w:tc>
        <w:tc>
          <w:tcPr>
            <w:tcW w:w="1216" w:type="dxa"/>
            <w:tcBorders>
              <w:top w:val="nil"/>
              <w:left w:val="nil"/>
              <w:bottom w:val="dotted"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r>
      <w:tr w:rsidR="00D136BF">
        <w:trPr>
          <w:gridAfter w:val="1"/>
          <w:wAfter w:w="46" w:type="dxa"/>
          <w:trHeight w:val="227"/>
          <w:jc w:val="center"/>
        </w:trPr>
        <w:tc>
          <w:tcPr>
            <w:tcW w:w="2916" w:type="dxa"/>
            <w:gridSpan w:val="2"/>
            <w:tcBorders>
              <w:top w:val="dotted" w:sz="4" w:space="0" w:color="auto"/>
              <w:left w:val="single" w:sz="4" w:space="0" w:color="auto"/>
              <w:bottom w:val="nil"/>
              <w:right w:val="single" w:sz="4" w:space="0" w:color="000000"/>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Margin</w:t>
            </w:r>
          </w:p>
        </w:tc>
        <w:tc>
          <w:tcPr>
            <w:tcW w:w="1251" w:type="dxa"/>
            <w:tcBorders>
              <w:top w:val="nil"/>
              <w:left w:val="nil"/>
              <w:bottom w:val="single"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48 655 078</w:t>
            </w:r>
          </w:p>
        </w:tc>
        <w:tc>
          <w:tcPr>
            <w:tcW w:w="1330" w:type="dxa"/>
            <w:tcBorders>
              <w:top w:val="nil"/>
              <w:left w:val="nil"/>
              <w:bottom w:val="single"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12 323 923 527</w:t>
            </w:r>
          </w:p>
        </w:tc>
        <w:tc>
          <w:tcPr>
            <w:tcW w:w="1131" w:type="dxa"/>
            <w:tcBorders>
              <w:top w:val="nil"/>
              <w:left w:val="nil"/>
              <w:bottom w:val="single"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216" w:type="dxa"/>
            <w:tcBorders>
              <w:top w:val="nil"/>
              <w:left w:val="nil"/>
              <w:bottom w:val="single"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10 754 582 661</w:t>
            </w:r>
          </w:p>
        </w:tc>
      </w:tr>
      <w:tr w:rsidR="00D136BF">
        <w:trPr>
          <w:gridAfter w:val="1"/>
          <w:wAfter w:w="46" w:type="dxa"/>
          <w:trHeight w:val="227"/>
          <w:jc w:val="center"/>
        </w:trPr>
        <w:tc>
          <w:tcPr>
            <w:tcW w:w="356" w:type="dxa"/>
            <w:tcBorders>
              <w:top w:val="single" w:sz="4" w:space="0" w:color="auto"/>
              <w:left w:val="single" w:sz="4" w:space="0" w:color="auto"/>
              <w:bottom w:val="single" w:sz="4" w:space="0" w:color="auto"/>
              <w:right w:val="nil"/>
            </w:tcBorders>
            <w:shd w:val="clear" w:color="auto" w:fill="auto"/>
            <w:vAlign w:val="center"/>
            <w:hideMark/>
          </w:tcPr>
          <w:p w:rsidR="00D136BF" w:rsidRDefault="004C7CDC">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D136BF" w:rsidRDefault="004C7CDC">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Other special Instruments</w:t>
            </w:r>
          </w:p>
        </w:tc>
        <w:tc>
          <w:tcPr>
            <w:tcW w:w="1251"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1 594 857 964</w:t>
            </w:r>
          </w:p>
        </w:tc>
        <w:tc>
          <w:tcPr>
            <w:tcW w:w="1330"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1 425 594 964</w:t>
            </w:r>
          </w:p>
        </w:tc>
        <w:tc>
          <w:tcPr>
            <w:tcW w:w="1131"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47"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1 594 857 964</w:t>
            </w:r>
          </w:p>
        </w:tc>
        <w:tc>
          <w:tcPr>
            <w:tcW w:w="1216" w:type="dxa"/>
            <w:tcBorders>
              <w:top w:val="nil"/>
              <w:left w:val="nil"/>
              <w:bottom w:val="single" w:sz="4" w:space="0" w:color="auto"/>
              <w:right w:val="single" w:sz="4" w:space="0" w:color="auto"/>
            </w:tcBorders>
            <w:shd w:val="clear" w:color="auto" w:fill="auto"/>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1 425 594 964</w:t>
            </w:r>
          </w:p>
        </w:tc>
      </w:tr>
      <w:tr w:rsidR="00D136BF">
        <w:trPr>
          <w:gridAfter w:val="1"/>
          <w:wAfter w:w="46" w:type="dxa"/>
          <w:trHeight w:val="227"/>
          <w:jc w:val="center"/>
        </w:trPr>
        <w:tc>
          <w:tcPr>
            <w:tcW w:w="2916" w:type="dxa"/>
            <w:gridSpan w:val="2"/>
            <w:tcBorders>
              <w:top w:val="nil"/>
              <w:left w:val="single" w:sz="4" w:space="0" w:color="auto"/>
              <w:bottom w:val="single" w:sz="4" w:space="0" w:color="auto"/>
              <w:right w:val="single" w:sz="4" w:space="0" w:color="000000"/>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Grand Total</w:t>
            </w:r>
          </w:p>
        </w:tc>
        <w:tc>
          <w:tcPr>
            <w:tcW w:w="1251" w:type="dxa"/>
            <w:tcBorders>
              <w:top w:val="nil"/>
              <w:left w:val="nil"/>
              <w:bottom w:val="single"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173 847 617 074</w:t>
            </w:r>
          </w:p>
        </w:tc>
        <w:tc>
          <w:tcPr>
            <w:tcW w:w="1330" w:type="dxa"/>
            <w:tcBorders>
              <w:top w:val="nil"/>
              <w:left w:val="nil"/>
              <w:bottom w:val="single"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162 538 700 881</w:t>
            </w:r>
          </w:p>
        </w:tc>
        <w:tc>
          <w:tcPr>
            <w:tcW w:w="1131" w:type="dxa"/>
            <w:tcBorders>
              <w:top w:val="nil"/>
              <w:left w:val="nil"/>
              <w:bottom w:val="single"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36 435 141</w:t>
            </w:r>
          </w:p>
        </w:tc>
        <w:tc>
          <w:tcPr>
            <w:tcW w:w="1288" w:type="dxa"/>
            <w:tcBorders>
              <w:top w:val="nil"/>
              <w:left w:val="nil"/>
              <w:bottom w:val="single"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1 569 340 866</w:t>
            </w:r>
          </w:p>
        </w:tc>
        <w:tc>
          <w:tcPr>
            <w:tcW w:w="1247" w:type="dxa"/>
            <w:tcBorders>
              <w:top w:val="nil"/>
              <w:left w:val="nil"/>
              <w:bottom w:val="single"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173 884 052 215</w:t>
            </w:r>
          </w:p>
        </w:tc>
        <w:tc>
          <w:tcPr>
            <w:tcW w:w="1216" w:type="dxa"/>
            <w:tcBorders>
              <w:top w:val="nil"/>
              <w:left w:val="nil"/>
              <w:bottom w:val="single" w:sz="4" w:space="0" w:color="auto"/>
              <w:right w:val="single" w:sz="4" w:space="0" w:color="auto"/>
            </w:tcBorders>
            <w:shd w:val="clear" w:color="000000" w:fill="D9D9D9"/>
            <w:vAlign w:val="center"/>
            <w:hideMark/>
          </w:tcPr>
          <w:p w:rsidR="00D136BF" w:rsidRDefault="004C7CDC">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164 108 041 747</w:t>
            </w:r>
          </w:p>
        </w:tc>
      </w:tr>
    </w:tbl>
    <w:p w:rsidR="00D136BF" w:rsidRDefault="00D136BF">
      <w:pPr>
        <w:spacing w:after="200" w:line="240" w:lineRule="auto"/>
        <w:jc w:val="both"/>
        <w:rPr>
          <w:rFonts w:ascii="Times New Roman" w:eastAsia="Times New Roman" w:hAnsi="Times New Roman" w:cs="Times New Roman"/>
          <w:noProof/>
          <w:sz w:val="24"/>
          <w:szCs w:val="24"/>
          <w:lang w:eastAsia="en-GB"/>
        </w:rPr>
      </w:pPr>
    </w:p>
    <w:sectPr w:rsidR="00D136BF">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BF" w:rsidRDefault="004C7CDC">
      <w:pPr>
        <w:spacing w:after="0" w:line="240" w:lineRule="auto"/>
      </w:pPr>
      <w:r>
        <w:separator/>
      </w:r>
    </w:p>
  </w:endnote>
  <w:endnote w:type="continuationSeparator" w:id="0">
    <w:p w:rsidR="00D136BF" w:rsidRDefault="004C7CDC">
      <w:pPr>
        <w:spacing w:after="0" w:line="240" w:lineRule="auto"/>
      </w:pPr>
      <w:r>
        <w:continuationSeparator/>
      </w:r>
    </w:p>
  </w:endnote>
  <w:endnote w:type="continuationNotice" w:id="1">
    <w:p w:rsidR="00D136BF" w:rsidRDefault="00D13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DC" w:rsidRPr="004C7CDC" w:rsidRDefault="004C7CDC" w:rsidP="004C7CD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BF" w:rsidRDefault="00D136B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12425967"/>
      <w:docPartObj>
        <w:docPartGallery w:val="Page Numbers (Bottom of Page)"/>
        <w:docPartUnique/>
      </w:docPartObj>
    </w:sdtPr>
    <w:sdtEndPr>
      <w:rPr>
        <w:noProof/>
      </w:rPr>
    </w:sdtEndPr>
    <w:sdtContent>
      <w:p w:rsidR="00D136BF" w:rsidRDefault="004C7CDC">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11</w:t>
        </w:r>
        <w:r>
          <w:rPr>
            <w:rFonts w:ascii="Times New Roman" w:hAnsi="Times New Roman" w:cs="Times New Roman"/>
            <w:noProof/>
          </w:rPr>
          <w:fldChar w:fldCharType="end"/>
        </w:r>
      </w:p>
    </w:sdtContent>
  </w:sdt>
  <w:p w:rsidR="00D136BF" w:rsidRDefault="00D136B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BF" w:rsidRDefault="00D13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DC" w:rsidRPr="004C7CDC" w:rsidRDefault="004C7CDC" w:rsidP="004C7CDC">
    <w:pPr>
      <w:pStyle w:val="FooterCoverPage"/>
      <w:rPr>
        <w:rFonts w:ascii="Arial" w:hAnsi="Arial" w:cs="Arial"/>
        <w:b/>
        <w:sz w:val="48"/>
      </w:rPr>
    </w:pPr>
    <w:r w:rsidRPr="004C7CDC">
      <w:rPr>
        <w:rFonts w:ascii="Arial" w:hAnsi="Arial" w:cs="Arial"/>
        <w:b/>
        <w:sz w:val="48"/>
      </w:rPr>
      <w:t>EN</w:t>
    </w:r>
    <w:r w:rsidRPr="004C7CDC">
      <w:rPr>
        <w:rFonts w:ascii="Arial" w:hAnsi="Arial" w:cs="Arial"/>
        <w:b/>
        <w:sz w:val="48"/>
      </w:rPr>
      <w:tab/>
    </w:r>
    <w:r w:rsidRPr="004C7CDC">
      <w:rPr>
        <w:rFonts w:ascii="Arial" w:hAnsi="Arial" w:cs="Arial"/>
        <w:b/>
        <w:sz w:val="48"/>
      </w:rPr>
      <w:tab/>
    </w:r>
    <w:r w:rsidRPr="004C7CDC">
      <w:tab/>
    </w:r>
    <w:r w:rsidRPr="004C7CDC">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DC" w:rsidRPr="004C7CDC" w:rsidRDefault="004C7CDC" w:rsidP="004C7CD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BF" w:rsidRDefault="00D136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BF" w:rsidRDefault="004C7CDC">
    <w:pPr>
      <w:pStyle w:val="Footer"/>
      <w:ind w:left="-851" w:right="-851"/>
      <w:rPr>
        <w:rFonts w:ascii="Arial" w:hAnsi="Arial" w:cs="Arial"/>
        <w:b/>
        <w:sz w:val="48"/>
      </w:rPr>
    </w:pPr>
    <w:r>
      <w:rPr>
        <w:rFonts w:ascii="Arial" w:hAnsi="Arial" w:cs="Arial"/>
        <w:b/>
        <w:sz w:val="48"/>
      </w:rPr>
      <w:tab/>
    </w:r>
    <w:r>
      <w:fldChar w:fldCharType="begin"/>
    </w:r>
    <w:r>
      <w:instrText xml:space="preserve"> PAGE  \* MERGEF</w:instrText>
    </w:r>
    <w:r>
      <w:instrText xml:space="preserve">ORMAT </w:instrText>
    </w:r>
    <w:r>
      <w:fldChar w:fldCharType="separate"/>
    </w:r>
    <w:r>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BF" w:rsidRDefault="00D136B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BF" w:rsidRDefault="00D136B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BF" w:rsidRDefault="004C7CDC">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BF" w:rsidRDefault="00D13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BF" w:rsidRDefault="004C7CDC">
      <w:pPr>
        <w:spacing w:after="0" w:line="240" w:lineRule="auto"/>
      </w:pPr>
      <w:r>
        <w:separator/>
      </w:r>
    </w:p>
  </w:footnote>
  <w:footnote w:type="continuationSeparator" w:id="0">
    <w:p w:rsidR="00D136BF" w:rsidRDefault="004C7CDC">
      <w:pPr>
        <w:spacing w:after="0" w:line="240" w:lineRule="auto"/>
      </w:pPr>
      <w:r>
        <w:continuationSeparator/>
      </w:r>
    </w:p>
  </w:footnote>
  <w:footnote w:type="continuationNotice" w:id="1">
    <w:p w:rsidR="00D136BF" w:rsidRDefault="00D136BF">
      <w:pPr>
        <w:spacing w:after="0" w:line="240" w:lineRule="auto"/>
      </w:pPr>
    </w:p>
  </w:footnote>
  <w:footnote w:id="2">
    <w:p w:rsidR="00D136BF" w:rsidRDefault="004C7CDC">
      <w:pPr>
        <w:pStyle w:val="FootnoteText"/>
        <w:rPr>
          <w:lang w:val="sv-SE"/>
        </w:rPr>
      </w:pPr>
      <w:r>
        <w:rPr>
          <w:rStyle w:val="FootnoteReference"/>
        </w:rPr>
        <w:footnoteRef/>
      </w:r>
      <w:r>
        <w:rPr>
          <w:lang w:val="sv-SE"/>
        </w:rPr>
        <w:t xml:space="preserve"> </w:t>
      </w:r>
      <w:r>
        <w:rPr>
          <w:lang w:val="sv-SE"/>
        </w:rPr>
        <w:tab/>
      </w:r>
      <w:r>
        <w:rPr>
          <w:sz w:val="18"/>
          <w:szCs w:val="18"/>
          <w:lang w:val="sv-SE"/>
        </w:rPr>
        <w:t>OJ L 193, 30.7.2018.</w:t>
      </w:r>
    </w:p>
  </w:footnote>
  <w:footnote w:id="3">
    <w:p w:rsidR="00D136BF" w:rsidRDefault="004C7CDC">
      <w:pPr>
        <w:pStyle w:val="FootnoteText"/>
        <w:rPr>
          <w:lang w:val="sv-SE"/>
        </w:rPr>
      </w:pPr>
      <w:r>
        <w:rPr>
          <w:rStyle w:val="FootnoteReference"/>
        </w:rPr>
        <w:footnoteRef/>
      </w:r>
      <w:r>
        <w:rPr>
          <w:lang w:val="sv-SE"/>
        </w:rPr>
        <w:t xml:space="preserve"> </w:t>
      </w:r>
      <w:r>
        <w:rPr>
          <w:lang w:val="sv-SE"/>
        </w:rPr>
        <w:tab/>
      </w:r>
      <w:r>
        <w:rPr>
          <w:sz w:val="18"/>
          <w:szCs w:val="18"/>
          <w:lang w:val="sv-SE"/>
        </w:rPr>
        <w:t>OJ L 57, 27.2.2020.</w:t>
      </w:r>
    </w:p>
  </w:footnote>
  <w:footnote w:id="4">
    <w:p w:rsidR="00D136BF" w:rsidRPr="00F45453" w:rsidRDefault="004C7CDC">
      <w:pPr>
        <w:pStyle w:val="FootnoteText"/>
        <w:rPr>
          <w:lang w:val="es-ES"/>
        </w:rPr>
      </w:pPr>
      <w:r>
        <w:rPr>
          <w:rStyle w:val="FootnoteReference"/>
        </w:rPr>
        <w:footnoteRef/>
      </w:r>
      <w:r w:rsidRPr="00F45453">
        <w:rPr>
          <w:lang w:val="es-ES"/>
        </w:rPr>
        <w:t xml:space="preserve"> </w:t>
      </w:r>
      <w:r w:rsidRPr="00F45453">
        <w:rPr>
          <w:lang w:val="es-ES"/>
        </w:rPr>
        <w:tab/>
      </w:r>
      <w:r w:rsidRPr="00F45453">
        <w:rPr>
          <w:sz w:val="18"/>
          <w:szCs w:val="18"/>
          <w:lang w:val="es-ES"/>
        </w:rPr>
        <w:t>OJ L 126, 21.4.2020.</w:t>
      </w:r>
    </w:p>
  </w:footnote>
  <w:footnote w:id="5">
    <w:p w:rsidR="00D136BF" w:rsidRPr="00F45453" w:rsidRDefault="004C7CDC">
      <w:pPr>
        <w:pStyle w:val="FootnoteText"/>
        <w:rPr>
          <w:lang w:val="es-ES"/>
        </w:rPr>
      </w:pPr>
      <w:r>
        <w:rPr>
          <w:rStyle w:val="FootnoteReference"/>
        </w:rPr>
        <w:footnoteRef/>
      </w:r>
      <w:r w:rsidRPr="00F45453">
        <w:rPr>
          <w:lang w:val="es-ES"/>
        </w:rPr>
        <w:t xml:space="preserve"> </w:t>
      </w:r>
      <w:r w:rsidRPr="00F45453">
        <w:rPr>
          <w:lang w:val="es-ES"/>
        </w:rPr>
        <w:tab/>
      </w:r>
      <w:r w:rsidRPr="00F45453">
        <w:rPr>
          <w:sz w:val="18"/>
          <w:szCs w:val="18"/>
          <w:lang w:val="es-ES"/>
        </w:rPr>
        <w:t>OJ L 126, 21.4.2020.</w:t>
      </w:r>
    </w:p>
  </w:footnote>
  <w:footnote w:id="6">
    <w:p w:rsidR="00D136BF" w:rsidRPr="00F45453" w:rsidRDefault="004C7CDC">
      <w:pPr>
        <w:pStyle w:val="FootnoteText"/>
      </w:pPr>
      <w:r>
        <w:rPr>
          <w:rStyle w:val="FootnoteReference"/>
        </w:rPr>
        <w:footnoteRef/>
      </w:r>
      <w:r w:rsidRPr="00F45453">
        <w:t xml:space="preserve"> </w:t>
      </w:r>
      <w:r w:rsidRPr="00F45453">
        <w:tab/>
      </w:r>
      <w:r>
        <w:rPr>
          <w:sz w:val="18"/>
          <w:szCs w:val="18"/>
          <w:lang w:val="pl-PL"/>
        </w:rPr>
        <w:t>OJ L 254, 04.8.2020.</w:t>
      </w:r>
    </w:p>
  </w:footnote>
  <w:footnote w:id="7">
    <w:p w:rsidR="00D136BF" w:rsidRPr="00F45453" w:rsidRDefault="004C7CDC">
      <w:pPr>
        <w:pStyle w:val="FootnoteText"/>
      </w:pPr>
      <w:r>
        <w:rPr>
          <w:rStyle w:val="FootnoteReference"/>
        </w:rPr>
        <w:footnoteRef/>
      </w:r>
      <w:r w:rsidRPr="00F45453">
        <w:t xml:space="preserve"> </w:t>
      </w:r>
      <w:r w:rsidRPr="00F45453">
        <w:tab/>
      </w:r>
      <w:r>
        <w:rPr>
          <w:sz w:val="18"/>
          <w:szCs w:val="18"/>
          <w:lang w:val="pl-PL"/>
        </w:rPr>
        <w:t>OJ L 254, 04.8.2020.</w:t>
      </w:r>
    </w:p>
  </w:footnote>
  <w:footnote w:id="8">
    <w:p w:rsidR="00D136BF" w:rsidRDefault="004C7CDC">
      <w:pPr>
        <w:pStyle w:val="FootnoteText"/>
        <w:rPr>
          <w:sz w:val="18"/>
          <w:szCs w:val="18"/>
          <w:lang w:val="pl-PL"/>
        </w:rPr>
      </w:pPr>
      <w:r>
        <w:rPr>
          <w:rStyle w:val="FootnoteReference"/>
        </w:rPr>
        <w:footnoteRef/>
      </w:r>
      <w:r w:rsidRPr="00F45453">
        <w:t xml:space="preserve"> </w:t>
      </w:r>
      <w:r w:rsidRPr="00F45453">
        <w:tab/>
      </w:r>
      <w:r>
        <w:rPr>
          <w:sz w:val="18"/>
          <w:szCs w:val="18"/>
          <w:lang w:val="pl-PL"/>
        </w:rPr>
        <w:t xml:space="preserve">OJ L </w:t>
      </w:r>
      <w:r>
        <w:rPr>
          <w:sz w:val="18"/>
          <w:szCs w:val="18"/>
          <w:lang w:val="pl-PL"/>
        </w:rPr>
        <w:t>299, 11.9.2020.</w:t>
      </w:r>
    </w:p>
  </w:footnote>
  <w:footnote w:id="9">
    <w:p w:rsidR="00D136BF" w:rsidRDefault="004C7CDC">
      <w:pPr>
        <w:pStyle w:val="FootnoteText"/>
        <w:rPr>
          <w:sz w:val="18"/>
          <w:szCs w:val="18"/>
          <w:lang w:val="pl-PL"/>
        </w:rPr>
      </w:pPr>
      <w:r>
        <w:rPr>
          <w:rStyle w:val="FootnoteReference"/>
        </w:rPr>
        <w:footnoteRef/>
      </w:r>
      <w:r w:rsidRPr="00F45453">
        <w:t xml:space="preserve"> </w:t>
      </w:r>
      <w:r w:rsidRPr="00F45453">
        <w:tab/>
      </w:r>
      <w:r>
        <w:rPr>
          <w:sz w:val="18"/>
          <w:szCs w:val="18"/>
          <w:lang w:val="pl-PL"/>
        </w:rPr>
        <w:t>OJ L XXX, XX.X.2020 (proposed as Draft Amending Budget No 8/2020 on 28.8.2020).</w:t>
      </w:r>
    </w:p>
  </w:footnote>
  <w:footnote w:id="10">
    <w:p w:rsidR="00D136BF" w:rsidRPr="00F45453" w:rsidRDefault="004C7CDC">
      <w:pPr>
        <w:pStyle w:val="FootnoteText"/>
        <w:rPr>
          <w:lang w:val="pt-PT"/>
        </w:rPr>
      </w:pPr>
      <w:r>
        <w:rPr>
          <w:rStyle w:val="FootnoteReference"/>
        </w:rPr>
        <w:footnoteRef/>
      </w:r>
      <w:r w:rsidRPr="00F45453">
        <w:rPr>
          <w:lang w:val="pt-PT"/>
        </w:rPr>
        <w:t xml:space="preserve"> </w:t>
      </w:r>
      <w:r w:rsidRPr="00F45453">
        <w:rPr>
          <w:lang w:val="pt-PT"/>
        </w:rPr>
        <w:tab/>
      </w:r>
      <w:r>
        <w:rPr>
          <w:sz w:val="18"/>
          <w:szCs w:val="18"/>
          <w:lang w:val="pl-PL"/>
        </w:rPr>
        <w:t xml:space="preserve">OJ L XXX, XX.X.2020 </w:t>
      </w:r>
    </w:p>
  </w:footnote>
  <w:footnote w:id="11">
    <w:p w:rsidR="00D136BF" w:rsidRPr="00F45453" w:rsidRDefault="004C7CDC">
      <w:pPr>
        <w:pStyle w:val="FootnoteText"/>
        <w:rPr>
          <w:lang w:val="pt-PT"/>
        </w:rPr>
      </w:pPr>
      <w:r>
        <w:rPr>
          <w:rStyle w:val="FootnoteReference"/>
        </w:rPr>
        <w:footnoteRef/>
      </w:r>
      <w:r w:rsidRPr="00F45453">
        <w:rPr>
          <w:lang w:val="pt-PT"/>
        </w:rPr>
        <w:t xml:space="preserve"> </w:t>
      </w:r>
      <w:r w:rsidRPr="00F45453">
        <w:rPr>
          <w:lang w:val="pt-PT"/>
        </w:rPr>
        <w:tab/>
      </w:r>
      <w:r>
        <w:rPr>
          <w:sz w:val="18"/>
          <w:szCs w:val="18"/>
          <w:lang w:val="pl-PL"/>
        </w:rPr>
        <w:t>COM(2020) 961, 9.10.2020.</w:t>
      </w:r>
    </w:p>
  </w:footnote>
  <w:footnote w:id="12">
    <w:p w:rsidR="00D136BF" w:rsidRDefault="004C7CDC">
      <w:pPr>
        <w:pStyle w:val="FootnoteText"/>
      </w:pPr>
      <w:r>
        <w:rPr>
          <w:rStyle w:val="FootnoteReference"/>
        </w:rPr>
        <w:footnoteRef/>
      </w:r>
      <w:r>
        <w:t xml:space="preserve"> </w:t>
      </w:r>
      <w:r>
        <w:tab/>
        <w:t>Regulation (EU) 2020/558 of the European Parliament and of the Council of 23 April 2020 amending Regu</w:t>
      </w:r>
      <w:r>
        <w:t>lations (EU) No 1301/2013 and (EU) No 1303/2013 as regards specific measures to provide exceptional flexibility for the use of the European Structural and Investments Funds in response to the COVID-19 outbreak, OJ L 130, 24.4.2020, p. 1.</w:t>
      </w:r>
    </w:p>
  </w:footnote>
  <w:footnote w:id="13">
    <w:p w:rsidR="00D136BF" w:rsidRDefault="004C7CDC">
      <w:pPr>
        <w:pStyle w:val="Default"/>
        <w:ind w:left="360" w:hanging="360"/>
        <w:rPr>
          <w:rFonts w:eastAsia="Times New Roman"/>
          <w:color w:val="auto"/>
          <w:sz w:val="18"/>
          <w:szCs w:val="18"/>
          <w:lang w:val="pl-PL" w:eastAsia="de-DE"/>
        </w:rPr>
      </w:pPr>
      <w:r>
        <w:rPr>
          <w:rStyle w:val="FootnoteReference"/>
        </w:rPr>
        <w:footnoteRef/>
      </w:r>
      <w:r>
        <w:t xml:space="preserve"> </w:t>
      </w:r>
      <w:r>
        <w:tab/>
      </w:r>
      <w:r>
        <w:rPr>
          <w:rFonts w:eastAsia="Times New Roman"/>
          <w:color w:val="auto"/>
          <w:sz w:val="18"/>
          <w:szCs w:val="18"/>
          <w:lang w:val="pl-PL" w:eastAsia="de-DE"/>
        </w:rPr>
        <w:t>Communication f</w:t>
      </w:r>
      <w:r>
        <w:rPr>
          <w:rFonts w:eastAsia="Times New Roman"/>
          <w:color w:val="auto"/>
          <w:sz w:val="18"/>
          <w:szCs w:val="18"/>
          <w:lang w:val="pl-PL" w:eastAsia="de-DE"/>
        </w:rPr>
        <w:t>rom the Commission to the European Parliament, the European Council, the Council, the European Central Bank, the European Investment Bank and the Eurogroup “Coordinated economic response to the COVID-19 Outbreak” (COM(2020) 112 final, 13.3.2020.</w:t>
      </w:r>
    </w:p>
  </w:footnote>
  <w:footnote w:id="14">
    <w:p w:rsidR="00D136BF" w:rsidRDefault="004C7CDC">
      <w:pPr>
        <w:pStyle w:val="Default"/>
        <w:ind w:left="360" w:hanging="360"/>
        <w:jc w:val="both"/>
      </w:pPr>
      <w:r>
        <w:rPr>
          <w:rStyle w:val="FootnoteReference"/>
        </w:rPr>
        <w:footnoteRef/>
      </w:r>
      <w:r>
        <w:t xml:space="preserve"> </w:t>
      </w:r>
      <w:r>
        <w:tab/>
      </w:r>
      <w:r>
        <w:rPr>
          <w:rFonts w:eastAsia="Times New Roman"/>
          <w:color w:val="auto"/>
          <w:sz w:val="18"/>
          <w:szCs w:val="18"/>
          <w:lang w:val="pl-PL" w:eastAsia="de-DE"/>
        </w:rPr>
        <w:t>Joint c</w:t>
      </w:r>
      <w:r>
        <w:rPr>
          <w:rFonts w:eastAsia="Times New Roman"/>
          <w:color w:val="auto"/>
          <w:sz w:val="18"/>
          <w:szCs w:val="18"/>
          <w:lang w:val="pl-PL" w:eastAsia="de-DE"/>
        </w:rPr>
        <w:t>ommunication to the European Parliament, the Council, the European Economic and Social Committee and the Committee of the Regions “Communication on the Global EU response to COVID-19” (JOIN(2020)11, 8.4.2020.</w:t>
      </w:r>
    </w:p>
  </w:footnote>
  <w:footnote w:id="15">
    <w:p w:rsidR="00D136BF" w:rsidRDefault="004C7CDC">
      <w:pPr>
        <w:pStyle w:val="FootnoteText"/>
        <w:ind w:left="360" w:hanging="360"/>
        <w:rPr>
          <w:sz w:val="18"/>
          <w:szCs w:val="18"/>
          <w:lang w:val="pl-PL"/>
        </w:rPr>
      </w:pPr>
      <w:r>
        <w:rPr>
          <w:rStyle w:val="FootnoteReference"/>
        </w:rPr>
        <w:footnoteRef/>
      </w:r>
      <w:r>
        <w:t xml:space="preserve"> </w:t>
      </w:r>
      <w:r>
        <w:rPr>
          <w:lang w:val="en-US"/>
        </w:rPr>
        <w:tab/>
      </w:r>
      <w:r>
        <w:rPr>
          <w:sz w:val="18"/>
          <w:szCs w:val="18"/>
          <w:lang w:val="pl-PL"/>
        </w:rPr>
        <w:t xml:space="preserve">This designation is without prejudice to </w:t>
      </w:r>
      <w:r>
        <w:rPr>
          <w:sz w:val="18"/>
          <w:szCs w:val="18"/>
          <w:lang w:val="pl-PL"/>
        </w:rPr>
        <w:t>positions on status, and is in line with UNSCR 1244/1999 and the ICJ Opinion on the Kosovo declaration of independence.</w:t>
      </w:r>
    </w:p>
  </w:footnote>
  <w:footnote w:id="16">
    <w:p w:rsidR="00D136BF" w:rsidRDefault="004C7CDC">
      <w:pPr>
        <w:pStyle w:val="FootnoteText"/>
        <w:ind w:left="360" w:hanging="360"/>
        <w:rPr>
          <w:rFonts w:eastAsia="Calibri"/>
          <w:noProof/>
        </w:rPr>
      </w:pPr>
      <w:r>
        <w:rPr>
          <w:rStyle w:val="FootnoteReference"/>
        </w:rPr>
        <w:footnoteRef/>
      </w:r>
      <w:r>
        <w:t xml:space="preserve"> </w:t>
      </w:r>
      <w:r>
        <w:tab/>
      </w:r>
      <w:r>
        <w:rPr>
          <w:rFonts w:eastAsia="Calibri"/>
          <w:noProof/>
        </w:rPr>
        <w:t>Commission Delegated Regulation (EU) 2020/1302 of 14 July 2020 supplementing Regulation (EU) No 648/2012 of the European Parliament a</w:t>
      </w:r>
      <w:r>
        <w:rPr>
          <w:rFonts w:eastAsia="Calibri"/>
          <w:noProof/>
        </w:rPr>
        <w:t>nd of the Council with regard to fees charged by the European Securities and Markets Authority to central counterparties established in third countries (OJ L 305, 21.9.2020).</w:t>
      </w:r>
    </w:p>
  </w:footnote>
  <w:footnote w:id="17">
    <w:p w:rsidR="00D136BF" w:rsidRDefault="004C7CDC">
      <w:pPr>
        <w:pStyle w:val="FootnoteText"/>
        <w:ind w:left="360" w:hanging="360"/>
        <w:rPr>
          <w:lang w:val="en-US"/>
        </w:rPr>
      </w:pPr>
      <w:r>
        <w:rPr>
          <w:rStyle w:val="FootnoteReference"/>
        </w:rPr>
        <w:footnoteRef/>
      </w:r>
      <w:r>
        <w:t xml:space="preserve"> </w:t>
      </w:r>
      <w:r>
        <w:tab/>
        <w:t>See</w:t>
      </w:r>
      <w:r>
        <w:rPr>
          <w:rFonts w:eastAsia="Calibri"/>
          <w:noProof/>
        </w:rPr>
        <w:t xml:space="preserve"> Article 10a (1) of the Making Available Regulation 609/2014.</w:t>
      </w:r>
    </w:p>
  </w:footnote>
  <w:footnote w:id="18">
    <w:p w:rsidR="00D136BF" w:rsidRDefault="004C7CDC">
      <w:pPr>
        <w:pStyle w:val="FootnoteText"/>
        <w:ind w:left="360" w:hanging="360"/>
        <w:rPr>
          <w:lang w:val="en-US"/>
        </w:rPr>
      </w:pPr>
      <w:r>
        <w:rPr>
          <w:rStyle w:val="FootnoteReference"/>
        </w:rPr>
        <w:footnoteRef/>
      </w:r>
      <w:r>
        <w:t xml:space="preserve"> </w:t>
      </w:r>
      <w:r>
        <w:tab/>
      </w:r>
      <w:r>
        <w:rPr>
          <w:lang w:val="en-US"/>
        </w:rPr>
        <w:t>EUR 100 mi</w:t>
      </w:r>
      <w:r>
        <w:rPr>
          <w:lang w:val="en-US"/>
        </w:rPr>
        <w:t>llion in the initial voted budget to which EUR 118 million were added in Amending Budget No 7/2020.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DC" w:rsidRPr="004C7CDC" w:rsidRDefault="004C7CDC" w:rsidP="004C7CD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BF" w:rsidRDefault="00D136B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BF" w:rsidRDefault="00D136B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BF" w:rsidRDefault="00D13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DC" w:rsidRPr="004C7CDC" w:rsidRDefault="004C7CDC" w:rsidP="004C7CD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DC" w:rsidRPr="004C7CDC" w:rsidRDefault="004C7CDC" w:rsidP="004C7CD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BF" w:rsidRDefault="00D136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BF" w:rsidRDefault="00D136BF">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BF" w:rsidRDefault="00D136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BF" w:rsidRDefault="00D136B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BF" w:rsidRDefault="00D136BF">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BF" w:rsidRDefault="00D1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0D1"/>
    <w:multiLevelType w:val="multilevel"/>
    <w:tmpl w:val="5E2418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7550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3C62A7"/>
    <w:multiLevelType w:val="multilevel"/>
    <w:tmpl w:val="E8F46B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126641"/>
    <w:multiLevelType w:val="hybridMultilevel"/>
    <w:tmpl w:val="1D780A96"/>
    <w:lvl w:ilvl="0" w:tplc="5EFA317E">
      <w:start w:val="7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B1963"/>
    <w:multiLevelType w:val="hybridMultilevel"/>
    <w:tmpl w:val="ED403B9A"/>
    <w:lvl w:ilvl="0" w:tplc="08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986A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7" w15:restartNumberingAfterBreak="0">
    <w:nsid w:val="3FF600B1"/>
    <w:multiLevelType w:val="hybridMultilevel"/>
    <w:tmpl w:val="1CE8624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D78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525B3F"/>
    <w:multiLevelType w:val="hybridMultilevel"/>
    <w:tmpl w:val="3F529152"/>
    <w:lvl w:ilvl="0" w:tplc="C6FA14AA">
      <w:start w:val="7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F4E13"/>
    <w:multiLevelType w:val="hybridMultilevel"/>
    <w:tmpl w:val="0A7A34B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660B7D30"/>
    <w:multiLevelType w:val="multilevel"/>
    <w:tmpl w:val="0405001F"/>
    <w:lvl w:ilvl="0">
      <w:start w:val="1"/>
      <w:numFmt w:val="decimal"/>
      <w:lvlText w:val="%1."/>
      <w:lvlJc w:val="left"/>
      <w:pPr>
        <w:ind w:left="360" w:hanging="360"/>
      </w:pPr>
    </w:lvl>
    <w:lvl w:ilvl="1">
      <w:start w:val="1"/>
      <w:numFmt w:val="decimal"/>
      <w:lvlText w:val="%1.%2."/>
      <w:lvlJc w:val="left"/>
      <w:pPr>
        <w:ind w:left="24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5565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8547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13"/>
  </w:num>
  <w:num w:numId="4">
    <w:abstractNumId w:val="12"/>
  </w:num>
  <w:num w:numId="5">
    <w:abstractNumId w:val="1"/>
  </w:num>
  <w:num w:numId="6">
    <w:abstractNumId w:val="8"/>
  </w:num>
  <w:num w:numId="7">
    <w:abstractNumId w:val="5"/>
  </w:num>
  <w:num w:numId="8">
    <w:abstractNumId w:val="10"/>
  </w:num>
  <w:num w:numId="9">
    <w:abstractNumId w:val="7"/>
  </w:num>
  <w:num w:numId="10">
    <w:abstractNumId w:val="4"/>
  </w:num>
  <w:num w:numId="11">
    <w:abstractNumId w:val="9"/>
  </w:num>
  <w:num w:numId="12">
    <w:abstractNumId w:val="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replaces COM(2020) 962 final of 9.10.2020. _x000b_Addition of the interinstitutional reference. _x000b_Concerns the EN version only. _x000b__x000b_The text shall read as follows:_x000b_"/>
    <w:docVar w:name="LW_COVERPAGE_EXISTS" w:val="True"/>
    <w:docVar w:name="LW_COVERPAGE_GUID" w:val="8D5F4B5D-0EB3-440B-A237-68B427EB3041"/>
    <w:docVar w:name="LW_COVERPAGE_TYPE" w:val="1"/>
    <w:docVar w:name="LW_CROSSREFERENCE" w:val="&lt;UNUSED&gt;"/>
    <w:docVar w:name="LW_DocType" w:val="NORMAL"/>
    <w:docVar w:name="LW_EMISSION" w:val="13.10.2020"/>
    <w:docVar w:name="LW_EMISSION_ISODATE" w:val="2020-10-13"/>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BUD"/>
    <w:docVar w:name="LW_REF.II.NEW.CP_NUMBER" w:val="0298"/>
    <w:docVar w:name="LW_REF.II.NEW.CP_YEAR" w:val="2020"/>
    <w:docVar w:name="LW_REF.INST.NEW" w:val="COM"/>
    <w:docVar w:name="LW_REF.INST.NEW_ADOPTED" w:val="final/2"/>
    <w:docVar w:name="LW_REF.INST.NEW_TEXT" w:val="(2020) 9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ncrease of payment appropriations in line with updated forecasts of expenditure and other adjustments to expenditure and revenue"/>
    <w:docVar w:name="LW_TYPE.DOC.CP" w:val="DRAFT AMENDING BUDGET N°10_x000b_TO THE GENERAL BUDGET 2020"/>
  </w:docVars>
  <w:rsids>
    <w:rsidRoot w:val="00D136BF"/>
    <w:rsid w:val="000C4E55"/>
    <w:rsid w:val="004C7CDC"/>
    <w:rsid w:val="006C708C"/>
    <w:rsid w:val="00D136BF"/>
    <w:rsid w:val="00F454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9DBC049-F2B7-46DE-8CFC-D79DC12C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qFormat/>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CommentReference">
    <w:name w:val="annotation reference"/>
    <w:rPr>
      <w:sz w:val="16"/>
      <w:szCs w:val="16"/>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TOC6">
    <w:name w:val="toc 6"/>
    <w:basedOn w:val="Normal"/>
    <w:next w:val="Normal"/>
    <w:autoRedefine/>
    <w:uiPriority w:val="39"/>
    <w:semiHidden/>
    <w:unhideWhenUsed/>
    <w:pPr>
      <w:spacing w:after="100"/>
      <w:ind w:left="1100"/>
    </w:pPr>
  </w:style>
  <w:style w:type="paragraph" w:customStyle="1" w:styleId="ListDash">
    <w:name w:val="List Dash"/>
    <w:basedOn w:val="Normal"/>
    <w:link w:val="ListDashChar"/>
    <w:p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Revision">
    <w:name w:val="Revision"/>
    <w:hidden/>
    <w:uiPriority w:val="99"/>
    <w:semiHidden/>
    <w:pPr>
      <w:spacing w:after="0" w:line="240" w:lineRule="auto"/>
    </w:p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pPr>
      <w:tabs>
        <w:tab w:val="left" w:pos="720"/>
        <w:tab w:val="right" w:leader="dot" w:pos="9855"/>
      </w:tabs>
      <w:spacing w:after="100"/>
    </w:p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282">
      <w:bodyDiv w:val="1"/>
      <w:marLeft w:val="0"/>
      <w:marRight w:val="0"/>
      <w:marTop w:val="0"/>
      <w:marBottom w:val="0"/>
      <w:divBdr>
        <w:top w:val="none" w:sz="0" w:space="0" w:color="auto"/>
        <w:left w:val="none" w:sz="0" w:space="0" w:color="auto"/>
        <w:bottom w:val="none" w:sz="0" w:space="0" w:color="auto"/>
        <w:right w:val="none" w:sz="0" w:space="0" w:color="auto"/>
      </w:divBdr>
    </w:div>
    <w:div w:id="140386999">
      <w:bodyDiv w:val="1"/>
      <w:marLeft w:val="0"/>
      <w:marRight w:val="0"/>
      <w:marTop w:val="0"/>
      <w:marBottom w:val="0"/>
      <w:divBdr>
        <w:top w:val="none" w:sz="0" w:space="0" w:color="auto"/>
        <w:left w:val="none" w:sz="0" w:space="0" w:color="auto"/>
        <w:bottom w:val="none" w:sz="0" w:space="0" w:color="auto"/>
        <w:right w:val="none" w:sz="0" w:space="0" w:color="auto"/>
      </w:divBdr>
    </w:div>
    <w:div w:id="385882826">
      <w:bodyDiv w:val="1"/>
      <w:marLeft w:val="0"/>
      <w:marRight w:val="0"/>
      <w:marTop w:val="0"/>
      <w:marBottom w:val="0"/>
      <w:divBdr>
        <w:top w:val="none" w:sz="0" w:space="0" w:color="auto"/>
        <w:left w:val="none" w:sz="0" w:space="0" w:color="auto"/>
        <w:bottom w:val="none" w:sz="0" w:space="0" w:color="auto"/>
        <w:right w:val="none" w:sz="0" w:space="0" w:color="auto"/>
      </w:divBdr>
    </w:div>
    <w:div w:id="524903591">
      <w:bodyDiv w:val="1"/>
      <w:marLeft w:val="0"/>
      <w:marRight w:val="0"/>
      <w:marTop w:val="0"/>
      <w:marBottom w:val="0"/>
      <w:divBdr>
        <w:top w:val="none" w:sz="0" w:space="0" w:color="auto"/>
        <w:left w:val="none" w:sz="0" w:space="0" w:color="auto"/>
        <w:bottom w:val="none" w:sz="0" w:space="0" w:color="auto"/>
        <w:right w:val="none" w:sz="0" w:space="0" w:color="auto"/>
      </w:divBdr>
    </w:div>
    <w:div w:id="553351881">
      <w:bodyDiv w:val="1"/>
      <w:marLeft w:val="0"/>
      <w:marRight w:val="0"/>
      <w:marTop w:val="0"/>
      <w:marBottom w:val="0"/>
      <w:divBdr>
        <w:top w:val="none" w:sz="0" w:space="0" w:color="auto"/>
        <w:left w:val="none" w:sz="0" w:space="0" w:color="auto"/>
        <w:bottom w:val="none" w:sz="0" w:space="0" w:color="auto"/>
        <w:right w:val="none" w:sz="0" w:space="0" w:color="auto"/>
      </w:divBdr>
    </w:div>
    <w:div w:id="621232548">
      <w:bodyDiv w:val="1"/>
      <w:marLeft w:val="0"/>
      <w:marRight w:val="0"/>
      <w:marTop w:val="0"/>
      <w:marBottom w:val="0"/>
      <w:divBdr>
        <w:top w:val="none" w:sz="0" w:space="0" w:color="auto"/>
        <w:left w:val="none" w:sz="0" w:space="0" w:color="auto"/>
        <w:bottom w:val="none" w:sz="0" w:space="0" w:color="auto"/>
        <w:right w:val="none" w:sz="0" w:space="0" w:color="auto"/>
      </w:divBdr>
    </w:div>
    <w:div w:id="761876650">
      <w:bodyDiv w:val="1"/>
      <w:marLeft w:val="0"/>
      <w:marRight w:val="0"/>
      <w:marTop w:val="0"/>
      <w:marBottom w:val="0"/>
      <w:divBdr>
        <w:top w:val="none" w:sz="0" w:space="0" w:color="auto"/>
        <w:left w:val="none" w:sz="0" w:space="0" w:color="auto"/>
        <w:bottom w:val="none" w:sz="0" w:space="0" w:color="auto"/>
        <w:right w:val="none" w:sz="0" w:space="0" w:color="auto"/>
      </w:divBdr>
    </w:div>
    <w:div w:id="802161228">
      <w:bodyDiv w:val="1"/>
      <w:marLeft w:val="0"/>
      <w:marRight w:val="0"/>
      <w:marTop w:val="0"/>
      <w:marBottom w:val="0"/>
      <w:divBdr>
        <w:top w:val="none" w:sz="0" w:space="0" w:color="auto"/>
        <w:left w:val="none" w:sz="0" w:space="0" w:color="auto"/>
        <w:bottom w:val="none" w:sz="0" w:space="0" w:color="auto"/>
        <w:right w:val="none" w:sz="0" w:space="0" w:color="auto"/>
      </w:divBdr>
    </w:div>
    <w:div w:id="989401625">
      <w:bodyDiv w:val="1"/>
      <w:marLeft w:val="0"/>
      <w:marRight w:val="0"/>
      <w:marTop w:val="0"/>
      <w:marBottom w:val="0"/>
      <w:divBdr>
        <w:top w:val="none" w:sz="0" w:space="0" w:color="auto"/>
        <w:left w:val="none" w:sz="0" w:space="0" w:color="auto"/>
        <w:bottom w:val="none" w:sz="0" w:space="0" w:color="auto"/>
        <w:right w:val="none" w:sz="0" w:space="0" w:color="auto"/>
      </w:divBdr>
    </w:div>
    <w:div w:id="1123764486">
      <w:bodyDiv w:val="1"/>
      <w:marLeft w:val="0"/>
      <w:marRight w:val="0"/>
      <w:marTop w:val="0"/>
      <w:marBottom w:val="0"/>
      <w:divBdr>
        <w:top w:val="none" w:sz="0" w:space="0" w:color="auto"/>
        <w:left w:val="none" w:sz="0" w:space="0" w:color="auto"/>
        <w:bottom w:val="none" w:sz="0" w:space="0" w:color="auto"/>
        <w:right w:val="none" w:sz="0" w:space="0" w:color="auto"/>
      </w:divBdr>
    </w:div>
    <w:div w:id="1126117478">
      <w:bodyDiv w:val="1"/>
      <w:marLeft w:val="0"/>
      <w:marRight w:val="0"/>
      <w:marTop w:val="0"/>
      <w:marBottom w:val="0"/>
      <w:divBdr>
        <w:top w:val="none" w:sz="0" w:space="0" w:color="auto"/>
        <w:left w:val="none" w:sz="0" w:space="0" w:color="auto"/>
        <w:bottom w:val="none" w:sz="0" w:space="0" w:color="auto"/>
        <w:right w:val="none" w:sz="0" w:space="0" w:color="auto"/>
      </w:divBdr>
    </w:div>
    <w:div w:id="1193154068">
      <w:bodyDiv w:val="1"/>
      <w:marLeft w:val="0"/>
      <w:marRight w:val="0"/>
      <w:marTop w:val="0"/>
      <w:marBottom w:val="0"/>
      <w:divBdr>
        <w:top w:val="none" w:sz="0" w:space="0" w:color="auto"/>
        <w:left w:val="none" w:sz="0" w:space="0" w:color="auto"/>
        <w:bottom w:val="none" w:sz="0" w:space="0" w:color="auto"/>
        <w:right w:val="none" w:sz="0" w:space="0" w:color="auto"/>
      </w:divBdr>
    </w:div>
    <w:div w:id="1213612550">
      <w:bodyDiv w:val="1"/>
      <w:marLeft w:val="0"/>
      <w:marRight w:val="0"/>
      <w:marTop w:val="0"/>
      <w:marBottom w:val="0"/>
      <w:divBdr>
        <w:top w:val="none" w:sz="0" w:space="0" w:color="auto"/>
        <w:left w:val="none" w:sz="0" w:space="0" w:color="auto"/>
        <w:bottom w:val="none" w:sz="0" w:space="0" w:color="auto"/>
        <w:right w:val="none" w:sz="0" w:space="0" w:color="auto"/>
      </w:divBdr>
    </w:div>
    <w:div w:id="1235160125">
      <w:bodyDiv w:val="1"/>
      <w:marLeft w:val="0"/>
      <w:marRight w:val="0"/>
      <w:marTop w:val="0"/>
      <w:marBottom w:val="0"/>
      <w:divBdr>
        <w:top w:val="none" w:sz="0" w:space="0" w:color="auto"/>
        <w:left w:val="none" w:sz="0" w:space="0" w:color="auto"/>
        <w:bottom w:val="none" w:sz="0" w:space="0" w:color="auto"/>
        <w:right w:val="none" w:sz="0" w:space="0" w:color="auto"/>
      </w:divBdr>
    </w:div>
    <w:div w:id="1250231126">
      <w:bodyDiv w:val="1"/>
      <w:marLeft w:val="0"/>
      <w:marRight w:val="0"/>
      <w:marTop w:val="0"/>
      <w:marBottom w:val="0"/>
      <w:divBdr>
        <w:top w:val="none" w:sz="0" w:space="0" w:color="auto"/>
        <w:left w:val="none" w:sz="0" w:space="0" w:color="auto"/>
        <w:bottom w:val="none" w:sz="0" w:space="0" w:color="auto"/>
        <w:right w:val="none" w:sz="0" w:space="0" w:color="auto"/>
      </w:divBdr>
    </w:div>
    <w:div w:id="1319262239">
      <w:bodyDiv w:val="1"/>
      <w:marLeft w:val="0"/>
      <w:marRight w:val="0"/>
      <w:marTop w:val="0"/>
      <w:marBottom w:val="0"/>
      <w:divBdr>
        <w:top w:val="none" w:sz="0" w:space="0" w:color="auto"/>
        <w:left w:val="none" w:sz="0" w:space="0" w:color="auto"/>
        <w:bottom w:val="none" w:sz="0" w:space="0" w:color="auto"/>
        <w:right w:val="none" w:sz="0" w:space="0" w:color="auto"/>
      </w:divBdr>
      <w:divsChild>
        <w:div w:id="1553880648">
          <w:marLeft w:val="0"/>
          <w:marRight w:val="0"/>
          <w:marTop w:val="0"/>
          <w:marBottom w:val="0"/>
          <w:divBdr>
            <w:top w:val="none" w:sz="0" w:space="0" w:color="auto"/>
            <w:left w:val="none" w:sz="0" w:space="0" w:color="auto"/>
            <w:bottom w:val="none" w:sz="0" w:space="0" w:color="auto"/>
            <w:right w:val="none" w:sz="0" w:space="0" w:color="auto"/>
          </w:divBdr>
          <w:divsChild>
            <w:div w:id="1423838048">
              <w:marLeft w:val="0"/>
              <w:marRight w:val="0"/>
              <w:marTop w:val="0"/>
              <w:marBottom w:val="0"/>
              <w:divBdr>
                <w:top w:val="none" w:sz="0" w:space="0" w:color="auto"/>
                <w:left w:val="none" w:sz="0" w:space="0" w:color="auto"/>
                <w:bottom w:val="none" w:sz="0" w:space="0" w:color="auto"/>
                <w:right w:val="none" w:sz="0" w:space="0" w:color="auto"/>
              </w:divBdr>
              <w:divsChild>
                <w:div w:id="827135290">
                  <w:marLeft w:val="0"/>
                  <w:marRight w:val="0"/>
                  <w:marTop w:val="0"/>
                  <w:marBottom w:val="0"/>
                  <w:divBdr>
                    <w:top w:val="none" w:sz="0" w:space="0" w:color="auto"/>
                    <w:left w:val="none" w:sz="0" w:space="0" w:color="auto"/>
                    <w:bottom w:val="none" w:sz="0" w:space="0" w:color="auto"/>
                    <w:right w:val="none" w:sz="0" w:space="0" w:color="auto"/>
                  </w:divBdr>
                  <w:divsChild>
                    <w:div w:id="1374426018">
                      <w:marLeft w:val="0"/>
                      <w:marRight w:val="0"/>
                      <w:marTop w:val="0"/>
                      <w:marBottom w:val="0"/>
                      <w:divBdr>
                        <w:top w:val="none" w:sz="0" w:space="0" w:color="auto"/>
                        <w:left w:val="none" w:sz="0" w:space="0" w:color="auto"/>
                        <w:bottom w:val="none" w:sz="0" w:space="0" w:color="auto"/>
                        <w:right w:val="none" w:sz="0" w:space="0" w:color="auto"/>
                      </w:divBdr>
                      <w:divsChild>
                        <w:div w:id="2003074903">
                          <w:marLeft w:val="0"/>
                          <w:marRight w:val="0"/>
                          <w:marTop w:val="0"/>
                          <w:marBottom w:val="0"/>
                          <w:divBdr>
                            <w:top w:val="none" w:sz="0" w:space="0" w:color="auto"/>
                            <w:left w:val="none" w:sz="0" w:space="0" w:color="auto"/>
                            <w:bottom w:val="none" w:sz="0" w:space="0" w:color="auto"/>
                            <w:right w:val="none" w:sz="0" w:space="0" w:color="auto"/>
                          </w:divBdr>
                          <w:divsChild>
                            <w:div w:id="1019041060">
                              <w:marLeft w:val="0"/>
                              <w:marRight w:val="0"/>
                              <w:marTop w:val="0"/>
                              <w:marBottom w:val="0"/>
                              <w:divBdr>
                                <w:top w:val="none" w:sz="0" w:space="0" w:color="auto"/>
                                <w:left w:val="none" w:sz="0" w:space="0" w:color="auto"/>
                                <w:bottom w:val="none" w:sz="0" w:space="0" w:color="auto"/>
                                <w:right w:val="none" w:sz="0" w:space="0" w:color="auto"/>
                              </w:divBdr>
                              <w:divsChild>
                                <w:div w:id="246614265">
                                  <w:marLeft w:val="0"/>
                                  <w:marRight w:val="0"/>
                                  <w:marTop w:val="0"/>
                                  <w:marBottom w:val="0"/>
                                  <w:divBdr>
                                    <w:top w:val="none" w:sz="0" w:space="0" w:color="auto"/>
                                    <w:left w:val="none" w:sz="0" w:space="0" w:color="auto"/>
                                    <w:bottom w:val="none" w:sz="0" w:space="0" w:color="auto"/>
                                    <w:right w:val="none" w:sz="0" w:space="0" w:color="auto"/>
                                  </w:divBdr>
                                  <w:divsChild>
                                    <w:div w:id="1640068188">
                                      <w:marLeft w:val="0"/>
                                      <w:marRight w:val="0"/>
                                      <w:marTop w:val="0"/>
                                      <w:marBottom w:val="0"/>
                                      <w:divBdr>
                                        <w:top w:val="none" w:sz="0" w:space="0" w:color="auto"/>
                                        <w:left w:val="none" w:sz="0" w:space="0" w:color="auto"/>
                                        <w:bottom w:val="none" w:sz="0" w:space="0" w:color="auto"/>
                                        <w:right w:val="none" w:sz="0" w:space="0" w:color="auto"/>
                                      </w:divBdr>
                                      <w:divsChild>
                                        <w:div w:id="1529297560">
                                          <w:marLeft w:val="0"/>
                                          <w:marRight w:val="0"/>
                                          <w:marTop w:val="0"/>
                                          <w:marBottom w:val="0"/>
                                          <w:divBdr>
                                            <w:top w:val="none" w:sz="0" w:space="0" w:color="auto"/>
                                            <w:left w:val="none" w:sz="0" w:space="0" w:color="auto"/>
                                            <w:bottom w:val="none" w:sz="0" w:space="0" w:color="auto"/>
                                            <w:right w:val="none" w:sz="0" w:space="0" w:color="auto"/>
                                          </w:divBdr>
                                          <w:divsChild>
                                            <w:div w:id="11155919">
                                              <w:marLeft w:val="0"/>
                                              <w:marRight w:val="0"/>
                                              <w:marTop w:val="0"/>
                                              <w:marBottom w:val="0"/>
                                              <w:divBdr>
                                                <w:top w:val="none" w:sz="0" w:space="0" w:color="auto"/>
                                                <w:left w:val="none" w:sz="0" w:space="0" w:color="auto"/>
                                                <w:bottom w:val="none" w:sz="0" w:space="0" w:color="auto"/>
                                                <w:right w:val="none" w:sz="0" w:space="0" w:color="auto"/>
                                              </w:divBdr>
                                              <w:divsChild>
                                                <w:div w:id="18212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701726">
          <w:marLeft w:val="0"/>
          <w:marRight w:val="0"/>
          <w:marTop w:val="0"/>
          <w:marBottom w:val="0"/>
          <w:divBdr>
            <w:top w:val="none" w:sz="0" w:space="0" w:color="auto"/>
            <w:left w:val="none" w:sz="0" w:space="0" w:color="auto"/>
            <w:bottom w:val="none" w:sz="0" w:space="0" w:color="auto"/>
            <w:right w:val="none" w:sz="0" w:space="0" w:color="auto"/>
          </w:divBdr>
          <w:divsChild>
            <w:div w:id="2102749771">
              <w:marLeft w:val="0"/>
              <w:marRight w:val="0"/>
              <w:marTop w:val="0"/>
              <w:marBottom w:val="0"/>
              <w:divBdr>
                <w:top w:val="none" w:sz="0" w:space="0" w:color="auto"/>
                <w:left w:val="none" w:sz="0" w:space="0" w:color="auto"/>
                <w:bottom w:val="none" w:sz="0" w:space="0" w:color="auto"/>
                <w:right w:val="none" w:sz="0" w:space="0" w:color="auto"/>
              </w:divBdr>
              <w:divsChild>
                <w:div w:id="1582907177">
                  <w:marLeft w:val="0"/>
                  <w:marRight w:val="0"/>
                  <w:marTop w:val="0"/>
                  <w:marBottom w:val="0"/>
                  <w:divBdr>
                    <w:top w:val="none" w:sz="0" w:space="0" w:color="auto"/>
                    <w:left w:val="none" w:sz="0" w:space="0" w:color="auto"/>
                    <w:bottom w:val="none" w:sz="0" w:space="0" w:color="auto"/>
                    <w:right w:val="none" w:sz="0" w:space="0" w:color="auto"/>
                  </w:divBdr>
                  <w:divsChild>
                    <w:div w:id="1622151892">
                      <w:marLeft w:val="0"/>
                      <w:marRight w:val="0"/>
                      <w:marTop w:val="0"/>
                      <w:marBottom w:val="0"/>
                      <w:divBdr>
                        <w:top w:val="none" w:sz="0" w:space="0" w:color="auto"/>
                        <w:left w:val="none" w:sz="0" w:space="0" w:color="auto"/>
                        <w:bottom w:val="none" w:sz="0" w:space="0" w:color="auto"/>
                        <w:right w:val="none" w:sz="0" w:space="0" w:color="auto"/>
                      </w:divBdr>
                      <w:divsChild>
                        <w:div w:id="7019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9657">
                  <w:marLeft w:val="0"/>
                  <w:marRight w:val="0"/>
                  <w:marTop w:val="0"/>
                  <w:marBottom w:val="0"/>
                  <w:divBdr>
                    <w:top w:val="none" w:sz="0" w:space="0" w:color="auto"/>
                    <w:left w:val="none" w:sz="0" w:space="0" w:color="auto"/>
                    <w:bottom w:val="none" w:sz="0" w:space="0" w:color="auto"/>
                    <w:right w:val="none" w:sz="0" w:space="0" w:color="auto"/>
                  </w:divBdr>
                  <w:divsChild>
                    <w:div w:id="11493235">
                      <w:marLeft w:val="0"/>
                      <w:marRight w:val="0"/>
                      <w:marTop w:val="0"/>
                      <w:marBottom w:val="0"/>
                      <w:divBdr>
                        <w:top w:val="none" w:sz="0" w:space="0" w:color="auto"/>
                        <w:left w:val="none" w:sz="0" w:space="0" w:color="auto"/>
                        <w:bottom w:val="none" w:sz="0" w:space="0" w:color="auto"/>
                        <w:right w:val="none" w:sz="0" w:space="0" w:color="auto"/>
                      </w:divBdr>
                      <w:divsChild>
                        <w:div w:id="8656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6861">
                  <w:marLeft w:val="0"/>
                  <w:marRight w:val="0"/>
                  <w:marTop w:val="0"/>
                  <w:marBottom w:val="0"/>
                  <w:divBdr>
                    <w:top w:val="none" w:sz="0" w:space="0" w:color="auto"/>
                    <w:left w:val="none" w:sz="0" w:space="0" w:color="auto"/>
                    <w:bottom w:val="none" w:sz="0" w:space="0" w:color="auto"/>
                    <w:right w:val="none" w:sz="0" w:space="0" w:color="auto"/>
                  </w:divBdr>
                  <w:divsChild>
                    <w:div w:id="1984114820">
                      <w:marLeft w:val="0"/>
                      <w:marRight w:val="0"/>
                      <w:marTop w:val="0"/>
                      <w:marBottom w:val="0"/>
                      <w:divBdr>
                        <w:top w:val="none" w:sz="0" w:space="0" w:color="auto"/>
                        <w:left w:val="none" w:sz="0" w:space="0" w:color="auto"/>
                        <w:bottom w:val="none" w:sz="0" w:space="0" w:color="auto"/>
                        <w:right w:val="none" w:sz="0" w:space="0" w:color="auto"/>
                      </w:divBdr>
                      <w:divsChild>
                        <w:div w:id="10869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1647">
                  <w:marLeft w:val="0"/>
                  <w:marRight w:val="0"/>
                  <w:marTop w:val="0"/>
                  <w:marBottom w:val="0"/>
                  <w:divBdr>
                    <w:top w:val="none" w:sz="0" w:space="0" w:color="auto"/>
                    <w:left w:val="none" w:sz="0" w:space="0" w:color="auto"/>
                    <w:bottom w:val="none" w:sz="0" w:space="0" w:color="auto"/>
                    <w:right w:val="none" w:sz="0" w:space="0" w:color="auto"/>
                  </w:divBdr>
                  <w:divsChild>
                    <w:div w:id="1996033672">
                      <w:marLeft w:val="0"/>
                      <w:marRight w:val="0"/>
                      <w:marTop w:val="0"/>
                      <w:marBottom w:val="0"/>
                      <w:divBdr>
                        <w:top w:val="none" w:sz="0" w:space="0" w:color="auto"/>
                        <w:left w:val="none" w:sz="0" w:space="0" w:color="auto"/>
                        <w:bottom w:val="none" w:sz="0" w:space="0" w:color="auto"/>
                        <w:right w:val="none" w:sz="0" w:space="0" w:color="auto"/>
                      </w:divBdr>
                      <w:divsChild>
                        <w:div w:id="1393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8779">
                  <w:marLeft w:val="0"/>
                  <w:marRight w:val="0"/>
                  <w:marTop w:val="0"/>
                  <w:marBottom w:val="0"/>
                  <w:divBdr>
                    <w:top w:val="none" w:sz="0" w:space="0" w:color="auto"/>
                    <w:left w:val="none" w:sz="0" w:space="0" w:color="auto"/>
                    <w:bottom w:val="none" w:sz="0" w:space="0" w:color="auto"/>
                    <w:right w:val="none" w:sz="0" w:space="0" w:color="auto"/>
                  </w:divBdr>
                  <w:divsChild>
                    <w:div w:id="1118833214">
                      <w:marLeft w:val="0"/>
                      <w:marRight w:val="0"/>
                      <w:marTop w:val="0"/>
                      <w:marBottom w:val="0"/>
                      <w:divBdr>
                        <w:top w:val="none" w:sz="0" w:space="0" w:color="auto"/>
                        <w:left w:val="none" w:sz="0" w:space="0" w:color="auto"/>
                        <w:bottom w:val="none" w:sz="0" w:space="0" w:color="auto"/>
                        <w:right w:val="none" w:sz="0" w:space="0" w:color="auto"/>
                      </w:divBdr>
                      <w:divsChild>
                        <w:div w:id="1176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8742">
                  <w:marLeft w:val="0"/>
                  <w:marRight w:val="0"/>
                  <w:marTop w:val="0"/>
                  <w:marBottom w:val="0"/>
                  <w:divBdr>
                    <w:top w:val="none" w:sz="0" w:space="0" w:color="auto"/>
                    <w:left w:val="none" w:sz="0" w:space="0" w:color="auto"/>
                    <w:bottom w:val="none" w:sz="0" w:space="0" w:color="auto"/>
                    <w:right w:val="none" w:sz="0" w:space="0" w:color="auto"/>
                  </w:divBdr>
                  <w:divsChild>
                    <w:div w:id="1329795486">
                      <w:marLeft w:val="0"/>
                      <w:marRight w:val="0"/>
                      <w:marTop w:val="0"/>
                      <w:marBottom w:val="0"/>
                      <w:divBdr>
                        <w:top w:val="none" w:sz="0" w:space="0" w:color="auto"/>
                        <w:left w:val="none" w:sz="0" w:space="0" w:color="auto"/>
                        <w:bottom w:val="none" w:sz="0" w:space="0" w:color="auto"/>
                        <w:right w:val="none" w:sz="0" w:space="0" w:color="auto"/>
                      </w:divBdr>
                      <w:divsChild>
                        <w:div w:id="13471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270">
                  <w:marLeft w:val="0"/>
                  <w:marRight w:val="0"/>
                  <w:marTop w:val="0"/>
                  <w:marBottom w:val="0"/>
                  <w:divBdr>
                    <w:top w:val="none" w:sz="0" w:space="0" w:color="auto"/>
                    <w:left w:val="none" w:sz="0" w:space="0" w:color="auto"/>
                    <w:bottom w:val="none" w:sz="0" w:space="0" w:color="auto"/>
                    <w:right w:val="none" w:sz="0" w:space="0" w:color="auto"/>
                  </w:divBdr>
                  <w:divsChild>
                    <w:div w:id="255796029">
                      <w:marLeft w:val="0"/>
                      <w:marRight w:val="0"/>
                      <w:marTop w:val="0"/>
                      <w:marBottom w:val="0"/>
                      <w:divBdr>
                        <w:top w:val="none" w:sz="0" w:space="0" w:color="auto"/>
                        <w:left w:val="none" w:sz="0" w:space="0" w:color="auto"/>
                        <w:bottom w:val="none" w:sz="0" w:space="0" w:color="auto"/>
                        <w:right w:val="none" w:sz="0" w:space="0" w:color="auto"/>
                      </w:divBdr>
                      <w:divsChild>
                        <w:div w:id="1656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29">
          <w:marLeft w:val="0"/>
          <w:marRight w:val="0"/>
          <w:marTop w:val="0"/>
          <w:marBottom w:val="0"/>
          <w:divBdr>
            <w:top w:val="none" w:sz="0" w:space="0" w:color="auto"/>
            <w:left w:val="none" w:sz="0" w:space="0" w:color="auto"/>
            <w:bottom w:val="none" w:sz="0" w:space="0" w:color="auto"/>
            <w:right w:val="none" w:sz="0" w:space="0" w:color="auto"/>
          </w:divBdr>
          <w:divsChild>
            <w:div w:id="201720539">
              <w:marLeft w:val="0"/>
              <w:marRight w:val="0"/>
              <w:marTop w:val="0"/>
              <w:marBottom w:val="0"/>
              <w:divBdr>
                <w:top w:val="none" w:sz="0" w:space="0" w:color="auto"/>
                <w:left w:val="none" w:sz="0" w:space="0" w:color="auto"/>
                <w:bottom w:val="none" w:sz="0" w:space="0" w:color="auto"/>
                <w:right w:val="none" w:sz="0" w:space="0" w:color="auto"/>
              </w:divBdr>
              <w:divsChild>
                <w:div w:id="2145465948">
                  <w:marLeft w:val="0"/>
                  <w:marRight w:val="0"/>
                  <w:marTop w:val="0"/>
                  <w:marBottom w:val="0"/>
                  <w:divBdr>
                    <w:top w:val="none" w:sz="0" w:space="0" w:color="auto"/>
                    <w:left w:val="none" w:sz="0" w:space="0" w:color="auto"/>
                    <w:bottom w:val="none" w:sz="0" w:space="0" w:color="auto"/>
                    <w:right w:val="none" w:sz="0" w:space="0" w:color="auto"/>
                  </w:divBdr>
                  <w:divsChild>
                    <w:div w:id="1763798578">
                      <w:marLeft w:val="0"/>
                      <w:marRight w:val="0"/>
                      <w:marTop w:val="0"/>
                      <w:marBottom w:val="0"/>
                      <w:divBdr>
                        <w:top w:val="none" w:sz="0" w:space="0" w:color="auto"/>
                        <w:left w:val="none" w:sz="0" w:space="0" w:color="auto"/>
                        <w:bottom w:val="none" w:sz="0" w:space="0" w:color="auto"/>
                        <w:right w:val="none" w:sz="0" w:space="0" w:color="auto"/>
                      </w:divBdr>
                      <w:divsChild>
                        <w:div w:id="551693435">
                          <w:marLeft w:val="0"/>
                          <w:marRight w:val="0"/>
                          <w:marTop w:val="0"/>
                          <w:marBottom w:val="0"/>
                          <w:divBdr>
                            <w:top w:val="none" w:sz="0" w:space="0" w:color="auto"/>
                            <w:left w:val="none" w:sz="0" w:space="0" w:color="auto"/>
                            <w:bottom w:val="none" w:sz="0" w:space="0" w:color="auto"/>
                            <w:right w:val="none" w:sz="0" w:space="0" w:color="auto"/>
                          </w:divBdr>
                          <w:divsChild>
                            <w:div w:id="686520816">
                              <w:marLeft w:val="0"/>
                              <w:marRight w:val="0"/>
                              <w:marTop w:val="0"/>
                              <w:marBottom w:val="0"/>
                              <w:divBdr>
                                <w:top w:val="none" w:sz="0" w:space="0" w:color="auto"/>
                                <w:left w:val="none" w:sz="0" w:space="0" w:color="auto"/>
                                <w:bottom w:val="none" w:sz="0" w:space="0" w:color="auto"/>
                                <w:right w:val="none" w:sz="0" w:space="0" w:color="auto"/>
                              </w:divBdr>
                            </w:div>
                          </w:divsChild>
                        </w:div>
                        <w:div w:id="150484595">
                          <w:marLeft w:val="0"/>
                          <w:marRight w:val="0"/>
                          <w:marTop w:val="0"/>
                          <w:marBottom w:val="0"/>
                          <w:divBdr>
                            <w:top w:val="none" w:sz="0" w:space="0" w:color="auto"/>
                            <w:left w:val="none" w:sz="0" w:space="0" w:color="auto"/>
                            <w:bottom w:val="none" w:sz="0" w:space="0" w:color="auto"/>
                            <w:right w:val="none" w:sz="0" w:space="0" w:color="auto"/>
                          </w:divBdr>
                        </w:div>
                      </w:divsChild>
                    </w:div>
                    <w:div w:id="925458685">
                      <w:marLeft w:val="0"/>
                      <w:marRight w:val="0"/>
                      <w:marTop w:val="0"/>
                      <w:marBottom w:val="0"/>
                      <w:divBdr>
                        <w:top w:val="none" w:sz="0" w:space="0" w:color="auto"/>
                        <w:left w:val="none" w:sz="0" w:space="0" w:color="auto"/>
                        <w:bottom w:val="none" w:sz="0" w:space="0" w:color="auto"/>
                        <w:right w:val="none" w:sz="0" w:space="0" w:color="auto"/>
                      </w:divBdr>
                      <w:divsChild>
                        <w:div w:id="1665277565">
                          <w:marLeft w:val="0"/>
                          <w:marRight w:val="0"/>
                          <w:marTop w:val="0"/>
                          <w:marBottom w:val="0"/>
                          <w:divBdr>
                            <w:top w:val="none" w:sz="0" w:space="0" w:color="auto"/>
                            <w:left w:val="none" w:sz="0" w:space="0" w:color="auto"/>
                            <w:bottom w:val="none" w:sz="0" w:space="0" w:color="auto"/>
                            <w:right w:val="none" w:sz="0" w:space="0" w:color="auto"/>
                          </w:divBdr>
                          <w:divsChild>
                            <w:div w:id="373119195">
                              <w:marLeft w:val="0"/>
                              <w:marRight w:val="0"/>
                              <w:marTop w:val="0"/>
                              <w:marBottom w:val="0"/>
                              <w:divBdr>
                                <w:top w:val="none" w:sz="0" w:space="0" w:color="auto"/>
                                <w:left w:val="none" w:sz="0" w:space="0" w:color="auto"/>
                                <w:bottom w:val="none" w:sz="0" w:space="0" w:color="auto"/>
                                <w:right w:val="none" w:sz="0" w:space="0" w:color="auto"/>
                              </w:divBdr>
                              <w:divsChild>
                                <w:div w:id="665400250">
                                  <w:marLeft w:val="0"/>
                                  <w:marRight w:val="0"/>
                                  <w:marTop w:val="0"/>
                                  <w:marBottom w:val="0"/>
                                  <w:divBdr>
                                    <w:top w:val="none" w:sz="0" w:space="0" w:color="auto"/>
                                    <w:left w:val="none" w:sz="0" w:space="0" w:color="auto"/>
                                    <w:bottom w:val="none" w:sz="0" w:space="0" w:color="auto"/>
                                    <w:right w:val="none" w:sz="0" w:space="0" w:color="auto"/>
                                  </w:divBdr>
                                </w:div>
                                <w:div w:id="1299992629">
                                  <w:marLeft w:val="0"/>
                                  <w:marRight w:val="0"/>
                                  <w:marTop w:val="0"/>
                                  <w:marBottom w:val="0"/>
                                  <w:divBdr>
                                    <w:top w:val="none" w:sz="0" w:space="0" w:color="auto"/>
                                    <w:left w:val="none" w:sz="0" w:space="0" w:color="auto"/>
                                    <w:bottom w:val="none" w:sz="0" w:space="0" w:color="auto"/>
                                    <w:right w:val="none" w:sz="0" w:space="0" w:color="auto"/>
                                  </w:divBdr>
                                  <w:divsChild>
                                    <w:div w:id="2056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704477">
          <w:marLeft w:val="0"/>
          <w:marRight w:val="0"/>
          <w:marTop w:val="0"/>
          <w:marBottom w:val="0"/>
          <w:divBdr>
            <w:top w:val="none" w:sz="0" w:space="0" w:color="auto"/>
            <w:left w:val="none" w:sz="0" w:space="0" w:color="auto"/>
            <w:bottom w:val="none" w:sz="0" w:space="0" w:color="auto"/>
            <w:right w:val="none" w:sz="0" w:space="0" w:color="auto"/>
          </w:divBdr>
          <w:divsChild>
            <w:div w:id="343747102">
              <w:marLeft w:val="0"/>
              <w:marRight w:val="0"/>
              <w:marTop w:val="0"/>
              <w:marBottom w:val="0"/>
              <w:divBdr>
                <w:top w:val="none" w:sz="0" w:space="0" w:color="auto"/>
                <w:left w:val="none" w:sz="0" w:space="0" w:color="auto"/>
                <w:bottom w:val="none" w:sz="0" w:space="0" w:color="auto"/>
                <w:right w:val="none" w:sz="0" w:space="0" w:color="auto"/>
              </w:divBdr>
              <w:divsChild>
                <w:div w:id="6676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8002">
      <w:bodyDiv w:val="1"/>
      <w:marLeft w:val="0"/>
      <w:marRight w:val="0"/>
      <w:marTop w:val="0"/>
      <w:marBottom w:val="0"/>
      <w:divBdr>
        <w:top w:val="none" w:sz="0" w:space="0" w:color="auto"/>
        <w:left w:val="none" w:sz="0" w:space="0" w:color="auto"/>
        <w:bottom w:val="none" w:sz="0" w:space="0" w:color="auto"/>
        <w:right w:val="none" w:sz="0" w:space="0" w:color="auto"/>
      </w:divBdr>
    </w:div>
    <w:div w:id="1350526505">
      <w:bodyDiv w:val="1"/>
      <w:marLeft w:val="0"/>
      <w:marRight w:val="0"/>
      <w:marTop w:val="0"/>
      <w:marBottom w:val="0"/>
      <w:divBdr>
        <w:top w:val="none" w:sz="0" w:space="0" w:color="auto"/>
        <w:left w:val="none" w:sz="0" w:space="0" w:color="auto"/>
        <w:bottom w:val="none" w:sz="0" w:space="0" w:color="auto"/>
        <w:right w:val="none" w:sz="0" w:space="0" w:color="auto"/>
      </w:divBdr>
    </w:div>
    <w:div w:id="1396857928">
      <w:bodyDiv w:val="1"/>
      <w:marLeft w:val="0"/>
      <w:marRight w:val="0"/>
      <w:marTop w:val="0"/>
      <w:marBottom w:val="0"/>
      <w:divBdr>
        <w:top w:val="none" w:sz="0" w:space="0" w:color="auto"/>
        <w:left w:val="none" w:sz="0" w:space="0" w:color="auto"/>
        <w:bottom w:val="none" w:sz="0" w:space="0" w:color="auto"/>
        <w:right w:val="none" w:sz="0" w:space="0" w:color="auto"/>
      </w:divBdr>
    </w:div>
    <w:div w:id="1528057294">
      <w:bodyDiv w:val="1"/>
      <w:marLeft w:val="0"/>
      <w:marRight w:val="0"/>
      <w:marTop w:val="0"/>
      <w:marBottom w:val="0"/>
      <w:divBdr>
        <w:top w:val="none" w:sz="0" w:space="0" w:color="auto"/>
        <w:left w:val="none" w:sz="0" w:space="0" w:color="auto"/>
        <w:bottom w:val="none" w:sz="0" w:space="0" w:color="auto"/>
        <w:right w:val="none" w:sz="0" w:space="0" w:color="auto"/>
      </w:divBdr>
    </w:div>
    <w:div w:id="1715033008">
      <w:bodyDiv w:val="1"/>
      <w:marLeft w:val="0"/>
      <w:marRight w:val="0"/>
      <w:marTop w:val="0"/>
      <w:marBottom w:val="0"/>
      <w:divBdr>
        <w:top w:val="none" w:sz="0" w:space="0" w:color="auto"/>
        <w:left w:val="none" w:sz="0" w:space="0" w:color="auto"/>
        <w:bottom w:val="none" w:sz="0" w:space="0" w:color="auto"/>
        <w:right w:val="none" w:sz="0" w:space="0" w:color="auto"/>
      </w:divBdr>
    </w:div>
    <w:div w:id="1786999483">
      <w:bodyDiv w:val="1"/>
      <w:marLeft w:val="0"/>
      <w:marRight w:val="0"/>
      <w:marTop w:val="0"/>
      <w:marBottom w:val="0"/>
      <w:divBdr>
        <w:top w:val="none" w:sz="0" w:space="0" w:color="auto"/>
        <w:left w:val="none" w:sz="0" w:space="0" w:color="auto"/>
        <w:bottom w:val="none" w:sz="0" w:space="0" w:color="auto"/>
        <w:right w:val="none" w:sz="0" w:space="0" w:color="auto"/>
      </w:divBdr>
    </w:div>
    <w:div w:id="1847593432">
      <w:bodyDiv w:val="1"/>
      <w:marLeft w:val="0"/>
      <w:marRight w:val="0"/>
      <w:marTop w:val="0"/>
      <w:marBottom w:val="0"/>
      <w:divBdr>
        <w:top w:val="none" w:sz="0" w:space="0" w:color="auto"/>
        <w:left w:val="none" w:sz="0" w:space="0" w:color="auto"/>
        <w:bottom w:val="none" w:sz="0" w:space="0" w:color="auto"/>
        <w:right w:val="none" w:sz="0" w:space="0" w:color="auto"/>
      </w:divBdr>
    </w:div>
    <w:div w:id="1892956203">
      <w:bodyDiv w:val="1"/>
      <w:marLeft w:val="0"/>
      <w:marRight w:val="0"/>
      <w:marTop w:val="0"/>
      <w:marBottom w:val="0"/>
      <w:divBdr>
        <w:top w:val="none" w:sz="0" w:space="0" w:color="auto"/>
        <w:left w:val="none" w:sz="0" w:space="0" w:color="auto"/>
        <w:bottom w:val="none" w:sz="0" w:space="0" w:color="auto"/>
        <w:right w:val="none" w:sz="0" w:space="0" w:color="auto"/>
      </w:divBdr>
    </w:div>
    <w:div w:id="1894656645">
      <w:bodyDiv w:val="1"/>
      <w:marLeft w:val="0"/>
      <w:marRight w:val="0"/>
      <w:marTop w:val="0"/>
      <w:marBottom w:val="0"/>
      <w:divBdr>
        <w:top w:val="none" w:sz="0" w:space="0" w:color="auto"/>
        <w:left w:val="none" w:sz="0" w:space="0" w:color="auto"/>
        <w:bottom w:val="none" w:sz="0" w:space="0" w:color="auto"/>
        <w:right w:val="none" w:sz="0" w:space="0" w:color="auto"/>
      </w:divBdr>
    </w:div>
    <w:div w:id="1950892650">
      <w:bodyDiv w:val="1"/>
      <w:marLeft w:val="0"/>
      <w:marRight w:val="0"/>
      <w:marTop w:val="0"/>
      <w:marBottom w:val="0"/>
      <w:divBdr>
        <w:top w:val="none" w:sz="0" w:space="0" w:color="auto"/>
        <w:left w:val="none" w:sz="0" w:space="0" w:color="auto"/>
        <w:bottom w:val="none" w:sz="0" w:space="0" w:color="auto"/>
        <w:right w:val="none" w:sz="0" w:space="0" w:color="auto"/>
      </w:divBdr>
    </w:div>
    <w:div w:id="2074307647">
      <w:bodyDiv w:val="1"/>
      <w:marLeft w:val="0"/>
      <w:marRight w:val="0"/>
      <w:marTop w:val="0"/>
      <w:marBottom w:val="0"/>
      <w:divBdr>
        <w:top w:val="none" w:sz="0" w:space="0" w:color="auto"/>
        <w:left w:val="none" w:sz="0" w:space="0" w:color="auto"/>
        <w:bottom w:val="none" w:sz="0" w:space="0" w:color="auto"/>
        <w:right w:val="none" w:sz="0" w:space="0" w:color="auto"/>
      </w:divBdr>
    </w:div>
    <w:div w:id="2095012298">
      <w:bodyDiv w:val="1"/>
      <w:marLeft w:val="0"/>
      <w:marRight w:val="0"/>
      <w:marTop w:val="0"/>
      <w:marBottom w:val="0"/>
      <w:divBdr>
        <w:top w:val="none" w:sz="0" w:space="0" w:color="auto"/>
        <w:left w:val="none" w:sz="0" w:space="0" w:color="auto"/>
        <w:bottom w:val="none" w:sz="0" w:space="0" w:color="auto"/>
        <w:right w:val="none" w:sz="0" w:space="0" w:color="auto"/>
      </w:divBdr>
    </w:div>
    <w:div w:id="212896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s://eur-lex.europa.eu/budget/www/index-en.htm" TargetMode="Externa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A821-B049-4D9B-AAAC-CD2EB893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4110</Words>
  <Characters>20965</Characters>
  <Application>Microsoft Office Word</Application>
  <DocSecurity>0</DocSecurity>
  <Lines>911</Lines>
  <Paragraphs>583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PASCUAL IBANEZ Noelia (SG)</cp:lastModifiedBy>
  <cp:revision>32</cp:revision>
  <cp:lastPrinted>2020-09-30T12:17:00Z</cp:lastPrinted>
  <dcterms:created xsi:type="dcterms:W3CDTF">2020-10-06T08:20:00Z</dcterms:created>
  <dcterms:modified xsi:type="dcterms:W3CDTF">2020-10-13T11:06:00Z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